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emf" ContentType="image/x-e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harts/chart1.xml" ContentType="application/vnd.openxmlformats-officedocument.drawingml.chart+xml"/>
  <Override PartName="/word/charts/chart2.xml" ContentType="application/vnd.openxmlformats-officedocument.drawingml.chart+xml"/>
  <Override PartName="/word/charts/colors1.xml" ContentType="application/vnd.ms-office.chartcolorstyle+xml"/>
  <Override PartName="/word/charts/colors2.xml" ContentType="application/vnd.ms-office.chartcolorstyle+xml"/>
  <Override PartName="/word/charts/style1.xml" ContentType="application/vnd.ms-office.chartstyle+xml"/>
  <Override PartName="/word/charts/style2.xml" ContentType="application/vnd.ms-office.chartstyle+xml"/>
  <Override PartName="/word/document.xml" ContentType="application/vnd.openxmlformats-officedocument.wordprocessingml.document.main+xml"/>
  <Override PartName="/word/embeddings/Microsoft_Visio_2003-2010___1.vsd" ContentType="application/vnd.visio"/>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64948BE"/>
    <w:p w14:paraId="7478984E"/>
    <w:p w14:paraId="5177EF22">
      <w:pPr>
        <w:spacing w:line="240" w:lineRule="auto"/>
        <w:jc w:val="center"/>
        <w:rPr>
          <w:b/>
          <w:bCs/>
          <w:sz w:val="48"/>
          <w:szCs w:val="48"/>
        </w:rPr>
      </w:pPr>
      <w:r>
        <w:rPr>
          <w:rFonts w:hint="eastAsia"/>
          <w:b/>
          <w:bCs/>
          <w:sz w:val="48"/>
          <w:szCs w:val="48"/>
        </w:rPr>
        <w:t>安徽海华科技集团有限公司</w:t>
      </w:r>
    </w:p>
    <w:p w14:paraId="011DBC81">
      <w:pPr>
        <w:spacing w:line="240" w:lineRule="auto"/>
        <w:jc w:val="center"/>
        <w:rPr>
          <w:b/>
          <w:bCs/>
          <w:sz w:val="48"/>
          <w:szCs w:val="48"/>
        </w:rPr>
      </w:pPr>
      <w:r>
        <w:rPr>
          <w:rFonts w:hint="eastAsia"/>
          <w:b/>
          <w:bCs/>
          <w:sz w:val="48"/>
          <w:szCs w:val="48"/>
        </w:rPr>
        <w:t>10000吨间甲酚车间环保技改项目</w:t>
      </w:r>
    </w:p>
    <w:p w14:paraId="6CD54979">
      <w:pPr>
        <w:spacing w:line="240" w:lineRule="auto"/>
        <w:jc w:val="center"/>
        <w:rPr>
          <w:b/>
          <w:bCs/>
          <w:sz w:val="52"/>
          <w:szCs w:val="52"/>
        </w:rPr>
      </w:pPr>
      <w:r>
        <w:rPr>
          <w:rFonts w:hint="eastAsia"/>
          <w:b/>
          <w:bCs/>
          <w:sz w:val="52"/>
          <w:szCs w:val="52"/>
        </w:rPr>
        <w:t>环境影响报告书</w:t>
      </w:r>
    </w:p>
    <w:p w14:paraId="4D709208"/>
    <w:p w14:paraId="729F11A6">
      <w:pPr>
        <w:jc w:val="center"/>
        <w:rPr>
          <w:b/>
          <w:bCs/>
          <w:sz w:val="36"/>
          <w:szCs w:val="36"/>
        </w:rPr>
      </w:pPr>
      <w:r>
        <w:rPr>
          <w:rFonts w:hint="eastAsia"/>
          <w:b/>
          <w:bCs/>
          <w:sz w:val="36"/>
          <w:szCs w:val="36"/>
        </w:rPr>
        <w:t>(</w:t>
      </w:r>
      <w:r>
        <w:rPr>
          <w:rFonts w:hint="eastAsia"/>
          <w:b/>
          <w:bCs/>
          <w:sz w:val="36"/>
          <w:szCs w:val="36"/>
          <w:lang w:val="en-US" w:eastAsia="zh-CN"/>
        </w:rPr>
        <w:t>报批前公示</w:t>
      </w:r>
      <w:r>
        <w:rPr>
          <w:rFonts w:hint="eastAsia"/>
          <w:b/>
          <w:bCs/>
          <w:sz w:val="36"/>
          <w:szCs w:val="36"/>
        </w:rPr>
        <w:t>稿)</w:t>
      </w:r>
    </w:p>
    <w:p w14:paraId="5B74F7DA">
      <w:bookmarkStart w:id="230" w:name="_GoBack"/>
      <w:bookmarkEnd w:id="230"/>
    </w:p>
    <w:p w14:paraId="31554B6D"/>
    <w:p w14:paraId="303B5749"/>
    <w:p w14:paraId="6F905852"/>
    <w:p w14:paraId="0F99229A"/>
    <w:p w14:paraId="00D11523"/>
    <w:p w14:paraId="7024931D"/>
    <w:p w14:paraId="462CB09A"/>
    <w:p w14:paraId="3B7FED12"/>
    <w:p w14:paraId="35B69F4F"/>
    <w:p w14:paraId="3A0A7663"/>
    <w:p w14:paraId="3E6C81E4"/>
    <w:p w14:paraId="63BFDE12">
      <w:pPr>
        <w:jc w:val="center"/>
        <w:rPr>
          <w:b/>
          <w:bCs/>
          <w:sz w:val="28"/>
          <w:szCs w:val="28"/>
        </w:rPr>
      </w:pPr>
      <w:r>
        <w:rPr>
          <w:rFonts w:hint="eastAsia"/>
          <w:b/>
          <w:bCs/>
          <w:sz w:val="28"/>
          <w:szCs w:val="28"/>
        </w:rPr>
        <w:t>建设单位：安徽海华科技集团有限公司</w:t>
      </w:r>
    </w:p>
    <w:p w14:paraId="52B73500">
      <w:pPr>
        <w:jc w:val="center"/>
        <w:rPr>
          <w:b/>
          <w:bCs/>
          <w:sz w:val="28"/>
          <w:szCs w:val="28"/>
        </w:rPr>
      </w:pPr>
      <w:r>
        <w:rPr>
          <w:rFonts w:hint="eastAsia"/>
          <w:b/>
          <w:bCs/>
          <w:sz w:val="28"/>
          <w:szCs w:val="28"/>
        </w:rPr>
        <w:t>编制单位：合肥中霁生态环境科技有限公司</w:t>
      </w:r>
    </w:p>
    <w:p w14:paraId="59792062">
      <w:pPr>
        <w:jc w:val="center"/>
        <w:rPr>
          <w:b/>
          <w:bCs/>
          <w:sz w:val="28"/>
          <w:szCs w:val="28"/>
        </w:rPr>
      </w:pPr>
      <w:r>
        <w:rPr>
          <w:rFonts w:hint="eastAsia"/>
          <w:b/>
          <w:bCs/>
          <w:sz w:val="28"/>
          <w:szCs w:val="28"/>
        </w:rPr>
        <w:t>2026年2月</w:t>
      </w:r>
    </w:p>
    <w:p w14:paraId="16DC3236"/>
    <w:p w14:paraId="187EF698"/>
    <w:p w14:paraId="59C6E8CE"/>
    <w:p w14:paraId="3EDDFA88"/>
    <w:p w14:paraId="64E1091F">
      <w:pPr>
        <w:sectPr>
          <w:pgSz w:w="11906" w:h="16838"/>
          <w:pgMar w:top="1418" w:right="1418" w:bottom="1418" w:left="1418" w:header="851" w:footer="992" w:gutter="0"/>
          <w:cols w:space="425" w:num="1"/>
          <w:docGrid w:type="lines" w:linePitch="326" w:charSpace="0"/>
        </w:sectPr>
      </w:pPr>
    </w:p>
    <w:sdt>
      <w:sdtPr>
        <w:rPr>
          <w:rFonts w:ascii="Times New Roman" w:hAnsi="Times New Roman" w:eastAsia="宋体" w:cstheme="minorBidi"/>
          <w:color w:val="000000" w:themeColor="text1"/>
          <w:kern w:val="2"/>
          <w:sz w:val="24"/>
          <w:szCs w:val="24"/>
          <w:lang w:val="zh-CN"/>
          <w14:textFill>
            <w14:solidFill>
              <w14:schemeClr w14:val="tx1"/>
            </w14:solidFill>
          </w14:textFill>
          <w14:ligatures w14:val="standardContextual"/>
        </w:rPr>
        <w:id w:val="988057606"/>
        <w:docPartObj>
          <w:docPartGallery w:val="Table of Contents"/>
          <w:docPartUnique/>
        </w:docPartObj>
      </w:sdtPr>
      <w:sdtEndPr>
        <w:rPr>
          <w:rFonts w:ascii="Times New Roman" w:hAnsi="Times New Roman" w:eastAsia="宋体" w:cstheme="minorBidi"/>
          <w:b/>
          <w:bCs/>
          <w:color w:val="000000" w:themeColor="text1"/>
          <w:kern w:val="2"/>
          <w:sz w:val="24"/>
          <w:szCs w:val="24"/>
          <w:lang w:val="zh-CN"/>
          <w14:textFill>
            <w14:solidFill>
              <w14:schemeClr w14:val="tx1"/>
            </w14:solidFill>
          </w14:textFill>
          <w14:ligatures w14:val="standardContextual"/>
        </w:rPr>
      </w:sdtEndPr>
      <w:sdtContent>
        <w:p w14:paraId="2827E2AC">
          <w:pPr>
            <w:pStyle w:val="73"/>
            <w:spacing w:before="120" w:line="240" w:lineRule="auto"/>
            <w:jc w:val="center"/>
            <w:rPr>
              <w:rFonts w:hint="eastAsia" w:ascii="黑体" w:hAnsi="黑体" w:eastAsia="黑体"/>
              <w:color w:val="000000" w:themeColor="text1"/>
              <w14:textFill>
                <w14:solidFill>
                  <w14:schemeClr w14:val="tx1"/>
                </w14:solidFill>
              </w14:textFill>
            </w:rPr>
          </w:pPr>
          <w:r>
            <w:rPr>
              <w:rFonts w:ascii="黑体" w:hAnsi="黑体" w:eastAsia="黑体"/>
              <w:color w:val="000000" w:themeColor="text1"/>
              <w:lang w:val="zh-CN"/>
              <w14:textFill>
                <w14:solidFill>
                  <w14:schemeClr w14:val="tx1"/>
                </w14:solidFill>
              </w14:textFill>
            </w:rPr>
            <w:t>目</w:t>
          </w:r>
          <w:r>
            <w:rPr>
              <w:rFonts w:hint="eastAsia" w:ascii="黑体" w:hAnsi="黑体" w:eastAsia="黑体"/>
              <w:color w:val="000000" w:themeColor="text1"/>
              <w:lang w:val="zh-CN"/>
              <w14:textFill>
                <w14:solidFill>
                  <w14:schemeClr w14:val="tx1"/>
                </w14:solidFill>
              </w14:textFill>
            </w:rPr>
            <w:t xml:space="preserve">  </w:t>
          </w:r>
          <w:r>
            <w:rPr>
              <w:rFonts w:ascii="黑体" w:hAnsi="黑体" w:eastAsia="黑体"/>
              <w:color w:val="000000" w:themeColor="text1"/>
              <w:lang w:val="zh-CN"/>
              <w14:textFill>
                <w14:solidFill>
                  <w14:schemeClr w14:val="tx1"/>
                </w14:solidFill>
              </w14:textFill>
            </w:rPr>
            <w:t>录</w:t>
          </w:r>
        </w:p>
        <w:p w14:paraId="1D2FB65B">
          <w:pPr>
            <w:pStyle w:val="26"/>
            <w:tabs>
              <w:tab w:val="right" w:leader="dot" w:pos="9060"/>
            </w:tabs>
            <w:rPr>
              <w:rFonts w:hint="eastAsia" w:asciiTheme="minorHAnsi" w:hAnsiTheme="minorHAnsi" w:eastAsiaTheme="minorEastAsia"/>
              <w:sz w:val="22"/>
            </w:rPr>
          </w:pPr>
          <w:r>
            <w:fldChar w:fldCharType="begin"/>
          </w:r>
          <w:r>
            <w:instrText xml:space="preserve"> TOC \o "1-3" \h \z \u </w:instrText>
          </w:r>
          <w:r>
            <w:fldChar w:fldCharType="separate"/>
          </w:r>
          <w:r>
            <w:fldChar w:fldCharType="begin"/>
          </w:r>
          <w:r>
            <w:instrText xml:space="preserve"> HYPERLINK \l "_Toc221056307" </w:instrText>
          </w:r>
          <w:r>
            <w:fldChar w:fldCharType="separate"/>
          </w:r>
          <w:r>
            <w:rPr>
              <w:rStyle w:val="41"/>
              <w:rFonts w:hint="eastAsia"/>
              <w:color w:val="000000" w:themeColor="text1"/>
              <w14:textFill>
                <w14:solidFill>
                  <w14:schemeClr w14:val="tx1"/>
                </w14:solidFill>
              </w14:textFill>
            </w:rPr>
            <w:t>1概述</w:t>
          </w:r>
          <w:r>
            <w:rPr>
              <w:rFonts w:hint="eastAsia"/>
            </w:rPr>
            <w:tab/>
          </w:r>
          <w:r>
            <w:rPr>
              <w:rFonts w:hint="eastAsia"/>
            </w:rPr>
            <w:fldChar w:fldCharType="begin"/>
          </w:r>
          <w:r>
            <w:rPr>
              <w:rFonts w:hint="eastAsia"/>
            </w:rPr>
            <w:instrText xml:space="preserve"> </w:instrText>
          </w:r>
          <w:r>
            <w:instrText xml:space="preserve">PAGEREF _Toc221056307 \h</w:instrText>
          </w:r>
          <w:r>
            <w:rPr>
              <w:rFonts w:hint="eastAsia"/>
            </w:rPr>
            <w:instrText xml:space="preserve"> </w:instrText>
          </w:r>
          <w:r>
            <w:rPr>
              <w:rFonts w:hint="eastAsia"/>
            </w:rPr>
            <w:fldChar w:fldCharType="separate"/>
          </w:r>
          <w:r>
            <w:t>1</w:t>
          </w:r>
          <w:r>
            <w:rPr>
              <w:rFonts w:hint="eastAsia"/>
            </w:rPr>
            <w:fldChar w:fldCharType="end"/>
          </w:r>
          <w:r>
            <w:rPr>
              <w:rFonts w:hint="eastAsia"/>
            </w:rPr>
            <w:fldChar w:fldCharType="end"/>
          </w:r>
        </w:p>
        <w:p w14:paraId="4A737AAE">
          <w:pPr>
            <w:pStyle w:val="31"/>
            <w:tabs>
              <w:tab w:val="right" w:leader="dot" w:pos="9060"/>
            </w:tabs>
            <w:ind w:left="480"/>
            <w:rPr>
              <w:rFonts w:hint="eastAsia" w:asciiTheme="minorHAnsi" w:hAnsiTheme="minorHAnsi" w:eastAsiaTheme="minorEastAsia"/>
              <w:sz w:val="22"/>
            </w:rPr>
          </w:pPr>
          <w:r>
            <w:fldChar w:fldCharType="begin"/>
          </w:r>
          <w:r>
            <w:instrText xml:space="preserve"> HYPERLINK \l "_Toc221056308" </w:instrText>
          </w:r>
          <w:r>
            <w:fldChar w:fldCharType="separate"/>
          </w:r>
          <w:r>
            <w:rPr>
              <w:rStyle w:val="41"/>
              <w:rFonts w:hint="eastAsia"/>
              <w:color w:val="000000" w:themeColor="text1"/>
              <w14:textFill>
                <w14:solidFill>
                  <w14:schemeClr w14:val="tx1"/>
                </w14:solidFill>
              </w14:textFill>
            </w:rPr>
            <w:t>1.1项目概况及背景</w:t>
          </w:r>
          <w:r>
            <w:rPr>
              <w:rFonts w:hint="eastAsia"/>
            </w:rPr>
            <w:tab/>
          </w:r>
          <w:r>
            <w:rPr>
              <w:rFonts w:hint="eastAsia"/>
            </w:rPr>
            <w:fldChar w:fldCharType="begin"/>
          </w:r>
          <w:r>
            <w:rPr>
              <w:rFonts w:hint="eastAsia"/>
            </w:rPr>
            <w:instrText xml:space="preserve"> </w:instrText>
          </w:r>
          <w:r>
            <w:instrText xml:space="preserve">PAGEREF _Toc221056308 \h</w:instrText>
          </w:r>
          <w:r>
            <w:rPr>
              <w:rFonts w:hint="eastAsia"/>
            </w:rPr>
            <w:instrText xml:space="preserve"> </w:instrText>
          </w:r>
          <w:r>
            <w:rPr>
              <w:rFonts w:hint="eastAsia"/>
            </w:rPr>
            <w:fldChar w:fldCharType="separate"/>
          </w:r>
          <w:r>
            <w:t>1</w:t>
          </w:r>
          <w:r>
            <w:rPr>
              <w:rFonts w:hint="eastAsia"/>
            </w:rPr>
            <w:fldChar w:fldCharType="end"/>
          </w:r>
          <w:r>
            <w:rPr>
              <w:rFonts w:hint="eastAsia"/>
            </w:rPr>
            <w:fldChar w:fldCharType="end"/>
          </w:r>
        </w:p>
        <w:p w14:paraId="4B3632D6">
          <w:pPr>
            <w:pStyle w:val="31"/>
            <w:tabs>
              <w:tab w:val="right" w:leader="dot" w:pos="9060"/>
            </w:tabs>
            <w:ind w:left="480"/>
            <w:rPr>
              <w:rFonts w:hint="eastAsia" w:asciiTheme="minorHAnsi" w:hAnsiTheme="minorHAnsi" w:eastAsiaTheme="minorEastAsia"/>
              <w:sz w:val="22"/>
            </w:rPr>
          </w:pPr>
          <w:r>
            <w:fldChar w:fldCharType="begin"/>
          </w:r>
          <w:r>
            <w:instrText xml:space="preserve"> HYPERLINK \l "_Toc221056309" </w:instrText>
          </w:r>
          <w:r>
            <w:fldChar w:fldCharType="separate"/>
          </w:r>
          <w:r>
            <w:rPr>
              <w:rStyle w:val="41"/>
              <w:rFonts w:hint="eastAsia"/>
              <w:color w:val="000000" w:themeColor="text1"/>
              <w14:textFill>
                <w14:solidFill>
                  <w14:schemeClr w14:val="tx1"/>
                </w14:solidFill>
              </w14:textFill>
            </w:rPr>
            <w:t>1.2环评过程及分析判定相关情况</w:t>
          </w:r>
          <w:r>
            <w:rPr>
              <w:rFonts w:hint="eastAsia"/>
            </w:rPr>
            <w:tab/>
          </w:r>
          <w:r>
            <w:rPr>
              <w:rFonts w:hint="eastAsia"/>
            </w:rPr>
            <w:fldChar w:fldCharType="begin"/>
          </w:r>
          <w:r>
            <w:rPr>
              <w:rFonts w:hint="eastAsia"/>
            </w:rPr>
            <w:instrText xml:space="preserve"> </w:instrText>
          </w:r>
          <w:r>
            <w:instrText xml:space="preserve">PAGEREF _Toc221056309 \h</w:instrText>
          </w:r>
          <w:r>
            <w:rPr>
              <w:rFonts w:hint="eastAsia"/>
            </w:rPr>
            <w:instrText xml:space="preserve"> </w:instrText>
          </w:r>
          <w:r>
            <w:rPr>
              <w:rFonts w:hint="eastAsia"/>
            </w:rPr>
            <w:fldChar w:fldCharType="separate"/>
          </w:r>
          <w:r>
            <w:t>2</w:t>
          </w:r>
          <w:r>
            <w:rPr>
              <w:rFonts w:hint="eastAsia"/>
            </w:rPr>
            <w:fldChar w:fldCharType="end"/>
          </w:r>
          <w:r>
            <w:rPr>
              <w:rFonts w:hint="eastAsia"/>
            </w:rPr>
            <w:fldChar w:fldCharType="end"/>
          </w:r>
        </w:p>
        <w:p w14:paraId="79491C79">
          <w:pPr>
            <w:pStyle w:val="31"/>
            <w:tabs>
              <w:tab w:val="right" w:leader="dot" w:pos="9060"/>
            </w:tabs>
            <w:ind w:left="480"/>
            <w:rPr>
              <w:rFonts w:hint="eastAsia" w:asciiTheme="minorHAnsi" w:hAnsiTheme="minorHAnsi" w:eastAsiaTheme="minorEastAsia"/>
              <w:sz w:val="22"/>
            </w:rPr>
          </w:pPr>
          <w:r>
            <w:fldChar w:fldCharType="begin"/>
          </w:r>
          <w:r>
            <w:instrText xml:space="preserve"> HYPERLINK \l "_Toc221056310" </w:instrText>
          </w:r>
          <w:r>
            <w:fldChar w:fldCharType="separate"/>
          </w:r>
          <w:r>
            <w:rPr>
              <w:rStyle w:val="41"/>
              <w:rFonts w:hint="eastAsia"/>
              <w:color w:val="000000" w:themeColor="text1"/>
              <w14:textFill>
                <w14:solidFill>
                  <w14:schemeClr w14:val="tx1"/>
                </w14:solidFill>
              </w14:textFill>
            </w:rPr>
            <w:t>1.3环境影响评价关注的主要问题</w:t>
          </w:r>
          <w:r>
            <w:rPr>
              <w:rFonts w:hint="eastAsia"/>
            </w:rPr>
            <w:tab/>
          </w:r>
          <w:r>
            <w:rPr>
              <w:rFonts w:hint="eastAsia"/>
            </w:rPr>
            <w:fldChar w:fldCharType="begin"/>
          </w:r>
          <w:r>
            <w:rPr>
              <w:rFonts w:hint="eastAsia"/>
            </w:rPr>
            <w:instrText xml:space="preserve"> </w:instrText>
          </w:r>
          <w:r>
            <w:instrText xml:space="preserve">PAGEREF _Toc221056310 \h</w:instrText>
          </w:r>
          <w:r>
            <w:rPr>
              <w:rFonts w:hint="eastAsia"/>
            </w:rPr>
            <w:instrText xml:space="preserve"> </w:instrText>
          </w:r>
          <w:r>
            <w:rPr>
              <w:rFonts w:hint="eastAsia"/>
            </w:rPr>
            <w:fldChar w:fldCharType="separate"/>
          </w:r>
          <w:r>
            <w:t>3</w:t>
          </w:r>
          <w:r>
            <w:rPr>
              <w:rFonts w:hint="eastAsia"/>
            </w:rPr>
            <w:fldChar w:fldCharType="end"/>
          </w:r>
          <w:r>
            <w:rPr>
              <w:rFonts w:hint="eastAsia"/>
            </w:rPr>
            <w:fldChar w:fldCharType="end"/>
          </w:r>
        </w:p>
        <w:p w14:paraId="04D63AE8">
          <w:pPr>
            <w:pStyle w:val="31"/>
            <w:tabs>
              <w:tab w:val="right" w:leader="dot" w:pos="9060"/>
            </w:tabs>
            <w:ind w:left="480"/>
            <w:rPr>
              <w:rFonts w:hint="eastAsia" w:asciiTheme="minorHAnsi" w:hAnsiTheme="minorHAnsi" w:eastAsiaTheme="minorEastAsia"/>
              <w:sz w:val="22"/>
            </w:rPr>
          </w:pPr>
          <w:r>
            <w:fldChar w:fldCharType="begin"/>
          </w:r>
          <w:r>
            <w:instrText xml:space="preserve"> HYPERLINK \l "_Toc221056311" </w:instrText>
          </w:r>
          <w:r>
            <w:fldChar w:fldCharType="separate"/>
          </w:r>
          <w:r>
            <w:rPr>
              <w:rStyle w:val="41"/>
              <w:rFonts w:hint="eastAsia"/>
              <w:color w:val="000000" w:themeColor="text1"/>
              <w14:textFill>
                <w14:solidFill>
                  <w14:schemeClr w14:val="tx1"/>
                </w14:solidFill>
              </w14:textFill>
            </w:rPr>
            <w:t>1.4环境影响报告书的主要结论</w:t>
          </w:r>
          <w:r>
            <w:rPr>
              <w:rFonts w:hint="eastAsia"/>
            </w:rPr>
            <w:tab/>
          </w:r>
          <w:r>
            <w:rPr>
              <w:rFonts w:hint="eastAsia"/>
            </w:rPr>
            <w:fldChar w:fldCharType="begin"/>
          </w:r>
          <w:r>
            <w:rPr>
              <w:rFonts w:hint="eastAsia"/>
            </w:rPr>
            <w:instrText xml:space="preserve"> </w:instrText>
          </w:r>
          <w:r>
            <w:instrText xml:space="preserve">PAGEREF _Toc221056311 \h</w:instrText>
          </w:r>
          <w:r>
            <w:rPr>
              <w:rFonts w:hint="eastAsia"/>
            </w:rPr>
            <w:instrText xml:space="preserve"> </w:instrText>
          </w:r>
          <w:r>
            <w:rPr>
              <w:rFonts w:hint="eastAsia"/>
            </w:rPr>
            <w:fldChar w:fldCharType="separate"/>
          </w:r>
          <w:r>
            <w:t>4</w:t>
          </w:r>
          <w:r>
            <w:rPr>
              <w:rFonts w:hint="eastAsia"/>
            </w:rPr>
            <w:fldChar w:fldCharType="end"/>
          </w:r>
          <w:r>
            <w:rPr>
              <w:rFonts w:hint="eastAsia"/>
            </w:rPr>
            <w:fldChar w:fldCharType="end"/>
          </w:r>
        </w:p>
        <w:p w14:paraId="299E8DF4">
          <w:pPr>
            <w:pStyle w:val="26"/>
            <w:tabs>
              <w:tab w:val="right" w:leader="dot" w:pos="9060"/>
            </w:tabs>
            <w:rPr>
              <w:rFonts w:hint="eastAsia" w:asciiTheme="minorHAnsi" w:hAnsiTheme="minorHAnsi" w:eastAsiaTheme="minorEastAsia"/>
              <w:sz w:val="22"/>
            </w:rPr>
          </w:pPr>
          <w:r>
            <w:fldChar w:fldCharType="begin"/>
          </w:r>
          <w:r>
            <w:instrText xml:space="preserve"> HYPERLINK \l "_Toc221056312" </w:instrText>
          </w:r>
          <w:r>
            <w:fldChar w:fldCharType="separate"/>
          </w:r>
          <w:r>
            <w:rPr>
              <w:rStyle w:val="41"/>
              <w:rFonts w:hint="eastAsia"/>
              <w:color w:val="000000" w:themeColor="text1"/>
              <w14:textFill>
                <w14:solidFill>
                  <w14:schemeClr w14:val="tx1"/>
                </w14:solidFill>
              </w14:textFill>
            </w:rPr>
            <w:t>2总则</w:t>
          </w:r>
          <w:r>
            <w:rPr>
              <w:rFonts w:hint="eastAsia"/>
            </w:rPr>
            <w:tab/>
          </w:r>
          <w:r>
            <w:rPr>
              <w:rFonts w:hint="eastAsia"/>
            </w:rPr>
            <w:fldChar w:fldCharType="begin"/>
          </w:r>
          <w:r>
            <w:rPr>
              <w:rFonts w:hint="eastAsia"/>
            </w:rPr>
            <w:instrText xml:space="preserve"> </w:instrText>
          </w:r>
          <w:r>
            <w:instrText xml:space="preserve">PAGEREF _Toc221056312 \h</w:instrText>
          </w:r>
          <w:r>
            <w:rPr>
              <w:rFonts w:hint="eastAsia"/>
            </w:rPr>
            <w:instrText xml:space="preserve"> </w:instrText>
          </w:r>
          <w:r>
            <w:rPr>
              <w:rFonts w:hint="eastAsia"/>
            </w:rPr>
            <w:fldChar w:fldCharType="separate"/>
          </w:r>
          <w:r>
            <w:t>5</w:t>
          </w:r>
          <w:r>
            <w:rPr>
              <w:rFonts w:hint="eastAsia"/>
            </w:rPr>
            <w:fldChar w:fldCharType="end"/>
          </w:r>
          <w:r>
            <w:rPr>
              <w:rFonts w:hint="eastAsia"/>
            </w:rPr>
            <w:fldChar w:fldCharType="end"/>
          </w:r>
        </w:p>
        <w:p w14:paraId="42B8A1E8">
          <w:pPr>
            <w:pStyle w:val="31"/>
            <w:tabs>
              <w:tab w:val="right" w:leader="dot" w:pos="9060"/>
            </w:tabs>
            <w:ind w:left="480"/>
            <w:rPr>
              <w:rFonts w:hint="eastAsia" w:asciiTheme="minorHAnsi" w:hAnsiTheme="minorHAnsi" w:eastAsiaTheme="minorEastAsia"/>
              <w:sz w:val="22"/>
            </w:rPr>
          </w:pPr>
          <w:r>
            <w:fldChar w:fldCharType="begin"/>
          </w:r>
          <w:r>
            <w:instrText xml:space="preserve"> HYPERLINK \l "_Toc221056313" </w:instrText>
          </w:r>
          <w:r>
            <w:fldChar w:fldCharType="separate"/>
          </w:r>
          <w:r>
            <w:rPr>
              <w:rStyle w:val="41"/>
              <w:rFonts w:hint="eastAsia"/>
              <w:color w:val="000000" w:themeColor="text1"/>
              <w14:textFill>
                <w14:solidFill>
                  <w14:schemeClr w14:val="tx1"/>
                </w14:solidFill>
              </w14:textFill>
            </w:rPr>
            <w:t>2.1评价目的与指导思想</w:t>
          </w:r>
          <w:r>
            <w:rPr>
              <w:rFonts w:hint="eastAsia"/>
            </w:rPr>
            <w:tab/>
          </w:r>
          <w:r>
            <w:rPr>
              <w:rFonts w:hint="eastAsia"/>
            </w:rPr>
            <w:fldChar w:fldCharType="begin"/>
          </w:r>
          <w:r>
            <w:rPr>
              <w:rFonts w:hint="eastAsia"/>
            </w:rPr>
            <w:instrText xml:space="preserve"> </w:instrText>
          </w:r>
          <w:r>
            <w:instrText xml:space="preserve">PAGEREF _Toc221056313 \h</w:instrText>
          </w:r>
          <w:r>
            <w:rPr>
              <w:rFonts w:hint="eastAsia"/>
            </w:rPr>
            <w:instrText xml:space="preserve"> </w:instrText>
          </w:r>
          <w:r>
            <w:rPr>
              <w:rFonts w:hint="eastAsia"/>
            </w:rPr>
            <w:fldChar w:fldCharType="separate"/>
          </w:r>
          <w:r>
            <w:t>5</w:t>
          </w:r>
          <w:r>
            <w:rPr>
              <w:rFonts w:hint="eastAsia"/>
            </w:rPr>
            <w:fldChar w:fldCharType="end"/>
          </w:r>
          <w:r>
            <w:rPr>
              <w:rFonts w:hint="eastAsia"/>
            </w:rPr>
            <w:fldChar w:fldCharType="end"/>
          </w:r>
        </w:p>
        <w:p w14:paraId="40281A12">
          <w:pPr>
            <w:pStyle w:val="18"/>
            <w:tabs>
              <w:tab w:val="right" w:leader="dot" w:pos="9060"/>
            </w:tabs>
            <w:ind w:left="960"/>
            <w:rPr>
              <w:rFonts w:hint="eastAsia" w:asciiTheme="minorHAnsi" w:hAnsiTheme="minorHAnsi" w:eastAsiaTheme="minorEastAsia"/>
              <w:sz w:val="22"/>
            </w:rPr>
          </w:pPr>
          <w:r>
            <w:fldChar w:fldCharType="begin"/>
          </w:r>
          <w:r>
            <w:instrText xml:space="preserve"> HYPERLINK \l "_Toc221056314" </w:instrText>
          </w:r>
          <w:r>
            <w:fldChar w:fldCharType="separate"/>
          </w:r>
          <w:r>
            <w:rPr>
              <w:rStyle w:val="41"/>
              <w:rFonts w:hint="eastAsia"/>
              <w:color w:val="000000" w:themeColor="text1"/>
              <w14:textFill>
                <w14:solidFill>
                  <w14:schemeClr w14:val="tx1"/>
                </w14:solidFill>
              </w14:textFill>
            </w:rPr>
            <w:t>2.1.1评价目的</w:t>
          </w:r>
          <w:r>
            <w:rPr>
              <w:rFonts w:hint="eastAsia"/>
            </w:rPr>
            <w:tab/>
          </w:r>
          <w:r>
            <w:rPr>
              <w:rFonts w:hint="eastAsia"/>
            </w:rPr>
            <w:fldChar w:fldCharType="begin"/>
          </w:r>
          <w:r>
            <w:rPr>
              <w:rFonts w:hint="eastAsia"/>
            </w:rPr>
            <w:instrText xml:space="preserve"> </w:instrText>
          </w:r>
          <w:r>
            <w:instrText xml:space="preserve">PAGEREF _Toc221056314 \h</w:instrText>
          </w:r>
          <w:r>
            <w:rPr>
              <w:rFonts w:hint="eastAsia"/>
            </w:rPr>
            <w:instrText xml:space="preserve"> </w:instrText>
          </w:r>
          <w:r>
            <w:rPr>
              <w:rFonts w:hint="eastAsia"/>
            </w:rPr>
            <w:fldChar w:fldCharType="separate"/>
          </w:r>
          <w:r>
            <w:t>5</w:t>
          </w:r>
          <w:r>
            <w:rPr>
              <w:rFonts w:hint="eastAsia"/>
            </w:rPr>
            <w:fldChar w:fldCharType="end"/>
          </w:r>
          <w:r>
            <w:rPr>
              <w:rFonts w:hint="eastAsia"/>
            </w:rPr>
            <w:fldChar w:fldCharType="end"/>
          </w:r>
        </w:p>
        <w:p w14:paraId="5D7D07BE">
          <w:pPr>
            <w:pStyle w:val="18"/>
            <w:tabs>
              <w:tab w:val="right" w:leader="dot" w:pos="9060"/>
            </w:tabs>
            <w:ind w:left="960"/>
            <w:rPr>
              <w:rFonts w:hint="eastAsia" w:asciiTheme="minorHAnsi" w:hAnsiTheme="minorHAnsi" w:eastAsiaTheme="minorEastAsia"/>
              <w:sz w:val="22"/>
            </w:rPr>
          </w:pPr>
          <w:r>
            <w:fldChar w:fldCharType="begin"/>
          </w:r>
          <w:r>
            <w:instrText xml:space="preserve"> HYPERLINK \l "_Toc221056315" </w:instrText>
          </w:r>
          <w:r>
            <w:fldChar w:fldCharType="separate"/>
          </w:r>
          <w:r>
            <w:rPr>
              <w:rStyle w:val="41"/>
              <w:rFonts w:hint="eastAsia"/>
              <w:color w:val="000000" w:themeColor="text1"/>
              <w14:textFill>
                <w14:solidFill>
                  <w14:schemeClr w14:val="tx1"/>
                </w14:solidFill>
              </w14:textFill>
            </w:rPr>
            <w:t>2.1.2指导思想</w:t>
          </w:r>
          <w:r>
            <w:rPr>
              <w:rFonts w:hint="eastAsia"/>
            </w:rPr>
            <w:tab/>
          </w:r>
          <w:r>
            <w:rPr>
              <w:rFonts w:hint="eastAsia"/>
            </w:rPr>
            <w:fldChar w:fldCharType="begin"/>
          </w:r>
          <w:r>
            <w:rPr>
              <w:rFonts w:hint="eastAsia"/>
            </w:rPr>
            <w:instrText xml:space="preserve"> </w:instrText>
          </w:r>
          <w:r>
            <w:instrText xml:space="preserve">PAGEREF _Toc221056315 \h</w:instrText>
          </w:r>
          <w:r>
            <w:rPr>
              <w:rFonts w:hint="eastAsia"/>
            </w:rPr>
            <w:instrText xml:space="preserve"> </w:instrText>
          </w:r>
          <w:r>
            <w:rPr>
              <w:rFonts w:hint="eastAsia"/>
            </w:rPr>
            <w:fldChar w:fldCharType="separate"/>
          </w:r>
          <w:r>
            <w:t>5</w:t>
          </w:r>
          <w:r>
            <w:rPr>
              <w:rFonts w:hint="eastAsia"/>
            </w:rPr>
            <w:fldChar w:fldCharType="end"/>
          </w:r>
          <w:r>
            <w:rPr>
              <w:rFonts w:hint="eastAsia"/>
            </w:rPr>
            <w:fldChar w:fldCharType="end"/>
          </w:r>
        </w:p>
        <w:p w14:paraId="209EF0BF">
          <w:pPr>
            <w:pStyle w:val="31"/>
            <w:tabs>
              <w:tab w:val="right" w:leader="dot" w:pos="9060"/>
            </w:tabs>
            <w:ind w:left="480"/>
            <w:rPr>
              <w:rFonts w:hint="eastAsia" w:asciiTheme="minorHAnsi" w:hAnsiTheme="minorHAnsi" w:eastAsiaTheme="minorEastAsia"/>
              <w:sz w:val="22"/>
            </w:rPr>
          </w:pPr>
          <w:r>
            <w:fldChar w:fldCharType="begin"/>
          </w:r>
          <w:r>
            <w:instrText xml:space="preserve"> HYPERLINK \l "_Toc221056316" </w:instrText>
          </w:r>
          <w:r>
            <w:fldChar w:fldCharType="separate"/>
          </w:r>
          <w:r>
            <w:rPr>
              <w:rStyle w:val="41"/>
              <w:rFonts w:hint="eastAsia"/>
              <w:color w:val="000000" w:themeColor="text1"/>
              <w14:textFill>
                <w14:solidFill>
                  <w14:schemeClr w14:val="tx1"/>
                </w14:solidFill>
              </w14:textFill>
            </w:rPr>
            <w:t>2.2编制依据</w:t>
          </w:r>
          <w:r>
            <w:rPr>
              <w:rFonts w:hint="eastAsia"/>
            </w:rPr>
            <w:tab/>
          </w:r>
          <w:r>
            <w:rPr>
              <w:rFonts w:hint="eastAsia"/>
            </w:rPr>
            <w:fldChar w:fldCharType="begin"/>
          </w:r>
          <w:r>
            <w:rPr>
              <w:rFonts w:hint="eastAsia"/>
            </w:rPr>
            <w:instrText xml:space="preserve"> </w:instrText>
          </w:r>
          <w:r>
            <w:instrText xml:space="preserve">PAGEREF _Toc221056316 \h</w:instrText>
          </w:r>
          <w:r>
            <w:rPr>
              <w:rFonts w:hint="eastAsia"/>
            </w:rPr>
            <w:instrText xml:space="preserve"> </w:instrText>
          </w:r>
          <w:r>
            <w:rPr>
              <w:rFonts w:hint="eastAsia"/>
            </w:rPr>
            <w:fldChar w:fldCharType="separate"/>
          </w:r>
          <w:r>
            <w:t>5</w:t>
          </w:r>
          <w:r>
            <w:rPr>
              <w:rFonts w:hint="eastAsia"/>
            </w:rPr>
            <w:fldChar w:fldCharType="end"/>
          </w:r>
          <w:r>
            <w:rPr>
              <w:rFonts w:hint="eastAsia"/>
            </w:rPr>
            <w:fldChar w:fldCharType="end"/>
          </w:r>
        </w:p>
        <w:p w14:paraId="0C86985F">
          <w:pPr>
            <w:pStyle w:val="18"/>
            <w:tabs>
              <w:tab w:val="right" w:leader="dot" w:pos="9060"/>
            </w:tabs>
            <w:ind w:left="960"/>
            <w:rPr>
              <w:rFonts w:hint="eastAsia" w:asciiTheme="minorHAnsi" w:hAnsiTheme="minorHAnsi" w:eastAsiaTheme="minorEastAsia"/>
              <w:sz w:val="22"/>
            </w:rPr>
          </w:pPr>
          <w:r>
            <w:fldChar w:fldCharType="begin"/>
          </w:r>
          <w:r>
            <w:instrText xml:space="preserve"> HYPERLINK \l "_Toc221056317" </w:instrText>
          </w:r>
          <w:r>
            <w:fldChar w:fldCharType="separate"/>
          </w:r>
          <w:r>
            <w:rPr>
              <w:rStyle w:val="41"/>
              <w:rFonts w:hint="eastAsia"/>
              <w:color w:val="000000" w:themeColor="text1"/>
              <w14:textFill>
                <w14:solidFill>
                  <w14:schemeClr w14:val="tx1"/>
                </w14:solidFill>
              </w14:textFill>
            </w:rPr>
            <w:t>2.2.1国家法律、法规及环保政策</w:t>
          </w:r>
          <w:r>
            <w:rPr>
              <w:rFonts w:hint="eastAsia"/>
            </w:rPr>
            <w:tab/>
          </w:r>
          <w:r>
            <w:rPr>
              <w:rFonts w:hint="eastAsia"/>
            </w:rPr>
            <w:fldChar w:fldCharType="begin"/>
          </w:r>
          <w:r>
            <w:rPr>
              <w:rFonts w:hint="eastAsia"/>
            </w:rPr>
            <w:instrText xml:space="preserve"> </w:instrText>
          </w:r>
          <w:r>
            <w:instrText xml:space="preserve">PAGEREF _Toc221056317 \h</w:instrText>
          </w:r>
          <w:r>
            <w:rPr>
              <w:rFonts w:hint="eastAsia"/>
            </w:rPr>
            <w:instrText xml:space="preserve"> </w:instrText>
          </w:r>
          <w:r>
            <w:rPr>
              <w:rFonts w:hint="eastAsia"/>
            </w:rPr>
            <w:fldChar w:fldCharType="separate"/>
          </w:r>
          <w:r>
            <w:t>5</w:t>
          </w:r>
          <w:r>
            <w:rPr>
              <w:rFonts w:hint="eastAsia"/>
            </w:rPr>
            <w:fldChar w:fldCharType="end"/>
          </w:r>
          <w:r>
            <w:rPr>
              <w:rFonts w:hint="eastAsia"/>
            </w:rPr>
            <w:fldChar w:fldCharType="end"/>
          </w:r>
        </w:p>
        <w:p w14:paraId="229024D8">
          <w:pPr>
            <w:pStyle w:val="18"/>
            <w:tabs>
              <w:tab w:val="right" w:leader="dot" w:pos="9060"/>
            </w:tabs>
            <w:ind w:left="960"/>
            <w:rPr>
              <w:rFonts w:hint="eastAsia" w:asciiTheme="minorHAnsi" w:hAnsiTheme="minorHAnsi" w:eastAsiaTheme="minorEastAsia"/>
              <w:sz w:val="22"/>
            </w:rPr>
          </w:pPr>
          <w:r>
            <w:fldChar w:fldCharType="begin"/>
          </w:r>
          <w:r>
            <w:instrText xml:space="preserve"> HYPERLINK \l "_Toc221056318" </w:instrText>
          </w:r>
          <w:r>
            <w:fldChar w:fldCharType="separate"/>
          </w:r>
          <w:r>
            <w:rPr>
              <w:rStyle w:val="41"/>
              <w:rFonts w:hint="eastAsia"/>
              <w:color w:val="000000" w:themeColor="text1"/>
              <w14:textFill>
                <w14:solidFill>
                  <w14:schemeClr w14:val="tx1"/>
                </w14:solidFill>
              </w14:textFill>
            </w:rPr>
            <w:t>2.1.2地方法律法规及环保政策</w:t>
          </w:r>
          <w:r>
            <w:rPr>
              <w:rFonts w:hint="eastAsia"/>
            </w:rPr>
            <w:tab/>
          </w:r>
          <w:r>
            <w:rPr>
              <w:rFonts w:hint="eastAsia"/>
            </w:rPr>
            <w:fldChar w:fldCharType="begin"/>
          </w:r>
          <w:r>
            <w:rPr>
              <w:rFonts w:hint="eastAsia"/>
            </w:rPr>
            <w:instrText xml:space="preserve"> </w:instrText>
          </w:r>
          <w:r>
            <w:instrText xml:space="preserve">PAGEREF _Toc221056318 \h</w:instrText>
          </w:r>
          <w:r>
            <w:rPr>
              <w:rFonts w:hint="eastAsia"/>
            </w:rPr>
            <w:instrText xml:space="preserve"> </w:instrText>
          </w:r>
          <w:r>
            <w:rPr>
              <w:rFonts w:hint="eastAsia"/>
            </w:rPr>
            <w:fldChar w:fldCharType="separate"/>
          </w:r>
          <w:r>
            <w:t>7</w:t>
          </w:r>
          <w:r>
            <w:rPr>
              <w:rFonts w:hint="eastAsia"/>
            </w:rPr>
            <w:fldChar w:fldCharType="end"/>
          </w:r>
          <w:r>
            <w:rPr>
              <w:rFonts w:hint="eastAsia"/>
            </w:rPr>
            <w:fldChar w:fldCharType="end"/>
          </w:r>
        </w:p>
        <w:p w14:paraId="0EE22C04">
          <w:pPr>
            <w:pStyle w:val="18"/>
            <w:tabs>
              <w:tab w:val="right" w:leader="dot" w:pos="9060"/>
            </w:tabs>
            <w:ind w:left="960"/>
            <w:rPr>
              <w:rFonts w:hint="eastAsia" w:asciiTheme="minorHAnsi" w:hAnsiTheme="minorHAnsi" w:eastAsiaTheme="minorEastAsia"/>
              <w:sz w:val="22"/>
            </w:rPr>
          </w:pPr>
          <w:r>
            <w:fldChar w:fldCharType="begin"/>
          </w:r>
          <w:r>
            <w:instrText xml:space="preserve"> HYPERLINK \l "_Toc221056319" </w:instrText>
          </w:r>
          <w:r>
            <w:fldChar w:fldCharType="separate"/>
          </w:r>
          <w:r>
            <w:rPr>
              <w:rStyle w:val="41"/>
              <w:rFonts w:hint="eastAsia"/>
              <w:color w:val="000000" w:themeColor="text1"/>
              <w14:textFill>
                <w14:solidFill>
                  <w14:schemeClr w14:val="tx1"/>
                </w14:solidFill>
              </w14:textFill>
            </w:rPr>
            <w:t>2.2.3技术依据</w:t>
          </w:r>
          <w:r>
            <w:rPr>
              <w:rFonts w:hint="eastAsia"/>
            </w:rPr>
            <w:tab/>
          </w:r>
          <w:r>
            <w:rPr>
              <w:rFonts w:hint="eastAsia"/>
            </w:rPr>
            <w:fldChar w:fldCharType="begin"/>
          </w:r>
          <w:r>
            <w:rPr>
              <w:rFonts w:hint="eastAsia"/>
            </w:rPr>
            <w:instrText xml:space="preserve"> </w:instrText>
          </w:r>
          <w:r>
            <w:instrText xml:space="preserve">PAGEREF _Toc221056319 \h</w:instrText>
          </w:r>
          <w:r>
            <w:rPr>
              <w:rFonts w:hint="eastAsia"/>
            </w:rPr>
            <w:instrText xml:space="preserve"> </w:instrText>
          </w:r>
          <w:r>
            <w:rPr>
              <w:rFonts w:hint="eastAsia"/>
            </w:rPr>
            <w:fldChar w:fldCharType="separate"/>
          </w:r>
          <w:r>
            <w:t>8</w:t>
          </w:r>
          <w:r>
            <w:rPr>
              <w:rFonts w:hint="eastAsia"/>
            </w:rPr>
            <w:fldChar w:fldCharType="end"/>
          </w:r>
          <w:r>
            <w:rPr>
              <w:rFonts w:hint="eastAsia"/>
            </w:rPr>
            <w:fldChar w:fldCharType="end"/>
          </w:r>
        </w:p>
        <w:p w14:paraId="15BF5C1D">
          <w:pPr>
            <w:pStyle w:val="18"/>
            <w:tabs>
              <w:tab w:val="right" w:leader="dot" w:pos="9060"/>
            </w:tabs>
            <w:ind w:left="960"/>
            <w:rPr>
              <w:rFonts w:hint="eastAsia" w:asciiTheme="minorHAnsi" w:hAnsiTheme="minorHAnsi" w:eastAsiaTheme="minorEastAsia"/>
              <w:sz w:val="22"/>
            </w:rPr>
          </w:pPr>
          <w:r>
            <w:fldChar w:fldCharType="begin"/>
          </w:r>
          <w:r>
            <w:instrText xml:space="preserve"> HYPERLINK \l "_Toc221056320" </w:instrText>
          </w:r>
          <w:r>
            <w:fldChar w:fldCharType="separate"/>
          </w:r>
          <w:r>
            <w:rPr>
              <w:rStyle w:val="41"/>
              <w:rFonts w:hint="eastAsia"/>
              <w:color w:val="000000" w:themeColor="text1"/>
              <w14:textFill>
                <w14:solidFill>
                  <w14:schemeClr w14:val="tx1"/>
                </w14:solidFill>
              </w14:textFill>
            </w:rPr>
            <w:t>2.2.3相关技术资料及其他依据</w:t>
          </w:r>
          <w:r>
            <w:rPr>
              <w:rFonts w:hint="eastAsia"/>
            </w:rPr>
            <w:tab/>
          </w:r>
          <w:r>
            <w:rPr>
              <w:rFonts w:hint="eastAsia"/>
            </w:rPr>
            <w:fldChar w:fldCharType="begin"/>
          </w:r>
          <w:r>
            <w:rPr>
              <w:rFonts w:hint="eastAsia"/>
            </w:rPr>
            <w:instrText xml:space="preserve"> </w:instrText>
          </w:r>
          <w:r>
            <w:instrText xml:space="preserve">PAGEREF _Toc221056320 \h</w:instrText>
          </w:r>
          <w:r>
            <w:rPr>
              <w:rFonts w:hint="eastAsia"/>
            </w:rPr>
            <w:instrText xml:space="preserve"> </w:instrText>
          </w:r>
          <w:r>
            <w:rPr>
              <w:rFonts w:hint="eastAsia"/>
            </w:rPr>
            <w:fldChar w:fldCharType="separate"/>
          </w:r>
          <w:r>
            <w:t>9</w:t>
          </w:r>
          <w:r>
            <w:rPr>
              <w:rFonts w:hint="eastAsia"/>
            </w:rPr>
            <w:fldChar w:fldCharType="end"/>
          </w:r>
          <w:r>
            <w:rPr>
              <w:rFonts w:hint="eastAsia"/>
            </w:rPr>
            <w:fldChar w:fldCharType="end"/>
          </w:r>
        </w:p>
        <w:p w14:paraId="693D8306">
          <w:pPr>
            <w:pStyle w:val="31"/>
            <w:tabs>
              <w:tab w:val="right" w:leader="dot" w:pos="9060"/>
            </w:tabs>
            <w:ind w:left="480"/>
            <w:rPr>
              <w:rFonts w:hint="eastAsia" w:asciiTheme="minorHAnsi" w:hAnsiTheme="minorHAnsi" w:eastAsiaTheme="minorEastAsia"/>
              <w:sz w:val="22"/>
            </w:rPr>
          </w:pPr>
          <w:r>
            <w:fldChar w:fldCharType="begin"/>
          </w:r>
          <w:r>
            <w:instrText xml:space="preserve"> HYPERLINK \l "_Toc221056321" </w:instrText>
          </w:r>
          <w:r>
            <w:fldChar w:fldCharType="separate"/>
          </w:r>
          <w:r>
            <w:rPr>
              <w:rStyle w:val="41"/>
              <w:rFonts w:hint="eastAsia"/>
              <w:color w:val="000000" w:themeColor="text1"/>
              <w14:textFill>
                <w14:solidFill>
                  <w14:schemeClr w14:val="tx1"/>
                </w14:solidFill>
              </w14:textFill>
            </w:rPr>
            <w:t>2.3环境因素识别和评价因子筛选</w:t>
          </w:r>
          <w:r>
            <w:rPr>
              <w:rFonts w:hint="eastAsia"/>
            </w:rPr>
            <w:tab/>
          </w:r>
          <w:r>
            <w:rPr>
              <w:rFonts w:hint="eastAsia"/>
            </w:rPr>
            <w:fldChar w:fldCharType="begin"/>
          </w:r>
          <w:r>
            <w:rPr>
              <w:rFonts w:hint="eastAsia"/>
            </w:rPr>
            <w:instrText xml:space="preserve"> </w:instrText>
          </w:r>
          <w:r>
            <w:instrText xml:space="preserve">PAGEREF _Toc221056321 \h</w:instrText>
          </w:r>
          <w:r>
            <w:rPr>
              <w:rFonts w:hint="eastAsia"/>
            </w:rPr>
            <w:instrText xml:space="preserve"> </w:instrText>
          </w:r>
          <w:r>
            <w:rPr>
              <w:rFonts w:hint="eastAsia"/>
            </w:rPr>
            <w:fldChar w:fldCharType="separate"/>
          </w:r>
          <w:r>
            <w:t>9</w:t>
          </w:r>
          <w:r>
            <w:rPr>
              <w:rFonts w:hint="eastAsia"/>
            </w:rPr>
            <w:fldChar w:fldCharType="end"/>
          </w:r>
          <w:r>
            <w:rPr>
              <w:rFonts w:hint="eastAsia"/>
            </w:rPr>
            <w:fldChar w:fldCharType="end"/>
          </w:r>
        </w:p>
        <w:p w14:paraId="77D869BF">
          <w:pPr>
            <w:pStyle w:val="18"/>
            <w:tabs>
              <w:tab w:val="right" w:leader="dot" w:pos="9060"/>
            </w:tabs>
            <w:ind w:left="960"/>
            <w:rPr>
              <w:rFonts w:hint="eastAsia" w:asciiTheme="minorHAnsi" w:hAnsiTheme="minorHAnsi" w:eastAsiaTheme="minorEastAsia"/>
              <w:sz w:val="22"/>
            </w:rPr>
          </w:pPr>
          <w:r>
            <w:fldChar w:fldCharType="begin"/>
          </w:r>
          <w:r>
            <w:instrText xml:space="preserve"> HYPERLINK \l "_Toc221056322" </w:instrText>
          </w:r>
          <w:r>
            <w:fldChar w:fldCharType="separate"/>
          </w:r>
          <w:r>
            <w:rPr>
              <w:rStyle w:val="41"/>
              <w:rFonts w:hint="eastAsia"/>
              <w:color w:val="000000" w:themeColor="text1"/>
              <w14:textFill>
                <w14:solidFill>
                  <w14:schemeClr w14:val="tx1"/>
                </w14:solidFill>
              </w14:textFill>
            </w:rPr>
            <w:t>2.3.1环境因素识别</w:t>
          </w:r>
          <w:r>
            <w:rPr>
              <w:rFonts w:hint="eastAsia"/>
            </w:rPr>
            <w:tab/>
          </w:r>
          <w:r>
            <w:rPr>
              <w:rFonts w:hint="eastAsia"/>
            </w:rPr>
            <w:fldChar w:fldCharType="begin"/>
          </w:r>
          <w:r>
            <w:rPr>
              <w:rFonts w:hint="eastAsia"/>
            </w:rPr>
            <w:instrText xml:space="preserve"> </w:instrText>
          </w:r>
          <w:r>
            <w:instrText xml:space="preserve">PAGEREF _Toc221056322 \h</w:instrText>
          </w:r>
          <w:r>
            <w:rPr>
              <w:rFonts w:hint="eastAsia"/>
            </w:rPr>
            <w:instrText xml:space="preserve"> </w:instrText>
          </w:r>
          <w:r>
            <w:rPr>
              <w:rFonts w:hint="eastAsia"/>
            </w:rPr>
            <w:fldChar w:fldCharType="separate"/>
          </w:r>
          <w:r>
            <w:t>9</w:t>
          </w:r>
          <w:r>
            <w:rPr>
              <w:rFonts w:hint="eastAsia"/>
            </w:rPr>
            <w:fldChar w:fldCharType="end"/>
          </w:r>
          <w:r>
            <w:rPr>
              <w:rFonts w:hint="eastAsia"/>
            </w:rPr>
            <w:fldChar w:fldCharType="end"/>
          </w:r>
        </w:p>
        <w:p w14:paraId="445DCC28">
          <w:pPr>
            <w:pStyle w:val="18"/>
            <w:tabs>
              <w:tab w:val="right" w:leader="dot" w:pos="9060"/>
            </w:tabs>
            <w:ind w:left="960"/>
            <w:rPr>
              <w:rFonts w:hint="eastAsia" w:asciiTheme="minorHAnsi" w:hAnsiTheme="minorHAnsi" w:eastAsiaTheme="minorEastAsia"/>
              <w:sz w:val="22"/>
            </w:rPr>
          </w:pPr>
          <w:r>
            <w:fldChar w:fldCharType="begin"/>
          </w:r>
          <w:r>
            <w:instrText xml:space="preserve"> HYPERLINK \l "_Toc221056323" </w:instrText>
          </w:r>
          <w:r>
            <w:fldChar w:fldCharType="separate"/>
          </w:r>
          <w:r>
            <w:rPr>
              <w:rStyle w:val="41"/>
              <w:rFonts w:hint="eastAsia"/>
              <w:color w:val="000000" w:themeColor="text1"/>
              <w14:textFill>
                <w14:solidFill>
                  <w14:schemeClr w14:val="tx1"/>
                </w14:solidFill>
              </w14:textFill>
            </w:rPr>
            <w:t>2.3.2评价因子筛选</w:t>
          </w:r>
          <w:r>
            <w:rPr>
              <w:rFonts w:hint="eastAsia"/>
            </w:rPr>
            <w:tab/>
          </w:r>
          <w:r>
            <w:rPr>
              <w:rFonts w:hint="eastAsia"/>
            </w:rPr>
            <w:fldChar w:fldCharType="begin"/>
          </w:r>
          <w:r>
            <w:rPr>
              <w:rFonts w:hint="eastAsia"/>
            </w:rPr>
            <w:instrText xml:space="preserve"> </w:instrText>
          </w:r>
          <w:r>
            <w:instrText xml:space="preserve">PAGEREF _Toc221056323 \h</w:instrText>
          </w:r>
          <w:r>
            <w:rPr>
              <w:rFonts w:hint="eastAsia"/>
            </w:rPr>
            <w:instrText xml:space="preserve"> </w:instrText>
          </w:r>
          <w:r>
            <w:rPr>
              <w:rFonts w:hint="eastAsia"/>
            </w:rPr>
            <w:fldChar w:fldCharType="separate"/>
          </w:r>
          <w:r>
            <w:t>10</w:t>
          </w:r>
          <w:r>
            <w:rPr>
              <w:rFonts w:hint="eastAsia"/>
            </w:rPr>
            <w:fldChar w:fldCharType="end"/>
          </w:r>
          <w:r>
            <w:rPr>
              <w:rFonts w:hint="eastAsia"/>
            </w:rPr>
            <w:fldChar w:fldCharType="end"/>
          </w:r>
        </w:p>
        <w:p w14:paraId="5D6DF977">
          <w:pPr>
            <w:pStyle w:val="31"/>
            <w:tabs>
              <w:tab w:val="right" w:leader="dot" w:pos="9060"/>
            </w:tabs>
            <w:ind w:left="480"/>
            <w:rPr>
              <w:rFonts w:hint="eastAsia" w:asciiTheme="minorHAnsi" w:hAnsiTheme="minorHAnsi" w:eastAsiaTheme="minorEastAsia"/>
              <w:sz w:val="22"/>
            </w:rPr>
          </w:pPr>
          <w:r>
            <w:fldChar w:fldCharType="begin"/>
          </w:r>
          <w:r>
            <w:instrText xml:space="preserve"> HYPERLINK \l "_Toc221056324" </w:instrText>
          </w:r>
          <w:r>
            <w:fldChar w:fldCharType="separate"/>
          </w:r>
          <w:r>
            <w:rPr>
              <w:rStyle w:val="41"/>
              <w:rFonts w:hint="eastAsia"/>
              <w:color w:val="000000" w:themeColor="text1"/>
              <w14:textFill>
                <w14:solidFill>
                  <w14:schemeClr w14:val="tx1"/>
                </w14:solidFill>
              </w14:textFill>
            </w:rPr>
            <w:t>2.4评价工作等级和评价范围</w:t>
          </w:r>
          <w:r>
            <w:rPr>
              <w:rFonts w:hint="eastAsia"/>
            </w:rPr>
            <w:tab/>
          </w:r>
          <w:r>
            <w:rPr>
              <w:rFonts w:hint="eastAsia"/>
            </w:rPr>
            <w:fldChar w:fldCharType="begin"/>
          </w:r>
          <w:r>
            <w:rPr>
              <w:rFonts w:hint="eastAsia"/>
            </w:rPr>
            <w:instrText xml:space="preserve"> </w:instrText>
          </w:r>
          <w:r>
            <w:instrText xml:space="preserve">PAGEREF _Toc221056324 \h</w:instrText>
          </w:r>
          <w:r>
            <w:rPr>
              <w:rFonts w:hint="eastAsia"/>
            </w:rPr>
            <w:instrText xml:space="preserve"> </w:instrText>
          </w:r>
          <w:r>
            <w:rPr>
              <w:rFonts w:hint="eastAsia"/>
            </w:rPr>
            <w:fldChar w:fldCharType="separate"/>
          </w:r>
          <w:r>
            <w:t>11</w:t>
          </w:r>
          <w:r>
            <w:rPr>
              <w:rFonts w:hint="eastAsia"/>
            </w:rPr>
            <w:fldChar w:fldCharType="end"/>
          </w:r>
          <w:r>
            <w:rPr>
              <w:rFonts w:hint="eastAsia"/>
            </w:rPr>
            <w:fldChar w:fldCharType="end"/>
          </w:r>
        </w:p>
        <w:p w14:paraId="5F082963">
          <w:pPr>
            <w:pStyle w:val="18"/>
            <w:tabs>
              <w:tab w:val="right" w:leader="dot" w:pos="9060"/>
            </w:tabs>
            <w:ind w:left="960"/>
            <w:rPr>
              <w:rFonts w:hint="eastAsia" w:asciiTheme="minorHAnsi" w:hAnsiTheme="minorHAnsi" w:eastAsiaTheme="minorEastAsia"/>
              <w:sz w:val="22"/>
            </w:rPr>
          </w:pPr>
          <w:r>
            <w:fldChar w:fldCharType="begin"/>
          </w:r>
          <w:r>
            <w:instrText xml:space="preserve"> HYPERLINK \l "_Toc221056325" </w:instrText>
          </w:r>
          <w:r>
            <w:fldChar w:fldCharType="separate"/>
          </w:r>
          <w:r>
            <w:rPr>
              <w:rStyle w:val="41"/>
              <w:rFonts w:hint="eastAsia"/>
              <w:color w:val="000000" w:themeColor="text1"/>
              <w14:textFill>
                <w14:solidFill>
                  <w14:schemeClr w14:val="tx1"/>
                </w14:solidFill>
              </w14:textFill>
            </w:rPr>
            <w:t>2.4.1评价工作等级</w:t>
          </w:r>
          <w:r>
            <w:rPr>
              <w:rFonts w:hint="eastAsia"/>
            </w:rPr>
            <w:tab/>
          </w:r>
          <w:r>
            <w:rPr>
              <w:rFonts w:hint="eastAsia"/>
            </w:rPr>
            <w:fldChar w:fldCharType="begin"/>
          </w:r>
          <w:r>
            <w:rPr>
              <w:rFonts w:hint="eastAsia"/>
            </w:rPr>
            <w:instrText xml:space="preserve"> </w:instrText>
          </w:r>
          <w:r>
            <w:instrText xml:space="preserve">PAGEREF _Toc221056325 \h</w:instrText>
          </w:r>
          <w:r>
            <w:rPr>
              <w:rFonts w:hint="eastAsia"/>
            </w:rPr>
            <w:instrText xml:space="preserve"> </w:instrText>
          </w:r>
          <w:r>
            <w:rPr>
              <w:rFonts w:hint="eastAsia"/>
            </w:rPr>
            <w:fldChar w:fldCharType="separate"/>
          </w:r>
          <w:r>
            <w:t>11</w:t>
          </w:r>
          <w:r>
            <w:rPr>
              <w:rFonts w:hint="eastAsia"/>
            </w:rPr>
            <w:fldChar w:fldCharType="end"/>
          </w:r>
          <w:r>
            <w:rPr>
              <w:rFonts w:hint="eastAsia"/>
            </w:rPr>
            <w:fldChar w:fldCharType="end"/>
          </w:r>
        </w:p>
        <w:p w14:paraId="5728AF07">
          <w:pPr>
            <w:pStyle w:val="18"/>
            <w:tabs>
              <w:tab w:val="right" w:leader="dot" w:pos="9060"/>
            </w:tabs>
            <w:ind w:left="960"/>
            <w:rPr>
              <w:rFonts w:hint="eastAsia" w:asciiTheme="minorHAnsi" w:hAnsiTheme="minorHAnsi" w:eastAsiaTheme="minorEastAsia"/>
              <w:sz w:val="22"/>
            </w:rPr>
          </w:pPr>
          <w:r>
            <w:fldChar w:fldCharType="begin"/>
          </w:r>
          <w:r>
            <w:instrText xml:space="preserve"> HYPERLINK \l "_Toc221056326" </w:instrText>
          </w:r>
          <w:r>
            <w:fldChar w:fldCharType="separate"/>
          </w:r>
          <w:r>
            <w:rPr>
              <w:rStyle w:val="41"/>
              <w:rFonts w:hint="eastAsia"/>
              <w:color w:val="000000" w:themeColor="text1"/>
              <w14:textFill>
                <w14:solidFill>
                  <w14:schemeClr w14:val="tx1"/>
                </w14:solidFill>
              </w14:textFill>
            </w:rPr>
            <w:t>2.4.2评价范围</w:t>
          </w:r>
          <w:r>
            <w:rPr>
              <w:rFonts w:hint="eastAsia"/>
            </w:rPr>
            <w:tab/>
          </w:r>
          <w:r>
            <w:rPr>
              <w:rFonts w:hint="eastAsia"/>
            </w:rPr>
            <w:fldChar w:fldCharType="begin"/>
          </w:r>
          <w:r>
            <w:rPr>
              <w:rFonts w:hint="eastAsia"/>
            </w:rPr>
            <w:instrText xml:space="preserve"> </w:instrText>
          </w:r>
          <w:r>
            <w:instrText xml:space="preserve">PAGEREF _Toc221056326 \h</w:instrText>
          </w:r>
          <w:r>
            <w:rPr>
              <w:rFonts w:hint="eastAsia"/>
            </w:rPr>
            <w:instrText xml:space="preserve"> </w:instrText>
          </w:r>
          <w:r>
            <w:rPr>
              <w:rFonts w:hint="eastAsia"/>
            </w:rPr>
            <w:fldChar w:fldCharType="separate"/>
          </w:r>
          <w:r>
            <w:t>15</w:t>
          </w:r>
          <w:r>
            <w:rPr>
              <w:rFonts w:hint="eastAsia"/>
            </w:rPr>
            <w:fldChar w:fldCharType="end"/>
          </w:r>
          <w:r>
            <w:rPr>
              <w:rFonts w:hint="eastAsia"/>
            </w:rPr>
            <w:fldChar w:fldCharType="end"/>
          </w:r>
        </w:p>
        <w:p w14:paraId="4ECF873E">
          <w:pPr>
            <w:pStyle w:val="31"/>
            <w:tabs>
              <w:tab w:val="right" w:leader="dot" w:pos="9060"/>
            </w:tabs>
            <w:ind w:left="480"/>
            <w:rPr>
              <w:rFonts w:hint="eastAsia" w:asciiTheme="minorHAnsi" w:hAnsiTheme="minorHAnsi" w:eastAsiaTheme="minorEastAsia"/>
              <w:sz w:val="22"/>
            </w:rPr>
          </w:pPr>
          <w:r>
            <w:fldChar w:fldCharType="begin"/>
          </w:r>
          <w:r>
            <w:instrText xml:space="preserve"> HYPERLINK \l "_Toc221056327" </w:instrText>
          </w:r>
          <w:r>
            <w:fldChar w:fldCharType="separate"/>
          </w:r>
          <w:r>
            <w:rPr>
              <w:rStyle w:val="41"/>
              <w:rFonts w:hint="eastAsia"/>
              <w:color w:val="000000" w:themeColor="text1"/>
              <w14:textFill>
                <w14:solidFill>
                  <w14:schemeClr w14:val="tx1"/>
                </w14:solidFill>
              </w14:textFill>
            </w:rPr>
            <w:t>2.5评价标准</w:t>
          </w:r>
          <w:r>
            <w:rPr>
              <w:rFonts w:hint="eastAsia"/>
            </w:rPr>
            <w:tab/>
          </w:r>
          <w:r>
            <w:rPr>
              <w:rFonts w:hint="eastAsia"/>
            </w:rPr>
            <w:fldChar w:fldCharType="begin"/>
          </w:r>
          <w:r>
            <w:rPr>
              <w:rFonts w:hint="eastAsia"/>
            </w:rPr>
            <w:instrText xml:space="preserve"> </w:instrText>
          </w:r>
          <w:r>
            <w:instrText xml:space="preserve">PAGEREF _Toc221056327 \h</w:instrText>
          </w:r>
          <w:r>
            <w:rPr>
              <w:rFonts w:hint="eastAsia"/>
            </w:rPr>
            <w:instrText xml:space="preserve"> </w:instrText>
          </w:r>
          <w:r>
            <w:rPr>
              <w:rFonts w:hint="eastAsia"/>
            </w:rPr>
            <w:fldChar w:fldCharType="separate"/>
          </w:r>
          <w:r>
            <w:t>15</w:t>
          </w:r>
          <w:r>
            <w:rPr>
              <w:rFonts w:hint="eastAsia"/>
            </w:rPr>
            <w:fldChar w:fldCharType="end"/>
          </w:r>
          <w:r>
            <w:rPr>
              <w:rFonts w:hint="eastAsia"/>
            </w:rPr>
            <w:fldChar w:fldCharType="end"/>
          </w:r>
        </w:p>
        <w:p w14:paraId="0A843E5A">
          <w:pPr>
            <w:pStyle w:val="18"/>
            <w:tabs>
              <w:tab w:val="right" w:leader="dot" w:pos="9060"/>
            </w:tabs>
            <w:ind w:left="960"/>
            <w:rPr>
              <w:rFonts w:hint="eastAsia" w:asciiTheme="minorHAnsi" w:hAnsiTheme="minorHAnsi" w:eastAsiaTheme="minorEastAsia"/>
              <w:sz w:val="22"/>
            </w:rPr>
          </w:pPr>
          <w:r>
            <w:fldChar w:fldCharType="begin"/>
          </w:r>
          <w:r>
            <w:instrText xml:space="preserve"> HYPERLINK \l "_Toc221056328" </w:instrText>
          </w:r>
          <w:r>
            <w:fldChar w:fldCharType="separate"/>
          </w:r>
          <w:r>
            <w:rPr>
              <w:rStyle w:val="41"/>
              <w:rFonts w:hint="eastAsia"/>
              <w:color w:val="000000" w:themeColor="text1"/>
              <w14:textFill>
                <w14:solidFill>
                  <w14:schemeClr w14:val="tx1"/>
                </w14:solidFill>
              </w14:textFill>
            </w:rPr>
            <w:t>2.5.1环境质量标准</w:t>
          </w:r>
          <w:r>
            <w:rPr>
              <w:rFonts w:hint="eastAsia"/>
            </w:rPr>
            <w:tab/>
          </w:r>
          <w:r>
            <w:rPr>
              <w:rFonts w:hint="eastAsia"/>
            </w:rPr>
            <w:fldChar w:fldCharType="begin"/>
          </w:r>
          <w:r>
            <w:rPr>
              <w:rFonts w:hint="eastAsia"/>
            </w:rPr>
            <w:instrText xml:space="preserve"> </w:instrText>
          </w:r>
          <w:r>
            <w:instrText xml:space="preserve">PAGEREF _Toc221056328 \h</w:instrText>
          </w:r>
          <w:r>
            <w:rPr>
              <w:rFonts w:hint="eastAsia"/>
            </w:rPr>
            <w:instrText xml:space="preserve"> </w:instrText>
          </w:r>
          <w:r>
            <w:rPr>
              <w:rFonts w:hint="eastAsia"/>
            </w:rPr>
            <w:fldChar w:fldCharType="separate"/>
          </w:r>
          <w:r>
            <w:t>15</w:t>
          </w:r>
          <w:r>
            <w:rPr>
              <w:rFonts w:hint="eastAsia"/>
            </w:rPr>
            <w:fldChar w:fldCharType="end"/>
          </w:r>
          <w:r>
            <w:rPr>
              <w:rFonts w:hint="eastAsia"/>
            </w:rPr>
            <w:fldChar w:fldCharType="end"/>
          </w:r>
        </w:p>
        <w:p w14:paraId="0E58BA98">
          <w:pPr>
            <w:pStyle w:val="18"/>
            <w:tabs>
              <w:tab w:val="right" w:leader="dot" w:pos="9060"/>
            </w:tabs>
            <w:ind w:left="960"/>
            <w:rPr>
              <w:rFonts w:hint="eastAsia" w:asciiTheme="minorHAnsi" w:hAnsiTheme="minorHAnsi" w:eastAsiaTheme="minorEastAsia"/>
              <w:sz w:val="22"/>
            </w:rPr>
          </w:pPr>
          <w:r>
            <w:fldChar w:fldCharType="begin"/>
          </w:r>
          <w:r>
            <w:instrText xml:space="preserve"> HYPERLINK \l "_Toc221056329" </w:instrText>
          </w:r>
          <w:r>
            <w:fldChar w:fldCharType="separate"/>
          </w:r>
          <w:r>
            <w:rPr>
              <w:rStyle w:val="41"/>
              <w:rFonts w:hint="eastAsia"/>
              <w:color w:val="000000" w:themeColor="text1"/>
              <w14:textFill>
                <w14:solidFill>
                  <w14:schemeClr w14:val="tx1"/>
                </w14:solidFill>
              </w14:textFill>
            </w:rPr>
            <w:t>2.5.2污染物排放标准</w:t>
          </w:r>
          <w:r>
            <w:rPr>
              <w:rFonts w:hint="eastAsia"/>
            </w:rPr>
            <w:tab/>
          </w:r>
          <w:r>
            <w:rPr>
              <w:rFonts w:hint="eastAsia"/>
            </w:rPr>
            <w:fldChar w:fldCharType="begin"/>
          </w:r>
          <w:r>
            <w:rPr>
              <w:rFonts w:hint="eastAsia"/>
            </w:rPr>
            <w:instrText xml:space="preserve"> </w:instrText>
          </w:r>
          <w:r>
            <w:instrText xml:space="preserve">PAGEREF _Toc221056329 \h</w:instrText>
          </w:r>
          <w:r>
            <w:rPr>
              <w:rFonts w:hint="eastAsia"/>
            </w:rPr>
            <w:instrText xml:space="preserve"> </w:instrText>
          </w:r>
          <w:r>
            <w:rPr>
              <w:rFonts w:hint="eastAsia"/>
            </w:rPr>
            <w:fldChar w:fldCharType="separate"/>
          </w:r>
          <w:r>
            <w:t>19</w:t>
          </w:r>
          <w:r>
            <w:rPr>
              <w:rFonts w:hint="eastAsia"/>
            </w:rPr>
            <w:fldChar w:fldCharType="end"/>
          </w:r>
          <w:r>
            <w:rPr>
              <w:rFonts w:hint="eastAsia"/>
            </w:rPr>
            <w:fldChar w:fldCharType="end"/>
          </w:r>
        </w:p>
        <w:p w14:paraId="7CFB2006">
          <w:pPr>
            <w:pStyle w:val="31"/>
            <w:tabs>
              <w:tab w:val="right" w:leader="dot" w:pos="9060"/>
            </w:tabs>
            <w:ind w:left="480"/>
            <w:rPr>
              <w:rFonts w:hint="eastAsia" w:asciiTheme="minorHAnsi" w:hAnsiTheme="minorHAnsi" w:eastAsiaTheme="minorEastAsia"/>
              <w:sz w:val="22"/>
            </w:rPr>
          </w:pPr>
          <w:r>
            <w:fldChar w:fldCharType="begin"/>
          </w:r>
          <w:r>
            <w:instrText xml:space="preserve"> HYPERLINK \l "_Toc221056330" </w:instrText>
          </w:r>
          <w:r>
            <w:fldChar w:fldCharType="separate"/>
          </w:r>
          <w:r>
            <w:rPr>
              <w:rStyle w:val="41"/>
              <w:rFonts w:hint="eastAsia"/>
              <w:color w:val="000000" w:themeColor="text1"/>
              <w14:textFill>
                <w14:solidFill>
                  <w14:schemeClr w14:val="tx1"/>
                </w14:solidFill>
              </w14:textFill>
            </w:rPr>
            <w:t>2.6环境保护目标</w:t>
          </w:r>
          <w:r>
            <w:rPr>
              <w:rFonts w:hint="eastAsia"/>
            </w:rPr>
            <w:tab/>
          </w:r>
          <w:r>
            <w:rPr>
              <w:rFonts w:hint="eastAsia"/>
            </w:rPr>
            <w:fldChar w:fldCharType="begin"/>
          </w:r>
          <w:r>
            <w:rPr>
              <w:rFonts w:hint="eastAsia"/>
            </w:rPr>
            <w:instrText xml:space="preserve"> </w:instrText>
          </w:r>
          <w:r>
            <w:instrText xml:space="preserve">PAGEREF _Toc221056330 \h</w:instrText>
          </w:r>
          <w:r>
            <w:rPr>
              <w:rFonts w:hint="eastAsia"/>
            </w:rPr>
            <w:instrText xml:space="preserve"> </w:instrText>
          </w:r>
          <w:r>
            <w:rPr>
              <w:rFonts w:hint="eastAsia"/>
            </w:rPr>
            <w:fldChar w:fldCharType="separate"/>
          </w:r>
          <w:r>
            <w:t>21</w:t>
          </w:r>
          <w:r>
            <w:rPr>
              <w:rFonts w:hint="eastAsia"/>
            </w:rPr>
            <w:fldChar w:fldCharType="end"/>
          </w:r>
          <w:r>
            <w:rPr>
              <w:rFonts w:hint="eastAsia"/>
            </w:rPr>
            <w:fldChar w:fldCharType="end"/>
          </w:r>
        </w:p>
        <w:p w14:paraId="490878F8">
          <w:pPr>
            <w:pStyle w:val="31"/>
            <w:tabs>
              <w:tab w:val="right" w:leader="dot" w:pos="9060"/>
            </w:tabs>
            <w:ind w:left="480"/>
            <w:rPr>
              <w:rFonts w:hint="eastAsia" w:asciiTheme="minorHAnsi" w:hAnsiTheme="minorHAnsi" w:eastAsiaTheme="minorEastAsia"/>
              <w:sz w:val="22"/>
            </w:rPr>
          </w:pPr>
          <w:r>
            <w:fldChar w:fldCharType="begin"/>
          </w:r>
          <w:r>
            <w:instrText xml:space="preserve"> HYPERLINK \l "_Toc221056331" </w:instrText>
          </w:r>
          <w:r>
            <w:fldChar w:fldCharType="separate"/>
          </w:r>
          <w:r>
            <w:rPr>
              <w:rStyle w:val="41"/>
              <w:rFonts w:hint="eastAsia"/>
              <w:color w:val="000000" w:themeColor="text1"/>
              <w14:textFill>
                <w14:solidFill>
                  <w14:schemeClr w14:val="tx1"/>
                </w14:solidFill>
              </w14:textFill>
            </w:rPr>
            <w:t>2.7环境相关规划分析</w:t>
          </w:r>
          <w:r>
            <w:rPr>
              <w:rFonts w:hint="eastAsia"/>
            </w:rPr>
            <w:tab/>
          </w:r>
          <w:r>
            <w:rPr>
              <w:rFonts w:hint="eastAsia"/>
            </w:rPr>
            <w:fldChar w:fldCharType="begin"/>
          </w:r>
          <w:r>
            <w:rPr>
              <w:rFonts w:hint="eastAsia"/>
            </w:rPr>
            <w:instrText xml:space="preserve"> </w:instrText>
          </w:r>
          <w:r>
            <w:instrText xml:space="preserve">PAGEREF _Toc221056331 \h</w:instrText>
          </w:r>
          <w:r>
            <w:rPr>
              <w:rFonts w:hint="eastAsia"/>
            </w:rPr>
            <w:instrText xml:space="preserve"> </w:instrText>
          </w:r>
          <w:r>
            <w:rPr>
              <w:rFonts w:hint="eastAsia"/>
            </w:rPr>
            <w:fldChar w:fldCharType="separate"/>
          </w:r>
          <w:r>
            <w:t>25</w:t>
          </w:r>
          <w:r>
            <w:rPr>
              <w:rFonts w:hint="eastAsia"/>
            </w:rPr>
            <w:fldChar w:fldCharType="end"/>
          </w:r>
          <w:r>
            <w:rPr>
              <w:rFonts w:hint="eastAsia"/>
            </w:rPr>
            <w:fldChar w:fldCharType="end"/>
          </w:r>
        </w:p>
        <w:p w14:paraId="6515A66C">
          <w:pPr>
            <w:pStyle w:val="18"/>
            <w:tabs>
              <w:tab w:val="right" w:leader="dot" w:pos="9060"/>
            </w:tabs>
            <w:ind w:left="960"/>
            <w:rPr>
              <w:rFonts w:hint="eastAsia" w:asciiTheme="minorHAnsi" w:hAnsiTheme="minorHAnsi" w:eastAsiaTheme="minorEastAsia"/>
              <w:sz w:val="22"/>
            </w:rPr>
          </w:pPr>
          <w:r>
            <w:fldChar w:fldCharType="begin"/>
          </w:r>
          <w:r>
            <w:instrText xml:space="preserve"> HYPERLINK \l "_Toc221056332" </w:instrText>
          </w:r>
          <w:r>
            <w:fldChar w:fldCharType="separate"/>
          </w:r>
          <w:r>
            <w:rPr>
              <w:rStyle w:val="41"/>
              <w:rFonts w:hint="eastAsia"/>
              <w:color w:val="000000" w:themeColor="text1"/>
              <w14:textFill>
                <w14:solidFill>
                  <w14:schemeClr w14:val="tx1"/>
                </w14:solidFill>
              </w14:textFill>
            </w:rPr>
            <w:t>2.7.1产业政策分析</w:t>
          </w:r>
          <w:r>
            <w:rPr>
              <w:rFonts w:hint="eastAsia"/>
            </w:rPr>
            <w:tab/>
          </w:r>
          <w:r>
            <w:rPr>
              <w:rFonts w:hint="eastAsia"/>
            </w:rPr>
            <w:fldChar w:fldCharType="begin"/>
          </w:r>
          <w:r>
            <w:rPr>
              <w:rFonts w:hint="eastAsia"/>
            </w:rPr>
            <w:instrText xml:space="preserve"> </w:instrText>
          </w:r>
          <w:r>
            <w:instrText xml:space="preserve">PAGEREF _Toc221056332 \h</w:instrText>
          </w:r>
          <w:r>
            <w:rPr>
              <w:rFonts w:hint="eastAsia"/>
            </w:rPr>
            <w:instrText xml:space="preserve"> </w:instrText>
          </w:r>
          <w:r>
            <w:rPr>
              <w:rFonts w:hint="eastAsia"/>
            </w:rPr>
            <w:fldChar w:fldCharType="separate"/>
          </w:r>
          <w:r>
            <w:t>25</w:t>
          </w:r>
          <w:r>
            <w:rPr>
              <w:rFonts w:hint="eastAsia"/>
            </w:rPr>
            <w:fldChar w:fldCharType="end"/>
          </w:r>
          <w:r>
            <w:rPr>
              <w:rFonts w:hint="eastAsia"/>
            </w:rPr>
            <w:fldChar w:fldCharType="end"/>
          </w:r>
        </w:p>
        <w:p w14:paraId="0A9E5F65">
          <w:pPr>
            <w:pStyle w:val="18"/>
            <w:tabs>
              <w:tab w:val="right" w:leader="dot" w:pos="9060"/>
            </w:tabs>
            <w:ind w:left="960"/>
            <w:rPr>
              <w:rFonts w:hint="eastAsia" w:asciiTheme="minorHAnsi" w:hAnsiTheme="minorHAnsi" w:eastAsiaTheme="minorEastAsia"/>
              <w:sz w:val="22"/>
            </w:rPr>
          </w:pPr>
          <w:r>
            <w:fldChar w:fldCharType="begin"/>
          </w:r>
          <w:r>
            <w:instrText xml:space="preserve"> HYPERLINK \l "_Toc221056333" </w:instrText>
          </w:r>
          <w:r>
            <w:fldChar w:fldCharType="separate"/>
          </w:r>
          <w:r>
            <w:rPr>
              <w:rStyle w:val="41"/>
              <w:rFonts w:hint="eastAsia"/>
              <w:color w:val="000000" w:themeColor="text1"/>
              <w14:textFill>
                <w14:solidFill>
                  <w14:schemeClr w14:val="tx1"/>
                </w14:solidFill>
              </w14:textFill>
            </w:rPr>
            <w:t>2.7.2与安徽蚌埠淮上经济开发区规划符合性分析</w:t>
          </w:r>
          <w:r>
            <w:rPr>
              <w:rFonts w:hint="eastAsia"/>
            </w:rPr>
            <w:tab/>
          </w:r>
          <w:r>
            <w:rPr>
              <w:rFonts w:hint="eastAsia"/>
            </w:rPr>
            <w:fldChar w:fldCharType="begin"/>
          </w:r>
          <w:r>
            <w:rPr>
              <w:rFonts w:hint="eastAsia"/>
            </w:rPr>
            <w:instrText xml:space="preserve"> </w:instrText>
          </w:r>
          <w:r>
            <w:instrText xml:space="preserve">PAGEREF _Toc221056333 \h</w:instrText>
          </w:r>
          <w:r>
            <w:rPr>
              <w:rFonts w:hint="eastAsia"/>
            </w:rPr>
            <w:instrText xml:space="preserve"> </w:instrText>
          </w:r>
          <w:r>
            <w:rPr>
              <w:rFonts w:hint="eastAsia"/>
            </w:rPr>
            <w:fldChar w:fldCharType="separate"/>
          </w:r>
          <w:r>
            <w:t>25</w:t>
          </w:r>
          <w:r>
            <w:rPr>
              <w:rFonts w:hint="eastAsia"/>
            </w:rPr>
            <w:fldChar w:fldCharType="end"/>
          </w:r>
          <w:r>
            <w:rPr>
              <w:rFonts w:hint="eastAsia"/>
            </w:rPr>
            <w:fldChar w:fldCharType="end"/>
          </w:r>
        </w:p>
        <w:p w14:paraId="78BE5737">
          <w:pPr>
            <w:pStyle w:val="18"/>
            <w:tabs>
              <w:tab w:val="right" w:leader="dot" w:pos="9060"/>
            </w:tabs>
            <w:ind w:left="960"/>
            <w:rPr>
              <w:rFonts w:hint="eastAsia" w:asciiTheme="minorHAnsi" w:hAnsiTheme="minorHAnsi" w:eastAsiaTheme="minorEastAsia"/>
              <w:sz w:val="22"/>
            </w:rPr>
          </w:pPr>
          <w:r>
            <w:fldChar w:fldCharType="begin"/>
          </w:r>
          <w:r>
            <w:instrText xml:space="preserve"> HYPERLINK \l "_Toc221056334" </w:instrText>
          </w:r>
          <w:r>
            <w:fldChar w:fldCharType="separate"/>
          </w:r>
          <w:r>
            <w:rPr>
              <w:rStyle w:val="41"/>
              <w:rFonts w:hint="eastAsia"/>
              <w:color w:val="000000" w:themeColor="text1"/>
              <w14:textFill>
                <w14:solidFill>
                  <w14:schemeClr w14:val="tx1"/>
                </w14:solidFill>
              </w14:textFill>
            </w:rPr>
            <w:t>2.7.3生态环境分区管控符合性分析</w:t>
          </w:r>
          <w:r>
            <w:rPr>
              <w:rFonts w:hint="eastAsia"/>
            </w:rPr>
            <w:tab/>
          </w:r>
          <w:r>
            <w:rPr>
              <w:rFonts w:hint="eastAsia"/>
            </w:rPr>
            <w:fldChar w:fldCharType="begin"/>
          </w:r>
          <w:r>
            <w:rPr>
              <w:rFonts w:hint="eastAsia"/>
            </w:rPr>
            <w:instrText xml:space="preserve"> </w:instrText>
          </w:r>
          <w:r>
            <w:instrText xml:space="preserve">PAGEREF _Toc221056334 \h</w:instrText>
          </w:r>
          <w:r>
            <w:rPr>
              <w:rFonts w:hint="eastAsia"/>
            </w:rPr>
            <w:instrText xml:space="preserve"> </w:instrText>
          </w:r>
          <w:r>
            <w:rPr>
              <w:rFonts w:hint="eastAsia"/>
            </w:rPr>
            <w:fldChar w:fldCharType="separate"/>
          </w:r>
          <w:r>
            <w:t>26</w:t>
          </w:r>
          <w:r>
            <w:rPr>
              <w:rFonts w:hint="eastAsia"/>
            </w:rPr>
            <w:fldChar w:fldCharType="end"/>
          </w:r>
          <w:r>
            <w:rPr>
              <w:rFonts w:hint="eastAsia"/>
            </w:rPr>
            <w:fldChar w:fldCharType="end"/>
          </w:r>
        </w:p>
        <w:p w14:paraId="3924DBA8">
          <w:pPr>
            <w:pStyle w:val="18"/>
            <w:tabs>
              <w:tab w:val="right" w:leader="dot" w:pos="9060"/>
            </w:tabs>
            <w:ind w:left="960"/>
            <w:rPr>
              <w:rFonts w:hint="eastAsia" w:asciiTheme="minorHAnsi" w:hAnsiTheme="minorHAnsi" w:eastAsiaTheme="minorEastAsia"/>
              <w:sz w:val="22"/>
            </w:rPr>
          </w:pPr>
          <w:r>
            <w:fldChar w:fldCharType="begin"/>
          </w:r>
          <w:r>
            <w:instrText xml:space="preserve"> HYPERLINK \l "_Toc221056335" </w:instrText>
          </w:r>
          <w:r>
            <w:fldChar w:fldCharType="separate"/>
          </w:r>
          <w:r>
            <w:rPr>
              <w:rStyle w:val="41"/>
              <w:rFonts w:hint="eastAsia"/>
              <w:color w:val="000000" w:themeColor="text1"/>
              <w14:textFill>
                <w14:solidFill>
                  <w14:schemeClr w14:val="tx1"/>
                </w14:solidFill>
              </w14:textFill>
            </w:rPr>
            <w:t>2.7.4项目与规划环评及审查意见符合性分析</w:t>
          </w:r>
          <w:r>
            <w:rPr>
              <w:rFonts w:hint="eastAsia"/>
            </w:rPr>
            <w:tab/>
          </w:r>
          <w:r>
            <w:rPr>
              <w:rFonts w:hint="eastAsia"/>
            </w:rPr>
            <w:fldChar w:fldCharType="begin"/>
          </w:r>
          <w:r>
            <w:rPr>
              <w:rFonts w:hint="eastAsia"/>
            </w:rPr>
            <w:instrText xml:space="preserve"> </w:instrText>
          </w:r>
          <w:r>
            <w:instrText xml:space="preserve">PAGEREF _Toc221056335 \h</w:instrText>
          </w:r>
          <w:r>
            <w:rPr>
              <w:rFonts w:hint="eastAsia"/>
            </w:rPr>
            <w:instrText xml:space="preserve"> </w:instrText>
          </w:r>
          <w:r>
            <w:rPr>
              <w:rFonts w:hint="eastAsia"/>
            </w:rPr>
            <w:fldChar w:fldCharType="separate"/>
          </w:r>
          <w:r>
            <w:t>37</w:t>
          </w:r>
          <w:r>
            <w:rPr>
              <w:rFonts w:hint="eastAsia"/>
            </w:rPr>
            <w:fldChar w:fldCharType="end"/>
          </w:r>
          <w:r>
            <w:rPr>
              <w:rFonts w:hint="eastAsia"/>
            </w:rPr>
            <w:fldChar w:fldCharType="end"/>
          </w:r>
        </w:p>
        <w:p w14:paraId="560B8D7A">
          <w:pPr>
            <w:pStyle w:val="18"/>
            <w:tabs>
              <w:tab w:val="right" w:leader="dot" w:pos="9060"/>
            </w:tabs>
            <w:ind w:left="960"/>
            <w:rPr>
              <w:rFonts w:hint="eastAsia" w:asciiTheme="minorHAnsi" w:hAnsiTheme="minorHAnsi" w:eastAsiaTheme="minorEastAsia"/>
              <w:sz w:val="22"/>
            </w:rPr>
          </w:pPr>
          <w:r>
            <w:fldChar w:fldCharType="begin"/>
          </w:r>
          <w:r>
            <w:instrText xml:space="preserve"> HYPERLINK \l "_Toc221056336" </w:instrText>
          </w:r>
          <w:r>
            <w:fldChar w:fldCharType="separate"/>
          </w:r>
          <w:r>
            <w:rPr>
              <w:rStyle w:val="41"/>
              <w:rFonts w:hint="eastAsia"/>
              <w:color w:val="000000" w:themeColor="text1"/>
              <w14:textFill>
                <w14:solidFill>
                  <w14:schemeClr w14:val="tx1"/>
                </w14:solidFill>
              </w14:textFill>
            </w:rPr>
            <w:t>2.7.5其他相关规划符合性分析</w:t>
          </w:r>
          <w:r>
            <w:rPr>
              <w:rFonts w:hint="eastAsia"/>
            </w:rPr>
            <w:tab/>
          </w:r>
          <w:r>
            <w:rPr>
              <w:rFonts w:hint="eastAsia"/>
            </w:rPr>
            <w:fldChar w:fldCharType="begin"/>
          </w:r>
          <w:r>
            <w:rPr>
              <w:rFonts w:hint="eastAsia"/>
            </w:rPr>
            <w:instrText xml:space="preserve"> </w:instrText>
          </w:r>
          <w:r>
            <w:instrText xml:space="preserve">PAGEREF _Toc221056336 \h</w:instrText>
          </w:r>
          <w:r>
            <w:rPr>
              <w:rFonts w:hint="eastAsia"/>
            </w:rPr>
            <w:instrText xml:space="preserve"> </w:instrText>
          </w:r>
          <w:r>
            <w:rPr>
              <w:rFonts w:hint="eastAsia"/>
            </w:rPr>
            <w:fldChar w:fldCharType="separate"/>
          </w:r>
          <w:r>
            <w:t>39</w:t>
          </w:r>
          <w:r>
            <w:rPr>
              <w:rFonts w:hint="eastAsia"/>
            </w:rPr>
            <w:fldChar w:fldCharType="end"/>
          </w:r>
          <w:r>
            <w:rPr>
              <w:rFonts w:hint="eastAsia"/>
            </w:rPr>
            <w:fldChar w:fldCharType="end"/>
          </w:r>
        </w:p>
        <w:p w14:paraId="143F6C2C">
          <w:pPr>
            <w:pStyle w:val="31"/>
            <w:tabs>
              <w:tab w:val="right" w:leader="dot" w:pos="9060"/>
            </w:tabs>
            <w:ind w:left="480"/>
            <w:rPr>
              <w:rFonts w:hint="eastAsia" w:asciiTheme="minorHAnsi" w:hAnsiTheme="minorHAnsi" w:eastAsiaTheme="minorEastAsia"/>
              <w:sz w:val="22"/>
            </w:rPr>
          </w:pPr>
          <w:r>
            <w:fldChar w:fldCharType="begin"/>
          </w:r>
          <w:r>
            <w:instrText xml:space="preserve"> HYPERLINK \l "_Toc221056337" </w:instrText>
          </w:r>
          <w:r>
            <w:fldChar w:fldCharType="separate"/>
          </w:r>
          <w:r>
            <w:rPr>
              <w:rStyle w:val="41"/>
              <w:rFonts w:hint="eastAsia"/>
              <w:color w:val="000000" w:themeColor="text1"/>
              <w14:textFill>
                <w14:solidFill>
                  <w14:schemeClr w14:val="tx1"/>
                </w14:solidFill>
              </w14:textFill>
            </w:rPr>
            <w:t>2.8评价工作程序</w:t>
          </w:r>
          <w:r>
            <w:rPr>
              <w:rFonts w:hint="eastAsia"/>
            </w:rPr>
            <w:tab/>
          </w:r>
          <w:r>
            <w:rPr>
              <w:rFonts w:hint="eastAsia"/>
            </w:rPr>
            <w:fldChar w:fldCharType="begin"/>
          </w:r>
          <w:r>
            <w:rPr>
              <w:rFonts w:hint="eastAsia"/>
            </w:rPr>
            <w:instrText xml:space="preserve"> </w:instrText>
          </w:r>
          <w:r>
            <w:instrText xml:space="preserve">PAGEREF _Toc221056337 \h</w:instrText>
          </w:r>
          <w:r>
            <w:rPr>
              <w:rFonts w:hint="eastAsia"/>
            </w:rPr>
            <w:instrText xml:space="preserve"> </w:instrText>
          </w:r>
          <w:r>
            <w:rPr>
              <w:rFonts w:hint="eastAsia"/>
            </w:rPr>
            <w:fldChar w:fldCharType="separate"/>
          </w:r>
          <w:r>
            <w:t>45</w:t>
          </w:r>
          <w:r>
            <w:rPr>
              <w:rFonts w:hint="eastAsia"/>
            </w:rPr>
            <w:fldChar w:fldCharType="end"/>
          </w:r>
          <w:r>
            <w:rPr>
              <w:rFonts w:hint="eastAsia"/>
            </w:rPr>
            <w:fldChar w:fldCharType="end"/>
          </w:r>
        </w:p>
        <w:p w14:paraId="60258835">
          <w:pPr>
            <w:pStyle w:val="26"/>
            <w:tabs>
              <w:tab w:val="right" w:leader="dot" w:pos="9060"/>
            </w:tabs>
            <w:rPr>
              <w:rFonts w:hint="eastAsia" w:asciiTheme="minorHAnsi" w:hAnsiTheme="minorHAnsi" w:eastAsiaTheme="minorEastAsia"/>
              <w:sz w:val="22"/>
            </w:rPr>
          </w:pPr>
          <w:r>
            <w:fldChar w:fldCharType="begin"/>
          </w:r>
          <w:r>
            <w:instrText xml:space="preserve"> HYPERLINK \l "_Toc221056338" </w:instrText>
          </w:r>
          <w:r>
            <w:fldChar w:fldCharType="separate"/>
          </w:r>
          <w:r>
            <w:rPr>
              <w:rStyle w:val="41"/>
              <w:rFonts w:hint="eastAsia"/>
              <w:color w:val="000000" w:themeColor="text1"/>
              <w14:textFill>
                <w14:solidFill>
                  <w14:schemeClr w14:val="tx1"/>
                </w14:solidFill>
              </w14:textFill>
            </w:rPr>
            <w:t>3现有工程概况</w:t>
          </w:r>
          <w:r>
            <w:rPr>
              <w:rFonts w:hint="eastAsia"/>
            </w:rPr>
            <w:tab/>
          </w:r>
          <w:r>
            <w:rPr>
              <w:rFonts w:hint="eastAsia"/>
            </w:rPr>
            <w:fldChar w:fldCharType="begin"/>
          </w:r>
          <w:r>
            <w:rPr>
              <w:rFonts w:hint="eastAsia"/>
            </w:rPr>
            <w:instrText xml:space="preserve"> </w:instrText>
          </w:r>
          <w:r>
            <w:instrText xml:space="preserve">PAGEREF _Toc221056338 \h</w:instrText>
          </w:r>
          <w:r>
            <w:rPr>
              <w:rFonts w:hint="eastAsia"/>
            </w:rPr>
            <w:instrText xml:space="preserve"> </w:instrText>
          </w:r>
          <w:r>
            <w:rPr>
              <w:rFonts w:hint="eastAsia"/>
            </w:rPr>
            <w:fldChar w:fldCharType="separate"/>
          </w:r>
          <w:r>
            <w:t>46</w:t>
          </w:r>
          <w:r>
            <w:rPr>
              <w:rFonts w:hint="eastAsia"/>
            </w:rPr>
            <w:fldChar w:fldCharType="end"/>
          </w:r>
          <w:r>
            <w:rPr>
              <w:rFonts w:hint="eastAsia"/>
            </w:rPr>
            <w:fldChar w:fldCharType="end"/>
          </w:r>
        </w:p>
        <w:p w14:paraId="35E150E2">
          <w:pPr>
            <w:pStyle w:val="26"/>
            <w:tabs>
              <w:tab w:val="right" w:leader="dot" w:pos="9060"/>
            </w:tabs>
            <w:rPr>
              <w:rFonts w:hint="eastAsia" w:asciiTheme="minorHAnsi" w:hAnsiTheme="minorHAnsi" w:eastAsiaTheme="minorEastAsia"/>
              <w:sz w:val="22"/>
            </w:rPr>
          </w:pPr>
          <w:r>
            <w:fldChar w:fldCharType="begin"/>
          </w:r>
          <w:r>
            <w:instrText xml:space="preserve"> HYPERLINK \l "_Toc221056367" </w:instrText>
          </w:r>
          <w:r>
            <w:fldChar w:fldCharType="separate"/>
          </w:r>
          <w:r>
            <w:rPr>
              <w:rStyle w:val="41"/>
              <w:rFonts w:hint="eastAsia"/>
              <w:color w:val="000000" w:themeColor="text1"/>
              <w14:textFill>
                <w14:solidFill>
                  <w14:schemeClr w14:val="tx1"/>
                </w14:solidFill>
              </w14:textFill>
            </w:rPr>
            <w:t>4拟建项目工程分析</w:t>
          </w:r>
          <w:r>
            <w:rPr>
              <w:rFonts w:hint="eastAsia"/>
            </w:rPr>
            <w:tab/>
          </w:r>
          <w:r>
            <w:rPr>
              <w:rFonts w:hint="eastAsia"/>
            </w:rPr>
            <w:fldChar w:fldCharType="begin"/>
          </w:r>
          <w:r>
            <w:rPr>
              <w:rFonts w:hint="eastAsia"/>
            </w:rPr>
            <w:instrText xml:space="preserve"> </w:instrText>
          </w:r>
          <w:r>
            <w:instrText xml:space="preserve">PAGEREF _Toc221056367 \h</w:instrText>
          </w:r>
          <w:r>
            <w:rPr>
              <w:rFonts w:hint="eastAsia"/>
            </w:rPr>
            <w:instrText xml:space="preserve"> </w:instrText>
          </w:r>
          <w:r>
            <w:rPr>
              <w:rFonts w:hint="eastAsia"/>
            </w:rPr>
            <w:fldChar w:fldCharType="separate"/>
          </w:r>
          <w:r>
            <w:t>115</w:t>
          </w:r>
          <w:r>
            <w:rPr>
              <w:rFonts w:hint="eastAsia"/>
            </w:rPr>
            <w:fldChar w:fldCharType="end"/>
          </w:r>
          <w:r>
            <w:rPr>
              <w:rFonts w:hint="eastAsia"/>
            </w:rPr>
            <w:fldChar w:fldCharType="end"/>
          </w:r>
        </w:p>
        <w:p w14:paraId="1BB696AC">
          <w:pPr>
            <w:pStyle w:val="26"/>
            <w:tabs>
              <w:tab w:val="right" w:leader="dot" w:pos="9060"/>
            </w:tabs>
            <w:rPr>
              <w:rFonts w:hint="eastAsia" w:asciiTheme="minorHAnsi" w:hAnsiTheme="minorHAnsi" w:eastAsiaTheme="minorEastAsia"/>
              <w:sz w:val="22"/>
            </w:rPr>
          </w:pPr>
          <w:r>
            <w:fldChar w:fldCharType="begin"/>
          </w:r>
          <w:r>
            <w:instrText xml:space="preserve"> HYPERLINK \l "_Toc221056392" </w:instrText>
          </w:r>
          <w:r>
            <w:fldChar w:fldCharType="separate"/>
          </w:r>
          <w:r>
            <w:rPr>
              <w:rStyle w:val="41"/>
              <w:rFonts w:hint="eastAsia"/>
              <w:color w:val="000000" w:themeColor="text1"/>
              <w14:textFill>
                <w14:solidFill>
                  <w14:schemeClr w14:val="tx1"/>
                </w14:solidFill>
              </w14:textFill>
            </w:rPr>
            <w:t>5环境现状调查与评价</w:t>
          </w:r>
          <w:r>
            <w:rPr>
              <w:rFonts w:hint="eastAsia"/>
            </w:rPr>
            <w:tab/>
          </w:r>
          <w:r>
            <w:rPr>
              <w:rFonts w:hint="eastAsia"/>
            </w:rPr>
            <w:fldChar w:fldCharType="begin"/>
          </w:r>
          <w:r>
            <w:rPr>
              <w:rFonts w:hint="eastAsia"/>
            </w:rPr>
            <w:instrText xml:space="preserve"> </w:instrText>
          </w:r>
          <w:r>
            <w:instrText xml:space="preserve">PAGEREF _Toc221056392 \h</w:instrText>
          </w:r>
          <w:r>
            <w:rPr>
              <w:rFonts w:hint="eastAsia"/>
            </w:rPr>
            <w:instrText xml:space="preserve"> </w:instrText>
          </w:r>
          <w:r>
            <w:rPr>
              <w:rFonts w:hint="eastAsia"/>
            </w:rPr>
            <w:fldChar w:fldCharType="separate"/>
          </w:r>
          <w:r>
            <w:t>155</w:t>
          </w:r>
          <w:r>
            <w:rPr>
              <w:rFonts w:hint="eastAsia"/>
            </w:rPr>
            <w:fldChar w:fldCharType="end"/>
          </w:r>
          <w:r>
            <w:rPr>
              <w:rFonts w:hint="eastAsia"/>
            </w:rPr>
            <w:fldChar w:fldCharType="end"/>
          </w:r>
        </w:p>
        <w:p w14:paraId="46BF0C57">
          <w:pPr>
            <w:pStyle w:val="31"/>
            <w:tabs>
              <w:tab w:val="right" w:leader="dot" w:pos="9060"/>
            </w:tabs>
            <w:ind w:left="480"/>
            <w:rPr>
              <w:rFonts w:hint="eastAsia" w:asciiTheme="minorHAnsi" w:hAnsiTheme="minorHAnsi" w:eastAsiaTheme="minorEastAsia"/>
              <w:sz w:val="22"/>
            </w:rPr>
          </w:pPr>
          <w:r>
            <w:fldChar w:fldCharType="begin"/>
          </w:r>
          <w:r>
            <w:instrText xml:space="preserve"> HYPERLINK \l "_Toc221056393" </w:instrText>
          </w:r>
          <w:r>
            <w:fldChar w:fldCharType="separate"/>
          </w:r>
          <w:r>
            <w:rPr>
              <w:rStyle w:val="41"/>
              <w:rFonts w:hint="eastAsia"/>
              <w:color w:val="000000" w:themeColor="text1"/>
              <w14:textFill>
                <w14:solidFill>
                  <w14:schemeClr w14:val="tx1"/>
                </w14:solidFill>
              </w14:textFill>
            </w:rPr>
            <w:t>5.1自然环境现状调查</w:t>
          </w:r>
          <w:r>
            <w:rPr>
              <w:rFonts w:hint="eastAsia"/>
            </w:rPr>
            <w:tab/>
          </w:r>
          <w:r>
            <w:rPr>
              <w:rFonts w:hint="eastAsia"/>
            </w:rPr>
            <w:fldChar w:fldCharType="begin"/>
          </w:r>
          <w:r>
            <w:rPr>
              <w:rFonts w:hint="eastAsia"/>
            </w:rPr>
            <w:instrText xml:space="preserve"> </w:instrText>
          </w:r>
          <w:r>
            <w:instrText xml:space="preserve">PAGEREF _Toc221056393 \h</w:instrText>
          </w:r>
          <w:r>
            <w:rPr>
              <w:rFonts w:hint="eastAsia"/>
            </w:rPr>
            <w:instrText xml:space="preserve"> </w:instrText>
          </w:r>
          <w:r>
            <w:rPr>
              <w:rFonts w:hint="eastAsia"/>
            </w:rPr>
            <w:fldChar w:fldCharType="separate"/>
          </w:r>
          <w:r>
            <w:t>155</w:t>
          </w:r>
          <w:r>
            <w:rPr>
              <w:rFonts w:hint="eastAsia"/>
            </w:rPr>
            <w:fldChar w:fldCharType="end"/>
          </w:r>
          <w:r>
            <w:rPr>
              <w:rFonts w:hint="eastAsia"/>
            </w:rPr>
            <w:fldChar w:fldCharType="end"/>
          </w:r>
        </w:p>
        <w:p w14:paraId="2A4946DD">
          <w:pPr>
            <w:pStyle w:val="18"/>
            <w:tabs>
              <w:tab w:val="right" w:leader="dot" w:pos="9060"/>
            </w:tabs>
            <w:ind w:left="960"/>
            <w:rPr>
              <w:rFonts w:hint="eastAsia" w:asciiTheme="minorHAnsi" w:hAnsiTheme="minorHAnsi" w:eastAsiaTheme="minorEastAsia"/>
              <w:sz w:val="22"/>
            </w:rPr>
          </w:pPr>
          <w:r>
            <w:fldChar w:fldCharType="begin"/>
          </w:r>
          <w:r>
            <w:instrText xml:space="preserve"> HYPERLINK \l "_Toc221056394" </w:instrText>
          </w:r>
          <w:r>
            <w:fldChar w:fldCharType="separate"/>
          </w:r>
          <w:r>
            <w:rPr>
              <w:rStyle w:val="41"/>
              <w:rFonts w:hint="eastAsia"/>
              <w:color w:val="000000" w:themeColor="text1"/>
              <w14:textFill>
                <w14:solidFill>
                  <w14:schemeClr w14:val="tx1"/>
                </w14:solidFill>
              </w14:textFill>
            </w:rPr>
            <w:t>5.1.1地理位置</w:t>
          </w:r>
          <w:r>
            <w:rPr>
              <w:rFonts w:hint="eastAsia"/>
            </w:rPr>
            <w:tab/>
          </w:r>
          <w:r>
            <w:rPr>
              <w:rFonts w:hint="eastAsia"/>
            </w:rPr>
            <w:fldChar w:fldCharType="begin"/>
          </w:r>
          <w:r>
            <w:rPr>
              <w:rFonts w:hint="eastAsia"/>
            </w:rPr>
            <w:instrText xml:space="preserve"> </w:instrText>
          </w:r>
          <w:r>
            <w:instrText xml:space="preserve">PAGEREF _Toc221056394 \h</w:instrText>
          </w:r>
          <w:r>
            <w:rPr>
              <w:rFonts w:hint="eastAsia"/>
            </w:rPr>
            <w:instrText xml:space="preserve"> </w:instrText>
          </w:r>
          <w:r>
            <w:rPr>
              <w:rFonts w:hint="eastAsia"/>
            </w:rPr>
            <w:fldChar w:fldCharType="separate"/>
          </w:r>
          <w:r>
            <w:t>155</w:t>
          </w:r>
          <w:r>
            <w:rPr>
              <w:rFonts w:hint="eastAsia"/>
            </w:rPr>
            <w:fldChar w:fldCharType="end"/>
          </w:r>
          <w:r>
            <w:rPr>
              <w:rFonts w:hint="eastAsia"/>
            </w:rPr>
            <w:fldChar w:fldCharType="end"/>
          </w:r>
        </w:p>
        <w:p w14:paraId="58305D48">
          <w:pPr>
            <w:pStyle w:val="18"/>
            <w:tabs>
              <w:tab w:val="right" w:leader="dot" w:pos="9060"/>
            </w:tabs>
            <w:ind w:left="960"/>
            <w:rPr>
              <w:rFonts w:hint="eastAsia" w:asciiTheme="minorHAnsi" w:hAnsiTheme="minorHAnsi" w:eastAsiaTheme="minorEastAsia"/>
              <w:sz w:val="22"/>
            </w:rPr>
          </w:pPr>
          <w:r>
            <w:fldChar w:fldCharType="begin"/>
          </w:r>
          <w:r>
            <w:instrText xml:space="preserve"> HYPERLINK \l "_Toc221056395" </w:instrText>
          </w:r>
          <w:r>
            <w:fldChar w:fldCharType="separate"/>
          </w:r>
          <w:r>
            <w:rPr>
              <w:rStyle w:val="41"/>
              <w:rFonts w:hint="eastAsia"/>
              <w:color w:val="000000" w:themeColor="text1"/>
              <w14:textFill>
                <w14:solidFill>
                  <w14:schemeClr w14:val="tx1"/>
                </w14:solidFill>
              </w14:textFill>
            </w:rPr>
            <w:t>5.1.2地形地质</w:t>
          </w:r>
          <w:r>
            <w:rPr>
              <w:rFonts w:hint="eastAsia"/>
            </w:rPr>
            <w:tab/>
          </w:r>
          <w:r>
            <w:rPr>
              <w:rFonts w:hint="eastAsia"/>
            </w:rPr>
            <w:fldChar w:fldCharType="begin"/>
          </w:r>
          <w:r>
            <w:rPr>
              <w:rFonts w:hint="eastAsia"/>
            </w:rPr>
            <w:instrText xml:space="preserve"> </w:instrText>
          </w:r>
          <w:r>
            <w:instrText xml:space="preserve">PAGEREF _Toc221056395 \h</w:instrText>
          </w:r>
          <w:r>
            <w:rPr>
              <w:rFonts w:hint="eastAsia"/>
            </w:rPr>
            <w:instrText xml:space="preserve"> </w:instrText>
          </w:r>
          <w:r>
            <w:rPr>
              <w:rFonts w:hint="eastAsia"/>
            </w:rPr>
            <w:fldChar w:fldCharType="separate"/>
          </w:r>
          <w:r>
            <w:t>155</w:t>
          </w:r>
          <w:r>
            <w:rPr>
              <w:rFonts w:hint="eastAsia"/>
            </w:rPr>
            <w:fldChar w:fldCharType="end"/>
          </w:r>
          <w:r>
            <w:rPr>
              <w:rFonts w:hint="eastAsia"/>
            </w:rPr>
            <w:fldChar w:fldCharType="end"/>
          </w:r>
        </w:p>
        <w:p w14:paraId="52777A8E">
          <w:pPr>
            <w:pStyle w:val="18"/>
            <w:tabs>
              <w:tab w:val="right" w:leader="dot" w:pos="9060"/>
            </w:tabs>
            <w:ind w:left="960"/>
            <w:rPr>
              <w:rFonts w:hint="eastAsia" w:asciiTheme="minorHAnsi" w:hAnsiTheme="minorHAnsi" w:eastAsiaTheme="minorEastAsia"/>
              <w:sz w:val="22"/>
            </w:rPr>
          </w:pPr>
          <w:r>
            <w:fldChar w:fldCharType="begin"/>
          </w:r>
          <w:r>
            <w:instrText xml:space="preserve"> HYPERLINK \l "_Toc221056396" </w:instrText>
          </w:r>
          <w:r>
            <w:fldChar w:fldCharType="separate"/>
          </w:r>
          <w:r>
            <w:rPr>
              <w:rStyle w:val="41"/>
              <w:rFonts w:hint="eastAsia"/>
              <w:color w:val="000000" w:themeColor="text1"/>
              <w14:textFill>
                <w14:solidFill>
                  <w14:schemeClr w14:val="tx1"/>
                </w14:solidFill>
              </w14:textFill>
            </w:rPr>
            <w:t>5.1.3气候气象</w:t>
          </w:r>
          <w:r>
            <w:rPr>
              <w:rFonts w:hint="eastAsia"/>
            </w:rPr>
            <w:tab/>
          </w:r>
          <w:r>
            <w:rPr>
              <w:rFonts w:hint="eastAsia"/>
            </w:rPr>
            <w:fldChar w:fldCharType="begin"/>
          </w:r>
          <w:r>
            <w:rPr>
              <w:rFonts w:hint="eastAsia"/>
            </w:rPr>
            <w:instrText xml:space="preserve"> </w:instrText>
          </w:r>
          <w:r>
            <w:instrText xml:space="preserve">PAGEREF _Toc221056396 \h</w:instrText>
          </w:r>
          <w:r>
            <w:rPr>
              <w:rFonts w:hint="eastAsia"/>
            </w:rPr>
            <w:instrText xml:space="preserve"> </w:instrText>
          </w:r>
          <w:r>
            <w:rPr>
              <w:rFonts w:hint="eastAsia"/>
            </w:rPr>
            <w:fldChar w:fldCharType="separate"/>
          </w:r>
          <w:r>
            <w:t>156</w:t>
          </w:r>
          <w:r>
            <w:rPr>
              <w:rFonts w:hint="eastAsia"/>
            </w:rPr>
            <w:fldChar w:fldCharType="end"/>
          </w:r>
          <w:r>
            <w:rPr>
              <w:rFonts w:hint="eastAsia"/>
            </w:rPr>
            <w:fldChar w:fldCharType="end"/>
          </w:r>
        </w:p>
        <w:p w14:paraId="4CA58CE6">
          <w:pPr>
            <w:pStyle w:val="18"/>
            <w:tabs>
              <w:tab w:val="right" w:leader="dot" w:pos="9060"/>
            </w:tabs>
            <w:ind w:left="960"/>
            <w:rPr>
              <w:rFonts w:hint="eastAsia" w:asciiTheme="minorHAnsi" w:hAnsiTheme="minorHAnsi" w:eastAsiaTheme="minorEastAsia"/>
              <w:sz w:val="22"/>
            </w:rPr>
          </w:pPr>
          <w:r>
            <w:fldChar w:fldCharType="begin"/>
          </w:r>
          <w:r>
            <w:instrText xml:space="preserve"> HYPERLINK \l "_Toc221056397" </w:instrText>
          </w:r>
          <w:r>
            <w:fldChar w:fldCharType="separate"/>
          </w:r>
          <w:r>
            <w:rPr>
              <w:rStyle w:val="41"/>
              <w:rFonts w:hint="eastAsia"/>
              <w:color w:val="000000" w:themeColor="text1"/>
              <w14:textFill>
                <w14:solidFill>
                  <w14:schemeClr w14:val="tx1"/>
                </w14:solidFill>
              </w14:textFill>
            </w:rPr>
            <w:t>5.1.4区域水文水系</w:t>
          </w:r>
          <w:r>
            <w:rPr>
              <w:rFonts w:hint="eastAsia"/>
            </w:rPr>
            <w:tab/>
          </w:r>
          <w:r>
            <w:rPr>
              <w:rFonts w:hint="eastAsia"/>
            </w:rPr>
            <w:fldChar w:fldCharType="begin"/>
          </w:r>
          <w:r>
            <w:rPr>
              <w:rFonts w:hint="eastAsia"/>
            </w:rPr>
            <w:instrText xml:space="preserve"> </w:instrText>
          </w:r>
          <w:r>
            <w:instrText xml:space="preserve">PAGEREF _Toc221056397 \h</w:instrText>
          </w:r>
          <w:r>
            <w:rPr>
              <w:rFonts w:hint="eastAsia"/>
            </w:rPr>
            <w:instrText xml:space="preserve"> </w:instrText>
          </w:r>
          <w:r>
            <w:rPr>
              <w:rFonts w:hint="eastAsia"/>
            </w:rPr>
            <w:fldChar w:fldCharType="separate"/>
          </w:r>
          <w:r>
            <w:t>157</w:t>
          </w:r>
          <w:r>
            <w:rPr>
              <w:rFonts w:hint="eastAsia"/>
            </w:rPr>
            <w:fldChar w:fldCharType="end"/>
          </w:r>
          <w:r>
            <w:rPr>
              <w:rFonts w:hint="eastAsia"/>
            </w:rPr>
            <w:fldChar w:fldCharType="end"/>
          </w:r>
        </w:p>
        <w:p w14:paraId="061B424D">
          <w:pPr>
            <w:pStyle w:val="18"/>
            <w:tabs>
              <w:tab w:val="right" w:leader="dot" w:pos="9060"/>
            </w:tabs>
            <w:ind w:left="960"/>
            <w:rPr>
              <w:rFonts w:hint="eastAsia" w:asciiTheme="minorHAnsi" w:hAnsiTheme="minorHAnsi" w:eastAsiaTheme="minorEastAsia"/>
              <w:sz w:val="22"/>
            </w:rPr>
          </w:pPr>
          <w:r>
            <w:fldChar w:fldCharType="begin"/>
          </w:r>
          <w:r>
            <w:instrText xml:space="preserve"> HYPERLINK \l "_Toc221056398" </w:instrText>
          </w:r>
          <w:r>
            <w:fldChar w:fldCharType="separate"/>
          </w:r>
          <w:r>
            <w:rPr>
              <w:rStyle w:val="41"/>
              <w:rFonts w:hint="eastAsia"/>
              <w:color w:val="000000" w:themeColor="text1"/>
              <w14:textFill>
                <w14:solidFill>
                  <w14:schemeClr w14:val="tx1"/>
                </w14:solidFill>
              </w14:textFill>
            </w:rPr>
            <w:t>5.1.5自然资源</w:t>
          </w:r>
          <w:r>
            <w:rPr>
              <w:rFonts w:hint="eastAsia"/>
            </w:rPr>
            <w:tab/>
          </w:r>
          <w:r>
            <w:rPr>
              <w:rFonts w:hint="eastAsia"/>
            </w:rPr>
            <w:fldChar w:fldCharType="begin"/>
          </w:r>
          <w:r>
            <w:rPr>
              <w:rFonts w:hint="eastAsia"/>
            </w:rPr>
            <w:instrText xml:space="preserve"> </w:instrText>
          </w:r>
          <w:r>
            <w:instrText xml:space="preserve">PAGEREF _Toc221056398 \h</w:instrText>
          </w:r>
          <w:r>
            <w:rPr>
              <w:rFonts w:hint="eastAsia"/>
            </w:rPr>
            <w:instrText xml:space="preserve"> </w:instrText>
          </w:r>
          <w:r>
            <w:rPr>
              <w:rFonts w:hint="eastAsia"/>
            </w:rPr>
            <w:fldChar w:fldCharType="separate"/>
          </w:r>
          <w:r>
            <w:t>158</w:t>
          </w:r>
          <w:r>
            <w:rPr>
              <w:rFonts w:hint="eastAsia"/>
            </w:rPr>
            <w:fldChar w:fldCharType="end"/>
          </w:r>
          <w:r>
            <w:rPr>
              <w:rFonts w:hint="eastAsia"/>
            </w:rPr>
            <w:fldChar w:fldCharType="end"/>
          </w:r>
        </w:p>
        <w:p w14:paraId="5ECB4948">
          <w:pPr>
            <w:pStyle w:val="31"/>
            <w:tabs>
              <w:tab w:val="right" w:leader="dot" w:pos="9060"/>
            </w:tabs>
            <w:ind w:left="480"/>
            <w:rPr>
              <w:rFonts w:hint="eastAsia" w:asciiTheme="minorHAnsi" w:hAnsiTheme="minorHAnsi" w:eastAsiaTheme="minorEastAsia"/>
              <w:sz w:val="22"/>
            </w:rPr>
          </w:pPr>
          <w:r>
            <w:fldChar w:fldCharType="begin"/>
          </w:r>
          <w:r>
            <w:instrText xml:space="preserve"> HYPERLINK \l "_Toc221056399" </w:instrText>
          </w:r>
          <w:r>
            <w:fldChar w:fldCharType="separate"/>
          </w:r>
          <w:r>
            <w:rPr>
              <w:rStyle w:val="41"/>
              <w:rFonts w:hint="eastAsia"/>
              <w:color w:val="000000" w:themeColor="text1"/>
              <w14:textFill>
                <w14:solidFill>
                  <w14:schemeClr w14:val="tx1"/>
                </w14:solidFill>
              </w14:textFill>
            </w:rPr>
            <w:t>5.2区域环境质量现状监测与评价</w:t>
          </w:r>
          <w:r>
            <w:rPr>
              <w:rFonts w:hint="eastAsia"/>
            </w:rPr>
            <w:tab/>
          </w:r>
          <w:r>
            <w:rPr>
              <w:rFonts w:hint="eastAsia"/>
            </w:rPr>
            <w:fldChar w:fldCharType="begin"/>
          </w:r>
          <w:r>
            <w:rPr>
              <w:rFonts w:hint="eastAsia"/>
            </w:rPr>
            <w:instrText xml:space="preserve"> </w:instrText>
          </w:r>
          <w:r>
            <w:instrText xml:space="preserve">PAGEREF _Toc221056399 \h</w:instrText>
          </w:r>
          <w:r>
            <w:rPr>
              <w:rFonts w:hint="eastAsia"/>
            </w:rPr>
            <w:instrText xml:space="preserve"> </w:instrText>
          </w:r>
          <w:r>
            <w:rPr>
              <w:rFonts w:hint="eastAsia"/>
            </w:rPr>
            <w:fldChar w:fldCharType="separate"/>
          </w:r>
          <w:r>
            <w:t>159</w:t>
          </w:r>
          <w:r>
            <w:rPr>
              <w:rFonts w:hint="eastAsia"/>
            </w:rPr>
            <w:fldChar w:fldCharType="end"/>
          </w:r>
          <w:r>
            <w:rPr>
              <w:rFonts w:hint="eastAsia"/>
            </w:rPr>
            <w:fldChar w:fldCharType="end"/>
          </w:r>
        </w:p>
        <w:p w14:paraId="37C729AC">
          <w:pPr>
            <w:pStyle w:val="18"/>
            <w:tabs>
              <w:tab w:val="right" w:leader="dot" w:pos="9060"/>
            </w:tabs>
            <w:ind w:left="960"/>
            <w:rPr>
              <w:rFonts w:hint="eastAsia" w:asciiTheme="minorHAnsi" w:hAnsiTheme="minorHAnsi" w:eastAsiaTheme="minorEastAsia"/>
              <w:sz w:val="22"/>
            </w:rPr>
          </w:pPr>
          <w:r>
            <w:fldChar w:fldCharType="begin"/>
          </w:r>
          <w:r>
            <w:instrText xml:space="preserve"> HYPERLINK \l "_Toc221056400" </w:instrText>
          </w:r>
          <w:r>
            <w:fldChar w:fldCharType="separate"/>
          </w:r>
          <w:r>
            <w:rPr>
              <w:rStyle w:val="41"/>
              <w:rFonts w:hint="eastAsia"/>
              <w:color w:val="000000" w:themeColor="text1"/>
              <w14:textFill>
                <w14:solidFill>
                  <w14:schemeClr w14:val="tx1"/>
                </w14:solidFill>
              </w14:textFill>
            </w:rPr>
            <w:t>5.2.1大气环境质量现状</w:t>
          </w:r>
          <w:r>
            <w:rPr>
              <w:rFonts w:hint="eastAsia"/>
            </w:rPr>
            <w:tab/>
          </w:r>
          <w:r>
            <w:rPr>
              <w:rFonts w:hint="eastAsia"/>
            </w:rPr>
            <w:fldChar w:fldCharType="begin"/>
          </w:r>
          <w:r>
            <w:rPr>
              <w:rFonts w:hint="eastAsia"/>
            </w:rPr>
            <w:instrText xml:space="preserve"> </w:instrText>
          </w:r>
          <w:r>
            <w:instrText xml:space="preserve">PAGEREF _Toc221056400 \h</w:instrText>
          </w:r>
          <w:r>
            <w:rPr>
              <w:rFonts w:hint="eastAsia"/>
            </w:rPr>
            <w:instrText xml:space="preserve"> </w:instrText>
          </w:r>
          <w:r>
            <w:rPr>
              <w:rFonts w:hint="eastAsia"/>
            </w:rPr>
            <w:fldChar w:fldCharType="separate"/>
          </w:r>
          <w:r>
            <w:t>159</w:t>
          </w:r>
          <w:r>
            <w:rPr>
              <w:rFonts w:hint="eastAsia"/>
            </w:rPr>
            <w:fldChar w:fldCharType="end"/>
          </w:r>
          <w:r>
            <w:rPr>
              <w:rFonts w:hint="eastAsia"/>
            </w:rPr>
            <w:fldChar w:fldCharType="end"/>
          </w:r>
        </w:p>
        <w:p w14:paraId="6E966F24">
          <w:pPr>
            <w:pStyle w:val="18"/>
            <w:tabs>
              <w:tab w:val="right" w:leader="dot" w:pos="9060"/>
            </w:tabs>
            <w:ind w:left="960"/>
            <w:rPr>
              <w:rFonts w:hint="eastAsia" w:asciiTheme="minorHAnsi" w:hAnsiTheme="minorHAnsi" w:eastAsiaTheme="minorEastAsia"/>
              <w:sz w:val="22"/>
            </w:rPr>
          </w:pPr>
          <w:r>
            <w:fldChar w:fldCharType="begin"/>
          </w:r>
          <w:r>
            <w:instrText xml:space="preserve"> HYPERLINK \l "_Toc221056401" </w:instrText>
          </w:r>
          <w:r>
            <w:fldChar w:fldCharType="separate"/>
          </w:r>
          <w:r>
            <w:rPr>
              <w:rStyle w:val="41"/>
              <w:rFonts w:hint="eastAsia"/>
              <w:color w:val="000000" w:themeColor="text1"/>
              <w14:textFill>
                <w14:solidFill>
                  <w14:schemeClr w14:val="tx1"/>
                </w14:solidFill>
              </w14:textFill>
            </w:rPr>
            <w:t>5.2.2地表水环境质量现状</w:t>
          </w:r>
          <w:r>
            <w:rPr>
              <w:rFonts w:hint="eastAsia"/>
            </w:rPr>
            <w:tab/>
          </w:r>
          <w:r>
            <w:rPr>
              <w:rFonts w:hint="eastAsia"/>
            </w:rPr>
            <w:fldChar w:fldCharType="begin"/>
          </w:r>
          <w:r>
            <w:rPr>
              <w:rFonts w:hint="eastAsia"/>
            </w:rPr>
            <w:instrText xml:space="preserve"> </w:instrText>
          </w:r>
          <w:r>
            <w:instrText xml:space="preserve">PAGEREF _Toc221056401 \h</w:instrText>
          </w:r>
          <w:r>
            <w:rPr>
              <w:rFonts w:hint="eastAsia"/>
            </w:rPr>
            <w:instrText xml:space="preserve"> </w:instrText>
          </w:r>
          <w:r>
            <w:rPr>
              <w:rFonts w:hint="eastAsia"/>
            </w:rPr>
            <w:fldChar w:fldCharType="separate"/>
          </w:r>
          <w:r>
            <w:t>162</w:t>
          </w:r>
          <w:r>
            <w:rPr>
              <w:rFonts w:hint="eastAsia"/>
            </w:rPr>
            <w:fldChar w:fldCharType="end"/>
          </w:r>
          <w:r>
            <w:rPr>
              <w:rFonts w:hint="eastAsia"/>
            </w:rPr>
            <w:fldChar w:fldCharType="end"/>
          </w:r>
        </w:p>
        <w:p w14:paraId="1C32B91B">
          <w:pPr>
            <w:pStyle w:val="18"/>
            <w:tabs>
              <w:tab w:val="right" w:leader="dot" w:pos="9060"/>
            </w:tabs>
            <w:ind w:left="960"/>
            <w:rPr>
              <w:rFonts w:hint="eastAsia" w:asciiTheme="minorHAnsi" w:hAnsiTheme="minorHAnsi" w:eastAsiaTheme="minorEastAsia"/>
              <w:sz w:val="22"/>
            </w:rPr>
          </w:pPr>
          <w:r>
            <w:fldChar w:fldCharType="begin"/>
          </w:r>
          <w:r>
            <w:instrText xml:space="preserve"> HYPERLINK \l "_Toc221056402" </w:instrText>
          </w:r>
          <w:r>
            <w:fldChar w:fldCharType="separate"/>
          </w:r>
          <w:r>
            <w:rPr>
              <w:rStyle w:val="41"/>
              <w:rFonts w:hint="eastAsia"/>
              <w:color w:val="000000" w:themeColor="text1"/>
              <w14:textFill>
                <w14:solidFill>
                  <w14:schemeClr w14:val="tx1"/>
                </w14:solidFill>
              </w14:textFill>
            </w:rPr>
            <w:t>5.2.3声环境质量现状</w:t>
          </w:r>
          <w:r>
            <w:rPr>
              <w:rFonts w:hint="eastAsia"/>
            </w:rPr>
            <w:tab/>
          </w:r>
          <w:r>
            <w:rPr>
              <w:rFonts w:hint="eastAsia"/>
            </w:rPr>
            <w:fldChar w:fldCharType="begin"/>
          </w:r>
          <w:r>
            <w:rPr>
              <w:rFonts w:hint="eastAsia"/>
            </w:rPr>
            <w:instrText xml:space="preserve"> </w:instrText>
          </w:r>
          <w:r>
            <w:instrText xml:space="preserve">PAGEREF _Toc221056402 \h</w:instrText>
          </w:r>
          <w:r>
            <w:rPr>
              <w:rFonts w:hint="eastAsia"/>
            </w:rPr>
            <w:instrText xml:space="preserve"> </w:instrText>
          </w:r>
          <w:r>
            <w:rPr>
              <w:rFonts w:hint="eastAsia"/>
            </w:rPr>
            <w:fldChar w:fldCharType="separate"/>
          </w:r>
          <w:r>
            <w:t>168</w:t>
          </w:r>
          <w:r>
            <w:rPr>
              <w:rFonts w:hint="eastAsia"/>
            </w:rPr>
            <w:fldChar w:fldCharType="end"/>
          </w:r>
          <w:r>
            <w:rPr>
              <w:rFonts w:hint="eastAsia"/>
            </w:rPr>
            <w:fldChar w:fldCharType="end"/>
          </w:r>
        </w:p>
        <w:p w14:paraId="60F4128E">
          <w:pPr>
            <w:pStyle w:val="18"/>
            <w:tabs>
              <w:tab w:val="right" w:leader="dot" w:pos="9060"/>
            </w:tabs>
            <w:ind w:left="960"/>
            <w:rPr>
              <w:rFonts w:hint="eastAsia" w:asciiTheme="minorHAnsi" w:hAnsiTheme="minorHAnsi" w:eastAsiaTheme="minorEastAsia"/>
              <w:sz w:val="22"/>
            </w:rPr>
          </w:pPr>
          <w:r>
            <w:fldChar w:fldCharType="begin"/>
          </w:r>
          <w:r>
            <w:instrText xml:space="preserve"> HYPERLINK \l "_Toc221056403" </w:instrText>
          </w:r>
          <w:r>
            <w:fldChar w:fldCharType="separate"/>
          </w:r>
          <w:r>
            <w:rPr>
              <w:rStyle w:val="41"/>
              <w:rFonts w:hint="eastAsia"/>
              <w:color w:val="000000" w:themeColor="text1"/>
              <w14:textFill>
                <w14:solidFill>
                  <w14:schemeClr w14:val="tx1"/>
                </w14:solidFill>
              </w14:textFill>
            </w:rPr>
            <w:t>5.2.4地下水环境质量现状</w:t>
          </w:r>
          <w:r>
            <w:rPr>
              <w:rFonts w:hint="eastAsia"/>
            </w:rPr>
            <w:tab/>
          </w:r>
          <w:r>
            <w:rPr>
              <w:rFonts w:hint="eastAsia"/>
            </w:rPr>
            <w:fldChar w:fldCharType="begin"/>
          </w:r>
          <w:r>
            <w:rPr>
              <w:rFonts w:hint="eastAsia"/>
            </w:rPr>
            <w:instrText xml:space="preserve"> </w:instrText>
          </w:r>
          <w:r>
            <w:instrText xml:space="preserve">PAGEREF _Toc221056403 \h</w:instrText>
          </w:r>
          <w:r>
            <w:rPr>
              <w:rFonts w:hint="eastAsia"/>
            </w:rPr>
            <w:instrText xml:space="preserve"> </w:instrText>
          </w:r>
          <w:r>
            <w:rPr>
              <w:rFonts w:hint="eastAsia"/>
            </w:rPr>
            <w:fldChar w:fldCharType="separate"/>
          </w:r>
          <w:r>
            <w:t>169</w:t>
          </w:r>
          <w:r>
            <w:rPr>
              <w:rFonts w:hint="eastAsia"/>
            </w:rPr>
            <w:fldChar w:fldCharType="end"/>
          </w:r>
          <w:r>
            <w:rPr>
              <w:rFonts w:hint="eastAsia"/>
            </w:rPr>
            <w:fldChar w:fldCharType="end"/>
          </w:r>
        </w:p>
        <w:p w14:paraId="0E78B1F2">
          <w:pPr>
            <w:pStyle w:val="18"/>
            <w:tabs>
              <w:tab w:val="right" w:leader="dot" w:pos="9060"/>
            </w:tabs>
            <w:ind w:left="960"/>
            <w:rPr>
              <w:rFonts w:hint="eastAsia" w:asciiTheme="minorHAnsi" w:hAnsiTheme="minorHAnsi" w:eastAsiaTheme="minorEastAsia"/>
              <w:sz w:val="22"/>
            </w:rPr>
          </w:pPr>
          <w:r>
            <w:fldChar w:fldCharType="begin"/>
          </w:r>
          <w:r>
            <w:instrText xml:space="preserve"> HYPERLINK \l "_Toc221056404" </w:instrText>
          </w:r>
          <w:r>
            <w:fldChar w:fldCharType="separate"/>
          </w:r>
          <w:r>
            <w:rPr>
              <w:rStyle w:val="41"/>
              <w:rFonts w:hint="eastAsia"/>
              <w:color w:val="000000" w:themeColor="text1"/>
              <w14:textFill>
                <w14:solidFill>
                  <w14:schemeClr w14:val="tx1"/>
                </w14:solidFill>
              </w14:textFill>
            </w:rPr>
            <w:t>5.2.5土壤环境质量现状</w:t>
          </w:r>
          <w:r>
            <w:rPr>
              <w:rFonts w:hint="eastAsia"/>
            </w:rPr>
            <w:tab/>
          </w:r>
          <w:r>
            <w:rPr>
              <w:rFonts w:hint="eastAsia"/>
            </w:rPr>
            <w:fldChar w:fldCharType="begin"/>
          </w:r>
          <w:r>
            <w:rPr>
              <w:rFonts w:hint="eastAsia"/>
            </w:rPr>
            <w:instrText xml:space="preserve"> </w:instrText>
          </w:r>
          <w:r>
            <w:instrText xml:space="preserve">PAGEREF _Toc221056404 \h</w:instrText>
          </w:r>
          <w:r>
            <w:rPr>
              <w:rFonts w:hint="eastAsia"/>
            </w:rPr>
            <w:instrText xml:space="preserve"> </w:instrText>
          </w:r>
          <w:r>
            <w:rPr>
              <w:rFonts w:hint="eastAsia"/>
            </w:rPr>
            <w:fldChar w:fldCharType="separate"/>
          </w:r>
          <w:r>
            <w:t>178</w:t>
          </w:r>
          <w:r>
            <w:rPr>
              <w:rFonts w:hint="eastAsia"/>
            </w:rPr>
            <w:fldChar w:fldCharType="end"/>
          </w:r>
          <w:r>
            <w:rPr>
              <w:rFonts w:hint="eastAsia"/>
            </w:rPr>
            <w:fldChar w:fldCharType="end"/>
          </w:r>
        </w:p>
        <w:p w14:paraId="474F5B05">
          <w:pPr>
            <w:pStyle w:val="26"/>
            <w:tabs>
              <w:tab w:val="right" w:leader="dot" w:pos="9060"/>
            </w:tabs>
            <w:rPr>
              <w:rFonts w:hint="eastAsia" w:asciiTheme="minorHAnsi" w:hAnsiTheme="minorHAnsi" w:eastAsiaTheme="minorEastAsia"/>
              <w:sz w:val="22"/>
            </w:rPr>
          </w:pPr>
          <w:r>
            <w:fldChar w:fldCharType="begin"/>
          </w:r>
          <w:r>
            <w:instrText xml:space="preserve"> HYPERLINK \l "_Toc221056405" </w:instrText>
          </w:r>
          <w:r>
            <w:fldChar w:fldCharType="separate"/>
          </w:r>
          <w:r>
            <w:rPr>
              <w:rStyle w:val="41"/>
              <w:rFonts w:hint="eastAsia"/>
              <w:color w:val="000000" w:themeColor="text1"/>
              <w14:textFill>
                <w14:solidFill>
                  <w14:schemeClr w14:val="tx1"/>
                </w14:solidFill>
              </w14:textFill>
            </w:rPr>
            <w:t>6环境影响预测与评价</w:t>
          </w:r>
          <w:r>
            <w:rPr>
              <w:rFonts w:hint="eastAsia"/>
            </w:rPr>
            <w:tab/>
          </w:r>
          <w:r>
            <w:rPr>
              <w:rFonts w:hint="eastAsia"/>
            </w:rPr>
            <w:fldChar w:fldCharType="begin"/>
          </w:r>
          <w:r>
            <w:rPr>
              <w:rFonts w:hint="eastAsia"/>
            </w:rPr>
            <w:instrText xml:space="preserve"> </w:instrText>
          </w:r>
          <w:r>
            <w:instrText xml:space="preserve">PAGEREF _Toc221056405 \h</w:instrText>
          </w:r>
          <w:r>
            <w:rPr>
              <w:rFonts w:hint="eastAsia"/>
            </w:rPr>
            <w:instrText xml:space="preserve"> </w:instrText>
          </w:r>
          <w:r>
            <w:rPr>
              <w:rFonts w:hint="eastAsia"/>
            </w:rPr>
            <w:fldChar w:fldCharType="separate"/>
          </w:r>
          <w:r>
            <w:t>190</w:t>
          </w:r>
          <w:r>
            <w:rPr>
              <w:rFonts w:hint="eastAsia"/>
            </w:rPr>
            <w:fldChar w:fldCharType="end"/>
          </w:r>
          <w:r>
            <w:rPr>
              <w:rFonts w:hint="eastAsia"/>
            </w:rPr>
            <w:fldChar w:fldCharType="end"/>
          </w:r>
        </w:p>
        <w:p w14:paraId="4A639AF1">
          <w:pPr>
            <w:pStyle w:val="31"/>
            <w:tabs>
              <w:tab w:val="right" w:leader="dot" w:pos="9060"/>
            </w:tabs>
            <w:ind w:left="480"/>
            <w:rPr>
              <w:rFonts w:hint="eastAsia" w:asciiTheme="minorHAnsi" w:hAnsiTheme="minorHAnsi" w:eastAsiaTheme="minorEastAsia"/>
              <w:sz w:val="22"/>
            </w:rPr>
          </w:pPr>
          <w:r>
            <w:fldChar w:fldCharType="begin"/>
          </w:r>
          <w:r>
            <w:instrText xml:space="preserve"> HYPERLINK \l "_Toc221056406" </w:instrText>
          </w:r>
          <w:r>
            <w:fldChar w:fldCharType="separate"/>
          </w:r>
          <w:r>
            <w:rPr>
              <w:rStyle w:val="41"/>
              <w:rFonts w:hint="eastAsia"/>
              <w:color w:val="000000" w:themeColor="text1"/>
              <w14:textFill>
                <w14:solidFill>
                  <w14:schemeClr w14:val="tx1"/>
                </w14:solidFill>
              </w14:textFill>
            </w:rPr>
            <w:t>6.1施工期环境影响分析</w:t>
          </w:r>
          <w:r>
            <w:rPr>
              <w:rFonts w:hint="eastAsia"/>
            </w:rPr>
            <w:tab/>
          </w:r>
          <w:r>
            <w:rPr>
              <w:rFonts w:hint="eastAsia"/>
            </w:rPr>
            <w:fldChar w:fldCharType="begin"/>
          </w:r>
          <w:r>
            <w:rPr>
              <w:rFonts w:hint="eastAsia"/>
            </w:rPr>
            <w:instrText xml:space="preserve"> </w:instrText>
          </w:r>
          <w:r>
            <w:instrText xml:space="preserve">PAGEREF _Toc221056406 \h</w:instrText>
          </w:r>
          <w:r>
            <w:rPr>
              <w:rFonts w:hint="eastAsia"/>
            </w:rPr>
            <w:instrText xml:space="preserve"> </w:instrText>
          </w:r>
          <w:r>
            <w:rPr>
              <w:rFonts w:hint="eastAsia"/>
            </w:rPr>
            <w:fldChar w:fldCharType="separate"/>
          </w:r>
          <w:r>
            <w:t>190</w:t>
          </w:r>
          <w:r>
            <w:rPr>
              <w:rFonts w:hint="eastAsia"/>
            </w:rPr>
            <w:fldChar w:fldCharType="end"/>
          </w:r>
          <w:r>
            <w:rPr>
              <w:rFonts w:hint="eastAsia"/>
            </w:rPr>
            <w:fldChar w:fldCharType="end"/>
          </w:r>
        </w:p>
        <w:p w14:paraId="6A3BFE5E">
          <w:pPr>
            <w:pStyle w:val="31"/>
            <w:tabs>
              <w:tab w:val="right" w:leader="dot" w:pos="9060"/>
            </w:tabs>
            <w:ind w:left="480"/>
            <w:rPr>
              <w:rFonts w:hint="eastAsia" w:asciiTheme="minorHAnsi" w:hAnsiTheme="minorHAnsi" w:eastAsiaTheme="minorEastAsia"/>
              <w:sz w:val="22"/>
            </w:rPr>
          </w:pPr>
          <w:r>
            <w:fldChar w:fldCharType="begin"/>
          </w:r>
          <w:r>
            <w:instrText xml:space="preserve"> HYPERLINK \l "_Toc221056407" </w:instrText>
          </w:r>
          <w:r>
            <w:fldChar w:fldCharType="separate"/>
          </w:r>
          <w:r>
            <w:rPr>
              <w:rStyle w:val="41"/>
              <w:rFonts w:hint="eastAsia"/>
              <w:color w:val="000000" w:themeColor="text1"/>
              <w14:textFill>
                <w14:solidFill>
                  <w14:schemeClr w14:val="tx1"/>
                </w14:solidFill>
              </w14:textFill>
            </w:rPr>
            <w:t>6.2运营期大气环境影响分析</w:t>
          </w:r>
          <w:r>
            <w:rPr>
              <w:rFonts w:hint="eastAsia"/>
            </w:rPr>
            <w:tab/>
          </w:r>
          <w:r>
            <w:rPr>
              <w:rFonts w:hint="eastAsia"/>
            </w:rPr>
            <w:fldChar w:fldCharType="begin"/>
          </w:r>
          <w:r>
            <w:rPr>
              <w:rFonts w:hint="eastAsia"/>
            </w:rPr>
            <w:instrText xml:space="preserve"> </w:instrText>
          </w:r>
          <w:r>
            <w:instrText xml:space="preserve">PAGEREF _Toc221056407 \h</w:instrText>
          </w:r>
          <w:r>
            <w:rPr>
              <w:rFonts w:hint="eastAsia"/>
            </w:rPr>
            <w:instrText xml:space="preserve"> </w:instrText>
          </w:r>
          <w:r>
            <w:rPr>
              <w:rFonts w:hint="eastAsia"/>
            </w:rPr>
            <w:fldChar w:fldCharType="separate"/>
          </w:r>
          <w:r>
            <w:t>190</w:t>
          </w:r>
          <w:r>
            <w:rPr>
              <w:rFonts w:hint="eastAsia"/>
            </w:rPr>
            <w:fldChar w:fldCharType="end"/>
          </w:r>
          <w:r>
            <w:rPr>
              <w:rFonts w:hint="eastAsia"/>
            </w:rPr>
            <w:fldChar w:fldCharType="end"/>
          </w:r>
        </w:p>
        <w:p w14:paraId="1A9A4ECB">
          <w:pPr>
            <w:pStyle w:val="18"/>
            <w:tabs>
              <w:tab w:val="right" w:leader="dot" w:pos="9060"/>
            </w:tabs>
            <w:ind w:left="960"/>
            <w:rPr>
              <w:rFonts w:hint="eastAsia" w:asciiTheme="minorHAnsi" w:hAnsiTheme="minorHAnsi" w:eastAsiaTheme="minorEastAsia"/>
              <w:sz w:val="22"/>
            </w:rPr>
          </w:pPr>
          <w:r>
            <w:fldChar w:fldCharType="begin"/>
          </w:r>
          <w:r>
            <w:instrText xml:space="preserve"> HYPERLINK \l "_Toc221056408" </w:instrText>
          </w:r>
          <w:r>
            <w:fldChar w:fldCharType="separate"/>
          </w:r>
          <w:r>
            <w:rPr>
              <w:rStyle w:val="41"/>
              <w:rFonts w:hint="eastAsia"/>
              <w:color w:val="000000" w:themeColor="text1"/>
              <w14:textFill>
                <w14:solidFill>
                  <w14:schemeClr w14:val="tx1"/>
                </w14:solidFill>
              </w14:textFill>
            </w:rPr>
            <w:t>6.2.1污染气象分析</w:t>
          </w:r>
          <w:r>
            <w:rPr>
              <w:rFonts w:hint="eastAsia"/>
            </w:rPr>
            <w:tab/>
          </w:r>
          <w:r>
            <w:rPr>
              <w:rFonts w:hint="eastAsia"/>
            </w:rPr>
            <w:fldChar w:fldCharType="begin"/>
          </w:r>
          <w:r>
            <w:rPr>
              <w:rFonts w:hint="eastAsia"/>
            </w:rPr>
            <w:instrText xml:space="preserve"> </w:instrText>
          </w:r>
          <w:r>
            <w:instrText xml:space="preserve">PAGEREF _Toc221056408 \h</w:instrText>
          </w:r>
          <w:r>
            <w:rPr>
              <w:rFonts w:hint="eastAsia"/>
            </w:rPr>
            <w:instrText xml:space="preserve"> </w:instrText>
          </w:r>
          <w:r>
            <w:rPr>
              <w:rFonts w:hint="eastAsia"/>
            </w:rPr>
            <w:fldChar w:fldCharType="separate"/>
          </w:r>
          <w:r>
            <w:t>190</w:t>
          </w:r>
          <w:r>
            <w:rPr>
              <w:rFonts w:hint="eastAsia"/>
            </w:rPr>
            <w:fldChar w:fldCharType="end"/>
          </w:r>
          <w:r>
            <w:rPr>
              <w:rFonts w:hint="eastAsia"/>
            </w:rPr>
            <w:fldChar w:fldCharType="end"/>
          </w:r>
        </w:p>
        <w:p w14:paraId="2CCD71C7">
          <w:pPr>
            <w:pStyle w:val="18"/>
            <w:tabs>
              <w:tab w:val="right" w:leader="dot" w:pos="9060"/>
            </w:tabs>
            <w:ind w:left="960"/>
            <w:rPr>
              <w:rFonts w:hint="eastAsia" w:asciiTheme="minorHAnsi" w:hAnsiTheme="minorHAnsi" w:eastAsiaTheme="minorEastAsia"/>
              <w:sz w:val="22"/>
            </w:rPr>
          </w:pPr>
          <w:r>
            <w:fldChar w:fldCharType="begin"/>
          </w:r>
          <w:r>
            <w:instrText xml:space="preserve"> HYPERLINK \l "_Toc221056409" </w:instrText>
          </w:r>
          <w:r>
            <w:fldChar w:fldCharType="separate"/>
          </w:r>
          <w:r>
            <w:rPr>
              <w:rStyle w:val="41"/>
              <w:rFonts w:hint="eastAsia"/>
              <w:color w:val="000000" w:themeColor="text1"/>
              <w14:textFill>
                <w14:solidFill>
                  <w14:schemeClr w14:val="tx1"/>
                </w14:solidFill>
              </w14:textFill>
            </w:rPr>
            <w:t>6.2.2预测模式</w:t>
          </w:r>
          <w:r>
            <w:rPr>
              <w:rFonts w:hint="eastAsia"/>
            </w:rPr>
            <w:tab/>
          </w:r>
          <w:r>
            <w:rPr>
              <w:rFonts w:hint="eastAsia"/>
            </w:rPr>
            <w:fldChar w:fldCharType="begin"/>
          </w:r>
          <w:r>
            <w:rPr>
              <w:rFonts w:hint="eastAsia"/>
            </w:rPr>
            <w:instrText xml:space="preserve"> </w:instrText>
          </w:r>
          <w:r>
            <w:instrText xml:space="preserve">PAGEREF _Toc221056409 \h</w:instrText>
          </w:r>
          <w:r>
            <w:rPr>
              <w:rFonts w:hint="eastAsia"/>
            </w:rPr>
            <w:instrText xml:space="preserve"> </w:instrText>
          </w:r>
          <w:r>
            <w:rPr>
              <w:rFonts w:hint="eastAsia"/>
            </w:rPr>
            <w:fldChar w:fldCharType="separate"/>
          </w:r>
          <w:r>
            <w:t>194</w:t>
          </w:r>
          <w:r>
            <w:rPr>
              <w:rFonts w:hint="eastAsia"/>
            </w:rPr>
            <w:fldChar w:fldCharType="end"/>
          </w:r>
          <w:r>
            <w:rPr>
              <w:rFonts w:hint="eastAsia"/>
            </w:rPr>
            <w:fldChar w:fldCharType="end"/>
          </w:r>
        </w:p>
        <w:p w14:paraId="6092A354">
          <w:pPr>
            <w:pStyle w:val="18"/>
            <w:tabs>
              <w:tab w:val="right" w:leader="dot" w:pos="9060"/>
            </w:tabs>
            <w:ind w:left="960"/>
            <w:rPr>
              <w:rFonts w:hint="eastAsia" w:asciiTheme="minorHAnsi" w:hAnsiTheme="minorHAnsi" w:eastAsiaTheme="minorEastAsia"/>
              <w:sz w:val="22"/>
            </w:rPr>
          </w:pPr>
          <w:r>
            <w:fldChar w:fldCharType="begin"/>
          </w:r>
          <w:r>
            <w:instrText xml:space="preserve"> HYPERLINK \l "_Toc221056410" </w:instrText>
          </w:r>
          <w:r>
            <w:fldChar w:fldCharType="separate"/>
          </w:r>
          <w:r>
            <w:rPr>
              <w:rStyle w:val="41"/>
              <w:rFonts w:hint="eastAsia"/>
              <w:color w:val="000000" w:themeColor="text1"/>
              <w14:textFill>
                <w14:solidFill>
                  <w14:schemeClr w14:val="tx1"/>
                </w14:solidFill>
              </w14:textFill>
            </w:rPr>
            <w:t>6.2.3预测结果及分析</w:t>
          </w:r>
          <w:r>
            <w:rPr>
              <w:rFonts w:hint="eastAsia"/>
            </w:rPr>
            <w:tab/>
          </w:r>
          <w:r>
            <w:rPr>
              <w:rFonts w:hint="eastAsia"/>
            </w:rPr>
            <w:fldChar w:fldCharType="begin"/>
          </w:r>
          <w:r>
            <w:rPr>
              <w:rFonts w:hint="eastAsia"/>
            </w:rPr>
            <w:instrText xml:space="preserve"> </w:instrText>
          </w:r>
          <w:r>
            <w:instrText xml:space="preserve">PAGEREF _Toc221056410 \h</w:instrText>
          </w:r>
          <w:r>
            <w:rPr>
              <w:rFonts w:hint="eastAsia"/>
            </w:rPr>
            <w:instrText xml:space="preserve"> </w:instrText>
          </w:r>
          <w:r>
            <w:rPr>
              <w:rFonts w:hint="eastAsia"/>
            </w:rPr>
            <w:fldChar w:fldCharType="separate"/>
          </w:r>
          <w:r>
            <w:t>198</w:t>
          </w:r>
          <w:r>
            <w:rPr>
              <w:rFonts w:hint="eastAsia"/>
            </w:rPr>
            <w:fldChar w:fldCharType="end"/>
          </w:r>
          <w:r>
            <w:rPr>
              <w:rFonts w:hint="eastAsia"/>
            </w:rPr>
            <w:fldChar w:fldCharType="end"/>
          </w:r>
        </w:p>
        <w:p w14:paraId="7490A4A8">
          <w:pPr>
            <w:pStyle w:val="18"/>
            <w:tabs>
              <w:tab w:val="right" w:leader="dot" w:pos="9060"/>
            </w:tabs>
            <w:ind w:left="960"/>
            <w:rPr>
              <w:rFonts w:hint="eastAsia" w:asciiTheme="minorHAnsi" w:hAnsiTheme="minorHAnsi" w:eastAsiaTheme="minorEastAsia"/>
              <w:sz w:val="22"/>
            </w:rPr>
          </w:pPr>
          <w:r>
            <w:fldChar w:fldCharType="begin"/>
          </w:r>
          <w:r>
            <w:instrText xml:space="preserve"> HYPERLINK \l "_Toc221056411" </w:instrText>
          </w:r>
          <w:r>
            <w:fldChar w:fldCharType="separate"/>
          </w:r>
          <w:r>
            <w:rPr>
              <w:rStyle w:val="41"/>
              <w:rFonts w:hint="eastAsia"/>
              <w:color w:val="000000" w:themeColor="text1"/>
              <w14:textFill>
                <w14:solidFill>
                  <w14:schemeClr w14:val="tx1"/>
                </w14:solidFill>
              </w14:textFill>
            </w:rPr>
            <w:t>6.2.4大气污染物排放量核算</w:t>
          </w:r>
          <w:r>
            <w:rPr>
              <w:rFonts w:hint="eastAsia"/>
            </w:rPr>
            <w:tab/>
          </w:r>
          <w:r>
            <w:rPr>
              <w:rFonts w:hint="eastAsia"/>
            </w:rPr>
            <w:fldChar w:fldCharType="begin"/>
          </w:r>
          <w:r>
            <w:rPr>
              <w:rFonts w:hint="eastAsia"/>
            </w:rPr>
            <w:instrText xml:space="preserve"> </w:instrText>
          </w:r>
          <w:r>
            <w:instrText xml:space="preserve">PAGEREF _Toc221056411 \h</w:instrText>
          </w:r>
          <w:r>
            <w:rPr>
              <w:rFonts w:hint="eastAsia"/>
            </w:rPr>
            <w:instrText xml:space="preserve"> </w:instrText>
          </w:r>
          <w:r>
            <w:rPr>
              <w:rFonts w:hint="eastAsia"/>
            </w:rPr>
            <w:fldChar w:fldCharType="separate"/>
          </w:r>
          <w:r>
            <w:t>209</w:t>
          </w:r>
          <w:r>
            <w:rPr>
              <w:rFonts w:hint="eastAsia"/>
            </w:rPr>
            <w:fldChar w:fldCharType="end"/>
          </w:r>
          <w:r>
            <w:rPr>
              <w:rFonts w:hint="eastAsia"/>
            </w:rPr>
            <w:fldChar w:fldCharType="end"/>
          </w:r>
        </w:p>
        <w:p w14:paraId="6C09A462">
          <w:pPr>
            <w:pStyle w:val="18"/>
            <w:tabs>
              <w:tab w:val="right" w:leader="dot" w:pos="9060"/>
            </w:tabs>
            <w:ind w:left="960"/>
            <w:rPr>
              <w:rFonts w:hint="eastAsia" w:asciiTheme="minorHAnsi" w:hAnsiTheme="minorHAnsi" w:eastAsiaTheme="minorEastAsia"/>
              <w:sz w:val="22"/>
            </w:rPr>
          </w:pPr>
          <w:r>
            <w:fldChar w:fldCharType="begin"/>
          </w:r>
          <w:r>
            <w:instrText xml:space="preserve"> HYPERLINK \l "_Toc221056412" </w:instrText>
          </w:r>
          <w:r>
            <w:fldChar w:fldCharType="separate"/>
          </w:r>
          <w:r>
            <w:rPr>
              <w:rStyle w:val="41"/>
              <w:rFonts w:hint="eastAsia"/>
              <w:color w:val="000000" w:themeColor="text1"/>
              <w14:textFill>
                <w14:solidFill>
                  <w14:schemeClr w14:val="tx1"/>
                </w14:solidFill>
              </w14:textFill>
            </w:rPr>
            <w:t>6.2.5环境空气影响评价自查表</w:t>
          </w:r>
          <w:r>
            <w:rPr>
              <w:rFonts w:hint="eastAsia"/>
            </w:rPr>
            <w:tab/>
          </w:r>
          <w:r>
            <w:rPr>
              <w:rFonts w:hint="eastAsia"/>
            </w:rPr>
            <w:fldChar w:fldCharType="begin"/>
          </w:r>
          <w:r>
            <w:rPr>
              <w:rFonts w:hint="eastAsia"/>
            </w:rPr>
            <w:instrText xml:space="preserve"> </w:instrText>
          </w:r>
          <w:r>
            <w:instrText xml:space="preserve">PAGEREF _Toc221056412 \h</w:instrText>
          </w:r>
          <w:r>
            <w:rPr>
              <w:rFonts w:hint="eastAsia"/>
            </w:rPr>
            <w:instrText xml:space="preserve"> </w:instrText>
          </w:r>
          <w:r>
            <w:rPr>
              <w:rFonts w:hint="eastAsia"/>
            </w:rPr>
            <w:fldChar w:fldCharType="separate"/>
          </w:r>
          <w:r>
            <w:t>209</w:t>
          </w:r>
          <w:r>
            <w:rPr>
              <w:rFonts w:hint="eastAsia"/>
            </w:rPr>
            <w:fldChar w:fldCharType="end"/>
          </w:r>
          <w:r>
            <w:rPr>
              <w:rFonts w:hint="eastAsia"/>
            </w:rPr>
            <w:fldChar w:fldCharType="end"/>
          </w:r>
        </w:p>
        <w:p w14:paraId="48F43E69">
          <w:pPr>
            <w:pStyle w:val="31"/>
            <w:tabs>
              <w:tab w:val="right" w:leader="dot" w:pos="9060"/>
            </w:tabs>
            <w:ind w:left="480"/>
            <w:rPr>
              <w:rFonts w:hint="eastAsia" w:asciiTheme="minorHAnsi" w:hAnsiTheme="minorHAnsi" w:eastAsiaTheme="minorEastAsia"/>
              <w:sz w:val="22"/>
            </w:rPr>
          </w:pPr>
          <w:r>
            <w:fldChar w:fldCharType="begin"/>
          </w:r>
          <w:r>
            <w:instrText xml:space="preserve"> HYPERLINK \l "_Toc221056413" </w:instrText>
          </w:r>
          <w:r>
            <w:fldChar w:fldCharType="separate"/>
          </w:r>
          <w:r>
            <w:rPr>
              <w:rStyle w:val="41"/>
              <w:rFonts w:hint="eastAsia"/>
              <w:color w:val="000000" w:themeColor="text1"/>
              <w14:textFill>
                <w14:solidFill>
                  <w14:schemeClr w14:val="tx1"/>
                </w14:solidFill>
              </w14:textFill>
            </w:rPr>
            <w:t>6.3运营期地表水环境影响分析</w:t>
          </w:r>
          <w:r>
            <w:rPr>
              <w:rFonts w:hint="eastAsia"/>
            </w:rPr>
            <w:tab/>
          </w:r>
          <w:r>
            <w:rPr>
              <w:rFonts w:hint="eastAsia"/>
            </w:rPr>
            <w:fldChar w:fldCharType="begin"/>
          </w:r>
          <w:r>
            <w:rPr>
              <w:rFonts w:hint="eastAsia"/>
            </w:rPr>
            <w:instrText xml:space="preserve"> </w:instrText>
          </w:r>
          <w:r>
            <w:instrText xml:space="preserve">PAGEREF _Toc221056413 \h</w:instrText>
          </w:r>
          <w:r>
            <w:rPr>
              <w:rFonts w:hint="eastAsia"/>
            </w:rPr>
            <w:instrText xml:space="preserve"> </w:instrText>
          </w:r>
          <w:r>
            <w:rPr>
              <w:rFonts w:hint="eastAsia"/>
            </w:rPr>
            <w:fldChar w:fldCharType="separate"/>
          </w:r>
          <w:r>
            <w:t>211</w:t>
          </w:r>
          <w:r>
            <w:rPr>
              <w:rFonts w:hint="eastAsia"/>
            </w:rPr>
            <w:fldChar w:fldCharType="end"/>
          </w:r>
          <w:r>
            <w:rPr>
              <w:rFonts w:hint="eastAsia"/>
            </w:rPr>
            <w:fldChar w:fldCharType="end"/>
          </w:r>
        </w:p>
        <w:p w14:paraId="5D0B10E5">
          <w:pPr>
            <w:pStyle w:val="18"/>
            <w:tabs>
              <w:tab w:val="right" w:leader="dot" w:pos="9060"/>
            </w:tabs>
            <w:ind w:left="960"/>
            <w:rPr>
              <w:rFonts w:hint="eastAsia" w:asciiTheme="minorHAnsi" w:hAnsiTheme="minorHAnsi" w:eastAsiaTheme="minorEastAsia"/>
              <w:sz w:val="22"/>
            </w:rPr>
          </w:pPr>
          <w:r>
            <w:fldChar w:fldCharType="begin"/>
          </w:r>
          <w:r>
            <w:instrText xml:space="preserve"> HYPERLINK \l "_Toc221056414" </w:instrText>
          </w:r>
          <w:r>
            <w:fldChar w:fldCharType="separate"/>
          </w:r>
          <w:r>
            <w:rPr>
              <w:rStyle w:val="41"/>
              <w:rFonts w:hint="eastAsia"/>
              <w:color w:val="000000" w:themeColor="text1"/>
              <w14:textFill>
                <w14:solidFill>
                  <w14:schemeClr w14:val="tx1"/>
                </w14:solidFill>
              </w14:textFill>
            </w:rPr>
            <w:t>6.3.1地表水环境影响</w:t>
          </w:r>
          <w:r>
            <w:rPr>
              <w:rFonts w:hint="eastAsia"/>
            </w:rPr>
            <w:tab/>
          </w:r>
          <w:r>
            <w:rPr>
              <w:rFonts w:hint="eastAsia"/>
            </w:rPr>
            <w:fldChar w:fldCharType="begin"/>
          </w:r>
          <w:r>
            <w:rPr>
              <w:rFonts w:hint="eastAsia"/>
            </w:rPr>
            <w:instrText xml:space="preserve"> </w:instrText>
          </w:r>
          <w:r>
            <w:instrText xml:space="preserve">PAGEREF _Toc221056414 \h</w:instrText>
          </w:r>
          <w:r>
            <w:rPr>
              <w:rFonts w:hint="eastAsia"/>
            </w:rPr>
            <w:instrText xml:space="preserve"> </w:instrText>
          </w:r>
          <w:r>
            <w:rPr>
              <w:rFonts w:hint="eastAsia"/>
            </w:rPr>
            <w:fldChar w:fldCharType="separate"/>
          </w:r>
          <w:r>
            <w:t>211</w:t>
          </w:r>
          <w:r>
            <w:rPr>
              <w:rFonts w:hint="eastAsia"/>
            </w:rPr>
            <w:fldChar w:fldCharType="end"/>
          </w:r>
          <w:r>
            <w:rPr>
              <w:rFonts w:hint="eastAsia"/>
            </w:rPr>
            <w:fldChar w:fldCharType="end"/>
          </w:r>
        </w:p>
        <w:p w14:paraId="0C93F75D">
          <w:pPr>
            <w:pStyle w:val="18"/>
            <w:tabs>
              <w:tab w:val="right" w:leader="dot" w:pos="9060"/>
            </w:tabs>
            <w:ind w:left="960"/>
            <w:rPr>
              <w:rFonts w:hint="eastAsia" w:asciiTheme="minorHAnsi" w:hAnsiTheme="minorHAnsi" w:eastAsiaTheme="minorEastAsia"/>
              <w:sz w:val="22"/>
            </w:rPr>
          </w:pPr>
          <w:r>
            <w:fldChar w:fldCharType="begin"/>
          </w:r>
          <w:r>
            <w:instrText xml:space="preserve"> HYPERLINK \l "_Toc221056415" </w:instrText>
          </w:r>
          <w:r>
            <w:fldChar w:fldCharType="separate"/>
          </w:r>
          <w:r>
            <w:rPr>
              <w:rStyle w:val="41"/>
              <w:rFonts w:hint="eastAsia"/>
              <w:color w:val="000000" w:themeColor="text1"/>
              <w14:textFill>
                <w14:solidFill>
                  <w14:schemeClr w14:val="tx1"/>
                </w14:solidFill>
              </w14:textFill>
            </w:rPr>
            <w:t>6.3.2水污染物排放量核算</w:t>
          </w:r>
          <w:r>
            <w:rPr>
              <w:rFonts w:hint="eastAsia"/>
            </w:rPr>
            <w:tab/>
          </w:r>
          <w:r>
            <w:rPr>
              <w:rFonts w:hint="eastAsia"/>
            </w:rPr>
            <w:fldChar w:fldCharType="begin"/>
          </w:r>
          <w:r>
            <w:rPr>
              <w:rFonts w:hint="eastAsia"/>
            </w:rPr>
            <w:instrText xml:space="preserve"> </w:instrText>
          </w:r>
          <w:r>
            <w:instrText xml:space="preserve">PAGEREF _Toc221056415 \h</w:instrText>
          </w:r>
          <w:r>
            <w:rPr>
              <w:rFonts w:hint="eastAsia"/>
            </w:rPr>
            <w:instrText xml:space="preserve"> </w:instrText>
          </w:r>
          <w:r>
            <w:rPr>
              <w:rFonts w:hint="eastAsia"/>
            </w:rPr>
            <w:fldChar w:fldCharType="separate"/>
          </w:r>
          <w:r>
            <w:t>213</w:t>
          </w:r>
          <w:r>
            <w:rPr>
              <w:rFonts w:hint="eastAsia"/>
            </w:rPr>
            <w:fldChar w:fldCharType="end"/>
          </w:r>
          <w:r>
            <w:rPr>
              <w:rFonts w:hint="eastAsia"/>
            </w:rPr>
            <w:fldChar w:fldCharType="end"/>
          </w:r>
        </w:p>
        <w:p w14:paraId="238559EB">
          <w:pPr>
            <w:pStyle w:val="18"/>
            <w:tabs>
              <w:tab w:val="right" w:leader="dot" w:pos="9060"/>
            </w:tabs>
            <w:ind w:left="960"/>
            <w:rPr>
              <w:rFonts w:hint="eastAsia" w:asciiTheme="minorHAnsi" w:hAnsiTheme="minorHAnsi" w:eastAsiaTheme="minorEastAsia"/>
              <w:sz w:val="22"/>
            </w:rPr>
          </w:pPr>
          <w:r>
            <w:fldChar w:fldCharType="begin"/>
          </w:r>
          <w:r>
            <w:instrText xml:space="preserve"> HYPERLINK \l "_Toc221056416" </w:instrText>
          </w:r>
          <w:r>
            <w:fldChar w:fldCharType="separate"/>
          </w:r>
          <w:r>
            <w:rPr>
              <w:rStyle w:val="41"/>
              <w:rFonts w:hint="eastAsia"/>
              <w:color w:val="000000" w:themeColor="text1"/>
              <w14:textFill>
                <w14:solidFill>
                  <w14:schemeClr w14:val="tx1"/>
                </w14:solidFill>
              </w14:textFill>
            </w:rPr>
            <w:t>6.3.3地表水环境影响评价自查表</w:t>
          </w:r>
          <w:r>
            <w:rPr>
              <w:rFonts w:hint="eastAsia"/>
            </w:rPr>
            <w:tab/>
          </w:r>
          <w:r>
            <w:rPr>
              <w:rFonts w:hint="eastAsia"/>
            </w:rPr>
            <w:fldChar w:fldCharType="begin"/>
          </w:r>
          <w:r>
            <w:rPr>
              <w:rFonts w:hint="eastAsia"/>
            </w:rPr>
            <w:instrText xml:space="preserve"> </w:instrText>
          </w:r>
          <w:r>
            <w:instrText xml:space="preserve">PAGEREF _Toc221056416 \h</w:instrText>
          </w:r>
          <w:r>
            <w:rPr>
              <w:rFonts w:hint="eastAsia"/>
            </w:rPr>
            <w:instrText xml:space="preserve"> </w:instrText>
          </w:r>
          <w:r>
            <w:rPr>
              <w:rFonts w:hint="eastAsia"/>
            </w:rPr>
            <w:fldChar w:fldCharType="separate"/>
          </w:r>
          <w:r>
            <w:t>213</w:t>
          </w:r>
          <w:r>
            <w:rPr>
              <w:rFonts w:hint="eastAsia"/>
            </w:rPr>
            <w:fldChar w:fldCharType="end"/>
          </w:r>
          <w:r>
            <w:rPr>
              <w:rFonts w:hint="eastAsia"/>
            </w:rPr>
            <w:fldChar w:fldCharType="end"/>
          </w:r>
        </w:p>
        <w:p w14:paraId="4DD74983">
          <w:pPr>
            <w:pStyle w:val="31"/>
            <w:tabs>
              <w:tab w:val="right" w:leader="dot" w:pos="9060"/>
            </w:tabs>
            <w:ind w:left="480"/>
            <w:rPr>
              <w:rFonts w:hint="eastAsia" w:asciiTheme="minorHAnsi" w:hAnsiTheme="minorHAnsi" w:eastAsiaTheme="minorEastAsia"/>
              <w:sz w:val="22"/>
            </w:rPr>
          </w:pPr>
          <w:r>
            <w:fldChar w:fldCharType="begin"/>
          </w:r>
          <w:r>
            <w:instrText xml:space="preserve"> HYPERLINK \l "_Toc221056417" </w:instrText>
          </w:r>
          <w:r>
            <w:fldChar w:fldCharType="separate"/>
          </w:r>
          <w:r>
            <w:rPr>
              <w:rStyle w:val="41"/>
              <w:rFonts w:hint="eastAsia"/>
              <w:color w:val="000000" w:themeColor="text1"/>
              <w14:textFill>
                <w14:solidFill>
                  <w14:schemeClr w14:val="tx1"/>
                </w14:solidFill>
              </w14:textFill>
            </w:rPr>
            <w:t>6.4运营期声环境影响分析</w:t>
          </w:r>
          <w:r>
            <w:rPr>
              <w:rFonts w:hint="eastAsia"/>
            </w:rPr>
            <w:tab/>
          </w:r>
          <w:r>
            <w:rPr>
              <w:rFonts w:hint="eastAsia"/>
            </w:rPr>
            <w:fldChar w:fldCharType="begin"/>
          </w:r>
          <w:r>
            <w:rPr>
              <w:rFonts w:hint="eastAsia"/>
            </w:rPr>
            <w:instrText xml:space="preserve"> </w:instrText>
          </w:r>
          <w:r>
            <w:instrText xml:space="preserve">PAGEREF _Toc221056417 \h</w:instrText>
          </w:r>
          <w:r>
            <w:rPr>
              <w:rFonts w:hint="eastAsia"/>
            </w:rPr>
            <w:instrText xml:space="preserve"> </w:instrText>
          </w:r>
          <w:r>
            <w:rPr>
              <w:rFonts w:hint="eastAsia"/>
            </w:rPr>
            <w:fldChar w:fldCharType="separate"/>
          </w:r>
          <w:r>
            <w:t>217</w:t>
          </w:r>
          <w:r>
            <w:rPr>
              <w:rFonts w:hint="eastAsia"/>
            </w:rPr>
            <w:fldChar w:fldCharType="end"/>
          </w:r>
          <w:r>
            <w:rPr>
              <w:rFonts w:hint="eastAsia"/>
            </w:rPr>
            <w:fldChar w:fldCharType="end"/>
          </w:r>
        </w:p>
        <w:p w14:paraId="572C08D2">
          <w:pPr>
            <w:pStyle w:val="18"/>
            <w:tabs>
              <w:tab w:val="right" w:leader="dot" w:pos="9060"/>
            </w:tabs>
            <w:ind w:left="960"/>
            <w:rPr>
              <w:rFonts w:hint="eastAsia" w:asciiTheme="minorHAnsi" w:hAnsiTheme="minorHAnsi" w:eastAsiaTheme="minorEastAsia"/>
              <w:sz w:val="22"/>
            </w:rPr>
          </w:pPr>
          <w:r>
            <w:fldChar w:fldCharType="begin"/>
          </w:r>
          <w:r>
            <w:instrText xml:space="preserve"> HYPERLINK \l "_Toc221056418" </w:instrText>
          </w:r>
          <w:r>
            <w:fldChar w:fldCharType="separate"/>
          </w:r>
          <w:r>
            <w:rPr>
              <w:rStyle w:val="41"/>
              <w:rFonts w:hint="eastAsia"/>
              <w:color w:val="000000" w:themeColor="text1"/>
              <w14:textFill>
                <w14:solidFill>
                  <w14:schemeClr w14:val="tx1"/>
                </w14:solidFill>
              </w14:textFill>
            </w:rPr>
            <w:t>6.4.1噪声源强</w:t>
          </w:r>
          <w:r>
            <w:rPr>
              <w:rFonts w:hint="eastAsia"/>
            </w:rPr>
            <w:tab/>
          </w:r>
          <w:r>
            <w:rPr>
              <w:rFonts w:hint="eastAsia"/>
            </w:rPr>
            <w:fldChar w:fldCharType="begin"/>
          </w:r>
          <w:r>
            <w:rPr>
              <w:rFonts w:hint="eastAsia"/>
            </w:rPr>
            <w:instrText xml:space="preserve"> </w:instrText>
          </w:r>
          <w:r>
            <w:instrText xml:space="preserve">PAGEREF _Toc221056418 \h</w:instrText>
          </w:r>
          <w:r>
            <w:rPr>
              <w:rFonts w:hint="eastAsia"/>
            </w:rPr>
            <w:instrText xml:space="preserve"> </w:instrText>
          </w:r>
          <w:r>
            <w:rPr>
              <w:rFonts w:hint="eastAsia"/>
            </w:rPr>
            <w:fldChar w:fldCharType="separate"/>
          </w:r>
          <w:r>
            <w:t>217</w:t>
          </w:r>
          <w:r>
            <w:rPr>
              <w:rFonts w:hint="eastAsia"/>
            </w:rPr>
            <w:fldChar w:fldCharType="end"/>
          </w:r>
          <w:r>
            <w:rPr>
              <w:rFonts w:hint="eastAsia"/>
            </w:rPr>
            <w:fldChar w:fldCharType="end"/>
          </w:r>
        </w:p>
        <w:p w14:paraId="4F5B3F26">
          <w:pPr>
            <w:pStyle w:val="18"/>
            <w:tabs>
              <w:tab w:val="right" w:leader="dot" w:pos="9060"/>
            </w:tabs>
            <w:ind w:left="960"/>
            <w:rPr>
              <w:rFonts w:hint="eastAsia" w:asciiTheme="minorHAnsi" w:hAnsiTheme="minorHAnsi" w:eastAsiaTheme="minorEastAsia"/>
              <w:sz w:val="22"/>
            </w:rPr>
          </w:pPr>
          <w:r>
            <w:fldChar w:fldCharType="begin"/>
          </w:r>
          <w:r>
            <w:instrText xml:space="preserve"> HYPERLINK \l "_Toc221056419" </w:instrText>
          </w:r>
          <w:r>
            <w:fldChar w:fldCharType="separate"/>
          </w:r>
          <w:r>
            <w:rPr>
              <w:rStyle w:val="41"/>
              <w:rFonts w:hint="eastAsia"/>
              <w:color w:val="000000" w:themeColor="text1"/>
              <w14:textFill>
                <w14:solidFill>
                  <w14:schemeClr w14:val="tx1"/>
                </w14:solidFill>
              </w14:textFill>
            </w:rPr>
            <w:t>6.4.2预测模型及方法</w:t>
          </w:r>
          <w:r>
            <w:rPr>
              <w:rFonts w:hint="eastAsia"/>
            </w:rPr>
            <w:tab/>
          </w:r>
          <w:r>
            <w:rPr>
              <w:rFonts w:hint="eastAsia"/>
            </w:rPr>
            <w:fldChar w:fldCharType="begin"/>
          </w:r>
          <w:r>
            <w:rPr>
              <w:rFonts w:hint="eastAsia"/>
            </w:rPr>
            <w:instrText xml:space="preserve"> </w:instrText>
          </w:r>
          <w:r>
            <w:instrText xml:space="preserve">PAGEREF _Toc221056419 \h</w:instrText>
          </w:r>
          <w:r>
            <w:rPr>
              <w:rFonts w:hint="eastAsia"/>
            </w:rPr>
            <w:instrText xml:space="preserve"> </w:instrText>
          </w:r>
          <w:r>
            <w:rPr>
              <w:rFonts w:hint="eastAsia"/>
            </w:rPr>
            <w:fldChar w:fldCharType="separate"/>
          </w:r>
          <w:r>
            <w:t>217</w:t>
          </w:r>
          <w:r>
            <w:rPr>
              <w:rFonts w:hint="eastAsia"/>
            </w:rPr>
            <w:fldChar w:fldCharType="end"/>
          </w:r>
          <w:r>
            <w:rPr>
              <w:rFonts w:hint="eastAsia"/>
            </w:rPr>
            <w:fldChar w:fldCharType="end"/>
          </w:r>
        </w:p>
        <w:p w14:paraId="7A926CFE">
          <w:pPr>
            <w:pStyle w:val="18"/>
            <w:tabs>
              <w:tab w:val="right" w:leader="dot" w:pos="9060"/>
            </w:tabs>
            <w:ind w:left="960"/>
            <w:rPr>
              <w:rFonts w:hint="eastAsia" w:asciiTheme="minorHAnsi" w:hAnsiTheme="minorHAnsi" w:eastAsiaTheme="minorEastAsia"/>
              <w:sz w:val="22"/>
            </w:rPr>
          </w:pPr>
          <w:r>
            <w:fldChar w:fldCharType="begin"/>
          </w:r>
          <w:r>
            <w:instrText xml:space="preserve"> HYPERLINK \l "_Toc221056420" </w:instrText>
          </w:r>
          <w:r>
            <w:fldChar w:fldCharType="separate"/>
          </w:r>
          <w:r>
            <w:rPr>
              <w:rStyle w:val="41"/>
              <w:rFonts w:hint="eastAsia"/>
              <w:color w:val="000000" w:themeColor="text1"/>
              <w14:textFill>
                <w14:solidFill>
                  <w14:schemeClr w14:val="tx1"/>
                </w14:solidFill>
              </w14:textFill>
            </w:rPr>
            <w:t>6.4.3预测结果及评价</w:t>
          </w:r>
          <w:r>
            <w:rPr>
              <w:rFonts w:hint="eastAsia"/>
            </w:rPr>
            <w:tab/>
          </w:r>
          <w:r>
            <w:rPr>
              <w:rFonts w:hint="eastAsia"/>
            </w:rPr>
            <w:fldChar w:fldCharType="begin"/>
          </w:r>
          <w:r>
            <w:rPr>
              <w:rFonts w:hint="eastAsia"/>
            </w:rPr>
            <w:instrText xml:space="preserve"> </w:instrText>
          </w:r>
          <w:r>
            <w:instrText xml:space="preserve">PAGEREF _Toc221056420 \h</w:instrText>
          </w:r>
          <w:r>
            <w:rPr>
              <w:rFonts w:hint="eastAsia"/>
            </w:rPr>
            <w:instrText xml:space="preserve"> </w:instrText>
          </w:r>
          <w:r>
            <w:rPr>
              <w:rFonts w:hint="eastAsia"/>
            </w:rPr>
            <w:fldChar w:fldCharType="separate"/>
          </w:r>
          <w:r>
            <w:t>218</w:t>
          </w:r>
          <w:r>
            <w:rPr>
              <w:rFonts w:hint="eastAsia"/>
            </w:rPr>
            <w:fldChar w:fldCharType="end"/>
          </w:r>
          <w:r>
            <w:rPr>
              <w:rFonts w:hint="eastAsia"/>
            </w:rPr>
            <w:fldChar w:fldCharType="end"/>
          </w:r>
        </w:p>
        <w:p w14:paraId="5E6C4475">
          <w:pPr>
            <w:pStyle w:val="18"/>
            <w:tabs>
              <w:tab w:val="right" w:leader="dot" w:pos="9060"/>
            </w:tabs>
            <w:ind w:left="960"/>
            <w:rPr>
              <w:rFonts w:hint="eastAsia" w:asciiTheme="minorHAnsi" w:hAnsiTheme="minorHAnsi" w:eastAsiaTheme="minorEastAsia"/>
              <w:sz w:val="22"/>
            </w:rPr>
          </w:pPr>
          <w:r>
            <w:fldChar w:fldCharType="begin"/>
          </w:r>
          <w:r>
            <w:instrText xml:space="preserve"> HYPERLINK \l "_Toc221056421" </w:instrText>
          </w:r>
          <w:r>
            <w:fldChar w:fldCharType="separate"/>
          </w:r>
          <w:r>
            <w:rPr>
              <w:rStyle w:val="41"/>
              <w:rFonts w:hint="eastAsia"/>
              <w:color w:val="000000" w:themeColor="text1"/>
              <w14:textFill>
                <w14:solidFill>
                  <w14:schemeClr w14:val="tx1"/>
                </w14:solidFill>
              </w14:textFill>
            </w:rPr>
            <w:t>6.4.4声环境影响评价自查表</w:t>
          </w:r>
          <w:r>
            <w:rPr>
              <w:rFonts w:hint="eastAsia"/>
            </w:rPr>
            <w:tab/>
          </w:r>
          <w:r>
            <w:rPr>
              <w:rFonts w:hint="eastAsia"/>
            </w:rPr>
            <w:fldChar w:fldCharType="begin"/>
          </w:r>
          <w:r>
            <w:rPr>
              <w:rFonts w:hint="eastAsia"/>
            </w:rPr>
            <w:instrText xml:space="preserve"> </w:instrText>
          </w:r>
          <w:r>
            <w:instrText xml:space="preserve">PAGEREF _Toc221056421 \h</w:instrText>
          </w:r>
          <w:r>
            <w:rPr>
              <w:rFonts w:hint="eastAsia"/>
            </w:rPr>
            <w:instrText xml:space="preserve"> </w:instrText>
          </w:r>
          <w:r>
            <w:rPr>
              <w:rFonts w:hint="eastAsia"/>
            </w:rPr>
            <w:fldChar w:fldCharType="separate"/>
          </w:r>
          <w:r>
            <w:t>219</w:t>
          </w:r>
          <w:r>
            <w:rPr>
              <w:rFonts w:hint="eastAsia"/>
            </w:rPr>
            <w:fldChar w:fldCharType="end"/>
          </w:r>
          <w:r>
            <w:rPr>
              <w:rFonts w:hint="eastAsia"/>
            </w:rPr>
            <w:fldChar w:fldCharType="end"/>
          </w:r>
        </w:p>
        <w:p w14:paraId="7A8B23D4">
          <w:pPr>
            <w:pStyle w:val="31"/>
            <w:tabs>
              <w:tab w:val="right" w:leader="dot" w:pos="9060"/>
            </w:tabs>
            <w:ind w:left="480"/>
            <w:rPr>
              <w:rFonts w:hint="eastAsia" w:asciiTheme="minorHAnsi" w:hAnsiTheme="minorHAnsi" w:eastAsiaTheme="minorEastAsia"/>
              <w:sz w:val="22"/>
            </w:rPr>
          </w:pPr>
          <w:r>
            <w:fldChar w:fldCharType="begin"/>
          </w:r>
          <w:r>
            <w:instrText xml:space="preserve"> HYPERLINK \l "_Toc221056422" </w:instrText>
          </w:r>
          <w:r>
            <w:fldChar w:fldCharType="separate"/>
          </w:r>
          <w:r>
            <w:rPr>
              <w:rStyle w:val="41"/>
              <w:rFonts w:hint="eastAsia"/>
              <w:color w:val="000000" w:themeColor="text1"/>
              <w14:textFill>
                <w14:solidFill>
                  <w14:schemeClr w14:val="tx1"/>
                </w14:solidFill>
              </w14:textFill>
            </w:rPr>
            <w:t>6.5运营期固体废物环境影响分析</w:t>
          </w:r>
          <w:r>
            <w:rPr>
              <w:rFonts w:hint="eastAsia"/>
            </w:rPr>
            <w:tab/>
          </w:r>
          <w:r>
            <w:rPr>
              <w:rFonts w:hint="eastAsia"/>
            </w:rPr>
            <w:fldChar w:fldCharType="begin"/>
          </w:r>
          <w:r>
            <w:rPr>
              <w:rFonts w:hint="eastAsia"/>
            </w:rPr>
            <w:instrText xml:space="preserve"> </w:instrText>
          </w:r>
          <w:r>
            <w:instrText xml:space="preserve">PAGEREF _Toc221056422 \h</w:instrText>
          </w:r>
          <w:r>
            <w:rPr>
              <w:rFonts w:hint="eastAsia"/>
            </w:rPr>
            <w:instrText xml:space="preserve"> </w:instrText>
          </w:r>
          <w:r>
            <w:rPr>
              <w:rFonts w:hint="eastAsia"/>
            </w:rPr>
            <w:fldChar w:fldCharType="separate"/>
          </w:r>
          <w:r>
            <w:t>220</w:t>
          </w:r>
          <w:r>
            <w:rPr>
              <w:rFonts w:hint="eastAsia"/>
            </w:rPr>
            <w:fldChar w:fldCharType="end"/>
          </w:r>
          <w:r>
            <w:rPr>
              <w:rFonts w:hint="eastAsia"/>
            </w:rPr>
            <w:fldChar w:fldCharType="end"/>
          </w:r>
        </w:p>
        <w:p w14:paraId="46EA685D">
          <w:pPr>
            <w:pStyle w:val="18"/>
            <w:tabs>
              <w:tab w:val="right" w:leader="dot" w:pos="9060"/>
            </w:tabs>
            <w:ind w:left="960"/>
            <w:rPr>
              <w:rFonts w:hint="eastAsia" w:asciiTheme="minorHAnsi" w:hAnsiTheme="minorHAnsi" w:eastAsiaTheme="minorEastAsia"/>
              <w:sz w:val="22"/>
            </w:rPr>
          </w:pPr>
          <w:r>
            <w:fldChar w:fldCharType="begin"/>
          </w:r>
          <w:r>
            <w:instrText xml:space="preserve"> HYPERLINK \l "_Toc221056423" </w:instrText>
          </w:r>
          <w:r>
            <w:fldChar w:fldCharType="separate"/>
          </w:r>
          <w:r>
            <w:rPr>
              <w:rStyle w:val="41"/>
              <w:rFonts w:hint="eastAsia"/>
              <w:color w:val="000000" w:themeColor="text1"/>
              <w14:textFill>
                <w14:solidFill>
                  <w14:schemeClr w14:val="tx1"/>
                </w14:solidFill>
              </w14:textFill>
            </w:rPr>
            <w:t>6.5.1固体废物产生处置情况</w:t>
          </w:r>
          <w:r>
            <w:rPr>
              <w:rFonts w:hint="eastAsia"/>
            </w:rPr>
            <w:tab/>
          </w:r>
          <w:r>
            <w:rPr>
              <w:rFonts w:hint="eastAsia"/>
            </w:rPr>
            <w:fldChar w:fldCharType="begin"/>
          </w:r>
          <w:r>
            <w:rPr>
              <w:rFonts w:hint="eastAsia"/>
            </w:rPr>
            <w:instrText xml:space="preserve"> </w:instrText>
          </w:r>
          <w:r>
            <w:instrText xml:space="preserve">PAGEREF _Toc221056423 \h</w:instrText>
          </w:r>
          <w:r>
            <w:rPr>
              <w:rFonts w:hint="eastAsia"/>
            </w:rPr>
            <w:instrText xml:space="preserve"> </w:instrText>
          </w:r>
          <w:r>
            <w:rPr>
              <w:rFonts w:hint="eastAsia"/>
            </w:rPr>
            <w:fldChar w:fldCharType="separate"/>
          </w:r>
          <w:r>
            <w:t>220</w:t>
          </w:r>
          <w:r>
            <w:rPr>
              <w:rFonts w:hint="eastAsia"/>
            </w:rPr>
            <w:fldChar w:fldCharType="end"/>
          </w:r>
          <w:r>
            <w:rPr>
              <w:rFonts w:hint="eastAsia"/>
            </w:rPr>
            <w:fldChar w:fldCharType="end"/>
          </w:r>
        </w:p>
        <w:p w14:paraId="29B28470">
          <w:pPr>
            <w:pStyle w:val="18"/>
            <w:tabs>
              <w:tab w:val="right" w:leader="dot" w:pos="9060"/>
            </w:tabs>
            <w:ind w:left="960"/>
            <w:rPr>
              <w:rFonts w:hint="eastAsia" w:asciiTheme="minorHAnsi" w:hAnsiTheme="minorHAnsi" w:eastAsiaTheme="minorEastAsia"/>
              <w:sz w:val="22"/>
            </w:rPr>
          </w:pPr>
          <w:r>
            <w:fldChar w:fldCharType="begin"/>
          </w:r>
          <w:r>
            <w:instrText xml:space="preserve"> HYPERLINK \l "_Toc221056424" </w:instrText>
          </w:r>
          <w:r>
            <w:fldChar w:fldCharType="separate"/>
          </w:r>
          <w:r>
            <w:rPr>
              <w:rStyle w:val="41"/>
              <w:rFonts w:hint="eastAsia"/>
              <w:color w:val="000000" w:themeColor="text1"/>
              <w14:textFill>
                <w14:solidFill>
                  <w14:schemeClr w14:val="tx1"/>
                </w14:solidFill>
              </w14:textFill>
            </w:rPr>
            <w:t>6.5.2危险废物影响分析</w:t>
          </w:r>
          <w:r>
            <w:rPr>
              <w:rFonts w:hint="eastAsia"/>
            </w:rPr>
            <w:tab/>
          </w:r>
          <w:r>
            <w:rPr>
              <w:rFonts w:hint="eastAsia"/>
            </w:rPr>
            <w:fldChar w:fldCharType="begin"/>
          </w:r>
          <w:r>
            <w:rPr>
              <w:rFonts w:hint="eastAsia"/>
            </w:rPr>
            <w:instrText xml:space="preserve"> </w:instrText>
          </w:r>
          <w:r>
            <w:instrText xml:space="preserve">PAGEREF _Toc221056424 \h</w:instrText>
          </w:r>
          <w:r>
            <w:rPr>
              <w:rFonts w:hint="eastAsia"/>
            </w:rPr>
            <w:instrText xml:space="preserve"> </w:instrText>
          </w:r>
          <w:r>
            <w:rPr>
              <w:rFonts w:hint="eastAsia"/>
            </w:rPr>
            <w:fldChar w:fldCharType="separate"/>
          </w:r>
          <w:r>
            <w:t>221</w:t>
          </w:r>
          <w:r>
            <w:rPr>
              <w:rFonts w:hint="eastAsia"/>
            </w:rPr>
            <w:fldChar w:fldCharType="end"/>
          </w:r>
          <w:r>
            <w:rPr>
              <w:rFonts w:hint="eastAsia"/>
            </w:rPr>
            <w:fldChar w:fldCharType="end"/>
          </w:r>
        </w:p>
        <w:p w14:paraId="408F8F8F">
          <w:pPr>
            <w:pStyle w:val="31"/>
            <w:tabs>
              <w:tab w:val="right" w:leader="dot" w:pos="9060"/>
            </w:tabs>
            <w:ind w:left="480"/>
            <w:rPr>
              <w:rFonts w:hint="eastAsia" w:asciiTheme="minorHAnsi" w:hAnsiTheme="minorHAnsi" w:eastAsiaTheme="minorEastAsia"/>
              <w:sz w:val="22"/>
            </w:rPr>
          </w:pPr>
          <w:r>
            <w:fldChar w:fldCharType="begin"/>
          </w:r>
          <w:r>
            <w:instrText xml:space="preserve"> HYPERLINK \l "_Toc221056425" </w:instrText>
          </w:r>
          <w:r>
            <w:fldChar w:fldCharType="separate"/>
          </w:r>
          <w:r>
            <w:rPr>
              <w:rStyle w:val="41"/>
              <w:rFonts w:hint="eastAsia"/>
              <w:color w:val="000000" w:themeColor="text1"/>
              <w14:textFill>
                <w14:solidFill>
                  <w14:schemeClr w14:val="tx1"/>
                </w14:solidFill>
              </w14:textFill>
            </w:rPr>
            <w:t>6.6地下水环境影响分析</w:t>
          </w:r>
          <w:r>
            <w:rPr>
              <w:rFonts w:hint="eastAsia"/>
            </w:rPr>
            <w:tab/>
          </w:r>
          <w:r>
            <w:rPr>
              <w:rFonts w:hint="eastAsia"/>
            </w:rPr>
            <w:fldChar w:fldCharType="begin"/>
          </w:r>
          <w:r>
            <w:rPr>
              <w:rFonts w:hint="eastAsia"/>
            </w:rPr>
            <w:instrText xml:space="preserve"> </w:instrText>
          </w:r>
          <w:r>
            <w:instrText xml:space="preserve">PAGEREF _Toc221056425 \h</w:instrText>
          </w:r>
          <w:r>
            <w:rPr>
              <w:rFonts w:hint="eastAsia"/>
            </w:rPr>
            <w:instrText xml:space="preserve"> </w:instrText>
          </w:r>
          <w:r>
            <w:rPr>
              <w:rFonts w:hint="eastAsia"/>
            </w:rPr>
            <w:fldChar w:fldCharType="separate"/>
          </w:r>
          <w:r>
            <w:t>221</w:t>
          </w:r>
          <w:r>
            <w:rPr>
              <w:rFonts w:hint="eastAsia"/>
            </w:rPr>
            <w:fldChar w:fldCharType="end"/>
          </w:r>
          <w:r>
            <w:rPr>
              <w:rFonts w:hint="eastAsia"/>
            </w:rPr>
            <w:fldChar w:fldCharType="end"/>
          </w:r>
        </w:p>
        <w:p w14:paraId="5E8336BE">
          <w:pPr>
            <w:pStyle w:val="18"/>
            <w:tabs>
              <w:tab w:val="right" w:leader="dot" w:pos="9060"/>
            </w:tabs>
            <w:ind w:left="960"/>
            <w:rPr>
              <w:rFonts w:hint="eastAsia" w:asciiTheme="minorHAnsi" w:hAnsiTheme="minorHAnsi" w:eastAsiaTheme="minorEastAsia"/>
              <w:sz w:val="22"/>
            </w:rPr>
          </w:pPr>
          <w:r>
            <w:fldChar w:fldCharType="begin"/>
          </w:r>
          <w:r>
            <w:instrText xml:space="preserve"> HYPERLINK \l "_Toc221056426" </w:instrText>
          </w:r>
          <w:r>
            <w:fldChar w:fldCharType="separate"/>
          </w:r>
          <w:r>
            <w:rPr>
              <w:rStyle w:val="41"/>
              <w:rFonts w:hint="eastAsia"/>
              <w:color w:val="000000" w:themeColor="text1"/>
              <w14:textFill>
                <w14:solidFill>
                  <w14:schemeClr w14:val="tx1"/>
                </w14:solidFill>
              </w14:textFill>
            </w:rPr>
            <w:t>6.6.1区域水文地质条件</w:t>
          </w:r>
          <w:r>
            <w:rPr>
              <w:rFonts w:hint="eastAsia"/>
            </w:rPr>
            <w:tab/>
          </w:r>
          <w:r>
            <w:rPr>
              <w:rFonts w:hint="eastAsia"/>
            </w:rPr>
            <w:fldChar w:fldCharType="begin"/>
          </w:r>
          <w:r>
            <w:rPr>
              <w:rFonts w:hint="eastAsia"/>
            </w:rPr>
            <w:instrText xml:space="preserve"> </w:instrText>
          </w:r>
          <w:r>
            <w:instrText xml:space="preserve">PAGEREF _Toc221056426 \h</w:instrText>
          </w:r>
          <w:r>
            <w:rPr>
              <w:rFonts w:hint="eastAsia"/>
            </w:rPr>
            <w:instrText xml:space="preserve"> </w:instrText>
          </w:r>
          <w:r>
            <w:rPr>
              <w:rFonts w:hint="eastAsia"/>
            </w:rPr>
            <w:fldChar w:fldCharType="separate"/>
          </w:r>
          <w:r>
            <w:t>221</w:t>
          </w:r>
          <w:r>
            <w:rPr>
              <w:rFonts w:hint="eastAsia"/>
            </w:rPr>
            <w:fldChar w:fldCharType="end"/>
          </w:r>
          <w:r>
            <w:rPr>
              <w:rFonts w:hint="eastAsia"/>
            </w:rPr>
            <w:fldChar w:fldCharType="end"/>
          </w:r>
        </w:p>
        <w:p w14:paraId="6AD7F009">
          <w:pPr>
            <w:pStyle w:val="18"/>
            <w:tabs>
              <w:tab w:val="right" w:leader="dot" w:pos="9060"/>
            </w:tabs>
            <w:ind w:left="960"/>
            <w:rPr>
              <w:rFonts w:hint="eastAsia" w:asciiTheme="minorHAnsi" w:hAnsiTheme="minorHAnsi" w:eastAsiaTheme="minorEastAsia"/>
              <w:sz w:val="22"/>
            </w:rPr>
          </w:pPr>
          <w:r>
            <w:fldChar w:fldCharType="begin"/>
          </w:r>
          <w:r>
            <w:instrText xml:space="preserve"> HYPERLINK \l "_Toc221056427" </w:instrText>
          </w:r>
          <w:r>
            <w:fldChar w:fldCharType="separate"/>
          </w:r>
          <w:r>
            <w:rPr>
              <w:rStyle w:val="41"/>
              <w:rFonts w:hint="eastAsia"/>
              <w:color w:val="000000" w:themeColor="text1"/>
              <w14:textFill>
                <w14:solidFill>
                  <w14:schemeClr w14:val="tx1"/>
                </w14:solidFill>
              </w14:textFill>
            </w:rPr>
            <w:t>6.6.2正常工况下地下水影响分析</w:t>
          </w:r>
          <w:r>
            <w:rPr>
              <w:rFonts w:hint="eastAsia"/>
            </w:rPr>
            <w:tab/>
          </w:r>
          <w:r>
            <w:rPr>
              <w:rFonts w:hint="eastAsia"/>
            </w:rPr>
            <w:fldChar w:fldCharType="begin"/>
          </w:r>
          <w:r>
            <w:rPr>
              <w:rFonts w:hint="eastAsia"/>
            </w:rPr>
            <w:instrText xml:space="preserve"> </w:instrText>
          </w:r>
          <w:r>
            <w:instrText xml:space="preserve">PAGEREF _Toc221056427 \h</w:instrText>
          </w:r>
          <w:r>
            <w:rPr>
              <w:rFonts w:hint="eastAsia"/>
            </w:rPr>
            <w:instrText xml:space="preserve"> </w:instrText>
          </w:r>
          <w:r>
            <w:rPr>
              <w:rFonts w:hint="eastAsia"/>
            </w:rPr>
            <w:fldChar w:fldCharType="separate"/>
          </w:r>
          <w:r>
            <w:t>224</w:t>
          </w:r>
          <w:r>
            <w:rPr>
              <w:rFonts w:hint="eastAsia"/>
            </w:rPr>
            <w:fldChar w:fldCharType="end"/>
          </w:r>
          <w:r>
            <w:rPr>
              <w:rFonts w:hint="eastAsia"/>
            </w:rPr>
            <w:fldChar w:fldCharType="end"/>
          </w:r>
        </w:p>
        <w:p w14:paraId="79208160">
          <w:pPr>
            <w:pStyle w:val="18"/>
            <w:tabs>
              <w:tab w:val="right" w:leader="dot" w:pos="9060"/>
            </w:tabs>
            <w:ind w:left="960"/>
            <w:rPr>
              <w:rFonts w:hint="eastAsia" w:asciiTheme="minorHAnsi" w:hAnsiTheme="minorHAnsi" w:eastAsiaTheme="minorEastAsia"/>
              <w:sz w:val="22"/>
            </w:rPr>
          </w:pPr>
          <w:r>
            <w:fldChar w:fldCharType="begin"/>
          </w:r>
          <w:r>
            <w:instrText xml:space="preserve"> HYPERLINK \l "_Toc221056428" </w:instrText>
          </w:r>
          <w:r>
            <w:fldChar w:fldCharType="separate"/>
          </w:r>
          <w:r>
            <w:rPr>
              <w:rStyle w:val="41"/>
              <w:rFonts w:hint="eastAsia"/>
              <w:color w:val="000000" w:themeColor="text1"/>
              <w14:textFill>
                <w14:solidFill>
                  <w14:schemeClr w14:val="tx1"/>
                </w14:solidFill>
              </w14:textFill>
            </w:rPr>
            <w:t>6.6.3非正常工况下地下水影响分析</w:t>
          </w:r>
          <w:r>
            <w:rPr>
              <w:rFonts w:hint="eastAsia"/>
            </w:rPr>
            <w:tab/>
          </w:r>
          <w:r>
            <w:rPr>
              <w:rFonts w:hint="eastAsia"/>
            </w:rPr>
            <w:fldChar w:fldCharType="begin"/>
          </w:r>
          <w:r>
            <w:rPr>
              <w:rFonts w:hint="eastAsia"/>
            </w:rPr>
            <w:instrText xml:space="preserve"> </w:instrText>
          </w:r>
          <w:r>
            <w:instrText xml:space="preserve">PAGEREF _Toc221056428 \h</w:instrText>
          </w:r>
          <w:r>
            <w:rPr>
              <w:rFonts w:hint="eastAsia"/>
            </w:rPr>
            <w:instrText xml:space="preserve"> </w:instrText>
          </w:r>
          <w:r>
            <w:rPr>
              <w:rFonts w:hint="eastAsia"/>
            </w:rPr>
            <w:fldChar w:fldCharType="separate"/>
          </w:r>
          <w:r>
            <w:t>224</w:t>
          </w:r>
          <w:r>
            <w:rPr>
              <w:rFonts w:hint="eastAsia"/>
            </w:rPr>
            <w:fldChar w:fldCharType="end"/>
          </w:r>
          <w:r>
            <w:rPr>
              <w:rFonts w:hint="eastAsia"/>
            </w:rPr>
            <w:fldChar w:fldCharType="end"/>
          </w:r>
        </w:p>
        <w:p w14:paraId="6F1046AB">
          <w:pPr>
            <w:pStyle w:val="31"/>
            <w:tabs>
              <w:tab w:val="right" w:leader="dot" w:pos="9060"/>
            </w:tabs>
            <w:ind w:left="480"/>
            <w:rPr>
              <w:rFonts w:hint="eastAsia" w:asciiTheme="minorHAnsi" w:hAnsiTheme="minorHAnsi" w:eastAsiaTheme="minorEastAsia"/>
              <w:sz w:val="22"/>
            </w:rPr>
          </w:pPr>
          <w:r>
            <w:fldChar w:fldCharType="begin"/>
          </w:r>
          <w:r>
            <w:instrText xml:space="preserve"> HYPERLINK \l "_Toc221056429" </w:instrText>
          </w:r>
          <w:r>
            <w:fldChar w:fldCharType="separate"/>
          </w:r>
          <w:r>
            <w:rPr>
              <w:rStyle w:val="41"/>
              <w:rFonts w:hint="eastAsia"/>
              <w:color w:val="000000" w:themeColor="text1"/>
              <w14:textFill>
                <w14:solidFill>
                  <w14:schemeClr w14:val="tx1"/>
                </w14:solidFill>
              </w14:textFill>
            </w:rPr>
            <w:t>6.7土壤环境影响分析</w:t>
          </w:r>
          <w:r>
            <w:rPr>
              <w:rFonts w:hint="eastAsia"/>
            </w:rPr>
            <w:tab/>
          </w:r>
          <w:r>
            <w:rPr>
              <w:rFonts w:hint="eastAsia"/>
            </w:rPr>
            <w:fldChar w:fldCharType="begin"/>
          </w:r>
          <w:r>
            <w:rPr>
              <w:rFonts w:hint="eastAsia"/>
            </w:rPr>
            <w:instrText xml:space="preserve"> </w:instrText>
          </w:r>
          <w:r>
            <w:instrText xml:space="preserve">PAGEREF _Toc221056429 \h</w:instrText>
          </w:r>
          <w:r>
            <w:rPr>
              <w:rFonts w:hint="eastAsia"/>
            </w:rPr>
            <w:instrText xml:space="preserve"> </w:instrText>
          </w:r>
          <w:r>
            <w:rPr>
              <w:rFonts w:hint="eastAsia"/>
            </w:rPr>
            <w:fldChar w:fldCharType="separate"/>
          </w:r>
          <w:r>
            <w:t>230</w:t>
          </w:r>
          <w:r>
            <w:rPr>
              <w:rFonts w:hint="eastAsia"/>
            </w:rPr>
            <w:fldChar w:fldCharType="end"/>
          </w:r>
          <w:r>
            <w:rPr>
              <w:rFonts w:hint="eastAsia"/>
            </w:rPr>
            <w:fldChar w:fldCharType="end"/>
          </w:r>
        </w:p>
        <w:p w14:paraId="5E7405A1">
          <w:pPr>
            <w:pStyle w:val="18"/>
            <w:tabs>
              <w:tab w:val="right" w:leader="dot" w:pos="9060"/>
            </w:tabs>
            <w:ind w:left="960"/>
            <w:rPr>
              <w:rFonts w:hint="eastAsia" w:asciiTheme="minorHAnsi" w:hAnsiTheme="minorHAnsi" w:eastAsiaTheme="minorEastAsia"/>
              <w:sz w:val="22"/>
            </w:rPr>
          </w:pPr>
          <w:r>
            <w:fldChar w:fldCharType="begin"/>
          </w:r>
          <w:r>
            <w:instrText xml:space="preserve"> HYPERLINK \l "_Toc221056430" </w:instrText>
          </w:r>
          <w:r>
            <w:fldChar w:fldCharType="separate"/>
          </w:r>
          <w:r>
            <w:rPr>
              <w:rStyle w:val="41"/>
              <w:rFonts w:hint="eastAsia"/>
              <w:color w:val="000000" w:themeColor="text1"/>
              <w14:textFill>
                <w14:solidFill>
                  <w14:schemeClr w14:val="tx1"/>
                </w14:solidFill>
              </w14:textFill>
            </w:rPr>
            <w:t>6.7.1土壤环境影响识别</w:t>
          </w:r>
          <w:r>
            <w:rPr>
              <w:rFonts w:hint="eastAsia"/>
            </w:rPr>
            <w:tab/>
          </w:r>
          <w:r>
            <w:rPr>
              <w:rFonts w:hint="eastAsia"/>
            </w:rPr>
            <w:fldChar w:fldCharType="begin"/>
          </w:r>
          <w:r>
            <w:rPr>
              <w:rFonts w:hint="eastAsia"/>
            </w:rPr>
            <w:instrText xml:space="preserve"> </w:instrText>
          </w:r>
          <w:r>
            <w:instrText xml:space="preserve">PAGEREF _Toc221056430 \h</w:instrText>
          </w:r>
          <w:r>
            <w:rPr>
              <w:rFonts w:hint="eastAsia"/>
            </w:rPr>
            <w:instrText xml:space="preserve"> </w:instrText>
          </w:r>
          <w:r>
            <w:rPr>
              <w:rFonts w:hint="eastAsia"/>
            </w:rPr>
            <w:fldChar w:fldCharType="separate"/>
          </w:r>
          <w:r>
            <w:t>230</w:t>
          </w:r>
          <w:r>
            <w:rPr>
              <w:rFonts w:hint="eastAsia"/>
            </w:rPr>
            <w:fldChar w:fldCharType="end"/>
          </w:r>
          <w:r>
            <w:rPr>
              <w:rFonts w:hint="eastAsia"/>
            </w:rPr>
            <w:fldChar w:fldCharType="end"/>
          </w:r>
        </w:p>
        <w:p w14:paraId="2408E6E7">
          <w:pPr>
            <w:pStyle w:val="18"/>
            <w:tabs>
              <w:tab w:val="right" w:leader="dot" w:pos="9060"/>
            </w:tabs>
            <w:ind w:left="960"/>
            <w:rPr>
              <w:rFonts w:hint="eastAsia" w:asciiTheme="minorHAnsi" w:hAnsiTheme="minorHAnsi" w:eastAsiaTheme="minorEastAsia"/>
              <w:sz w:val="22"/>
            </w:rPr>
          </w:pPr>
          <w:r>
            <w:fldChar w:fldCharType="begin"/>
          </w:r>
          <w:r>
            <w:instrText xml:space="preserve"> HYPERLINK \l "_Toc221056431" </w:instrText>
          </w:r>
          <w:r>
            <w:fldChar w:fldCharType="separate"/>
          </w:r>
          <w:r>
            <w:rPr>
              <w:rStyle w:val="41"/>
              <w:rFonts w:hint="eastAsia"/>
              <w:color w:val="000000" w:themeColor="text1"/>
              <w14:textFill>
                <w14:solidFill>
                  <w14:schemeClr w14:val="tx1"/>
                </w14:solidFill>
              </w14:textFill>
            </w:rPr>
            <w:t>6.7.2现状调查与评价</w:t>
          </w:r>
          <w:r>
            <w:rPr>
              <w:rFonts w:hint="eastAsia"/>
            </w:rPr>
            <w:tab/>
          </w:r>
          <w:r>
            <w:rPr>
              <w:rFonts w:hint="eastAsia"/>
            </w:rPr>
            <w:fldChar w:fldCharType="begin"/>
          </w:r>
          <w:r>
            <w:rPr>
              <w:rFonts w:hint="eastAsia"/>
            </w:rPr>
            <w:instrText xml:space="preserve"> </w:instrText>
          </w:r>
          <w:r>
            <w:instrText xml:space="preserve">PAGEREF _Toc221056431 \h</w:instrText>
          </w:r>
          <w:r>
            <w:rPr>
              <w:rFonts w:hint="eastAsia"/>
            </w:rPr>
            <w:instrText xml:space="preserve"> </w:instrText>
          </w:r>
          <w:r>
            <w:rPr>
              <w:rFonts w:hint="eastAsia"/>
            </w:rPr>
            <w:fldChar w:fldCharType="separate"/>
          </w:r>
          <w:r>
            <w:t>231</w:t>
          </w:r>
          <w:r>
            <w:rPr>
              <w:rFonts w:hint="eastAsia"/>
            </w:rPr>
            <w:fldChar w:fldCharType="end"/>
          </w:r>
          <w:r>
            <w:rPr>
              <w:rFonts w:hint="eastAsia"/>
            </w:rPr>
            <w:fldChar w:fldCharType="end"/>
          </w:r>
        </w:p>
        <w:p w14:paraId="048EF799">
          <w:pPr>
            <w:pStyle w:val="18"/>
            <w:tabs>
              <w:tab w:val="right" w:leader="dot" w:pos="9060"/>
            </w:tabs>
            <w:ind w:left="960"/>
            <w:rPr>
              <w:rFonts w:hint="eastAsia" w:asciiTheme="minorHAnsi" w:hAnsiTheme="minorHAnsi" w:eastAsiaTheme="minorEastAsia"/>
              <w:sz w:val="22"/>
            </w:rPr>
          </w:pPr>
          <w:r>
            <w:fldChar w:fldCharType="begin"/>
          </w:r>
          <w:r>
            <w:instrText xml:space="preserve"> HYPERLINK \l "_Toc221056432" </w:instrText>
          </w:r>
          <w:r>
            <w:fldChar w:fldCharType="separate"/>
          </w:r>
          <w:r>
            <w:rPr>
              <w:rStyle w:val="41"/>
              <w:rFonts w:hint="eastAsia"/>
              <w:color w:val="000000" w:themeColor="text1"/>
              <w14:textFill>
                <w14:solidFill>
                  <w14:schemeClr w14:val="tx1"/>
                </w14:solidFill>
              </w14:textFill>
            </w:rPr>
            <w:t>6.7.3土壤环境影响预测与评价</w:t>
          </w:r>
          <w:r>
            <w:rPr>
              <w:rFonts w:hint="eastAsia"/>
            </w:rPr>
            <w:tab/>
          </w:r>
          <w:r>
            <w:rPr>
              <w:rFonts w:hint="eastAsia"/>
            </w:rPr>
            <w:fldChar w:fldCharType="begin"/>
          </w:r>
          <w:r>
            <w:rPr>
              <w:rFonts w:hint="eastAsia"/>
            </w:rPr>
            <w:instrText xml:space="preserve"> </w:instrText>
          </w:r>
          <w:r>
            <w:instrText xml:space="preserve">PAGEREF _Toc221056432 \h</w:instrText>
          </w:r>
          <w:r>
            <w:rPr>
              <w:rFonts w:hint="eastAsia"/>
            </w:rPr>
            <w:instrText xml:space="preserve"> </w:instrText>
          </w:r>
          <w:r>
            <w:rPr>
              <w:rFonts w:hint="eastAsia"/>
            </w:rPr>
            <w:fldChar w:fldCharType="separate"/>
          </w:r>
          <w:r>
            <w:t>232</w:t>
          </w:r>
          <w:r>
            <w:rPr>
              <w:rFonts w:hint="eastAsia"/>
            </w:rPr>
            <w:fldChar w:fldCharType="end"/>
          </w:r>
          <w:r>
            <w:rPr>
              <w:rFonts w:hint="eastAsia"/>
            </w:rPr>
            <w:fldChar w:fldCharType="end"/>
          </w:r>
        </w:p>
        <w:p w14:paraId="7BBD6D96">
          <w:pPr>
            <w:pStyle w:val="18"/>
            <w:tabs>
              <w:tab w:val="right" w:leader="dot" w:pos="9060"/>
            </w:tabs>
            <w:ind w:left="960"/>
            <w:rPr>
              <w:rFonts w:hint="eastAsia" w:asciiTheme="minorHAnsi" w:hAnsiTheme="minorHAnsi" w:eastAsiaTheme="minorEastAsia"/>
              <w:sz w:val="22"/>
            </w:rPr>
          </w:pPr>
          <w:r>
            <w:fldChar w:fldCharType="begin"/>
          </w:r>
          <w:r>
            <w:instrText xml:space="preserve"> HYPERLINK \l "_Toc221056433" </w:instrText>
          </w:r>
          <w:r>
            <w:fldChar w:fldCharType="separate"/>
          </w:r>
          <w:r>
            <w:rPr>
              <w:rStyle w:val="41"/>
              <w:rFonts w:hint="eastAsia"/>
              <w:color w:val="000000" w:themeColor="text1"/>
              <w14:textFill>
                <w14:solidFill>
                  <w14:schemeClr w14:val="tx1"/>
                </w14:solidFill>
              </w14:textFill>
            </w:rPr>
            <w:t>6.7.4土壤环境影响评价自查表</w:t>
          </w:r>
          <w:r>
            <w:rPr>
              <w:rFonts w:hint="eastAsia"/>
            </w:rPr>
            <w:tab/>
          </w:r>
          <w:r>
            <w:rPr>
              <w:rFonts w:hint="eastAsia"/>
            </w:rPr>
            <w:fldChar w:fldCharType="begin"/>
          </w:r>
          <w:r>
            <w:rPr>
              <w:rFonts w:hint="eastAsia"/>
            </w:rPr>
            <w:instrText xml:space="preserve"> </w:instrText>
          </w:r>
          <w:r>
            <w:instrText xml:space="preserve">PAGEREF _Toc221056433 \h</w:instrText>
          </w:r>
          <w:r>
            <w:rPr>
              <w:rFonts w:hint="eastAsia"/>
            </w:rPr>
            <w:instrText xml:space="preserve"> </w:instrText>
          </w:r>
          <w:r>
            <w:rPr>
              <w:rFonts w:hint="eastAsia"/>
            </w:rPr>
            <w:fldChar w:fldCharType="separate"/>
          </w:r>
          <w:r>
            <w:t>235</w:t>
          </w:r>
          <w:r>
            <w:rPr>
              <w:rFonts w:hint="eastAsia"/>
            </w:rPr>
            <w:fldChar w:fldCharType="end"/>
          </w:r>
          <w:r>
            <w:rPr>
              <w:rFonts w:hint="eastAsia"/>
            </w:rPr>
            <w:fldChar w:fldCharType="end"/>
          </w:r>
        </w:p>
        <w:p w14:paraId="2D221EDC">
          <w:pPr>
            <w:pStyle w:val="31"/>
            <w:tabs>
              <w:tab w:val="right" w:leader="dot" w:pos="9060"/>
            </w:tabs>
            <w:ind w:left="480"/>
            <w:rPr>
              <w:rFonts w:hint="eastAsia" w:asciiTheme="minorHAnsi" w:hAnsiTheme="minorHAnsi" w:eastAsiaTheme="minorEastAsia"/>
              <w:sz w:val="22"/>
            </w:rPr>
          </w:pPr>
          <w:r>
            <w:fldChar w:fldCharType="begin"/>
          </w:r>
          <w:r>
            <w:instrText xml:space="preserve"> HYPERLINK \l "_Toc221056434" </w:instrText>
          </w:r>
          <w:r>
            <w:fldChar w:fldCharType="separate"/>
          </w:r>
          <w:r>
            <w:rPr>
              <w:rStyle w:val="41"/>
              <w:rFonts w:hint="eastAsia"/>
              <w:color w:val="000000" w:themeColor="text1"/>
              <w14:textFill>
                <w14:solidFill>
                  <w14:schemeClr w14:val="tx1"/>
                </w14:solidFill>
              </w14:textFill>
            </w:rPr>
            <w:t>6.8环境风险分析与评价</w:t>
          </w:r>
          <w:r>
            <w:rPr>
              <w:rFonts w:hint="eastAsia"/>
            </w:rPr>
            <w:tab/>
          </w:r>
          <w:r>
            <w:rPr>
              <w:rFonts w:hint="eastAsia"/>
            </w:rPr>
            <w:fldChar w:fldCharType="begin"/>
          </w:r>
          <w:r>
            <w:rPr>
              <w:rFonts w:hint="eastAsia"/>
            </w:rPr>
            <w:instrText xml:space="preserve"> </w:instrText>
          </w:r>
          <w:r>
            <w:instrText xml:space="preserve">PAGEREF _Toc221056434 \h</w:instrText>
          </w:r>
          <w:r>
            <w:rPr>
              <w:rFonts w:hint="eastAsia"/>
            </w:rPr>
            <w:instrText xml:space="preserve"> </w:instrText>
          </w:r>
          <w:r>
            <w:rPr>
              <w:rFonts w:hint="eastAsia"/>
            </w:rPr>
            <w:fldChar w:fldCharType="separate"/>
          </w:r>
          <w:r>
            <w:t>236</w:t>
          </w:r>
          <w:r>
            <w:rPr>
              <w:rFonts w:hint="eastAsia"/>
            </w:rPr>
            <w:fldChar w:fldCharType="end"/>
          </w:r>
          <w:r>
            <w:rPr>
              <w:rFonts w:hint="eastAsia"/>
            </w:rPr>
            <w:fldChar w:fldCharType="end"/>
          </w:r>
        </w:p>
        <w:p w14:paraId="1106B212">
          <w:pPr>
            <w:pStyle w:val="18"/>
            <w:tabs>
              <w:tab w:val="right" w:leader="dot" w:pos="9060"/>
            </w:tabs>
            <w:ind w:left="960"/>
            <w:rPr>
              <w:rFonts w:hint="eastAsia" w:asciiTheme="minorHAnsi" w:hAnsiTheme="minorHAnsi" w:eastAsiaTheme="minorEastAsia"/>
              <w:sz w:val="22"/>
            </w:rPr>
          </w:pPr>
          <w:r>
            <w:fldChar w:fldCharType="begin"/>
          </w:r>
          <w:r>
            <w:instrText xml:space="preserve"> HYPERLINK \l "_Toc221056435" </w:instrText>
          </w:r>
          <w:r>
            <w:fldChar w:fldCharType="separate"/>
          </w:r>
          <w:r>
            <w:rPr>
              <w:rStyle w:val="41"/>
              <w:rFonts w:hint="eastAsia"/>
              <w:color w:val="000000" w:themeColor="text1"/>
              <w14:textFill>
                <w14:solidFill>
                  <w14:schemeClr w14:val="tx1"/>
                </w14:solidFill>
              </w14:textFill>
            </w:rPr>
            <w:t>6.8.1评价原则与程序</w:t>
          </w:r>
          <w:r>
            <w:rPr>
              <w:rFonts w:hint="eastAsia"/>
            </w:rPr>
            <w:tab/>
          </w:r>
          <w:r>
            <w:rPr>
              <w:rFonts w:hint="eastAsia"/>
            </w:rPr>
            <w:fldChar w:fldCharType="begin"/>
          </w:r>
          <w:r>
            <w:rPr>
              <w:rFonts w:hint="eastAsia"/>
            </w:rPr>
            <w:instrText xml:space="preserve"> </w:instrText>
          </w:r>
          <w:r>
            <w:instrText xml:space="preserve">PAGEREF _Toc221056435 \h</w:instrText>
          </w:r>
          <w:r>
            <w:rPr>
              <w:rFonts w:hint="eastAsia"/>
            </w:rPr>
            <w:instrText xml:space="preserve"> </w:instrText>
          </w:r>
          <w:r>
            <w:rPr>
              <w:rFonts w:hint="eastAsia"/>
            </w:rPr>
            <w:fldChar w:fldCharType="separate"/>
          </w:r>
          <w:r>
            <w:t>236</w:t>
          </w:r>
          <w:r>
            <w:rPr>
              <w:rFonts w:hint="eastAsia"/>
            </w:rPr>
            <w:fldChar w:fldCharType="end"/>
          </w:r>
          <w:r>
            <w:rPr>
              <w:rFonts w:hint="eastAsia"/>
            </w:rPr>
            <w:fldChar w:fldCharType="end"/>
          </w:r>
        </w:p>
        <w:p w14:paraId="48EA0F57">
          <w:pPr>
            <w:pStyle w:val="18"/>
            <w:tabs>
              <w:tab w:val="right" w:leader="dot" w:pos="9060"/>
            </w:tabs>
            <w:ind w:left="960"/>
            <w:rPr>
              <w:rFonts w:hint="eastAsia" w:asciiTheme="minorHAnsi" w:hAnsiTheme="minorHAnsi" w:eastAsiaTheme="minorEastAsia"/>
              <w:sz w:val="22"/>
            </w:rPr>
          </w:pPr>
          <w:r>
            <w:fldChar w:fldCharType="begin"/>
          </w:r>
          <w:r>
            <w:instrText xml:space="preserve"> HYPERLINK \l "_Toc221056436" </w:instrText>
          </w:r>
          <w:r>
            <w:fldChar w:fldCharType="separate"/>
          </w:r>
          <w:r>
            <w:rPr>
              <w:rStyle w:val="41"/>
              <w:rFonts w:hint="eastAsia"/>
              <w:color w:val="000000" w:themeColor="text1"/>
              <w14:textFill>
                <w14:solidFill>
                  <w14:schemeClr w14:val="tx1"/>
                </w14:solidFill>
              </w14:textFill>
            </w:rPr>
            <w:t>6.8.2企业现有风险防控措施体系</w:t>
          </w:r>
          <w:r>
            <w:rPr>
              <w:rFonts w:hint="eastAsia"/>
            </w:rPr>
            <w:tab/>
          </w:r>
          <w:r>
            <w:rPr>
              <w:rFonts w:hint="eastAsia"/>
            </w:rPr>
            <w:fldChar w:fldCharType="begin"/>
          </w:r>
          <w:r>
            <w:rPr>
              <w:rFonts w:hint="eastAsia"/>
            </w:rPr>
            <w:instrText xml:space="preserve"> </w:instrText>
          </w:r>
          <w:r>
            <w:instrText xml:space="preserve">PAGEREF _Toc221056436 \h</w:instrText>
          </w:r>
          <w:r>
            <w:rPr>
              <w:rFonts w:hint="eastAsia"/>
            </w:rPr>
            <w:instrText xml:space="preserve"> </w:instrText>
          </w:r>
          <w:r>
            <w:rPr>
              <w:rFonts w:hint="eastAsia"/>
            </w:rPr>
            <w:fldChar w:fldCharType="separate"/>
          </w:r>
          <w:r>
            <w:t>237</w:t>
          </w:r>
          <w:r>
            <w:rPr>
              <w:rFonts w:hint="eastAsia"/>
            </w:rPr>
            <w:fldChar w:fldCharType="end"/>
          </w:r>
          <w:r>
            <w:rPr>
              <w:rFonts w:hint="eastAsia"/>
            </w:rPr>
            <w:fldChar w:fldCharType="end"/>
          </w:r>
        </w:p>
        <w:p w14:paraId="565B5C4A">
          <w:pPr>
            <w:pStyle w:val="18"/>
            <w:tabs>
              <w:tab w:val="right" w:leader="dot" w:pos="9060"/>
            </w:tabs>
            <w:ind w:left="960"/>
            <w:rPr>
              <w:rFonts w:hint="eastAsia" w:asciiTheme="minorHAnsi" w:hAnsiTheme="minorHAnsi" w:eastAsiaTheme="minorEastAsia"/>
              <w:sz w:val="22"/>
            </w:rPr>
          </w:pPr>
          <w:r>
            <w:fldChar w:fldCharType="begin"/>
          </w:r>
          <w:r>
            <w:instrText xml:space="preserve"> HYPERLINK \l "_Toc221056437" </w:instrText>
          </w:r>
          <w:r>
            <w:fldChar w:fldCharType="separate"/>
          </w:r>
          <w:r>
            <w:rPr>
              <w:rStyle w:val="41"/>
              <w:rFonts w:hint="eastAsia"/>
              <w:color w:val="000000" w:themeColor="text1"/>
              <w14:textFill>
                <w14:solidFill>
                  <w14:schemeClr w14:val="tx1"/>
                </w14:solidFill>
              </w14:textFill>
            </w:rPr>
            <w:t>6.8.2建设项目风险调查</w:t>
          </w:r>
          <w:r>
            <w:rPr>
              <w:rFonts w:hint="eastAsia"/>
            </w:rPr>
            <w:tab/>
          </w:r>
          <w:r>
            <w:rPr>
              <w:rFonts w:hint="eastAsia"/>
            </w:rPr>
            <w:fldChar w:fldCharType="begin"/>
          </w:r>
          <w:r>
            <w:rPr>
              <w:rFonts w:hint="eastAsia"/>
            </w:rPr>
            <w:instrText xml:space="preserve"> </w:instrText>
          </w:r>
          <w:r>
            <w:instrText xml:space="preserve">PAGEREF _Toc221056437 \h</w:instrText>
          </w:r>
          <w:r>
            <w:rPr>
              <w:rFonts w:hint="eastAsia"/>
            </w:rPr>
            <w:instrText xml:space="preserve"> </w:instrText>
          </w:r>
          <w:r>
            <w:rPr>
              <w:rFonts w:hint="eastAsia"/>
            </w:rPr>
            <w:fldChar w:fldCharType="separate"/>
          </w:r>
          <w:r>
            <w:t>244</w:t>
          </w:r>
          <w:r>
            <w:rPr>
              <w:rFonts w:hint="eastAsia"/>
            </w:rPr>
            <w:fldChar w:fldCharType="end"/>
          </w:r>
          <w:r>
            <w:rPr>
              <w:rFonts w:hint="eastAsia"/>
            </w:rPr>
            <w:fldChar w:fldCharType="end"/>
          </w:r>
        </w:p>
        <w:p w14:paraId="09F05B01">
          <w:pPr>
            <w:pStyle w:val="18"/>
            <w:tabs>
              <w:tab w:val="right" w:leader="dot" w:pos="9060"/>
            </w:tabs>
            <w:ind w:left="960"/>
            <w:rPr>
              <w:rFonts w:hint="eastAsia" w:asciiTheme="minorHAnsi" w:hAnsiTheme="minorHAnsi" w:eastAsiaTheme="minorEastAsia"/>
              <w:sz w:val="22"/>
            </w:rPr>
          </w:pPr>
          <w:r>
            <w:fldChar w:fldCharType="begin"/>
          </w:r>
          <w:r>
            <w:instrText xml:space="preserve"> HYPERLINK \l "_Toc221056438" </w:instrText>
          </w:r>
          <w:r>
            <w:fldChar w:fldCharType="separate"/>
          </w:r>
          <w:r>
            <w:rPr>
              <w:rStyle w:val="41"/>
              <w:rFonts w:hint="eastAsia"/>
              <w:color w:val="000000" w:themeColor="text1"/>
              <w14:textFill>
                <w14:solidFill>
                  <w14:schemeClr w14:val="tx1"/>
                </w14:solidFill>
              </w14:textFill>
            </w:rPr>
            <w:t>6.8.3环境风险潜势初判</w:t>
          </w:r>
          <w:r>
            <w:rPr>
              <w:rFonts w:hint="eastAsia"/>
            </w:rPr>
            <w:tab/>
          </w:r>
          <w:r>
            <w:rPr>
              <w:rFonts w:hint="eastAsia"/>
            </w:rPr>
            <w:fldChar w:fldCharType="begin"/>
          </w:r>
          <w:r>
            <w:rPr>
              <w:rFonts w:hint="eastAsia"/>
            </w:rPr>
            <w:instrText xml:space="preserve"> </w:instrText>
          </w:r>
          <w:r>
            <w:instrText xml:space="preserve">PAGEREF _Toc221056438 \h</w:instrText>
          </w:r>
          <w:r>
            <w:rPr>
              <w:rFonts w:hint="eastAsia"/>
            </w:rPr>
            <w:instrText xml:space="preserve"> </w:instrText>
          </w:r>
          <w:r>
            <w:rPr>
              <w:rFonts w:hint="eastAsia"/>
            </w:rPr>
            <w:fldChar w:fldCharType="separate"/>
          </w:r>
          <w:r>
            <w:t>250</w:t>
          </w:r>
          <w:r>
            <w:rPr>
              <w:rFonts w:hint="eastAsia"/>
            </w:rPr>
            <w:fldChar w:fldCharType="end"/>
          </w:r>
          <w:r>
            <w:rPr>
              <w:rFonts w:hint="eastAsia"/>
            </w:rPr>
            <w:fldChar w:fldCharType="end"/>
          </w:r>
        </w:p>
        <w:p w14:paraId="64DFD9DA">
          <w:pPr>
            <w:pStyle w:val="18"/>
            <w:tabs>
              <w:tab w:val="right" w:leader="dot" w:pos="9060"/>
            </w:tabs>
            <w:ind w:left="960"/>
            <w:rPr>
              <w:rFonts w:hint="eastAsia" w:asciiTheme="minorHAnsi" w:hAnsiTheme="minorHAnsi" w:eastAsiaTheme="minorEastAsia"/>
              <w:sz w:val="22"/>
            </w:rPr>
          </w:pPr>
          <w:r>
            <w:fldChar w:fldCharType="begin"/>
          </w:r>
          <w:r>
            <w:instrText xml:space="preserve"> HYPERLINK \l "_Toc221056439" </w:instrText>
          </w:r>
          <w:r>
            <w:fldChar w:fldCharType="separate"/>
          </w:r>
          <w:r>
            <w:rPr>
              <w:rStyle w:val="41"/>
              <w:rFonts w:hint="eastAsia"/>
              <w:color w:val="000000" w:themeColor="text1"/>
              <w14:textFill>
                <w14:solidFill>
                  <w14:schemeClr w14:val="tx1"/>
                </w14:solidFill>
              </w14:textFill>
            </w:rPr>
            <w:t>6.8.4环境风险识别</w:t>
          </w:r>
          <w:r>
            <w:rPr>
              <w:rFonts w:hint="eastAsia"/>
            </w:rPr>
            <w:tab/>
          </w:r>
          <w:r>
            <w:rPr>
              <w:rFonts w:hint="eastAsia"/>
            </w:rPr>
            <w:fldChar w:fldCharType="begin"/>
          </w:r>
          <w:r>
            <w:rPr>
              <w:rFonts w:hint="eastAsia"/>
            </w:rPr>
            <w:instrText xml:space="preserve"> </w:instrText>
          </w:r>
          <w:r>
            <w:instrText xml:space="preserve">PAGEREF _Toc221056439 \h</w:instrText>
          </w:r>
          <w:r>
            <w:rPr>
              <w:rFonts w:hint="eastAsia"/>
            </w:rPr>
            <w:instrText xml:space="preserve"> </w:instrText>
          </w:r>
          <w:r>
            <w:rPr>
              <w:rFonts w:hint="eastAsia"/>
            </w:rPr>
            <w:fldChar w:fldCharType="separate"/>
          </w:r>
          <w:r>
            <w:t>255</w:t>
          </w:r>
          <w:r>
            <w:rPr>
              <w:rFonts w:hint="eastAsia"/>
            </w:rPr>
            <w:fldChar w:fldCharType="end"/>
          </w:r>
          <w:r>
            <w:rPr>
              <w:rFonts w:hint="eastAsia"/>
            </w:rPr>
            <w:fldChar w:fldCharType="end"/>
          </w:r>
        </w:p>
        <w:p w14:paraId="7AB56BA4">
          <w:pPr>
            <w:pStyle w:val="18"/>
            <w:tabs>
              <w:tab w:val="right" w:leader="dot" w:pos="9060"/>
            </w:tabs>
            <w:ind w:left="960"/>
            <w:rPr>
              <w:rFonts w:hint="eastAsia" w:asciiTheme="minorHAnsi" w:hAnsiTheme="minorHAnsi" w:eastAsiaTheme="minorEastAsia"/>
              <w:sz w:val="22"/>
            </w:rPr>
          </w:pPr>
          <w:r>
            <w:fldChar w:fldCharType="begin"/>
          </w:r>
          <w:r>
            <w:instrText xml:space="preserve"> HYPERLINK \l "_Toc221056440" </w:instrText>
          </w:r>
          <w:r>
            <w:fldChar w:fldCharType="separate"/>
          </w:r>
          <w:r>
            <w:rPr>
              <w:rStyle w:val="41"/>
              <w:rFonts w:hint="eastAsia"/>
              <w:color w:val="000000" w:themeColor="text1"/>
              <w14:textFill>
                <w14:solidFill>
                  <w14:schemeClr w14:val="tx1"/>
                </w14:solidFill>
              </w14:textFill>
            </w:rPr>
            <w:t>6.8.5风险事故情形分析</w:t>
          </w:r>
          <w:r>
            <w:rPr>
              <w:rFonts w:hint="eastAsia"/>
            </w:rPr>
            <w:tab/>
          </w:r>
          <w:r>
            <w:rPr>
              <w:rFonts w:hint="eastAsia"/>
            </w:rPr>
            <w:fldChar w:fldCharType="begin"/>
          </w:r>
          <w:r>
            <w:rPr>
              <w:rFonts w:hint="eastAsia"/>
            </w:rPr>
            <w:instrText xml:space="preserve"> </w:instrText>
          </w:r>
          <w:r>
            <w:instrText xml:space="preserve">PAGEREF _Toc221056440 \h</w:instrText>
          </w:r>
          <w:r>
            <w:rPr>
              <w:rFonts w:hint="eastAsia"/>
            </w:rPr>
            <w:instrText xml:space="preserve"> </w:instrText>
          </w:r>
          <w:r>
            <w:rPr>
              <w:rFonts w:hint="eastAsia"/>
            </w:rPr>
            <w:fldChar w:fldCharType="separate"/>
          </w:r>
          <w:r>
            <w:t>261</w:t>
          </w:r>
          <w:r>
            <w:rPr>
              <w:rFonts w:hint="eastAsia"/>
            </w:rPr>
            <w:fldChar w:fldCharType="end"/>
          </w:r>
          <w:r>
            <w:rPr>
              <w:rFonts w:hint="eastAsia"/>
            </w:rPr>
            <w:fldChar w:fldCharType="end"/>
          </w:r>
        </w:p>
        <w:p w14:paraId="1CEF5E8D">
          <w:pPr>
            <w:pStyle w:val="18"/>
            <w:tabs>
              <w:tab w:val="right" w:leader="dot" w:pos="9060"/>
            </w:tabs>
            <w:ind w:left="960"/>
            <w:rPr>
              <w:rFonts w:hint="eastAsia" w:asciiTheme="minorHAnsi" w:hAnsiTheme="minorHAnsi" w:eastAsiaTheme="minorEastAsia"/>
              <w:sz w:val="22"/>
            </w:rPr>
          </w:pPr>
          <w:r>
            <w:fldChar w:fldCharType="begin"/>
          </w:r>
          <w:r>
            <w:instrText xml:space="preserve"> HYPERLINK \l "_Toc221056441" </w:instrText>
          </w:r>
          <w:r>
            <w:fldChar w:fldCharType="separate"/>
          </w:r>
          <w:r>
            <w:rPr>
              <w:rStyle w:val="41"/>
              <w:rFonts w:hint="eastAsia"/>
              <w:color w:val="000000" w:themeColor="text1"/>
              <w14:textFill>
                <w14:solidFill>
                  <w14:schemeClr w14:val="tx1"/>
                </w14:solidFill>
              </w14:textFill>
            </w:rPr>
            <w:t>6.8.6源项分析</w:t>
          </w:r>
          <w:r>
            <w:rPr>
              <w:rFonts w:hint="eastAsia"/>
            </w:rPr>
            <w:tab/>
          </w:r>
          <w:r>
            <w:rPr>
              <w:rFonts w:hint="eastAsia"/>
            </w:rPr>
            <w:fldChar w:fldCharType="begin"/>
          </w:r>
          <w:r>
            <w:rPr>
              <w:rFonts w:hint="eastAsia"/>
            </w:rPr>
            <w:instrText xml:space="preserve"> </w:instrText>
          </w:r>
          <w:r>
            <w:instrText xml:space="preserve">PAGEREF _Toc221056441 \h</w:instrText>
          </w:r>
          <w:r>
            <w:rPr>
              <w:rFonts w:hint="eastAsia"/>
            </w:rPr>
            <w:instrText xml:space="preserve"> </w:instrText>
          </w:r>
          <w:r>
            <w:rPr>
              <w:rFonts w:hint="eastAsia"/>
            </w:rPr>
            <w:fldChar w:fldCharType="separate"/>
          </w:r>
          <w:r>
            <w:t>263</w:t>
          </w:r>
          <w:r>
            <w:rPr>
              <w:rFonts w:hint="eastAsia"/>
            </w:rPr>
            <w:fldChar w:fldCharType="end"/>
          </w:r>
          <w:r>
            <w:rPr>
              <w:rFonts w:hint="eastAsia"/>
            </w:rPr>
            <w:fldChar w:fldCharType="end"/>
          </w:r>
        </w:p>
        <w:p w14:paraId="260B1753">
          <w:pPr>
            <w:pStyle w:val="18"/>
            <w:tabs>
              <w:tab w:val="right" w:leader="dot" w:pos="9060"/>
            </w:tabs>
            <w:ind w:left="960"/>
            <w:rPr>
              <w:rFonts w:hint="eastAsia" w:asciiTheme="minorHAnsi" w:hAnsiTheme="minorHAnsi" w:eastAsiaTheme="minorEastAsia"/>
              <w:sz w:val="22"/>
            </w:rPr>
          </w:pPr>
          <w:r>
            <w:fldChar w:fldCharType="begin"/>
          </w:r>
          <w:r>
            <w:instrText xml:space="preserve"> HYPERLINK \l "_Toc221056442" </w:instrText>
          </w:r>
          <w:r>
            <w:fldChar w:fldCharType="separate"/>
          </w:r>
          <w:r>
            <w:rPr>
              <w:rStyle w:val="41"/>
              <w:rFonts w:hint="eastAsia"/>
              <w:color w:val="000000" w:themeColor="text1"/>
              <w14:textFill>
                <w14:solidFill>
                  <w14:schemeClr w14:val="tx1"/>
                </w14:solidFill>
              </w14:textFill>
            </w:rPr>
            <w:t>6.8.7大气环境风险预测与评价</w:t>
          </w:r>
          <w:r>
            <w:rPr>
              <w:rFonts w:hint="eastAsia"/>
            </w:rPr>
            <w:tab/>
          </w:r>
          <w:r>
            <w:rPr>
              <w:rFonts w:hint="eastAsia"/>
            </w:rPr>
            <w:fldChar w:fldCharType="begin"/>
          </w:r>
          <w:r>
            <w:rPr>
              <w:rFonts w:hint="eastAsia"/>
            </w:rPr>
            <w:instrText xml:space="preserve"> </w:instrText>
          </w:r>
          <w:r>
            <w:instrText xml:space="preserve">PAGEREF _Toc221056442 \h</w:instrText>
          </w:r>
          <w:r>
            <w:rPr>
              <w:rFonts w:hint="eastAsia"/>
            </w:rPr>
            <w:instrText xml:space="preserve"> </w:instrText>
          </w:r>
          <w:r>
            <w:rPr>
              <w:rFonts w:hint="eastAsia"/>
            </w:rPr>
            <w:fldChar w:fldCharType="separate"/>
          </w:r>
          <w:r>
            <w:t>268</w:t>
          </w:r>
          <w:r>
            <w:rPr>
              <w:rFonts w:hint="eastAsia"/>
            </w:rPr>
            <w:fldChar w:fldCharType="end"/>
          </w:r>
          <w:r>
            <w:rPr>
              <w:rFonts w:hint="eastAsia"/>
            </w:rPr>
            <w:fldChar w:fldCharType="end"/>
          </w:r>
        </w:p>
        <w:p w14:paraId="128A854D">
          <w:pPr>
            <w:pStyle w:val="18"/>
            <w:tabs>
              <w:tab w:val="right" w:leader="dot" w:pos="9060"/>
            </w:tabs>
            <w:ind w:left="960"/>
            <w:rPr>
              <w:rFonts w:hint="eastAsia" w:asciiTheme="minorHAnsi" w:hAnsiTheme="minorHAnsi" w:eastAsiaTheme="minorEastAsia"/>
              <w:sz w:val="22"/>
            </w:rPr>
          </w:pPr>
          <w:r>
            <w:fldChar w:fldCharType="begin"/>
          </w:r>
          <w:r>
            <w:instrText xml:space="preserve"> HYPERLINK \l "_Toc221056443" </w:instrText>
          </w:r>
          <w:r>
            <w:fldChar w:fldCharType="separate"/>
          </w:r>
          <w:r>
            <w:rPr>
              <w:rStyle w:val="41"/>
              <w:rFonts w:hint="eastAsia"/>
              <w:color w:val="000000" w:themeColor="text1"/>
              <w14:textFill>
                <w14:solidFill>
                  <w14:schemeClr w14:val="tx1"/>
                </w14:solidFill>
              </w14:textFill>
            </w:rPr>
            <w:t>6.8.8地下水环境风险分析</w:t>
          </w:r>
          <w:r>
            <w:rPr>
              <w:rFonts w:hint="eastAsia"/>
            </w:rPr>
            <w:tab/>
          </w:r>
          <w:r>
            <w:rPr>
              <w:rFonts w:hint="eastAsia"/>
            </w:rPr>
            <w:fldChar w:fldCharType="begin"/>
          </w:r>
          <w:r>
            <w:rPr>
              <w:rFonts w:hint="eastAsia"/>
            </w:rPr>
            <w:instrText xml:space="preserve"> </w:instrText>
          </w:r>
          <w:r>
            <w:instrText xml:space="preserve">PAGEREF _Toc221056443 \h</w:instrText>
          </w:r>
          <w:r>
            <w:rPr>
              <w:rFonts w:hint="eastAsia"/>
            </w:rPr>
            <w:instrText xml:space="preserve"> </w:instrText>
          </w:r>
          <w:r>
            <w:rPr>
              <w:rFonts w:hint="eastAsia"/>
            </w:rPr>
            <w:fldChar w:fldCharType="separate"/>
          </w:r>
          <w:r>
            <w:t>284</w:t>
          </w:r>
          <w:r>
            <w:rPr>
              <w:rFonts w:hint="eastAsia"/>
            </w:rPr>
            <w:fldChar w:fldCharType="end"/>
          </w:r>
          <w:r>
            <w:rPr>
              <w:rFonts w:hint="eastAsia"/>
            </w:rPr>
            <w:fldChar w:fldCharType="end"/>
          </w:r>
        </w:p>
        <w:p w14:paraId="67288CA6">
          <w:pPr>
            <w:pStyle w:val="18"/>
            <w:tabs>
              <w:tab w:val="right" w:leader="dot" w:pos="9060"/>
            </w:tabs>
            <w:ind w:left="960"/>
            <w:rPr>
              <w:rFonts w:hint="eastAsia" w:asciiTheme="minorHAnsi" w:hAnsiTheme="minorHAnsi" w:eastAsiaTheme="minorEastAsia"/>
              <w:sz w:val="22"/>
            </w:rPr>
          </w:pPr>
          <w:r>
            <w:fldChar w:fldCharType="begin"/>
          </w:r>
          <w:r>
            <w:instrText xml:space="preserve"> HYPERLINK \l "_Toc221056444" </w:instrText>
          </w:r>
          <w:r>
            <w:fldChar w:fldCharType="separate"/>
          </w:r>
          <w:r>
            <w:rPr>
              <w:rStyle w:val="41"/>
              <w:rFonts w:hint="eastAsia"/>
              <w:color w:val="000000" w:themeColor="text1"/>
              <w14:textFill>
                <w14:solidFill>
                  <w14:schemeClr w14:val="tx1"/>
                </w14:solidFill>
              </w14:textFill>
            </w:rPr>
            <w:t>6.8.9环境风险管理</w:t>
          </w:r>
          <w:r>
            <w:rPr>
              <w:rFonts w:hint="eastAsia"/>
            </w:rPr>
            <w:tab/>
          </w:r>
          <w:r>
            <w:rPr>
              <w:rFonts w:hint="eastAsia"/>
            </w:rPr>
            <w:fldChar w:fldCharType="begin"/>
          </w:r>
          <w:r>
            <w:rPr>
              <w:rFonts w:hint="eastAsia"/>
            </w:rPr>
            <w:instrText xml:space="preserve"> </w:instrText>
          </w:r>
          <w:r>
            <w:instrText xml:space="preserve">PAGEREF _Toc221056444 \h</w:instrText>
          </w:r>
          <w:r>
            <w:rPr>
              <w:rFonts w:hint="eastAsia"/>
            </w:rPr>
            <w:instrText xml:space="preserve"> </w:instrText>
          </w:r>
          <w:r>
            <w:rPr>
              <w:rFonts w:hint="eastAsia"/>
            </w:rPr>
            <w:fldChar w:fldCharType="separate"/>
          </w:r>
          <w:r>
            <w:t>284</w:t>
          </w:r>
          <w:r>
            <w:rPr>
              <w:rFonts w:hint="eastAsia"/>
            </w:rPr>
            <w:fldChar w:fldCharType="end"/>
          </w:r>
          <w:r>
            <w:rPr>
              <w:rFonts w:hint="eastAsia"/>
            </w:rPr>
            <w:fldChar w:fldCharType="end"/>
          </w:r>
        </w:p>
        <w:p w14:paraId="19A8A68E">
          <w:pPr>
            <w:pStyle w:val="18"/>
            <w:tabs>
              <w:tab w:val="right" w:leader="dot" w:pos="9060"/>
            </w:tabs>
            <w:ind w:left="960"/>
            <w:rPr>
              <w:rFonts w:hint="eastAsia" w:asciiTheme="minorHAnsi" w:hAnsiTheme="minorHAnsi" w:eastAsiaTheme="minorEastAsia"/>
              <w:sz w:val="22"/>
            </w:rPr>
          </w:pPr>
          <w:r>
            <w:fldChar w:fldCharType="begin"/>
          </w:r>
          <w:r>
            <w:instrText xml:space="preserve"> HYPERLINK \l "_Toc221056445" </w:instrText>
          </w:r>
          <w:r>
            <w:fldChar w:fldCharType="separate"/>
          </w:r>
          <w:r>
            <w:rPr>
              <w:rStyle w:val="41"/>
              <w:rFonts w:hint="eastAsia"/>
              <w:color w:val="000000" w:themeColor="text1"/>
              <w14:textFill>
                <w14:solidFill>
                  <w14:schemeClr w14:val="tx1"/>
                </w14:solidFill>
              </w14:textFill>
            </w:rPr>
            <w:t>6.8.10评价结论与建议</w:t>
          </w:r>
          <w:r>
            <w:rPr>
              <w:rFonts w:hint="eastAsia"/>
            </w:rPr>
            <w:tab/>
          </w:r>
          <w:r>
            <w:rPr>
              <w:rFonts w:hint="eastAsia"/>
            </w:rPr>
            <w:fldChar w:fldCharType="begin"/>
          </w:r>
          <w:r>
            <w:rPr>
              <w:rFonts w:hint="eastAsia"/>
            </w:rPr>
            <w:instrText xml:space="preserve"> </w:instrText>
          </w:r>
          <w:r>
            <w:instrText xml:space="preserve">PAGEREF _Toc221056445 \h</w:instrText>
          </w:r>
          <w:r>
            <w:rPr>
              <w:rFonts w:hint="eastAsia"/>
            </w:rPr>
            <w:instrText xml:space="preserve"> </w:instrText>
          </w:r>
          <w:r>
            <w:rPr>
              <w:rFonts w:hint="eastAsia"/>
            </w:rPr>
            <w:fldChar w:fldCharType="separate"/>
          </w:r>
          <w:r>
            <w:t>291</w:t>
          </w:r>
          <w:r>
            <w:rPr>
              <w:rFonts w:hint="eastAsia"/>
            </w:rPr>
            <w:fldChar w:fldCharType="end"/>
          </w:r>
          <w:r>
            <w:rPr>
              <w:rFonts w:hint="eastAsia"/>
            </w:rPr>
            <w:fldChar w:fldCharType="end"/>
          </w:r>
        </w:p>
        <w:p w14:paraId="760A5ECA">
          <w:pPr>
            <w:pStyle w:val="26"/>
            <w:tabs>
              <w:tab w:val="right" w:leader="dot" w:pos="9060"/>
            </w:tabs>
            <w:rPr>
              <w:rFonts w:hint="eastAsia" w:asciiTheme="minorHAnsi" w:hAnsiTheme="minorHAnsi" w:eastAsiaTheme="minorEastAsia"/>
              <w:sz w:val="22"/>
            </w:rPr>
          </w:pPr>
          <w:r>
            <w:fldChar w:fldCharType="begin"/>
          </w:r>
          <w:r>
            <w:instrText xml:space="preserve"> HYPERLINK \l "_Toc221056446" </w:instrText>
          </w:r>
          <w:r>
            <w:fldChar w:fldCharType="separate"/>
          </w:r>
          <w:r>
            <w:rPr>
              <w:rStyle w:val="41"/>
              <w:rFonts w:hint="eastAsia"/>
              <w:color w:val="000000" w:themeColor="text1"/>
              <w14:textFill>
                <w14:solidFill>
                  <w14:schemeClr w14:val="tx1"/>
                </w14:solidFill>
              </w14:textFill>
            </w:rPr>
            <w:t>7环境保护措施及可行性论证</w:t>
          </w:r>
          <w:r>
            <w:rPr>
              <w:rFonts w:hint="eastAsia"/>
            </w:rPr>
            <w:tab/>
          </w:r>
          <w:r>
            <w:rPr>
              <w:rFonts w:hint="eastAsia"/>
            </w:rPr>
            <w:fldChar w:fldCharType="begin"/>
          </w:r>
          <w:r>
            <w:rPr>
              <w:rFonts w:hint="eastAsia"/>
            </w:rPr>
            <w:instrText xml:space="preserve"> </w:instrText>
          </w:r>
          <w:r>
            <w:instrText xml:space="preserve">PAGEREF _Toc221056446 \h</w:instrText>
          </w:r>
          <w:r>
            <w:rPr>
              <w:rFonts w:hint="eastAsia"/>
            </w:rPr>
            <w:instrText xml:space="preserve"> </w:instrText>
          </w:r>
          <w:r>
            <w:rPr>
              <w:rFonts w:hint="eastAsia"/>
            </w:rPr>
            <w:fldChar w:fldCharType="separate"/>
          </w:r>
          <w:r>
            <w:t>292</w:t>
          </w:r>
          <w:r>
            <w:rPr>
              <w:rFonts w:hint="eastAsia"/>
            </w:rPr>
            <w:fldChar w:fldCharType="end"/>
          </w:r>
          <w:r>
            <w:rPr>
              <w:rFonts w:hint="eastAsia"/>
            </w:rPr>
            <w:fldChar w:fldCharType="end"/>
          </w:r>
        </w:p>
        <w:p w14:paraId="06E356FC">
          <w:pPr>
            <w:pStyle w:val="31"/>
            <w:tabs>
              <w:tab w:val="right" w:leader="dot" w:pos="9060"/>
            </w:tabs>
            <w:ind w:left="480"/>
            <w:rPr>
              <w:rFonts w:hint="eastAsia" w:asciiTheme="minorHAnsi" w:hAnsiTheme="minorHAnsi" w:eastAsiaTheme="minorEastAsia"/>
              <w:sz w:val="22"/>
            </w:rPr>
          </w:pPr>
          <w:r>
            <w:fldChar w:fldCharType="begin"/>
          </w:r>
          <w:r>
            <w:instrText xml:space="preserve"> HYPERLINK \l "_Toc221056447" </w:instrText>
          </w:r>
          <w:r>
            <w:fldChar w:fldCharType="separate"/>
          </w:r>
          <w:r>
            <w:rPr>
              <w:rStyle w:val="41"/>
              <w:rFonts w:hint="eastAsia"/>
              <w:color w:val="000000" w:themeColor="text1"/>
              <w14:textFill>
                <w14:solidFill>
                  <w14:schemeClr w14:val="tx1"/>
                </w14:solidFill>
              </w14:textFill>
            </w:rPr>
            <w:t>7.1废气治理措施</w:t>
          </w:r>
          <w:r>
            <w:rPr>
              <w:rFonts w:hint="eastAsia"/>
            </w:rPr>
            <w:tab/>
          </w:r>
          <w:r>
            <w:rPr>
              <w:rFonts w:hint="eastAsia"/>
            </w:rPr>
            <w:fldChar w:fldCharType="begin"/>
          </w:r>
          <w:r>
            <w:rPr>
              <w:rFonts w:hint="eastAsia"/>
            </w:rPr>
            <w:instrText xml:space="preserve"> </w:instrText>
          </w:r>
          <w:r>
            <w:instrText xml:space="preserve">PAGEREF _Toc221056447 \h</w:instrText>
          </w:r>
          <w:r>
            <w:rPr>
              <w:rFonts w:hint="eastAsia"/>
            </w:rPr>
            <w:instrText xml:space="preserve"> </w:instrText>
          </w:r>
          <w:r>
            <w:rPr>
              <w:rFonts w:hint="eastAsia"/>
            </w:rPr>
            <w:fldChar w:fldCharType="separate"/>
          </w:r>
          <w:r>
            <w:t>292</w:t>
          </w:r>
          <w:r>
            <w:rPr>
              <w:rFonts w:hint="eastAsia"/>
            </w:rPr>
            <w:fldChar w:fldCharType="end"/>
          </w:r>
          <w:r>
            <w:rPr>
              <w:rFonts w:hint="eastAsia"/>
            </w:rPr>
            <w:fldChar w:fldCharType="end"/>
          </w:r>
        </w:p>
        <w:p w14:paraId="5A8CAEBA">
          <w:pPr>
            <w:pStyle w:val="18"/>
            <w:tabs>
              <w:tab w:val="right" w:leader="dot" w:pos="9060"/>
            </w:tabs>
            <w:ind w:left="960"/>
            <w:rPr>
              <w:rFonts w:hint="eastAsia" w:asciiTheme="minorHAnsi" w:hAnsiTheme="minorHAnsi" w:eastAsiaTheme="minorEastAsia"/>
              <w:sz w:val="22"/>
            </w:rPr>
          </w:pPr>
          <w:r>
            <w:fldChar w:fldCharType="begin"/>
          </w:r>
          <w:r>
            <w:instrText xml:space="preserve"> HYPERLINK \l "_Toc221056448" </w:instrText>
          </w:r>
          <w:r>
            <w:fldChar w:fldCharType="separate"/>
          </w:r>
          <w:r>
            <w:rPr>
              <w:rStyle w:val="41"/>
              <w:rFonts w:hint="eastAsia"/>
              <w:color w:val="000000" w:themeColor="text1"/>
              <w14:textFill>
                <w14:solidFill>
                  <w14:schemeClr w14:val="tx1"/>
                </w14:solidFill>
              </w14:textFill>
            </w:rPr>
            <w:t>7.1.1有组织废气治理措施</w:t>
          </w:r>
          <w:r>
            <w:rPr>
              <w:rFonts w:hint="eastAsia"/>
            </w:rPr>
            <w:tab/>
          </w:r>
          <w:r>
            <w:rPr>
              <w:rFonts w:hint="eastAsia"/>
            </w:rPr>
            <w:fldChar w:fldCharType="begin"/>
          </w:r>
          <w:r>
            <w:rPr>
              <w:rFonts w:hint="eastAsia"/>
            </w:rPr>
            <w:instrText xml:space="preserve"> </w:instrText>
          </w:r>
          <w:r>
            <w:instrText xml:space="preserve">PAGEREF _Toc221056448 \h</w:instrText>
          </w:r>
          <w:r>
            <w:rPr>
              <w:rFonts w:hint="eastAsia"/>
            </w:rPr>
            <w:instrText xml:space="preserve"> </w:instrText>
          </w:r>
          <w:r>
            <w:rPr>
              <w:rFonts w:hint="eastAsia"/>
            </w:rPr>
            <w:fldChar w:fldCharType="separate"/>
          </w:r>
          <w:r>
            <w:t>292</w:t>
          </w:r>
          <w:r>
            <w:rPr>
              <w:rFonts w:hint="eastAsia"/>
            </w:rPr>
            <w:fldChar w:fldCharType="end"/>
          </w:r>
          <w:r>
            <w:rPr>
              <w:rFonts w:hint="eastAsia"/>
            </w:rPr>
            <w:fldChar w:fldCharType="end"/>
          </w:r>
        </w:p>
        <w:p w14:paraId="621803B7">
          <w:pPr>
            <w:pStyle w:val="18"/>
            <w:tabs>
              <w:tab w:val="right" w:leader="dot" w:pos="9060"/>
            </w:tabs>
            <w:ind w:left="960"/>
            <w:rPr>
              <w:rFonts w:hint="eastAsia" w:asciiTheme="minorHAnsi" w:hAnsiTheme="minorHAnsi" w:eastAsiaTheme="minorEastAsia"/>
              <w:sz w:val="22"/>
            </w:rPr>
          </w:pPr>
          <w:r>
            <w:fldChar w:fldCharType="begin"/>
          </w:r>
          <w:r>
            <w:instrText xml:space="preserve"> HYPERLINK \l "_Toc221056449" </w:instrText>
          </w:r>
          <w:r>
            <w:fldChar w:fldCharType="separate"/>
          </w:r>
          <w:r>
            <w:rPr>
              <w:rStyle w:val="41"/>
              <w:rFonts w:hint="eastAsia"/>
              <w:color w:val="000000" w:themeColor="text1"/>
              <w14:textFill>
                <w14:solidFill>
                  <w14:schemeClr w14:val="tx1"/>
                </w14:solidFill>
              </w14:textFill>
            </w:rPr>
            <w:t>7.1.2无组织废气治理措施</w:t>
          </w:r>
          <w:r>
            <w:rPr>
              <w:rFonts w:hint="eastAsia"/>
            </w:rPr>
            <w:tab/>
          </w:r>
          <w:r>
            <w:rPr>
              <w:rFonts w:hint="eastAsia"/>
            </w:rPr>
            <w:fldChar w:fldCharType="begin"/>
          </w:r>
          <w:r>
            <w:rPr>
              <w:rFonts w:hint="eastAsia"/>
            </w:rPr>
            <w:instrText xml:space="preserve"> </w:instrText>
          </w:r>
          <w:r>
            <w:instrText xml:space="preserve">PAGEREF _Toc221056449 \h</w:instrText>
          </w:r>
          <w:r>
            <w:rPr>
              <w:rFonts w:hint="eastAsia"/>
            </w:rPr>
            <w:instrText xml:space="preserve"> </w:instrText>
          </w:r>
          <w:r>
            <w:rPr>
              <w:rFonts w:hint="eastAsia"/>
            </w:rPr>
            <w:fldChar w:fldCharType="separate"/>
          </w:r>
          <w:r>
            <w:t>293</w:t>
          </w:r>
          <w:r>
            <w:rPr>
              <w:rFonts w:hint="eastAsia"/>
            </w:rPr>
            <w:fldChar w:fldCharType="end"/>
          </w:r>
          <w:r>
            <w:rPr>
              <w:rFonts w:hint="eastAsia"/>
            </w:rPr>
            <w:fldChar w:fldCharType="end"/>
          </w:r>
        </w:p>
        <w:p w14:paraId="4E535DC5">
          <w:pPr>
            <w:pStyle w:val="31"/>
            <w:tabs>
              <w:tab w:val="right" w:leader="dot" w:pos="9060"/>
            </w:tabs>
            <w:ind w:left="480"/>
            <w:rPr>
              <w:rFonts w:hint="eastAsia" w:asciiTheme="minorHAnsi" w:hAnsiTheme="minorHAnsi" w:eastAsiaTheme="minorEastAsia"/>
              <w:sz w:val="22"/>
            </w:rPr>
          </w:pPr>
          <w:r>
            <w:fldChar w:fldCharType="begin"/>
          </w:r>
          <w:r>
            <w:instrText xml:space="preserve"> HYPERLINK \l "_Toc221056450" </w:instrText>
          </w:r>
          <w:r>
            <w:fldChar w:fldCharType="separate"/>
          </w:r>
          <w:r>
            <w:rPr>
              <w:rStyle w:val="41"/>
              <w:rFonts w:hint="eastAsia"/>
              <w:color w:val="000000" w:themeColor="text1"/>
              <w14:textFill>
                <w14:solidFill>
                  <w14:schemeClr w14:val="tx1"/>
                </w14:solidFill>
              </w14:textFill>
            </w:rPr>
            <w:t>7.2废水治理措施</w:t>
          </w:r>
          <w:r>
            <w:rPr>
              <w:rFonts w:hint="eastAsia"/>
            </w:rPr>
            <w:tab/>
          </w:r>
          <w:r>
            <w:rPr>
              <w:rFonts w:hint="eastAsia"/>
            </w:rPr>
            <w:fldChar w:fldCharType="begin"/>
          </w:r>
          <w:r>
            <w:rPr>
              <w:rFonts w:hint="eastAsia"/>
            </w:rPr>
            <w:instrText xml:space="preserve"> </w:instrText>
          </w:r>
          <w:r>
            <w:instrText xml:space="preserve">PAGEREF _Toc221056450 \h</w:instrText>
          </w:r>
          <w:r>
            <w:rPr>
              <w:rFonts w:hint="eastAsia"/>
            </w:rPr>
            <w:instrText xml:space="preserve"> </w:instrText>
          </w:r>
          <w:r>
            <w:rPr>
              <w:rFonts w:hint="eastAsia"/>
            </w:rPr>
            <w:fldChar w:fldCharType="separate"/>
          </w:r>
          <w:r>
            <w:t>294</w:t>
          </w:r>
          <w:r>
            <w:rPr>
              <w:rFonts w:hint="eastAsia"/>
            </w:rPr>
            <w:fldChar w:fldCharType="end"/>
          </w:r>
          <w:r>
            <w:rPr>
              <w:rFonts w:hint="eastAsia"/>
            </w:rPr>
            <w:fldChar w:fldCharType="end"/>
          </w:r>
        </w:p>
        <w:p w14:paraId="6F4123AF">
          <w:pPr>
            <w:pStyle w:val="18"/>
            <w:tabs>
              <w:tab w:val="right" w:leader="dot" w:pos="9060"/>
            </w:tabs>
            <w:ind w:left="960"/>
            <w:rPr>
              <w:rFonts w:hint="eastAsia" w:asciiTheme="minorHAnsi" w:hAnsiTheme="minorHAnsi" w:eastAsiaTheme="minorEastAsia"/>
              <w:sz w:val="22"/>
            </w:rPr>
          </w:pPr>
          <w:r>
            <w:fldChar w:fldCharType="begin"/>
          </w:r>
          <w:r>
            <w:instrText xml:space="preserve"> HYPERLINK \l "_Toc221056451" </w:instrText>
          </w:r>
          <w:r>
            <w:fldChar w:fldCharType="separate"/>
          </w:r>
          <w:r>
            <w:rPr>
              <w:rStyle w:val="41"/>
              <w:rFonts w:hint="eastAsia"/>
              <w:color w:val="000000" w:themeColor="text1"/>
              <w14:textFill>
                <w14:solidFill>
                  <w14:schemeClr w14:val="tx1"/>
                </w14:solidFill>
              </w14:textFill>
            </w:rPr>
            <w:t>7.2.1废水收集、处理措施</w:t>
          </w:r>
          <w:r>
            <w:rPr>
              <w:rFonts w:hint="eastAsia"/>
            </w:rPr>
            <w:tab/>
          </w:r>
          <w:r>
            <w:rPr>
              <w:rFonts w:hint="eastAsia"/>
            </w:rPr>
            <w:fldChar w:fldCharType="begin"/>
          </w:r>
          <w:r>
            <w:rPr>
              <w:rFonts w:hint="eastAsia"/>
            </w:rPr>
            <w:instrText xml:space="preserve"> </w:instrText>
          </w:r>
          <w:r>
            <w:instrText xml:space="preserve">PAGEREF _Toc221056451 \h</w:instrText>
          </w:r>
          <w:r>
            <w:rPr>
              <w:rFonts w:hint="eastAsia"/>
            </w:rPr>
            <w:instrText xml:space="preserve"> </w:instrText>
          </w:r>
          <w:r>
            <w:rPr>
              <w:rFonts w:hint="eastAsia"/>
            </w:rPr>
            <w:fldChar w:fldCharType="separate"/>
          </w:r>
          <w:r>
            <w:t>294</w:t>
          </w:r>
          <w:r>
            <w:rPr>
              <w:rFonts w:hint="eastAsia"/>
            </w:rPr>
            <w:fldChar w:fldCharType="end"/>
          </w:r>
          <w:r>
            <w:rPr>
              <w:rFonts w:hint="eastAsia"/>
            </w:rPr>
            <w:fldChar w:fldCharType="end"/>
          </w:r>
        </w:p>
        <w:p w14:paraId="3102D79A">
          <w:pPr>
            <w:pStyle w:val="18"/>
            <w:tabs>
              <w:tab w:val="right" w:leader="dot" w:pos="9060"/>
            </w:tabs>
            <w:ind w:left="960"/>
            <w:rPr>
              <w:rFonts w:hint="eastAsia" w:asciiTheme="minorHAnsi" w:hAnsiTheme="minorHAnsi" w:eastAsiaTheme="minorEastAsia"/>
              <w:sz w:val="22"/>
            </w:rPr>
          </w:pPr>
          <w:r>
            <w:fldChar w:fldCharType="begin"/>
          </w:r>
          <w:r>
            <w:instrText xml:space="preserve"> HYPERLINK \l "_Toc221056452" </w:instrText>
          </w:r>
          <w:r>
            <w:fldChar w:fldCharType="separate"/>
          </w:r>
          <w:r>
            <w:rPr>
              <w:rStyle w:val="41"/>
              <w:rFonts w:hint="eastAsia"/>
              <w:color w:val="000000" w:themeColor="text1"/>
              <w14:textFill>
                <w14:solidFill>
                  <w14:schemeClr w14:val="tx1"/>
                </w14:solidFill>
              </w14:textFill>
            </w:rPr>
            <w:t>7.2.2依托厂区现有废水处理系统可行性</w:t>
          </w:r>
          <w:r>
            <w:rPr>
              <w:rFonts w:hint="eastAsia"/>
            </w:rPr>
            <w:tab/>
          </w:r>
          <w:r>
            <w:rPr>
              <w:rFonts w:hint="eastAsia"/>
            </w:rPr>
            <w:fldChar w:fldCharType="begin"/>
          </w:r>
          <w:r>
            <w:rPr>
              <w:rFonts w:hint="eastAsia"/>
            </w:rPr>
            <w:instrText xml:space="preserve"> </w:instrText>
          </w:r>
          <w:r>
            <w:instrText xml:space="preserve">PAGEREF _Toc221056452 \h</w:instrText>
          </w:r>
          <w:r>
            <w:rPr>
              <w:rFonts w:hint="eastAsia"/>
            </w:rPr>
            <w:instrText xml:space="preserve"> </w:instrText>
          </w:r>
          <w:r>
            <w:rPr>
              <w:rFonts w:hint="eastAsia"/>
            </w:rPr>
            <w:fldChar w:fldCharType="separate"/>
          </w:r>
          <w:r>
            <w:t>295</w:t>
          </w:r>
          <w:r>
            <w:rPr>
              <w:rFonts w:hint="eastAsia"/>
            </w:rPr>
            <w:fldChar w:fldCharType="end"/>
          </w:r>
          <w:r>
            <w:rPr>
              <w:rFonts w:hint="eastAsia"/>
            </w:rPr>
            <w:fldChar w:fldCharType="end"/>
          </w:r>
        </w:p>
        <w:p w14:paraId="5515FF7E">
          <w:pPr>
            <w:pStyle w:val="31"/>
            <w:tabs>
              <w:tab w:val="right" w:leader="dot" w:pos="9060"/>
            </w:tabs>
            <w:ind w:left="480"/>
            <w:rPr>
              <w:rFonts w:hint="eastAsia" w:asciiTheme="minorHAnsi" w:hAnsiTheme="minorHAnsi" w:eastAsiaTheme="minorEastAsia"/>
              <w:sz w:val="22"/>
            </w:rPr>
          </w:pPr>
          <w:r>
            <w:fldChar w:fldCharType="begin"/>
          </w:r>
          <w:r>
            <w:instrText xml:space="preserve"> HYPERLINK \l "_Toc221056453" </w:instrText>
          </w:r>
          <w:r>
            <w:fldChar w:fldCharType="separate"/>
          </w:r>
          <w:r>
            <w:rPr>
              <w:rStyle w:val="41"/>
              <w:rFonts w:hint="eastAsia"/>
              <w:color w:val="000000" w:themeColor="text1"/>
              <w14:textFill>
                <w14:solidFill>
                  <w14:schemeClr w14:val="tx1"/>
                </w14:solidFill>
              </w14:textFill>
            </w:rPr>
            <w:t>7.3噪声治理措施</w:t>
          </w:r>
          <w:r>
            <w:rPr>
              <w:rFonts w:hint="eastAsia"/>
            </w:rPr>
            <w:tab/>
          </w:r>
          <w:r>
            <w:rPr>
              <w:rFonts w:hint="eastAsia"/>
            </w:rPr>
            <w:fldChar w:fldCharType="begin"/>
          </w:r>
          <w:r>
            <w:rPr>
              <w:rFonts w:hint="eastAsia"/>
            </w:rPr>
            <w:instrText xml:space="preserve"> </w:instrText>
          </w:r>
          <w:r>
            <w:instrText xml:space="preserve">PAGEREF _Toc221056453 \h</w:instrText>
          </w:r>
          <w:r>
            <w:rPr>
              <w:rFonts w:hint="eastAsia"/>
            </w:rPr>
            <w:instrText xml:space="preserve"> </w:instrText>
          </w:r>
          <w:r>
            <w:rPr>
              <w:rFonts w:hint="eastAsia"/>
            </w:rPr>
            <w:fldChar w:fldCharType="separate"/>
          </w:r>
          <w:r>
            <w:t>296</w:t>
          </w:r>
          <w:r>
            <w:rPr>
              <w:rFonts w:hint="eastAsia"/>
            </w:rPr>
            <w:fldChar w:fldCharType="end"/>
          </w:r>
          <w:r>
            <w:rPr>
              <w:rFonts w:hint="eastAsia"/>
            </w:rPr>
            <w:fldChar w:fldCharType="end"/>
          </w:r>
        </w:p>
        <w:p w14:paraId="47F768BA">
          <w:pPr>
            <w:pStyle w:val="31"/>
            <w:tabs>
              <w:tab w:val="right" w:leader="dot" w:pos="9060"/>
            </w:tabs>
            <w:ind w:left="480"/>
            <w:rPr>
              <w:rFonts w:hint="eastAsia" w:asciiTheme="minorHAnsi" w:hAnsiTheme="minorHAnsi" w:eastAsiaTheme="minorEastAsia"/>
              <w:sz w:val="22"/>
            </w:rPr>
          </w:pPr>
          <w:r>
            <w:fldChar w:fldCharType="begin"/>
          </w:r>
          <w:r>
            <w:instrText xml:space="preserve"> HYPERLINK \l "_Toc221056454" </w:instrText>
          </w:r>
          <w:r>
            <w:fldChar w:fldCharType="separate"/>
          </w:r>
          <w:r>
            <w:rPr>
              <w:rStyle w:val="41"/>
              <w:rFonts w:hint="eastAsia"/>
              <w:color w:val="000000" w:themeColor="text1"/>
              <w14:textFill>
                <w14:solidFill>
                  <w14:schemeClr w14:val="tx1"/>
                </w14:solidFill>
              </w14:textFill>
            </w:rPr>
            <w:t>7.4固体废物治理措施</w:t>
          </w:r>
          <w:r>
            <w:rPr>
              <w:rFonts w:hint="eastAsia"/>
            </w:rPr>
            <w:tab/>
          </w:r>
          <w:r>
            <w:rPr>
              <w:rFonts w:hint="eastAsia"/>
            </w:rPr>
            <w:fldChar w:fldCharType="begin"/>
          </w:r>
          <w:r>
            <w:rPr>
              <w:rFonts w:hint="eastAsia"/>
            </w:rPr>
            <w:instrText xml:space="preserve"> </w:instrText>
          </w:r>
          <w:r>
            <w:instrText xml:space="preserve">PAGEREF _Toc221056454 \h</w:instrText>
          </w:r>
          <w:r>
            <w:rPr>
              <w:rFonts w:hint="eastAsia"/>
            </w:rPr>
            <w:instrText xml:space="preserve"> </w:instrText>
          </w:r>
          <w:r>
            <w:rPr>
              <w:rFonts w:hint="eastAsia"/>
            </w:rPr>
            <w:fldChar w:fldCharType="separate"/>
          </w:r>
          <w:r>
            <w:t>297</w:t>
          </w:r>
          <w:r>
            <w:rPr>
              <w:rFonts w:hint="eastAsia"/>
            </w:rPr>
            <w:fldChar w:fldCharType="end"/>
          </w:r>
          <w:r>
            <w:rPr>
              <w:rFonts w:hint="eastAsia"/>
            </w:rPr>
            <w:fldChar w:fldCharType="end"/>
          </w:r>
        </w:p>
        <w:p w14:paraId="79798D3F">
          <w:pPr>
            <w:pStyle w:val="18"/>
            <w:tabs>
              <w:tab w:val="right" w:leader="dot" w:pos="9060"/>
            </w:tabs>
            <w:ind w:left="960"/>
            <w:rPr>
              <w:rFonts w:hint="eastAsia" w:asciiTheme="minorHAnsi" w:hAnsiTheme="minorHAnsi" w:eastAsiaTheme="minorEastAsia"/>
              <w:sz w:val="22"/>
            </w:rPr>
          </w:pPr>
          <w:r>
            <w:fldChar w:fldCharType="begin"/>
          </w:r>
          <w:r>
            <w:instrText xml:space="preserve"> HYPERLINK \l "_Toc221056455" </w:instrText>
          </w:r>
          <w:r>
            <w:fldChar w:fldCharType="separate"/>
          </w:r>
          <w:r>
            <w:rPr>
              <w:rStyle w:val="41"/>
              <w:rFonts w:hint="eastAsia"/>
              <w:color w:val="000000" w:themeColor="text1"/>
              <w14:textFill>
                <w14:solidFill>
                  <w14:schemeClr w14:val="tx1"/>
                </w14:solidFill>
              </w14:textFill>
            </w:rPr>
            <w:t>7.4.1固废处理措施</w:t>
          </w:r>
          <w:r>
            <w:rPr>
              <w:rFonts w:hint="eastAsia"/>
            </w:rPr>
            <w:tab/>
          </w:r>
          <w:r>
            <w:rPr>
              <w:rFonts w:hint="eastAsia"/>
            </w:rPr>
            <w:fldChar w:fldCharType="begin"/>
          </w:r>
          <w:r>
            <w:rPr>
              <w:rFonts w:hint="eastAsia"/>
            </w:rPr>
            <w:instrText xml:space="preserve"> </w:instrText>
          </w:r>
          <w:r>
            <w:instrText xml:space="preserve">PAGEREF _Toc221056455 \h</w:instrText>
          </w:r>
          <w:r>
            <w:rPr>
              <w:rFonts w:hint="eastAsia"/>
            </w:rPr>
            <w:instrText xml:space="preserve"> </w:instrText>
          </w:r>
          <w:r>
            <w:rPr>
              <w:rFonts w:hint="eastAsia"/>
            </w:rPr>
            <w:fldChar w:fldCharType="separate"/>
          </w:r>
          <w:r>
            <w:t>297</w:t>
          </w:r>
          <w:r>
            <w:rPr>
              <w:rFonts w:hint="eastAsia"/>
            </w:rPr>
            <w:fldChar w:fldCharType="end"/>
          </w:r>
          <w:r>
            <w:rPr>
              <w:rFonts w:hint="eastAsia"/>
            </w:rPr>
            <w:fldChar w:fldCharType="end"/>
          </w:r>
        </w:p>
        <w:p w14:paraId="472C9662">
          <w:pPr>
            <w:pStyle w:val="18"/>
            <w:tabs>
              <w:tab w:val="right" w:leader="dot" w:pos="9060"/>
            </w:tabs>
            <w:ind w:left="960"/>
            <w:rPr>
              <w:rFonts w:hint="eastAsia" w:asciiTheme="minorHAnsi" w:hAnsiTheme="minorHAnsi" w:eastAsiaTheme="minorEastAsia"/>
              <w:sz w:val="22"/>
            </w:rPr>
          </w:pPr>
          <w:r>
            <w:fldChar w:fldCharType="begin"/>
          </w:r>
          <w:r>
            <w:instrText xml:space="preserve"> HYPERLINK \l "_Toc221056456" </w:instrText>
          </w:r>
          <w:r>
            <w:fldChar w:fldCharType="separate"/>
          </w:r>
          <w:r>
            <w:rPr>
              <w:rStyle w:val="41"/>
              <w:rFonts w:hint="eastAsia"/>
              <w:color w:val="000000" w:themeColor="text1"/>
              <w14:textFill>
                <w14:solidFill>
                  <w14:schemeClr w14:val="tx1"/>
                </w14:solidFill>
              </w14:textFill>
            </w:rPr>
            <w:t>7.4.2二次污染控制措施</w:t>
          </w:r>
          <w:r>
            <w:rPr>
              <w:rFonts w:hint="eastAsia"/>
            </w:rPr>
            <w:tab/>
          </w:r>
          <w:r>
            <w:rPr>
              <w:rFonts w:hint="eastAsia"/>
            </w:rPr>
            <w:fldChar w:fldCharType="begin"/>
          </w:r>
          <w:r>
            <w:rPr>
              <w:rFonts w:hint="eastAsia"/>
            </w:rPr>
            <w:instrText xml:space="preserve"> </w:instrText>
          </w:r>
          <w:r>
            <w:instrText xml:space="preserve">PAGEREF _Toc221056456 \h</w:instrText>
          </w:r>
          <w:r>
            <w:rPr>
              <w:rFonts w:hint="eastAsia"/>
            </w:rPr>
            <w:instrText xml:space="preserve"> </w:instrText>
          </w:r>
          <w:r>
            <w:rPr>
              <w:rFonts w:hint="eastAsia"/>
            </w:rPr>
            <w:fldChar w:fldCharType="separate"/>
          </w:r>
          <w:r>
            <w:t>297</w:t>
          </w:r>
          <w:r>
            <w:rPr>
              <w:rFonts w:hint="eastAsia"/>
            </w:rPr>
            <w:fldChar w:fldCharType="end"/>
          </w:r>
          <w:r>
            <w:rPr>
              <w:rFonts w:hint="eastAsia"/>
            </w:rPr>
            <w:fldChar w:fldCharType="end"/>
          </w:r>
        </w:p>
        <w:p w14:paraId="1492080B">
          <w:pPr>
            <w:pStyle w:val="31"/>
            <w:tabs>
              <w:tab w:val="right" w:leader="dot" w:pos="9060"/>
            </w:tabs>
            <w:ind w:left="480"/>
            <w:rPr>
              <w:rFonts w:hint="eastAsia" w:asciiTheme="minorHAnsi" w:hAnsiTheme="minorHAnsi" w:eastAsiaTheme="minorEastAsia"/>
              <w:sz w:val="22"/>
            </w:rPr>
          </w:pPr>
          <w:r>
            <w:fldChar w:fldCharType="begin"/>
          </w:r>
          <w:r>
            <w:instrText xml:space="preserve"> HYPERLINK \l "_Toc221056457" </w:instrText>
          </w:r>
          <w:r>
            <w:fldChar w:fldCharType="separate"/>
          </w:r>
          <w:r>
            <w:rPr>
              <w:rStyle w:val="41"/>
              <w:rFonts w:hint="eastAsia"/>
              <w:color w:val="000000" w:themeColor="text1"/>
              <w14:textFill>
                <w14:solidFill>
                  <w14:schemeClr w14:val="tx1"/>
                </w14:solidFill>
              </w14:textFill>
            </w:rPr>
            <w:t>7.5土壤、地下水污染防治措施</w:t>
          </w:r>
          <w:r>
            <w:rPr>
              <w:rFonts w:hint="eastAsia"/>
            </w:rPr>
            <w:tab/>
          </w:r>
          <w:r>
            <w:rPr>
              <w:rFonts w:hint="eastAsia"/>
            </w:rPr>
            <w:fldChar w:fldCharType="begin"/>
          </w:r>
          <w:r>
            <w:rPr>
              <w:rFonts w:hint="eastAsia"/>
            </w:rPr>
            <w:instrText xml:space="preserve"> </w:instrText>
          </w:r>
          <w:r>
            <w:instrText xml:space="preserve">PAGEREF _Toc221056457 \h</w:instrText>
          </w:r>
          <w:r>
            <w:rPr>
              <w:rFonts w:hint="eastAsia"/>
            </w:rPr>
            <w:instrText xml:space="preserve"> </w:instrText>
          </w:r>
          <w:r>
            <w:rPr>
              <w:rFonts w:hint="eastAsia"/>
            </w:rPr>
            <w:fldChar w:fldCharType="separate"/>
          </w:r>
          <w:r>
            <w:t>297</w:t>
          </w:r>
          <w:r>
            <w:rPr>
              <w:rFonts w:hint="eastAsia"/>
            </w:rPr>
            <w:fldChar w:fldCharType="end"/>
          </w:r>
          <w:r>
            <w:rPr>
              <w:rFonts w:hint="eastAsia"/>
            </w:rPr>
            <w:fldChar w:fldCharType="end"/>
          </w:r>
        </w:p>
        <w:p w14:paraId="414B4AB0">
          <w:pPr>
            <w:pStyle w:val="18"/>
            <w:tabs>
              <w:tab w:val="right" w:leader="dot" w:pos="9060"/>
            </w:tabs>
            <w:ind w:left="960"/>
            <w:rPr>
              <w:rFonts w:hint="eastAsia" w:asciiTheme="minorHAnsi" w:hAnsiTheme="minorHAnsi" w:eastAsiaTheme="minorEastAsia"/>
              <w:sz w:val="22"/>
            </w:rPr>
          </w:pPr>
          <w:r>
            <w:fldChar w:fldCharType="begin"/>
          </w:r>
          <w:r>
            <w:instrText xml:space="preserve"> HYPERLINK \l "_Toc221056458" </w:instrText>
          </w:r>
          <w:r>
            <w:fldChar w:fldCharType="separate"/>
          </w:r>
          <w:r>
            <w:rPr>
              <w:rStyle w:val="41"/>
              <w:rFonts w:hint="eastAsia"/>
              <w:color w:val="000000" w:themeColor="text1"/>
              <w14:textFill>
                <w14:solidFill>
                  <w14:schemeClr w14:val="tx1"/>
                </w14:solidFill>
              </w14:textFill>
            </w:rPr>
            <w:t>7.5.1地下水污染防治</w:t>
          </w:r>
          <w:r>
            <w:rPr>
              <w:rFonts w:hint="eastAsia"/>
            </w:rPr>
            <w:tab/>
          </w:r>
          <w:r>
            <w:rPr>
              <w:rFonts w:hint="eastAsia"/>
            </w:rPr>
            <w:fldChar w:fldCharType="begin"/>
          </w:r>
          <w:r>
            <w:rPr>
              <w:rFonts w:hint="eastAsia"/>
            </w:rPr>
            <w:instrText xml:space="preserve"> </w:instrText>
          </w:r>
          <w:r>
            <w:instrText xml:space="preserve">PAGEREF _Toc221056458 \h</w:instrText>
          </w:r>
          <w:r>
            <w:rPr>
              <w:rFonts w:hint="eastAsia"/>
            </w:rPr>
            <w:instrText xml:space="preserve"> </w:instrText>
          </w:r>
          <w:r>
            <w:rPr>
              <w:rFonts w:hint="eastAsia"/>
            </w:rPr>
            <w:fldChar w:fldCharType="separate"/>
          </w:r>
          <w:r>
            <w:t>297</w:t>
          </w:r>
          <w:r>
            <w:rPr>
              <w:rFonts w:hint="eastAsia"/>
            </w:rPr>
            <w:fldChar w:fldCharType="end"/>
          </w:r>
          <w:r>
            <w:rPr>
              <w:rFonts w:hint="eastAsia"/>
            </w:rPr>
            <w:fldChar w:fldCharType="end"/>
          </w:r>
        </w:p>
        <w:p w14:paraId="007D20BA">
          <w:pPr>
            <w:pStyle w:val="18"/>
            <w:tabs>
              <w:tab w:val="right" w:leader="dot" w:pos="9060"/>
            </w:tabs>
            <w:ind w:left="960"/>
            <w:rPr>
              <w:rFonts w:hint="eastAsia" w:asciiTheme="minorHAnsi" w:hAnsiTheme="minorHAnsi" w:eastAsiaTheme="minorEastAsia"/>
              <w:sz w:val="22"/>
            </w:rPr>
          </w:pPr>
          <w:r>
            <w:fldChar w:fldCharType="begin"/>
          </w:r>
          <w:r>
            <w:instrText xml:space="preserve"> HYPERLINK \l "_Toc221056459" </w:instrText>
          </w:r>
          <w:r>
            <w:fldChar w:fldCharType="separate"/>
          </w:r>
          <w:r>
            <w:rPr>
              <w:rStyle w:val="41"/>
              <w:rFonts w:hint="eastAsia"/>
              <w:color w:val="000000" w:themeColor="text1"/>
              <w14:textFill>
                <w14:solidFill>
                  <w14:schemeClr w14:val="tx1"/>
                </w14:solidFill>
              </w14:textFill>
            </w:rPr>
            <w:t>7.5.2土壤污染防治措施</w:t>
          </w:r>
          <w:r>
            <w:rPr>
              <w:rFonts w:hint="eastAsia"/>
            </w:rPr>
            <w:tab/>
          </w:r>
          <w:r>
            <w:rPr>
              <w:rFonts w:hint="eastAsia"/>
            </w:rPr>
            <w:fldChar w:fldCharType="begin"/>
          </w:r>
          <w:r>
            <w:rPr>
              <w:rFonts w:hint="eastAsia"/>
            </w:rPr>
            <w:instrText xml:space="preserve"> </w:instrText>
          </w:r>
          <w:r>
            <w:instrText xml:space="preserve">PAGEREF _Toc221056459 \h</w:instrText>
          </w:r>
          <w:r>
            <w:rPr>
              <w:rFonts w:hint="eastAsia"/>
            </w:rPr>
            <w:instrText xml:space="preserve"> </w:instrText>
          </w:r>
          <w:r>
            <w:rPr>
              <w:rFonts w:hint="eastAsia"/>
            </w:rPr>
            <w:fldChar w:fldCharType="separate"/>
          </w:r>
          <w:r>
            <w:t>298</w:t>
          </w:r>
          <w:r>
            <w:rPr>
              <w:rFonts w:hint="eastAsia"/>
            </w:rPr>
            <w:fldChar w:fldCharType="end"/>
          </w:r>
          <w:r>
            <w:rPr>
              <w:rFonts w:hint="eastAsia"/>
            </w:rPr>
            <w:fldChar w:fldCharType="end"/>
          </w:r>
        </w:p>
        <w:p w14:paraId="5B5D2A6E">
          <w:pPr>
            <w:pStyle w:val="26"/>
            <w:tabs>
              <w:tab w:val="right" w:leader="dot" w:pos="9060"/>
            </w:tabs>
            <w:rPr>
              <w:rFonts w:hint="eastAsia" w:asciiTheme="minorHAnsi" w:hAnsiTheme="minorHAnsi" w:eastAsiaTheme="minorEastAsia"/>
              <w:sz w:val="22"/>
            </w:rPr>
          </w:pPr>
          <w:r>
            <w:fldChar w:fldCharType="begin"/>
          </w:r>
          <w:r>
            <w:instrText xml:space="preserve"> HYPERLINK \l "_Toc221056460" </w:instrText>
          </w:r>
          <w:r>
            <w:fldChar w:fldCharType="separate"/>
          </w:r>
          <w:r>
            <w:rPr>
              <w:rStyle w:val="41"/>
              <w:rFonts w:hint="eastAsia"/>
              <w:color w:val="000000" w:themeColor="text1"/>
              <w14:textFill>
                <w14:solidFill>
                  <w14:schemeClr w14:val="tx1"/>
                </w14:solidFill>
              </w14:textFill>
            </w:rPr>
            <w:t>8环境影响经济损益分析</w:t>
          </w:r>
          <w:r>
            <w:rPr>
              <w:rFonts w:hint="eastAsia"/>
            </w:rPr>
            <w:tab/>
          </w:r>
          <w:r>
            <w:rPr>
              <w:rFonts w:hint="eastAsia"/>
            </w:rPr>
            <w:fldChar w:fldCharType="begin"/>
          </w:r>
          <w:r>
            <w:rPr>
              <w:rFonts w:hint="eastAsia"/>
            </w:rPr>
            <w:instrText xml:space="preserve"> </w:instrText>
          </w:r>
          <w:r>
            <w:instrText xml:space="preserve">PAGEREF _Toc221056460 \h</w:instrText>
          </w:r>
          <w:r>
            <w:rPr>
              <w:rFonts w:hint="eastAsia"/>
            </w:rPr>
            <w:instrText xml:space="preserve"> </w:instrText>
          </w:r>
          <w:r>
            <w:rPr>
              <w:rFonts w:hint="eastAsia"/>
            </w:rPr>
            <w:fldChar w:fldCharType="separate"/>
          </w:r>
          <w:r>
            <w:t>300</w:t>
          </w:r>
          <w:r>
            <w:rPr>
              <w:rFonts w:hint="eastAsia"/>
            </w:rPr>
            <w:fldChar w:fldCharType="end"/>
          </w:r>
          <w:r>
            <w:rPr>
              <w:rFonts w:hint="eastAsia"/>
            </w:rPr>
            <w:fldChar w:fldCharType="end"/>
          </w:r>
        </w:p>
        <w:p w14:paraId="203193E8">
          <w:pPr>
            <w:pStyle w:val="31"/>
            <w:tabs>
              <w:tab w:val="right" w:leader="dot" w:pos="9060"/>
            </w:tabs>
            <w:ind w:left="480"/>
            <w:rPr>
              <w:rFonts w:hint="eastAsia" w:asciiTheme="minorHAnsi" w:hAnsiTheme="minorHAnsi" w:eastAsiaTheme="minorEastAsia"/>
              <w:sz w:val="22"/>
            </w:rPr>
          </w:pPr>
          <w:r>
            <w:fldChar w:fldCharType="begin"/>
          </w:r>
          <w:r>
            <w:instrText xml:space="preserve"> HYPERLINK \l "_Toc221056461" </w:instrText>
          </w:r>
          <w:r>
            <w:fldChar w:fldCharType="separate"/>
          </w:r>
          <w:r>
            <w:rPr>
              <w:rStyle w:val="41"/>
              <w:rFonts w:hint="eastAsia"/>
              <w:color w:val="000000" w:themeColor="text1"/>
              <w14:textFill>
                <w14:solidFill>
                  <w14:schemeClr w14:val="tx1"/>
                </w14:solidFill>
              </w14:textFill>
            </w:rPr>
            <w:t>8.1经济效益分析</w:t>
          </w:r>
          <w:r>
            <w:rPr>
              <w:rFonts w:hint="eastAsia"/>
            </w:rPr>
            <w:tab/>
          </w:r>
          <w:r>
            <w:rPr>
              <w:rFonts w:hint="eastAsia"/>
            </w:rPr>
            <w:fldChar w:fldCharType="begin"/>
          </w:r>
          <w:r>
            <w:rPr>
              <w:rFonts w:hint="eastAsia"/>
            </w:rPr>
            <w:instrText xml:space="preserve"> </w:instrText>
          </w:r>
          <w:r>
            <w:instrText xml:space="preserve">PAGEREF _Toc221056461 \h</w:instrText>
          </w:r>
          <w:r>
            <w:rPr>
              <w:rFonts w:hint="eastAsia"/>
            </w:rPr>
            <w:instrText xml:space="preserve"> </w:instrText>
          </w:r>
          <w:r>
            <w:rPr>
              <w:rFonts w:hint="eastAsia"/>
            </w:rPr>
            <w:fldChar w:fldCharType="separate"/>
          </w:r>
          <w:r>
            <w:t>300</w:t>
          </w:r>
          <w:r>
            <w:rPr>
              <w:rFonts w:hint="eastAsia"/>
            </w:rPr>
            <w:fldChar w:fldCharType="end"/>
          </w:r>
          <w:r>
            <w:rPr>
              <w:rFonts w:hint="eastAsia"/>
            </w:rPr>
            <w:fldChar w:fldCharType="end"/>
          </w:r>
        </w:p>
        <w:p w14:paraId="2903F756">
          <w:pPr>
            <w:pStyle w:val="31"/>
            <w:tabs>
              <w:tab w:val="right" w:leader="dot" w:pos="9060"/>
            </w:tabs>
            <w:ind w:left="480"/>
            <w:rPr>
              <w:rFonts w:hint="eastAsia" w:asciiTheme="minorHAnsi" w:hAnsiTheme="minorHAnsi" w:eastAsiaTheme="minorEastAsia"/>
              <w:sz w:val="22"/>
            </w:rPr>
          </w:pPr>
          <w:r>
            <w:fldChar w:fldCharType="begin"/>
          </w:r>
          <w:r>
            <w:instrText xml:space="preserve"> HYPERLINK \l "_Toc221056462" </w:instrText>
          </w:r>
          <w:r>
            <w:fldChar w:fldCharType="separate"/>
          </w:r>
          <w:r>
            <w:rPr>
              <w:rStyle w:val="41"/>
              <w:rFonts w:hint="eastAsia"/>
              <w:color w:val="000000" w:themeColor="text1"/>
              <w14:textFill>
                <w14:solidFill>
                  <w14:schemeClr w14:val="tx1"/>
                </w14:solidFill>
              </w14:textFill>
            </w:rPr>
            <w:t>8.2社会效益分析</w:t>
          </w:r>
          <w:r>
            <w:rPr>
              <w:rFonts w:hint="eastAsia"/>
            </w:rPr>
            <w:tab/>
          </w:r>
          <w:r>
            <w:rPr>
              <w:rFonts w:hint="eastAsia"/>
            </w:rPr>
            <w:fldChar w:fldCharType="begin"/>
          </w:r>
          <w:r>
            <w:rPr>
              <w:rFonts w:hint="eastAsia"/>
            </w:rPr>
            <w:instrText xml:space="preserve"> </w:instrText>
          </w:r>
          <w:r>
            <w:instrText xml:space="preserve">PAGEREF _Toc221056462 \h</w:instrText>
          </w:r>
          <w:r>
            <w:rPr>
              <w:rFonts w:hint="eastAsia"/>
            </w:rPr>
            <w:instrText xml:space="preserve"> </w:instrText>
          </w:r>
          <w:r>
            <w:rPr>
              <w:rFonts w:hint="eastAsia"/>
            </w:rPr>
            <w:fldChar w:fldCharType="separate"/>
          </w:r>
          <w:r>
            <w:t>300</w:t>
          </w:r>
          <w:r>
            <w:rPr>
              <w:rFonts w:hint="eastAsia"/>
            </w:rPr>
            <w:fldChar w:fldCharType="end"/>
          </w:r>
          <w:r>
            <w:rPr>
              <w:rFonts w:hint="eastAsia"/>
            </w:rPr>
            <w:fldChar w:fldCharType="end"/>
          </w:r>
        </w:p>
        <w:p w14:paraId="18345FBB">
          <w:pPr>
            <w:pStyle w:val="31"/>
            <w:tabs>
              <w:tab w:val="right" w:leader="dot" w:pos="9060"/>
            </w:tabs>
            <w:ind w:left="480"/>
            <w:rPr>
              <w:rFonts w:hint="eastAsia" w:asciiTheme="minorHAnsi" w:hAnsiTheme="minorHAnsi" w:eastAsiaTheme="minorEastAsia"/>
              <w:sz w:val="22"/>
            </w:rPr>
          </w:pPr>
          <w:r>
            <w:fldChar w:fldCharType="begin"/>
          </w:r>
          <w:r>
            <w:instrText xml:space="preserve"> HYPERLINK \l "_Toc221056463" </w:instrText>
          </w:r>
          <w:r>
            <w:fldChar w:fldCharType="separate"/>
          </w:r>
          <w:r>
            <w:rPr>
              <w:rStyle w:val="41"/>
              <w:rFonts w:hint="eastAsia"/>
              <w:color w:val="000000" w:themeColor="text1"/>
              <w14:textFill>
                <w14:solidFill>
                  <w14:schemeClr w14:val="tx1"/>
                </w14:solidFill>
              </w14:textFill>
            </w:rPr>
            <w:t>8.3环境效益分析</w:t>
          </w:r>
          <w:r>
            <w:rPr>
              <w:rFonts w:hint="eastAsia"/>
            </w:rPr>
            <w:tab/>
          </w:r>
          <w:r>
            <w:rPr>
              <w:rFonts w:hint="eastAsia"/>
            </w:rPr>
            <w:fldChar w:fldCharType="begin"/>
          </w:r>
          <w:r>
            <w:rPr>
              <w:rFonts w:hint="eastAsia"/>
            </w:rPr>
            <w:instrText xml:space="preserve"> </w:instrText>
          </w:r>
          <w:r>
            <w:instrText xml:space="preserve">PAGEREF _Toc221056463 \h</w:instrText>
          </w:r>
          <w:r>
            <w:rPr>
              <w:rFonts w:hint="eastAsia"/>
            </w:rPr>
            <w:instrText xml:space="preserve"> </w:instrText>
          </w:r>
          <w:r>
            <w:rPr>
              <w:rFonts w:hint="eastAsia"/>
            </w:rPr>
            <w:fldChar w:fldCharType="separate"/>
          </w:r>
          <w:r>
            <w:t>300</w:t>
          </w:r>
          <w:r>
            <w:rPr>
              <w:rFonts w:hint="eastAsia"/>
            </w:rPr>
            <w:fldChar w:fldCharType="end"/>
          </w:r>
          <w:r>
            <w:rPr>
              <w:rFonts w:hint="eastAsia"/>
            </w:rPr>
            <w:fldChar w:fldCharType="end"/>
          </w:r>
        </w:p>
        <w:p w14:paraId="2C495955">
          <w:pPr>
            <w:pStyle w:val="31"/>
            <w:tabs>
              <w:tab w:val="right" w:leader="dot" w:pos="9060"/>
            </w:tabs>
            <w:ind w:left="480"/>
            <w:rPr>
              <w:rFonts w:hint="eastAsia" w:asciiTheme="minorHAnsi" w:hAnsiTheme="minorHAnsi" w:eastAsiaTheme="minorEastAsia"/>
              <w:sz w:val="22"/>
            </w:rPr>
          </w:pPr>
          <w:r>
            <w:fldChar w:fldCharType="begin"/>
          </w:r>
          <w:r>
            <w:instrText xml:space="preserve"> HYPERLINK \l "_Toc221056464" </w:instrText>
          </w:r>
          <w:r>
            <w:fldChar w:fldCharType="separate"/>
          </w:r>
          <w:r>
            <w:rPr>
              <w:rStyle w:val="41"/>
              <w:rFonts w:hint="eastAsia"/>
              <w:color w:val="000000" w:themeColor="text1"/>
              <w14:textFill>
                <w14:solidFill>
                  <w14:schemeClr w14:val="tx1"/>
                </w14:solidFill>
              </w14:textFill>
            </w:rPr>
            <w:t>8.4小结</w:t>
          </w:r>
          <w:r>
            <w:rPr>
              <w:rFonts w:hint="eastAsia"/>
            </w:rPr>
            <w:tab/>
          </w:r>
          <w:r>
            <w:rPr>
              <w:rFonts w:hint="eastAsia"/>
            </w:rPr>
            <w:fldChar w:fldCharType="begin"/>
          </w:r>
          <w:r>
            <w:rPr>
              <w:rFonts w:hint="eastAsia"/>
            </w:rPr>
            <w:instrText xml:space="preserve"> </w:instrText>
          </w:r>
          <w:r>
            <w:instrText xml:space="preserve">PAGEREF _Toc221056464 \h</w:instrText>
          </w:r>
          <w:r>
            <w:rPr>
              <w:rFonts w:hint="eastAsia"/>
            </w:rPr>
            <w:instrText xml:space="preserve"> </w:instrText>
          </w:r>
          <w:r>
            <w:rPr>
              <w:rFonts w:hint="eastAsia"/>
            </w:rPr>
            <w:fldChar w:fldCharType="separate"/>
          </w:r>
          <w:r>
            <w:t>301</w:t>
          </w:r>
          <w:r>
            <w:rPr>
              <w:rFonts w:hint="eastAsia"/>
            </w:rPr>
            <w:fldChar w:fldCharType="end"/>
          </w:r>
          <w:r>
            <w:rPr>
              <w:rFonts w:hint="eastAsia"/>
            </w:rPr>
            <w:fldChar w:fldCharType="end"/>
          </w:r>
        </w:p>
        <w:p w14:paraId="14F4E7E6">
          <w:pPr>
            <w:pStyle w:val="26"/>
            <w:tabs>
              <w:tab w:val="right" w:leader="dot" w:pos="9060"/>
            </w:tabs>
            <w:rPr>
              <w:rFonts w:hint="eastAsia" w:asciiTheme="minorHAnsi" w:hAnsiTheme="minorHAnsi" w:eastAsiaTheme="minorEastAsia"/>
              <w:sz w:val="22"/>
            </w:rPr>
          </w:pPr>
          <w:r>
            <w:fldChar w:fldCharType="begin"/>
          </w:r>
          <w:r>
            <w:instrText xml:space="preserve"> HYPERLINK \l "_Toc221056465" </w:instrText>
          </w:r>
          <w:r>
            <w:fldChar w:fldCharType="separate"/>
          </w:r>
          <w:r>
            <w:rPr>
              <w:rStyle w:val="41"/>
              <w:rFonts w:hint="eastAsia"/>
              <w:color w:val="000000" w:themeColor="text1"/>
              <w14:textFill>
                <w14:solidFill>
                  <w14:schemeClr w14:val="tx1"/>
                </w14:solidFill>
              </w14:textFill>
            </w:rPr>
            <w:t>9环境管理与监测计划</w:t>
          </w:r>
          <w:r>
            <w:rPr>
              <w:rFonts w:hint="eastAsia"/>
            </w:rPr>
            <w:tab/>
          </w:r>
          <w:r>
            <w:rPr>
              <w:rFonts w:hint="eastAsia"/>
            </w:rPr>
            <w:fldChar w:fldCharType="begin"/>
          </w:r>
          <w:r>
            <w:rPr>
              <w:rFonts w:hint="eastAsia"/>
            </w:rPr>
            <w:instrText xml:space="preserve"> </w:instrText>
          </w:r>
          <w:r>
            <w:instrText xml:space="preserve">PAGEREF _Toc221056465 \h</w:instrText>
          </w:r>
          <w:r>
            <w:rPr>
              <w:rFonts w:hint="eastAsia"/>
            </w:rPr>
            <w:instrText xml:space="preserve"> </w:instrText>
          </w:r>
          <w:r>
            <w:rPr>
              <w:rFonts w:hint="eastAsia"/>
            </w:rPr>
            <w:fldChar w:fldCharType="separate"/>
          </w:r>
          <w:r>
            <w:t>302</w:t>
          </w:r>
          <w:r>
            <w:rPr>
              <w:rFonts w:hint="eastAsia"/>
            </w:rPr>
            <w:fldChar w:fldCharType="end"/>
          </w:r>
          <w:r>
            <w:rPr>
              <w:rFonts w:hint="eastAsia"/>
            </w:rPr>
            <w:fldChar w:fldCharType="end"/>
          </w:r>
        </w:p>
        <w:p w14:paraId="12712A1D">
          <w:pPr>
            <w:pStyle w:val="31"/>
            <w:tabs>
              <w:tab w:val="right" w:leader="dot" w:pos="9060"/>
            </w:tabs>
            <w:ind w:left="480"/>
            <w:rPr>
              <w:rFonts w:hint="eastAsia" w:asciiTheme="minorHAnsi" w:hAnsiTheme="minorHAnsi" w:eastAsiaTheme="minorEastAsia"/>
              <w:sz w:val="22"/>
            </w:rPr>
          </w:pPr>
          <w:r>
            <w:fldChar w:fldCharType="begin"/>
          </w:r>
          <w:r>
            <w:instrText xml:space="preserve"> HYPERLINK \l "_Toc221056466" </w:instrText>
          </w:r>
          <w:r>
            <w:fldChar w:fldCharType="separate"/>
          </w:r>
          <w:r>
            <w:rPr>
              <w:rStyle w:val="41"/>
              <w:rFonts w:hint="eastAsia"/>
              <w:color w:val="000000" w:themeColor="text1"/>
              <w14:textFill>
                <w14:solidFill>
                  <w14:schemeClr w14:val="tx1"/>
                </w14:solidFill>
              </w14:textFill>
            </w:rPr>
            <w:t>9.1环境管理要求</w:t>
          </w:r>
          <w:r>
            <w:rPr>
              <w:rFonts w:hint="eastAsia"/>
            </w:rPr>
            <w:tab/>
          </w:r>
          <w:r>
            <w:rPr>
              <w:rFonts w:hint="eastAsia"/>
            </w:rPr>
            <w:fldChar w:fldCharType="begin"/>
          </w:r>
          <w:r>
            <w:rPr>
              <w:rFonts w:hint="eastAsia"/>
            </w:rPr>
            <w:instrText xml:space="preserve"> </w:instrText>
          </w:r>
          <w:r>
            <w:instrText xml:space="preserve">PAGEREF _Toc221056466 \h</w:instrText>
          </w:r>
          <w:r>
            <w:rPr>
              <w:rFonts w:hint="eastAsia"/>
            </w:rPr>
            <w:instrText xml:space="preserve"> </w:instrText>
          </w:r>
          <w:r>
            <w:rPr>
              <w:rFonts w:hint="eastAsia"/>
            </w:rPr>
            <w:fldChar w:fldCharType="separate"/>
          </w:r>
          <w:r>
            <w:t>302</w:t>
          </w:r>
          <w:r>
            <w:rPr>
              <w:rFonts w:hint="eastAsia"/>
            </w:rPr>
            <w:fldChar w:fldCharType="end"/>
          </w:r>
          <w:r>
            <w:rPr>
              <w:rFonts w:hint="eastAsia"/>
            </w:rPr>
            <w:fldChar w:fldCharType="end"/>
          </w:r>
        </w:p>
        <w:p w14:paraId="1A695FEC">
          <w:pPr>
            <w:pStyle w:val="18"/>
            <w:tabs>
              <w:tab w:val="right" w:leader="dot" w:pos="9060"/>
            </w:tabs>
            <w:ind w:left="960"/>
            <w:rPr>
              <w:rFonts w:hint="eastAsia" w:asciiTheme="minorHAnsi" w:hAnsiTheme="minorHAnsi" w:eastAsiaTheme="minorEastAsia"/>
              <w:sz w:val="22"/>
            </w:rPr>
          </w:pPr>
          <w:r>
            <w:fldChar w:fldCharType="begin"/>
          </w:r>
          <w:r>
            <w:instrText xml:space="preserve"> HYPERLINK \l "_Toc221056467" </w:instrText>
          </w:r>
          <w:r>
            <w:fldChar w:fldCharType="separate"/>
          </w:r>
          <w:r>
            <w:rPr>
              <w:rStyle w:val="41"/>
              <w:rFonts w:hint="eastAsia"/>
              <w:color w:val="000000" w:themeColor="text1"/>
              <w14:textFill>
                <w14:solidFill>
                  <w14:schemeClr w14:val="tx1"/>
                </w14:solidFill>
              </w14:textFill>
            </w:rPr>
            <w:t>9.1.1环境管理组织机构</w:t>
          </w:r>
          <w:r>
            <w:rPr>
              <w:rFonts w:hint="eastAsia"/>
            </w:rPr>
            <w:tab/>
          </w:r>
          <w:r>
            <w:rPr>
              <w:rFonts w:hint="eastAsia"/>
            </w:rPr>
            <w:fldChar w:fldCharType="begin"/>
          </w:r>
          <w:r>
            <w:rPr>
              <w:rFonts w:hint="eastAsia"/>
            </w:rPr>
            <w:instrText xml:space="preserve"> </w:instrText>
          </w:r>
          <w:r>
            <w:instrText xml:space="preserve">PAGEREF _Toc221056467 \h</w:instrText>
          </w:r>
          <w:r>
            <w:rPr>
              <w:rFonts w:hint="eastAsia"/>
            </w:rPr>
            <w:instrText xml:space="preserve"> </w:instrText>
          </w:r>
          <w:r>
            <w:rPr>
              <w:rFonts w:hint="eastAsia"/>
            </w:rPr>
            <w:fldChar w:fldCharType="separate"/>
          </w:r>
          <w:r>
            <w:t>302</w:t>
          </w:r>
          <w:r>
            <w:rPr>
              <w:rFonts w:hint="eastAsia"/>
            </w:rPr>
            <w:fldChar w:fldCharType="end"/>
          </w:r>
          <w:r>
            <w:rPr>
              <w:rFonts w:hint="eastAsia"/>
            </w:rPr>
            <w:fldChar w:fldCharType="end"/>
          </w:r>
        </w:p>
        <w:p w14:paraId="57919BDA">
          <w:pPr>
            <w:pStyle w:val="18"/>
            <w:tabs>
              <w:tab w:val="right" w:leader="dot" w:pos="9060"/>
            </w:tabs>
            <w:ind w:left="960"/>
            <w:rPr>
              <w:rFonts w:hint="eastAsia" w:asciiTheme="minorHAnsi" w:hAnsiTheme="minorHAnsi" w:eastAsiaTheme="minorEastAsia"/>
              <w:sz w:val="22"/>
            </w:rPr>
          </w:pPr>
          <w:r>
            <w:fldChar w:fldCharType="begin"/>
          </w:r>
          <w:r>
            <w:instrText xml:space="preserve"> HYPERLINK \l "_Toc221056468" </w:instrText>
          </w:r>
          <w:r>
            <w:fldChar w:fldCharType="separate"/>
          </w:r>
          <w:r>
            <w:rPr>
              <w:rStyle w:val="41"/>
              <w:rFonts w:hint="eastAsia"/>
              <w:color w:val="000000" w:themeColor="text1"/>
              <w14:textFill>
                <w14:solidFill>
                  <w14:schemeClr w14:val="tx1"/>
                </w14:solidFill>
              </w14:textFill>
            </w:rPr>
            <w:t>9.1.2施工期环境管理</w:t>
          </w:r>
          <w:r>
            <w:rPr>
              <w:rFonts w:hint="eastAsia"/>
            </w:rPr>
            <w:tab/>
          </w:r>
          <w:r>
            <w:rPr>
              <w:rFonts w:hint="eastAsia"/>
            </w:rPr>
            <w:fldChar w:fldCharType="begin"/>
          </w:r>
          <w:r>
            <w:rPr>
              <w:rFonts w:hint="eastAsia"/>
            </w:rPr>
            <w:instrText xml:space="preserve"> </w:instrText>
          </w:r>
          <w:r>
            <w:instrText xml:space="preserve">PAGEREF _Toc221056468 \h</w:instrText>
          </w:r>
          <w:r>
            <w:rPr>
              <w:rFonts w:hint="eastAsia"/>
            </w:rPr>
            <w:instrText xml:space="preserve"> </w:instrText>
          </w:r>
          <w:r>
            <w:rPr>
              <w:rFonts w:hint="eastAsia"/>
            </w:rPr>
            <w:fldChar w:fldCharType="separate"/>
          </w:r>
          <w:r>
            <w:t>302</w:t>
          </w:r>
          <w:r>
            <w:rPr>
              <w:rFonts w:hint="eastAsia"/>
            </w:rPr>
            <w:fldChar w:fldCharType="end"/>
          </w:r>
          <w:r>
            <w:rPr>
              <w:rFonts w:hint="eastAsia"/>
            </w:rPr>
            <w:fldChar w:fldCharType="end"/>
          </w:r>
        </w:p>
        <w:p w14:paraId="0814E01A">
          <w:pPr>
            <w:pStyle w:val="18"/>
            <w:tabs>
              <w:tab w:val="right" w:leader="dot" w:pos="9060"/>
            </w:tabs>
            <w:ind w:left="960"/>
            <w:rPr>
              <w:rFonts w:hint="eastAsia" w:asciiTheme="minorHAnsi" w:hAnsiTheme="minorHAnsi" w:eastAsiaTheme="minorEastAsia"/>
              <w:sz w:val="22"/>
            </w:rPr>
          </w:pPr>
          <w:r>
            <w:fldChar w:fldCharType="begin"/>
          </w:r>
          <w:r>
            <w:instrText xml:space="preserve"> HYPERLINK \l "_Toc221056469" </w:instrText>
          </w:r>
          <w:r>
            <w:fldChar w:fldCharType="separate"/>
          </w:r>
          <w:r>
            <w:rPr>
              <w:rStyle w:val="41"/>
              <w:rFonts w:hint="eastAsia"/>
              <w:color w:val="000000" w:themeColor="text1"/>
              <w14:textFill>
                <w14:solidFill>
                  <w14:schemeClr w14:val="tx1"/>
                </w14:solidFill>
              </w14:textFill>
            </w:rPr>
            <w:t>9.1.3运营期环境管理</w:t>
          </w:r>
          <w:r>
            <w:rPr>
              <w:rFonts w:hint="eastAsia"/>
            </w:rPr>
            <w:tab/>
          </w:r>
          <w:r>
            <w:rPr>
              <w:rFonts w:hint="eastAsia"/>
            </w:rPr>
            <w:fldChar w:fldCharType="begin"/>
          </w:r>
          <w:r>
            <w:rPr>
              <w:rFonts w:hint="eastAsia"/>
            </w:rPr>
            <w:instrText xml:space="preserve"> </w:instrText>
          </w:r>
          <w:r>
            <w:instrText xml:space="preserve">PAGEREF _Toc221056469 \h</w:instrText>
          </w:r>
          <w:r>
            <w:rPr>
              <w:rFonts w:hint="eastAsia"/>
            </w:rPr>
            <w:instrText xml:space="preserve"> </w:instrText>
          </w:r>
          <w:r>
            <w:rPr>
              <w:rFonts w:hint="eastAsia"/>
            </w:rPr>
            <w:fldChar w:fldCharType="separate"/>
          </w:r>
          <w:r>
            <w:t>302</w:t>
          </w:r>
          <w:r>
            <w:rPr>
              <w:rFonts w:hint="eastAsia"/>
            </w:rPr>
            <w:fldChar w:fldCharType="end"/>
          </w:r>
          <w:r>
            <w:rPr>
              <w:rFonts w:hint="eastAsia"/>
            </w:rPr>
            <w:fldChar w:fldCharType="end"/>
          </w:r>
        </w:p>
        <w:p w14:paraId="23E5FA1F">
          <w:pPr>
            <w:pStyle w:val="31"/>
            <w:tabs>
              <w:tab w:val="right" w:leader="dot" w:pos="9060"/>
            </w:tabs>
            <w:ind w:left="480"/>
            <w:rPr>
              <w:rFonts w:hint="eastAsia" w:asciiTheme="minorHAnsi" w:hAnsiTheme="minorHAnsi" w:eastAsiaTheme="minorEastAsia"/>
              <w:sz w:val="22"/>
            </w:rPr>
          </w:pPr>
          <w:r>
            <w:fldChar w:fldCharType="begin"/>
          </w:r>
          <w:r>
            <w:instrText xml:space="preserve"> HYPERLINK \l "_Toc221056470" </w:instrText>
          </w:r>
          <w:r>
            <w:fldChar w:fldCharType="separate"/>
          </w:r>
          <w:r>
            <w:rPr>
              <w:rStyle w:val="41"/>
              <w:rFonts w:hint="eastAsia"/>
              <w:color w:val="000000" w:themeColor="text1"/>
              <w14:textFill>
                <w14:solidFill>
                  <w14:schemeClr w14:val="tx1"/>
                </w14:solidFill>
              </w14:textFill>
            </w:rPr>
            <w:t>9.2污染物排放清单</w:t>
          </w:r>
          <w:r>
            <w:rPr>
              <w:rFonts w:hint="eastAsia"/>
            </w:rPr>
            <w:tab/>
          </w:r>
          <w:r>
            <w:rPr>
              <w:rFonts w:hint="eastAsia"/>
            </w:rPr>
            <w:fldChar w:fldCharType="begin"/>
          </w:r>
          <w:r>
            <w:rPr>
              <w:rFonts w:hint="eastAsia"/>
            </w:rPr>
            <w:instrText xml:space="preserve"> </w:instrText>
          </w:r>
          <w:r>
            <w:instrText xml:space="preserve">PAGEREF _Toc221056470 \h</w:instrText>
          </w:r>
          <w:r>
            <w:rPr>
              <w:rFonts w:hint="eastAsia"/>
            </w:rPr>
            <w:instrText xml:space="preserve"> </w:instrText>
          </w:r>
          <w:r>
            <w:rPr>
              <w:rFonts w:hint="eastAsia"/>
            </w:rPr>
            <w:fldChar w:fldCharType="separate"/>
          </w:r>
          <w:r>
            <w:t>305</w:t>
          </w:r>
          <w:r>
            <w:rPr>
              <w:rFonts w:hint="eastAsia"/>
            </w:rPr>
            <w:fldChar w:fldCharType="end"/>
          </w:r>
          <w:r>
            <w:rPr>
              <w:rFonts w:hint="eastAsia"/>
            </w:rPr>
            <w:fldChar w:fldCharType="end"/>
          </w:r>
        </w:p>
        <w:p w14:paraId="48B94556">
          <w:pPr>
            <w:pStyle w:val="18"/>
            <w:tabs>
              <w:tab w:val="right" w:leader="dot" w:pos="9060"/>
            </w:tabs>
            <w:ind w:left="960"/>
            <w:rPr>
              <w:rFonts w:hint="eastAsia" w:asciiTheme="minorHAnsi" w:hAnsiTheme="minorHAnsi" w:eastAsiaTheme="minorEastAsia"/>
              <w:sz w:val="22"/>
            </w:rPr>
          </w:pPr>
          <w:r>
            <w:fldChar w:fldCharType="begin"/>
          </w:r>
          <w:r>
            <w:instrText xml:space="preserve"> HYPERLINK \l "_Toc221056471" </w:instrText>
          </w:r>
          <w:r>
            <w:fldChar w:fldCharType="separate"/>
          </w:r>
          <w:r>
            <w:rPr>
              <w:rStyle w:val="41"/>
              <w:rFonts w:hint="eastAsia"/>
              <w:color w:val="000000" w:themeColor="text1"/>
              <w14:textFill>
                <w14:solidFill>
                  <w14:schemeClr w14:val="tx1"/>
                </w14:solidFill>
              </w14:textFill>
            </w:rPr>
            <w:t>9.2.1产污节点、污染物及污染治理措施</w:t>
          </w:r>
          <w:r>
            <w:rPr>
              <w:rFonts w:hint="eastAsia"/>
            </w:rPr>
            <w:tab/>
          </w:r>
          <w:r>
            <w:rPr>
              <w:rFonts w:hint="eastAsia"/>
            </w:rPr>
            <w:fldChar w:fldCharType="begin"/>
          </w:r>
          <w:r>
            <w:rPr>
              <w:rFonts w:hint="eastAsia"/>
            </w:rPr>
            <w:instrText xml:space="preserve"> </w:instrText>
          </w:r>
          <w:r>
            <w:instrText xml:space="preserve">PAGEREF _Toc221056471 \h</w:instrText>
          </w:r>
          <w:r>
            <w:rPr>
              <w:rFonts w:hint="eastAsia"/>
            </w:rPr>
            <w:instrText xml:space="preserve"> </w:instrText>
          </w:r>
          <w:r>
            <w:rPr>
              <w:rFonts w:hint="eastAsia"/>
            </w:rPr>
            <w:fldChar w:fldCharType="separate"/>
          </w:r>
          <w:r>
            <w:t>305</w:t>
          </w:r>
          <w:r>
            <w:rPr>
              <w:rFonts w:hint="eastAsia"/>
            </w:rPr>
            <w:fldChar w:fldCharType="end"/>
          </w:r>
          <w:r>
            <w:rPr>
              <w:rFonts w:hint="eastAsia"/>
            </w:rPr>
            <w:fldChar w:fldCharType="end"/>
          </w:r>
        </w:p>
        <w:p w14:paraId="06A5D86D">
          <w:pPr>
            <w:pStyle w:val="18"/>
            <w:tabs>
              <w:tab w:val="right" w:leader="dot" w:pos="9060"/>
            </w:tabs>
            <w:ind w:left="960"/>
            <w:rPr>
              <w:rFonts w:hint="eastAsia" w:asciiTheme="minorHAnsi" w:hAnsiTheme="minorHAnsi" w:eastAsiaTheme="minorEastAsia"/>
              <w:sz w:val="22"/>
            </w:rPr>
          </w:pPr>
          <w:r>
            <w:fldChar w:fldCharType="begin"/>
          </w:r>
          <w:r>
            <w:instrText xml:space="preserve"> HYPERLINK \l "_Toc221056472" </w:instrText>
          </w:r>
          <w:r>
            <w:fldChar w:fldCharType="separate"/>
          </w:r>
          <w:r>
            <w:rPr>
              <w:rStyle w:val="41"/>
              <w:rFonts w:hint="eastAsia"/>
              <w:color w:val="000000" w:themeColor="text1"/>
              <w14:textFill>
                <w14:solidFill>
                  <w14:schemeClr w14:val="tx1"/>
                </w14:solidFill>
              </w14:textFill>
            </w:rPr>
            <w:t>9.2.2信息公开</w:t>
          </w:r>
          <w:r>
            <w:rPr>
              <w:rFonts w:hint="eastAsia"/>
            </w:rPr>
            <w:tab/>
          </w:r>
          <w:r>
            <w:rPr>
              <w:rFonts w:hint="eastAsia"/>
            </w:rPr>
            <w:fldChar w:fldCharType="begin"/>
          </w:r>
          <w:r>
            <w:rPr>
              <w:rFonts w:hint="eastAsia"/>
            </w:rPr>
            <w:instrText xml:space="preserve"> </w:instrText>
          </w:r>
          <w:r>
            <w:instrText xml:space="preserve">PAGEREF _Toc221056472 \h</w:instrText>
          </w:r>
          <w:r>
            <w:rPr>
              <w:rFonts w:hint="eastAsia"/>
            </w:rPr>
            <w:instrText xml:space="preserve"> </w:instrText>
          </w:r>
          <w:r>
            <w:rPr>
              <w:rFonts w:hint="eastAsia"/>
            </w:rPr>
            <w:fldChar w:fldCharType="separate"/>
          </w:r>
          <w:r>
            <w:t>307</w:t>
          </w:r>
          <w:r>
            <w:rPr>
              <w:rFonts w:hint="eastAsia"/>
            </w:rPr>
            <w:fldChar w:fldCharType="end"/>
          </w:r>
          <w:r>
            <w:rPr>
              <w:rFonts w:hint="eastAsia"/>
            </w:rPr>
            <w:fldChar w:fldCharType="end"/>
          </w:r>
        </w:p>
        <w:p w14:paraId="236C7B75">
          <w:pPr>
            <w:pStyle w:val="31"/>
            <w:tabs>
              <w:tab w:val="right" w:leader="dot" w:pos="9060"/>
            </w:tabs>
            <w:ind w:left="480"/>
            <w:rPr>
              <w:rFonts w:hint="eastAsia" w:asciiTheme="minorHAnsi" w:hAnsiTheme="minorHAnsi" w:eastAsiaTheme="minorEastAsia"/>
              <w:sz w:val="22"/>
            </w:rPr>
          </w:pPr>
          <w:r>
            <w:fldChar w:fldCharType="begin"/>
          </w:r>
          <w:r>
            <w:instrText xml:space="preserve"> HYPERLINK \l "_Toc221056473" </w:instrText>
          </w:r>
          <w:r>
            <w:fldChar w:fldCharType="separate"/>
          </w:r>
          <w:r>
            <w:rPr>
              <w:rStyle w:val="41"/>
              <w:rFonts w:hint="eastAsia"/>
              <w:color w:val="000000" w:themeColor="text1"/>
              <w14:textFill>
                <w14:solidFill>
                  <w14:schemeClr w14:val="tx1"/>
                </w14:solidFill>
              </w14:textFill>
            </w:rPr>
            <w:t>9.3环境监测计划</w:t>
          </w:r>
          <w:r>
            <w:rPr>
              <w:rFonts w:hint="eastAsia"/>
            </w:rPr>
            <w:tab/>
          </w:r>
          <w:r>
            <w:rPr>
              <w:rFonts w:hint="eastAsia"/>
            </w:rPr>
            <w:fldChar w:fldCharType="begin"/>
          </w:r>
          <w:r>
            <w:rPr>
              <w:rFonts w:hint="eastAsia"/>
            </w:rPr>
            <w:instrText xml:space="preserve"> </w:instrText>
          </w:r>
          <w:r>
            <w:instrText xml:space="preserve">PAGEREF _Toc221056473 \h</w:instrText>
          </w:r>
          <w:r>
            <w:rPr>
              <w:rFonts w:hint="eastAsia"/>
            </w:rPr>
            <w:instrText xml:space="preserve"> </w:instrText>
          </w:r>
          <w:r>
            <w:rPr>
              <w:rFonts w:hint="eastAsia"/>
            </w:rPr>
            <w:fldChar w:fldCharType="separate"/>
          </w:r>
          <w:r>
            <w:t>307</w:t>
          </w:r>
          <w:r>
            <w:rPr>
              <w:rFonts w:hint="eastAsia"/>
            </w:rPr>
            <w:fldChar w:fldCharType="end"/>
          </w:r>
          <w:r>
            <w:rPr>
              <w:rFonts w:hint="eastAsia"/>
            </w:rPr>
            <w:fldChar w:fldCharType="end"/>
          </w:r>
        </w:p>
        <w:p w14:paraId="13C8F147">
          <w:pPr>
            <w:pStyle w:val="18"/>
            <w:tabs>
              <w:tab w:val="right" w:leader="dot" w:pos="9060"/>
            </w:tabs>
            <w:ind w:left="960"/>
            <w:rPr>
              <w:rFonts w:hint="eastAsia" w:asciiTheme="minorHAnsi" w:hAnsiTheme="minorHAnsi" w:eastAsiaTheme="minorEastAsia"/>
              <w:sz w:val="22"/>
            </w:rPr>
          </w:pPr>
          <w:r>
            <w:fldChar w:fldCharType="begin"/>
          </w:r>
          <w:r>
            <w:instrText xml:space="preserve"> HYPERLINK \l "_Toc221056474" </w:instrText>
          </w:r>
          <w:r>
            <w:fldChar w:fldCharType="separate"/>
          </w:r>
          <w:r>
            <w:rPr>
              <w:rStyle w:val="41"/>
              <w:rFonts w:hint="eastAsia"/>
              <w:color w:val="000000" w:themeColor="text1"/>
              <w14:textFill>
                <w14:solidFill>
                  <w14:schemeClr w14:val="tx1"/>
                </w14:solidFill>
              </w14:textFill>
            </w:rPr>
            <w:t>9.3.1废气监测计划</w:t>
          </w:r>
          <w:r>
            <w:rPr>
              <w:rFonts w:hint="eastAsia"/>
            </w:rPr>
            <w:tab/>
          </w:r>
          <w:r>
            <w:rPr>
              <w:rFonts w:hint="eastAsia"/>
            </w:rPr>
            <w:fldChar w:fldCharType="begin"/>
          </w:r>
          <w:r>
            <w:rPr>
              <w:rFonts w:hint="eastAsia"/>
            </w:rPr>
            <w:instrText xml:space="preserve"> </w:instrText>
          </w:r>
          <w:r>
            <w:instrText xml:space="preserve">PAGEREF _Toc221056474 \h</w:instrText>
          </w:r>
          <w:r>
            <w:rPr>
              <w:rFonts w:hint="eastAsia"/>
            </w:rPr>
            <w:instrText xml:space="preserve"> </w:instrText>
          </w:r>
          <w:r>
            <w:rPr>
              <w:rFonts w:hint="eastAsia"/>
            </w:rPr>
            <w:fldChar w:fldCharType="separate"/>
          </w:r>
          <w:r>
            <w:t>307</w:t>
          </w:r>
          <w:r>
            <w:rPr>
              <w:rFonts w:hint="eastAsia"/>
            </w:rPr>
            <w:fldChar w:fldCharType="end"/>
          </w:r>
          <w:r>
            <w:rPr>
              <w:rFonts w:hint="eastAsia"/>
            </w:rPr>
            <w:fldChar w:fldCharType="end"/>
          </w:r>
        </w:p>
        <w:p w14:paraId="1EDCE5FF">
          <w:pPr>
            <w:pStyle w:val="18"/>
            <w:tabs>
              <w:tab w:val="right" w:leader="dot" w:pos="9060"/>
            </w:tabs>
            <w:ind w:left="960"/>
            <w:rPr>
              <w:rFonts w:hint="eastAsia" w:asciiTheme="minorHAnsi" w:hAnsiTheme="minorHAnsi" w:eastAsiaTheme="minorEastAsia"/>
              <w:sz w:val="22"/>
            </w:rPr>
          </w:pPr>
          <w:r>
            <w:fldChar w:fldCharType="begin"/>
          </w:r>
          <w:r>
            <w:instrText xml:space="preserve"> HYPERLINK \l "_Toc221056475" </w:instrText>
          </w:r>
          <w:r>
            <w:fldChar w:fldCharType="separate"/>
          </w:r>
          <w:r>
            <w:rPr>
              <w:rStyle w:val="41"/>
              <w:rFonts w:hint="eastAsia"/>
              <w:color w:val="000000" w:themeColor="text1"/>
              <w:lang w:val="zh-CN"/>
              <w14:textFill>
                <w14:solidFill>
                  <w14:schemeClr w14:val="tx1"/>
                </w14:solidFill>
              </w14:textFill>
            </w:rPr>
            <w:t>9.3.2废水</w:t>
          </w:r>
          <w:r>
            <w:rPr>
              <w:rStyle w:val="41"/>
              <w:rFonts w:hint="eastAsia"/>
              <w:color w:val="000000" w:themeColor="text1"/>
              <w14:textFill>
                <w14:solidFill>
                  <w14:schemeClr w14:val="tx1"/>
                </w14:solidFill>
              </w14:textFill>
            </w:rPr>
            <w:t>监测计划</w:t>
          </w:r>
          <w:r>
            <w:rPr>
              <w:rFonts w:hint="eastAsia"/>
            </w:rPr>
            <w:tab/>
          </w:r>
          <w:r>
            <w:rPr>
              <w:rFonts w:hint="eastAsia"/>
            </w:rPr>
            <w:fldChar w:fldCharType="begin"/>
          </w:r>
          <w:r>
            <w:rPr>
              <w:rFonts w:hint="eastAsia"/>
            </w:rPr>
            <w:instrText xml:space="preserve"> </w:instrText>
          </w:r>
          <w:r>
            <w:instrText xml:space="preserve">PAGEREF _Toc221056475 \h</w:instrText>
          </w:r>
          <w:r>
            <w:rPr>
              <w:rFonts w:hint="eastAsia"/>
            </w:rPr>
            <w:instrText xml:space="preserve"> </w:instrText>
          </w:r>
          <w:r>
            <w:rPr>
              <w:rFonts w:hint="eastAsia"/>
            </w:rPr>
            <w:fldChar w:fldCharType="separate"/>
          </w:r>
          <w:r>
            <w:t>308</w:t>
          </w:r>
          <w:r>
            <w:rPr>
              <w:rFonts w:hint="eastAsia"/>
            </w:rPr>
            <w:fldChar w:fldCharType="end"/>
          </w:r>
          <w:r>
            <w:rPr>
              <w:rFonts w:hint="eastAsia"/>
            </w:rPr>
            <w:fldChar w:fldCharType="end"/>
          </w:r>
        </w:p>
        <w:p w14:paraId="1B7019C4">
          <w:pPr>
            <w:pStyle w:val="18"/>
            <w:tabs>
              <w:tab w:val="right" w:leader="dot" w:pos="9060"/>
            </w:tabs>
            <w:ind w:left="960"/>
            <w:rPr>
              <w:rFonts w:hint="eastAsia" w:asciiTheme="minorHAnsi" w:hAnsiTheme="minorHAnsi" w:eastAsiaTheme="minorEastAsia"/>
              <w:sz w:val="22"/>
            </w:rPr>
          </w:pPr>
          <w:r>
            <w:fldChar w:fldCharType="begin"/>
          </w:r>
          <w:r>
            <w:instrText xml:space="preserve"> HYPERLINK \l "_Toc221056476" </w:instrText>
          </w:r>
          <w:r>
            <w:fldChar w:fldCharType="separate"/>
          </w:r>
          <w:r>
            <w:rPr>
              <w:rStyle w:val="41"/>
              <w:rFonts w:hint="eastAsia"/>
              <w:color w:val="000000" w:themeColor="text1"/>
              <w:lang w:val="zh-CN"/>
              <w14:textFill>
                <w14:solidFill>
                  <w14:schemeClr w14:val="tx1"/>
                </w14:solidFill>
              </w14:textFill>
            </w:rPr>
            <w:t>9.3.3</w:t>
          </w:r>
          <w:r>
            <w:rPr>
              <w:rStyle w:val="41"/>
              <w:rFonts w:hint="eastAsia"/>
              <w:color w:val="000000" w:themeColor="text1"/>
              <w14:textFill>
                <w14:solidFill>
                  <w14:schemeClr w14:val="tx1"/>
                </w14:solidFill>
              </w14:textFill>
            </w:rPr>
            <w:t>噪声监测计划</w:t>
          </w:r>
          <w:r>
            <w:rPr>
              <w:rFonts w:hint="eastAsia"/>
            </w:rPr>
            <w:tab/>
          </w:r>
          <w:r>
            <w:rPr>
              <w:rFonts w:hint="eastAsia"/>
            </w:rPr>
            <w:fldChar w:fldCharType="begin"/>
          </w:r>
          <w:r>
            <w:rPr>
              <w:rFonts w:hint="eastAsia"/>
            </w:rPr>
            <w:instrText xml:space="preserve"> </w:instrText>
          </w:r>
          <w:r>
            <w:instrText xml:space="preserve">PAGEREF _Toc221056476 \h</w:instrText>
          </w:r>
          <w:r>
            <w:rPr>
              <w:rFonts w:hint="eastAsia"/>
            </w:rPr>
            <w:instrText xml:space="preserve"> </w:instrText>
          </w:r>
          <w:r>
            <w:rPr>
              <w:rFonts w:hint="eastAsia"/>
            </w:rPr>
            <w:fldChar w:fldCharType="separate"/>
          </w:r>
          <w:r>
            <w:t>308</w:t>
          </w:r>
          <w:r>
            <w:rPr>
              <w:rFonts w:hint="eastAsia"/>
            </w:rPr>
            <w:fldChar w:fldCharType="end"/>
          </w:r>
          <w:r>
            <w:rPr>
              <w:rFonts w:hint="eastAsia"/>
            </w:rPr>
            <w:fldChar w:fldCharType="end"/>
          </w:r>
        </w:p>
        <w:p w14:paraId="36993B89">
          <w:pPr>
            <w:pStyle w:val="18"/>
            <w:tabs>
              <w:tab w:val="right" w:leader="dot" w:pos="9060"/>
            </w:tabs>
            <w:ind w:left="960"/>
            <w:rPr>
              <w:rFonts w:hint="eastAsia" w:asciiTheme="minorHAnsi" w:hAnsiTheme="minorHAnsi" w:eastAsiaTheme="minorEastAsia"/>
              <w:sz w:val="22"/>
            </w:rPr>
          </w:pPr>
          <w:r>
            <w:fldChar w:fldCharType="begin"/>
          </w:r>
          <w:r>
            <w:instrText xml:space="preserve"> HYPERLINK \l "_Toc221056477" </w:instrText>
          </w:r>
          <w:r>
            <w:fldChar w:fldCharType="separate"/>
          </w:r>
          <w:r>
            <w:rPr>
              <w:rStyle w:val="41"/>
              <w:rFonts w:hint="eastAsia"/>
              <w:color w:val="000000" w:themeColor="text1"/>
              <w:lang w:val="zh-CN"/>
              <w14:textFill>
                <w14:solidFill>
                  <w14:schemeClr w14:val="tx1"/>
                </w14:solidFill>
              </w14:textFill>
            </w:rPr>
            <w:t>9.3.4</w:t>
          </w:r>
          <w:r>
            <w:rPr>
              <w:rStyle w:val="41"/>
              <w:rFonts w:hint="eastAsia"/>
              <w:color w:val="000000" w:themeColor="text1"/>
              <w14:textFill>
                <w14:solidFill>
                  <w14:schemeClr w14:val="tx1"/>
                </w14:solidFill>
              </w14:textFill>
            </w:rPr>
            <w:t>固废污染源</w:t>
          </w:r>
          <w:r>
            <w:rPr>
              <w:rFonts w:hint="eastAsia"/>
            </w:rPr>
            <w:tab/>
          </w:r>
          <w:r>
            <w:rPr>
              <w:rFonts w:hint="eastAsia"/>
            </w:rPr>
            <w:fldChar w:fldCharType="begin"/>
          </w:r>
          <w:r>
            <w:rPr>
              <w:rFonts w:hint="eastAsia"/>
            </w:rPr>
            <w:instrText xml:space="preserve"> </w:instrText>
          </w:r>
          <w:r>
            <w:instrText xml:space="preserve">PAGEREF _Toc221056477 \h</w:instrText>
          </w:r>
          <w:r>
            <w:rPr>
              <w:rFonts w:hint="eastAsia"/>
            </w:rPr>
            <w:instrText xml:space="preserve"> </w:instrText>
          </w:r>
          <w:r>
            <w:rPr>
              <w:rFonts w:hint="eastAsia"/>
            </w:rPr>
            <w:fldChar w:fldCharType="separate"/>
          </w:r>
          <w:r>
            <w:t>308</w:t>
          </w:r>
          <w:r>
            <w:rPr>
              <w:rFonts w:hint="eastAsia"/>
            </w:rPr>
            <w:fldChar w:fldCharType="end"/>
          </w:r>
          <w:r>
            <w:rPr>
              <w:rFonts w:hint="eastAsia"/>
            </w:rPr>
            <w:fldChar w:fldCharType="end"/>
          </w:r>
        </w:p>
        <w:p w14:paraId="2F8DCD9D">
          <w:pPr>
            <w:pStyle w:val="18"/>
            <w:tabs>
              <w:tab w:val="right" w:leader="dot" w:pos="9060"/>
            </w:tabs>
            <w:ind w:left="960"/>
            <w:rPr>
              <w:rFonts w:hint="eastAsia" w:asciiTheme="minorHAnsi" w:hAnsiTheme="minorHAnsi" w:eastAsiaTheme="minorEastAsia"/>
              <w:sz w:val="22"/>
            </w:rPr>
          </w:pPr>
          <w:r>
            <w:fldChar w:fldCharType="begin"/>
          </w:r>
          <w:r>
            <w:instrText xml:space="preserve"> HYPERLINK \l "_Toc221056478" </w:instrText>
          </w:r>
          <w:r>
            <w:fldChar w:fldCharType="separate"/>
          </w:r>
          <w:r>
            <w:rPr>
              <w:rStyle w:val="41"/>
              <w:rFonts w:hint="eastAsia"/>
              <w:color w:val="000000" w:themeColor="text1"/>
              <w:lang w:val="zh-CN"/>
              <w14:textFill>
                <w14:solidFill>
                  <w14:schemeClr w14:val="tx1"/>
                </w14:solidFill>
              </w14:textFill>
            </w:rPr>
            <w:t>9.3.5土壤和</w:t>
          </w:r>
          <w:r>
            <w:rPr>
              <w:rStyle w:val="41"/>
              <w:rFonts w:hint="eastAsia"/>
              <w:color w:val="000000" w:themeColor="text1"/>
              <w14:textFill>
                <w14:solidFill>
                  <w14:schemeClr w14:val="tx1"/>
                </w14:solidFill>
              </w14:textFill>
            </w:rPr>
            <w:t>地下水环境监测</w:t>
          </w:r>
          <w:r>
            <w:rPr>
              <w:rFonts w:hint="eastAsia"/>
            </w:rPr>
            <w:tab/>
          </w:r>
          <w:r>
            <w:rPr>
              <w:rFonts w:hint="eastAsia"/>
            </w:rPr>
            <w:fldChar w:fldCharType="begin"/>
          </w:r>
          <w:r>
            <w:rPr>
              <w:rFonts w:hint="eastAsia"/>
            </w:rPr>
            <w:instrText xml:space="preserve"> </w:instrText>
          </w:r>
          <w:r>
            <w:instrText xml:space="preserve">PAGEREF _Toc221056478 \h</w:instrText>
          </w:r>
          <w:r>
            <w:rPr>
              <w:rFonts w:hint="eastAsia"/>
            </w:rPr>
            <w:instrText xml:space="preserve"> </w:instrText>
          </w:r>
          <w:r>
            <w:rPr>
              <w:rFonts w:hint="eastAsia"/>
            </w:rPr>
            <w:fldChar w:fldCharType="separate"/>
          </w:r>
          <w:r>
            <w:t>309</w:t>
          </w:r>
          <w:r>
            <w:rPr>
              <w:rFonts w:hint="eastAsia"/>
            </w:rPr>
            <w:fldChar w:fldCharType="end"/>
          </w:r>
          <w:r>
            <w:rPr>
              <w:rFonts w:hint="eastAsia"/>
            </w:rPr>
            <w:fldChar w:fldCharType="end"/>
          </w:r>
        </w:p>
        <w:p w14:paraId="6E15C784">
          <w:pPr>
            <w:pStyle w:val="18"/>
            <w:tabs>
              <w:tab w:val="right" w:leader="dot" w:pos="9060"/>
            </w:tabs>
            <w:ind w:left="960"/>
            <w:rPr>
              <w:rFonts w:hint="eastAsia" w:asciiTheme="minorHAnsi" w:hAnsiTheme="minorHAnsi" w:eastAsiaTheme="minorEastAsia"/>
              <w:sz w:val="22"/>
            </w:rPr>
          </w:pPr>
          <w:r>
            <w:fldChar w:fldCharType="begin"/>
          </w:r>
          <w:r>
            <w:instrText xml:space="preserve"> HYPERLINK \l "_Toc221056479" </w:instrText>
          </w:r>
          <w:r>
            <w:fldChar w:fldCharType="separate"/>
          </w:r>
          <w:r>
            <w:rPr>
              <w:rStyle w:val="41"/>
              <w:rFonts w:hint="eastAsia"/>
              <w:color w:val="000000" w:themeColor="text1"/>
              <w:lang w:val="zh-CN"/>
              <w14:textFill>
                <w14:solidFill>
                  <w14:schemeClr w14:val="tx1"/>
                </w14:solidFill>
              </w14:textFill>
            </w:rPr>
            <w:t>9.3.6</w:t>
          </w:r>
          <w:r>
            <w:rPr>
              <w:rStyle w:val="41"/>
              <w:rFonts w:hint="eastAsia"/>
              <w:color w:val="000000" w:themeColor="text1"/>
              <w14:textFill>
                <w14:solidFill>
                  <w14:schemeClr w14:val="tx1"/>
                </w14:solidFill>
              </w14:textFill>
            </w:rPr>
            <w:t>监测记录要求</w:t>
          </w:r>
          <w:r>
            <w:rPr>
              <w:rFonts w:hint="eastAsia"/>
            </w:rPr>
            <w:tab/>
          </w:r>
          <w:r>
            <w:rPr>
              <w:rFonts w:hint="eastAsia"/>
            </w:rPr>
            <w:fldChar w:fldCharType="begin"/>
          </w:r>
          <w:r>
            <w:rPr>
              <w:rFonts w:hint="eastAsia"/>
            </w:rPr>
            <w:instrText xml:space="preserve"> </w:instrText>
          </w:r>
          <w:r>
            <w:instrText xml:space="preserve">PAGEREF _Toc221056479 \h</w:instrText>
          </w:r>
          <w:r>
            <w:rPr>
              <w:rFonts w:hint="eastAsia"/>
            </w:rPr>
            <w:instrText xml:space="preserve"> </w:instrText>
          </w:r>
          <w:r>
            <w:rPr>
              <w:rFonts w:hint="eastAsia"/>
            </w:rPr>
            <w:fldChar w:fldCharType="separate"/>
          </w:r>
          <w:r>
            <w:t>309</w:t>
          </w:r>
          <w:r>
            <w:rPr>
              <w:rFonts w:hint="eastAsia"/>
            </w:rPr>
            <w:fldChar w:fldCharType="end"/>
          </w:r>
          <w:r>
            <w:rPr>
              <w:rFonts w:hint="eastAsia"/>
            </w:rPr>
            <w:fldChar w:fldCharType="end"/>
          </w:r>
        </w:p>
        <w:p w14:paraId="5493F7BB">
          <w:pPr>
            <w:pStyle w:val="31"/>
            <w:tabs>
              <w:tab w:val="right" w:leader="dot" w:pos="9060"/>
            </w:tabs>
            <w:ind w:left="480"/>
            <w:rPr>
              <w:rFonts w:hint="eastAsia" w:asciiTheme="minorHAnsi" w:hAnsiTheme="minorHAnsi" w:eastAsiaTheme="minorEastAsia"/>
              <w:sz w:val="22"/>
            </w:rPr>
          </w:pPr>
          <w:r>
            <w:fldChar w:fldCharType="begin"/>
          </w:r>
          <w:r>
            <w:instrText xml:space="preserve"> HYPERLINK \l "_Toc221056480" </w:instrText>
          </w:r>
          <w:r>
            <w:fldChar w:fldCharType="separate"/>
          </w:r>
          <w:r>
            <w:rPr>
              <w:rStyle w:val="41"/>
              <w:rFonts w:hint="eastAsia"/>
              <w:color w:val="000000" w:themeColor="text1"/>
              <w14:textFill>
                <w14:solidFill>
                  <w14:schemeClr w14:val="tx1"/>
                </w14:solidFill>
              </w14:textFill>
            </w:rPr>
            <w:t>9.4排污口规范化</w:t>
          </w:r>
          <w:r>
            <w:rPr>
              <w:rFonts w:hint="eastAsia"/>
            </w:rPr>
            <w:tab/>
          </w:r>
          <w:r>
            <w:rPr>
              <w:rFonts w:hint="eastAsia"/>
            </w:rPr>
            <w:fldChar w:fldCharType="begin"/>
          </w:r>
          <w:r>
            <w:rPr>
              <w:rFonts w:hint="eastAsia"/>
            </w:rPr>
            <w:instrText xml:space="preserve"> </w:instrText>
          </w:r>
          <w:r>
            <w:instrText xml:space="preserve">PAGEREF _Toc221056480 \h</w:instrText>
          </w:r>
          <w:r>
            <w:rPr>
              <w:rFonts w:hint="eastAsia"/>
            </w:rPr>
            <w:instrText xml:space="preserve"> </w:instrText>
          </w:r>
          <w:r>
            <w:rPr>
              <w:rFonts w:hint="eastAsia"/>
            </w:rPr>
            <w:fldChar w:fldCharType="separate"/>
          </w:r>
          <w:r>
            <w:t>310</w:t>
          </w:r>
          <w:r>
            <w:rPr>
              <w:rFonts w:hint="eastAsia"/>
            </w:rPr>
            <w:fldChar w:fldCharType="end"/>
          </w:r>
          <w:r>
            <w:rPr>
              <w:rFonts w:hint="eastAsia"/>
            </w:rPr>
            <w:fldChar w:fldCharType="end"/>
          </w:r>
        </w:p>
        <w:p w14:paraId="4B93A69C">
          <w:pPr>
            <w:pStyle w:val="26"/>
            <w:tabs>
              <w:tab w:val="right" w:leader="dot" w:pos="9060"/>
            </w:tabs>
            <w:rPr>
              <w:rFonts w:hint="eastAsia" w:asciiTheme="minorHAnsi" w:hAnsiTheme="minorHAnsi" w:eastAsiaTheme="minorEastAsia"/>
              <w:sz w:val="22"/>
            </w:rPr>
          </w:pPr>
          <w:r>
            <w:fldChar w:fldCharType="begin"/>
          </w:r>
          <w:r>
            <w:instrText xml:space="preserve"> HYPERLINK \l "_Toc221056481" </w:instrText>
          </w:r>
          <w:r>
            <w:fldChar w:fldCharType="separate"/>
          </w:r>
          <w:r>
            <w:rPr>
              <w:rStyle w:val="41"/>
              <w:rFonts w:hint="eastAsia"/>
              <w:color w:val="000000" w:themeColor="text1"/>
              <w14:textFill>
                <w14:solidFill>
                  <w14:schemeClr w14:val="tx1"/>
                </w14:solidFill>
              </w14:textFill>
            </w:rPr>
            <w:t>10环境影响评价结论</w:t>
          </w:r>
          <w:r>
            <w:rPr>
              <w:rFonts w:hint="eastAsia"/>
            </w:rPr>
            <w:tab/>
          </w:r>
          <w:r>
            <w:rPr>
              <w:rFonts w:hint="eastAsia"/>
            </w:rPr>
            <w:fldChar w:fldCharType="begin"/>
          </w:r>
          <w:r>
            <w:rPr>
              <w:rFonts w:hint="eastAsia"/>
            </w:rPr>
            <w:instrText xml:space="preserve"> </w:instrText>
          </w:r>
          <w:r>
            <w:instrText xml:space="preserve">PAGEREF _Toc221056481 \h</w:instrText>
          </w:r>
          <w:r>
            <w:rPr>
              <w:rFonts w:hint="eastAsia"/>
            </w:rPr>
            <w:instrText xml:space="preserve"> </w:instrText>
          </w:r>
          <w:r>
            <w:rPr>
              <w:rFonts w:hint="eastAsia"/>
            </w:rPr>
            <w:fldChar w:fldCharType="separate"/>
          </w:r>
          <w:r>
            <w:t>312</w:t>
          </w:r>
          <w:r>
            <w:rPr>
              <w:rFonts w:hint="eastAsia"/>
            </w:rPr>
            <w:fldChar w:fldCharType="end"/>
          </w:r>
          <w:r>
            <w:rPr>
              <w:rFonts w:hint="eastAsia"/>
            </w:rPr>
            <w:fldChar w:fldCharType="end"/>
          </w:r>
        </w:p>
        <w:p w14:paraId="7A6B9B2A">
          <w:pPr>
            <w:pStyle w:val="31"/>
            <w:tabs>
              <w:tab w:val="right" w:leader="dot" w:pos="9060"/>
            </w:tabs>
            <w:ind w:left="480"/>
            <w:rPr>
              <w:rFonts w:hint="eastAsia" w:asciiTheme="minorHAnsi" w:hAnsiTheme="minorHAnsi" w:eastAsiaTheme="minorEastAsia"/>
              <w:sz w:val="22"/>
            </w:rPr>
          </w:pPr>
          <w:r>
            <w:fldChar w:fldCharType="begin"/>
          </w:r>
          <w:r>
            <w:instrText xml:space="preserve"> HYPERLINK \l "_Toc221056482" </w:instrText>
          </w:r>
          <w:r>
            <w:fldChar w:fldCharType="separate"/>
          </w:r>
          <w:r>
            <w:rPr>
              <w:rStyle w:val="41"/>
              <w:rFonts w:hint="eastAsia"/>
              <w:color w:val="000000" w:themeColor="text1"/>
              <w14:textFill>
                <w14:solidFill>
                  <w14:schemeClr w14:val="tx1"/>
                </w14:solidFill>
              </w14:textFill>
            </w:rPr>
            <w:t>10.1项目概况</w:t>
          </w:r>
          <w:r>
            <w:rPr>
              <w:rFonts w:hint="eastAsia"/>
            </w:rPr>
            <w:tab/>
          </w:r>
          <w:r>
            <w:rPr>
              <w:rFonts w:hint="eastAsia"/>
            </w:rPr>
            <w:fldChar w:fldCharType="begin"/>
          </w:r>
          <w:r>
            <w:rPr>
              <w:rFonts w:hint="eastAsia"/>
            </w:rPr>
            <w:instrText xml:space="preserve"> </w:instrText>
          </w:r>
          <w:r>
            <w:instrText xml:space="preserve">PAGEREF _Toc221056482 \h</w:instrText>
          </w:r>
          <w:r>
            <w:rPr>
              <w:rFonts w:hint="eastAsia"/>
            </w:rPr>
            <w:instrText xml:space="preserve"> </w:instrText>
          </w:r>
          <w:r>
            <w:rPr>
              <w:rFonts w:hint="eastAsia"/>
            </w:rPr>
            <w:fldChar w:fldCharType="separate"/>
          </w:r>
          <w:r>
            <w:t>312</w:t>
          </w:r>
          <w:r>
            <w:rPr>
              <w:rFonts w:hint="eastAsia"/>
            </w:rPr>
            <w:fldChar w:fldCharType="end"/>
          </w:r>
          <w:r>
            <w:rPr>
              <w:rFonts w:hint="eastAsia"/>
            </w:rPr>
            <w:fldChar w:fldCharType="end"/>
          </w:r>
        </w:p>
        <w:p w14:paraId="0D2C9B10">
          <w:pPr>
            <w:pStyle w:val="31"/>
            <w:tabs>
              <w:tab w:val="right" w:leader="dot" w:pos="9060"/>
            </w:tabs>
            <w:ind w:left="480"/>
            <w:rPr>
              <w:rFonts w:hint="eastAsia" w:asciiTheme="minorHAnsi" w:hAnsiTheme="minorHAnsi" w:eastAsiaTheme="minorEastAsia"/>
              <w:sz w:val="22"/>
            </w:rPr>
          </w:pPr>
          <w:r>
            <w:fldChar w:fldCharType="begin"/>
          </w:r>
          <w:r>
            <w:instrText xml:space="preserve"> HYPERLINK \l "_Toc221056483" </w:instrText>
          </w:r>
          <w:r>
            <w:fldChar w:fldCharType="separate"/>
          </w:r>
          <w:r>
            <w:rPr>
              <w:rStyle w:val="41"/>
              <w:rFonts w:hint="eastAsia"/>
              <w:color w:val="000000" w:themeColor="text1"/>
              <w14:textFill>
                <w14:solidFill>
                  <w14:schemeClr w14:val="tx1"/>
                </w14:solidFill>
              </w14:textFill>
            </w:rPr>
            <w:t>10.2区域环境质量现状</w:t>
          </w:r>
          <w:r>
            <w:rPr>
              <w:rFonts w:hint="eastAsia"/>
            </w:rPr>
            <w:tab/>
          </w:r>
          <w:r>
            <w:rPr>
              <w:rFonts w:hint="eastAsia"/>
            </w:rPr>
            <w:fldChar w:fldCharType="begin"/>
          </w:r>
          <w:r>
            <w:rPr>
              <w:rFonts w:hint="eastAsia"/>
            </w:rPr>
            <w:instrText xml:space="preserve"> </w:instrText>
          </w:r>
          <w:r>
            <w:instrText xml:space="preserve">PAGEREF _Toc221056483 \h</w:instrText>
          </w:r>
          <w:r>
            <w:rPr>
              <w:rFonts w:hint="eastAsia"/>
            </w:rPr>
            <w:instrText xml:space="preserve"> </w:instrText>
          </w:r>
          <w:r>
            <w:rPr>
              <w:rFonts w:hint="eastAsia"/>
            </w:rPr>
            <w:fldChar w:fldCharType="separate"/>
          </w:r>
          <w:r>
            <w:t>312</w:t>
          </w:r>
          <w:r>
            <w:rPr>
              <w:rFonts w:hint="eastAsia"/>
            </w:rPr>
            <w:fldChar w:fldCharType="end"/>
          </w:r>
          <w:r>
            <w:rPr>
              <w:rFonts w:hint="eastAsia"/>
            </w:rPr>
            <w:fldChar w:fldCharType="end"/>
          </w:r>
        </w:p>
        <w:p w14:paraId="03457195">
          <w:pPr>
            <w:pStyle w:val="18"/>
            <w:tabs>
              <w:tab w:val="right" w:leader="dot" w:pos="9060"/>
            </w:tabs>
            <w:ind w:left="960"/>
            <w:rPr>
              <w:rFonts w:hint="eastAsia" w:asciiTheme="minorHAnsi" w:hAnsiTheme="minorHAnsi" w:eastAsiaTheme="minorEastAsia"/>
              <w:sz w:val="22"/>
            </w:rPr>
          </w:pPr>
          <w:r>
            <w:fldChar w:fldCharType="begin"/>
          </w:r>
          <w:r>
            <w:instrText xml:space="preserve"> HYPERLINK \l "_Toc221056484" </w:instrText>
          </w:r>
          <w:r>
            <w:fldChar w:fldCharType="separate"/>
          </w:r>
          <w:r>
            <w:rPr>
              <w:rStyle w:val="41"/>
              <w:rFonts w:hint="eastAsia"/>
              <w:color w:val="000000" w:themeColor="text1"/>
              <w14:textFill>
                <w14:solidFill>
                  <w14:schemeClr w14:val="tx1"/>
                </w14:solidFill>
              </w14:textFill>
            </w:rPr>
            <w:t>10.2.1大气环境</w:t>
          </w:r>
          <w:r>
            <w:rPr>
              <w:rFonts w:hint="eastAsia"/>
            </w:rPr>
            <w:tab/>
          </w:r>
          <w:r>
            <w:rPr>
              <w:rFonts w:hint="eastAsia"/>
            </w:rPr>
            <w:fldChar w:fldCharType="begin"/>
          </w:r>
          <w:r>
            <w:rPr>
              <w:rFonts w:hint="eastAsia"/>
            </w:rPr>
            <w:instrText xml:space="preserve"> </w:instrText>
          </w:r>
          <w:r>
            <w:instrText xml:space="preserve">PAGEREF _Toc221056484 \h</w:instrText>
          </w:r>
          <w:r>
            <w:rPr>
              <w:rFonts w:hint="eastAsia"/>
            </w:rPr>
            <w:instrText xml:space="preserve"> </w:instrText>
          </w:r>
          <w:r>
            <w:rPr>
              <w:rFonts w:hint="eastAsia"/>
            </w:rPr>
            <w:fldChar w:fldCharType="separate"/>
          </w:r>
          <w:r>
            <w:t>312</w:t>
          </w:r>
          <w:r>
            <w:rPr>
              <w:rFonts w:hint="eastAsia"/>
            </w:rPr>
            <w:fldChar w:fldCharType="end"/>
          </w:r>
          <w:r>
            <w:rPr>
              <w:rFonts w:hint="eastAsia"/>
            </w:rPr>
            <w:fldChar w:fldCharType="end"/>
          </w:r>
        </w:p>
        <w:p w14:paraId="1A232085">
          <w:pPr>
            <w:pStyle w:val="18"/>
            <w:tabs>
              <w:tab w:val="right" w:leader="dot" w:pos="9060"/>
            </w:tabs>
            <w:ind w:left="960"/>
            <w:rPr>
              <w:rFonts w:hint="eastAsia" w:asciiTheme="minorHAnsi" w:hAnsiTheme="minorHAnsi" w:eastAsiaTheme="minorEastAsia"/>
              <w:sz w:val="22"/>
            </w:rPr>
          </w:pPr>
          <w:r>
            <w:fldChar w:fldCharType="begin"/>
          </w:r>
          <w:r>
            <w:instrText xml:space="preserve"> HYPERLINK \l "_Toc221056485" </w:instrText>
          </w:r>
          <w:r>
            <w:fldChar w:fldCharType="separate"/>
          </w:r>
          <w:r>
            <w:rPr>
              <w:rStyle w:val="41"/>
              <w:rFonts w:hint="eastAsia"/>
              <w:color w:val="000000" w:themeColor="text1"/>
              <w14:textFill>
                <w14:solidFill>
                  <w14:schemeClr w14:val="tx1"/>
                </w14:solidFill>
              </w14:textFill>
            </w:rPr>
            <w:t>10.2.2地表水环境</w:t>
          </w:r>
          <w:r>
            <w:rPr>
              <w:rFonts w:hint="eastAsia"/>
            </w:rPr>
            <w:tab/>
          </w:r>
          <w:r>
            <w:rPr>
              <w:rFonts w:hint="eastAsia"/>
            </w:rPr>
            <w:fldChar w:fldCharType="begin"/>
          </w:r>
          <w:r>
            <w:rPr>
              <w:rFonts w:hint="eastAsia"/>
            </w:rPr>
            <w:instrText xml:space="preserve"> </w:instrText>
          </w:r>
          <w:r>
            <w:instrText xml:space="preserve">PAGEREF _Toc221056485 \h</w:instrText>
          </w:r>
          <w:r>
            <w:rPr>
              <w:rFonts w:hint="eastAsia"/>
            </w:rPr>
            <w:instrText xml:space="preserve"> </w:instrText>
          </w:r>
          <w:r>
            <w:rPr>
              <w:rFonts w:hint="eastAsia"/>
            </w:rPr>
            <w:fldChar w:fldCharType="separate"/>
          </w:r>
          <w:r>
            <w:t>313</w:t>
          </w:r>
          <w:r>
            <w:rPr>
              <w:rFonts w:hint="eastAsia"/>
            </w:rPr>
            <w:fldChar w:fldCharType="end"/>
          </w:r>
          <w:r>
            <w:rPr>
              <w:rFonts w:hint="eastAsia"/>
            </w:rPr>
            <w:fldChar w:fldCharType="end"/>
          </w:r>
        </w:p>
        <w:p w14:paraId="50A35B6B">
          <w:pPr>
            <w:pStyle w:val="18"/>
            <w:tabs>
              <w:tab w:val="right" w:leader="dot" w:pos="9060"/>
            </w:tabs>
            <w:ind w:left="960"/>
            <w:rPr>
              <w:rFonts w:hint="eastAsia" w:asciiTheme="minorHAnsi" w:hAnsiTheme="minorHAnsi" w:eastAsiaTheme="minorEastAsia"/>
              <w:sz w:val="22"/>
            </w:rPr>
          </w:pPr>
          <w:r>
            <w:fldChar w:fldCharType="begin"/>
          </w:r>
          <w:r>
            <w:instrText xml:space="preserve"> HYPERLINK \l "_Toc221056486" </w:instrText>
          </w:r>
          <w:r>
            <w:fldChar w:fldCharType="separate"/>
          </w:r>
          <w:r>
            <w:rPr>
              <w:rStyle w:val="41"/>
              <w:rFonts w:hint="eastAsia"/>
              <w:color w:val="000000" w:themeColor="text1"/>
              <w14:textFill>
                <w14:solidFill>
                  <w14:schemeClr w14:val="tx1"/>
                </w14:solidFill>
              </w14:textFill>
            </w:rPr>
            <w:t>10.2.3声环境</w:t>
          </w:r>
          <w:r>
            <w:rPr>
              <w:rFonts w:hint="eastAsia"/>
            </w:rPr>
            <w:tab/>
          </w:r>
          <w:r>
            <w:rPr>
              <w:rFonts w:hint="eastAsia"/>
            </w:rPr>
            <w:fldChar w:fldCharType="begin"/>
          </w:r>
          <w:r>
            <w:rPr>
              <w:rFonts w:hint="eastAsia"/>
            </w:rPr>
            <w:instrText xml:space="preserve"> </w:instrText>
          </w:r>
          <w:r>
            <w:instrText xml:space="preserve">PAGEREF _Toc221056486 \h</w:instrText>
          </w:r>
          <w:r>
            <w:rPr>
              <w:rFonts w:hint="eastAsia"/>
            </w:rPr>
            <w:instrText xml:space="preserve"> </w:instrText>
          </w:r>
          <w:r>
            <w:rPr>
              <w:rFonts w:hint="eastAsia"/>
            </w:rPr>
            <w:fldChar w:fldCharType="separate"/>
          </w:r>
          <w:r>
            <w:t>313</w:t>
          </w:r>
          <w:r>
            <w:rPr>
              <w:rFonts w:hint="eastAsia"/>
            </w:rPr>
            <w:fldChar w:fldCharType="end"/>
          </w:r>
          <w:r>
            <w:rPr>
              <w:rFonts w:hint="eastAsia"/>
            </w:rPr>
            <w:fldChar w:fldCharType="end"/>
          </w:r>
        </w:p>
        <w:p w14:paraId="25F70532">
          <w:pPr>
            <w:pStyle w:val="18"/>
            <w:tabs>
              <w:tab w:val="right" w:leader="dot" w:pos="9060"/>
            </w:tabs>
            <w:ind w:left="960"/>
            <w:rPr>
              <w:rFonts w:hint="eastAsia" w:asciiTheme="minorHAnsi" w:hAnsiTheme="minorHAnsi" w:eastAsiaTheme="minorEastAsia"/>
              <w:sz w:val="22"/>
            </w:rPr>
          </w:pPr>
          <w:r>
            <w:fldChar w:fldCharType="begin"/>
          </w:r>
          <w:r>
            <w:instrText xml:space="preserve"> HYPERLINK \l "_Toc221056487" </w:instrText>
          </w:r>
          <w:r>
            <w:fldChar w:fldCharType="separate"/>
          </w:r>
          <w:r>
            <w:rPr>
              <w:rStyle w:val="41"/>
              <w:rFonts w:hint="eastAsia"/>
              <w:color w:val="000000" w:themeColor="text1"/>
              <w14:textFill>
                <w14:solidFill>
                  <w14:schemeClr w14:val="tx1"/>
                </w14:solidFill>
              </w14:textFill>
            </w:rPr>
            <w:t>10.2.4地下水环境</w:t>
          </w:r>
          <w:r>
            <w:rPr>
              <w:rFonts w:hint="eastAsia"/>
            </w:rPr>
            <w:tab/>
          </w:r>
          <w:r>
            <w:rPr>
              <w:rFonts w:hint="eastAsia"/>
            </w:rPr>
            <w:fldChar w:fldCharType="begin"/>
          </w:r>
          <w:r>
            <w:rPr>
              <w:rFonts w:hint="eastAsia"/>
            </w:rPr>
            <w:instrText xml:space="preserve"> </w:instrText>
          </w:r>
          <w:r>
            <w:instrText xml:space="preserve">PAGEREF _Toc221056487 \h</w:instrText>
          </w:r>
          <w:r>
            <w:rPr>
              <w:rFonts w:hint="eastAsia"/>
            </w:rPr>
            <w:instrText xml:space="preserve"> </w:instrText>
          </w:r>
          <w:r>
            <w:rPr>
              <w:rFonts w:hint="eastAsia"/>
            </w:rPr>
            <w:fldChar w:fldCharType="separate"/>
          </w:r>
          <w:r>
            <w:t>313</w:t>
          </w:r>
          <w:r>
            <w:rPr>
              <w:rFonts w:hint="eastAsia"/>
            </w:rPr>
            <w:fldChar w:fldCharType="end"/>
          </w:r>
          <w:r>
            <w:rPr>
              <w:rFonts w:hint="eastAsia"/>
            </w:rPr>
            <w:fldChar w:fldCharType="end"/>
          </w:r>
        </w:p>
        <w:p w14:paraId="108F032B">
          <w:pPr>
            <w:pStyle w:val="18"/>
            <w:tabs>
              <w:tab w:val="right" w:leader="dot" w:pos="9060"/>
            </w:tabs>
            <w:ind w:left="960"/>
            <w:rPr>
              <w:rFonts w:hint="eastAsia" w:asciiTheme="minorHAnsi" w:hAnsiTheme="minorHAnsi" w:eastAsiaTheme="minorEastAsia"/>
              <w:sz w:val="22"/>
            </w:rPr>
          </w:pPr>
          <w:r>
            <w:fldChar w:fldCharType="begin"/>
          </w:r>
          <w:r>
            <w:instrText xml:space="preserve"> HYPERLINK \l "_Toc221056488" </w:instrText>
          </w:r>
          <w:r>
            <w:fldChar w:fldCharType="separate"/>
          </w:r>
          <w:r>
            <w:rPr>
              <w:rStyle w:val="41"/>
              <w:rFonts w:hint="eastAsia"/>
              <w:color w:val="000000" w:themeColor="text1"/>
              <w14:textFill>
                <w14:solidFill>
                  <w14:schemeClr w14:val="tx1"/>
                </w14:solidFill>
              </w14:textFill>
            </w:rPr>
            <w:t>10.2.5土壤环境</w:t>
          </w:r>
          <w:r>
            <w:rPr>
              <w:rFonts w:hint="eastAsia"/>
            </w:rPr>
            <w:tab/>
          </w:r>
          <w:r>
            <w:rPr>
              <w:rFonts w:hint="eastAsia"/>
            </w:rPr>
            <w:fldChar w:fldCharType="begin"/>
          </w:r>
          <w:r>
            <w:rPr>
              <w:rFonts w:hint="eastAsia"/>
            </w:rPr>
            <w:instrText xml:space="preserve"> </w:instrText>
          </w:r>
          <w:r>
            <w:instrText xml:space="preserve">PAGEREF _Toc221056488 \h</w:instrText>
          </w:r>
          <w:r>
            <w:rPr>
              <w:rFonts w:hint="eastAsia"/>
            </w:rPr>
            <w:instrText xml:space="preserve"> </w:instrText>
          </w:r>
          <w:r>
            <w:rPr>
              <w:rFonts w:hint="eastAsia"/>
            </w:rPr>
            <w:fldChar w:fldCharType="separate"/>
          </w:r>
          <w:r>
            <w:t>313</w:t>
          </w:r>
          <w:r>
            <w:rPr>
              <w:rFonts w:hint="eastAsia"/>
            </w:rPr>
            <w:fldChar w:fldCharType="end"/>
          </w:r>
          <w:r>
            <w:rPr>
              <w:rFonts w:hint="eastAsia"/>
            </w:rPr>
            <w:fldChar w:fldCharType="end"/>
          </w:r>
        </w:p>
        <w:p w14:paraId="59793E58">
          <w:pPr>
            <w:pStyle w:val="31"/>
            <w:tabs>
              <w:tab w:val="right" w:leader="dot" w:pos="9060"/>
            </w:tabs>
            <w:ind w:left="480"/>
            <w:rPr>
              <w:rFonts w:hint="eastAsia" w:asciiTheme="minorHAnsi" w:hAnsiTheme="minorHAnsi" w:eastAsiaTheme="minorEastAsia"/>
              <w:sz w:val="22"/>
            </w:rPr>
          </w:pPr>
          <w:r>
            <w:fldChar w:fldCharType="begin"/>
          </w:r>
          <w:r>
            <w:instrText xml:space="preserve"> HYPERLINK \l "_Toc221056489" </w:instrText>
          </w:r>
          <w:r>
            <w:fldChar w:fldCharType="separate"/>
          </w:r>
          <w:r>
            <w:rPr>
              <w:rStyle w:val="41"/>
              <w:rFonts w:hint="eastAsia"/>
              <w:color w:val="000000" w:themeColor="text1"/>
              <w14:textFill>
                <w14:solidFill>
                  <w14:schemeClr w14:val="tx1"/>
                </w14:solidFill>
              </w14:textFill>
            </w:rPr>
            <w:t>10.3污染物排放情况</w:t>
          </w:r>
          <w:r>
            <w:rPr>
              <w:rFonts w:hint="eastAsia"/>
            </w:rPr>
            <w:tab/>
          </w:r>
          <w:r>
            <w:rPr>
              <w:rFonts w:hint="eastAsia"/>
            </w:rPr>
            <w:fldChar w:fldCharType="begin"/>
          </w:r>
          <w:r>
            <w:rPr>
              <w:rFonts w:hint="eastAsia"/>
            </w:rPr>
            <w:instrText xml:space="preserve"> </w:instrText>
          </w:r>
          <w:r>
            <w:instrText xml:space="preserve">PAGEREF _Toc221056489 \h</w:instrText>
          </w:r>
          <w:r>
            <w:rPr>
              <w:rFonts w:hint="eastAsia"/>
            </w:rPr>
            <w:instrText xml:space="preserve"> </w:instrText>
          </w:r>
          <w:r>
            <w:rPr>
              <w:rFonts w:hint="eastAsia"/>
            </w:rPr>
            <w:fldChar w:fldCharType="separate"/>
          </w:r>
          <w:r>
            <w:t>313</w:t>
          </w:r>
          <w:r>
            <w:rPr>
              <w:rFonts w:hint="eastAsia"/>
            </w:rPr>
            <w:fldChar w:fldCharType="end"/>
          </w:r>
          <w:r>
            <w:rPr>
              <w:rFonts w:hint="eastAsia"/>
            </w:rPr>
            <w:fldChar w:fldCharType="end"/>
          </w:r>
        </w:p>
        <w:p w14:paraId="1B5998E0">
          <w:pPr>
            <w:pStyle w:val="31"/>
            <w:tabs>
              <w:tab w:val="right" w:leader="dot" w:pos="9060"/>
            </w:tabs>
            <w:ind w:left="480"/>
            <w:rPr>
              <w:rFonts w:hint="eastAsia" w:asciiTheme="minorHAnsi" w:hAnsiTheme="minorHAnsi" w:eastAsiaTheme="minorEastAsia"/>
              <w:sz w:val="22"/>
            </w:rPr>
          </w:pPr>
          <w:r>
            <w:fldChar w:fldCharType="begin"/>
          </w:r>
          <w:r>
            <w:instrText xml:space="preserve"> HYPERLINK \l "_Toc221056490" </w:instrText>
          </w:r>
          <w:r>
            <w:fldChar w:fldCharType="separate"/>
          </w:r>
          <w:r>
            <w:rPr>
              <w:rStyle w:val="41"/>
              <w:rFonts w:hint="eastAsia"/>
              <w:color w:val="000000" w:themeColor="text1"/>
              <w14:textFill>
                <w14:solidFill>
                  <w14:schemeClr w14:val="tx1"/>
                </w14:solidFill>
              </w14:textFill>
            </w:rPr>
            <w:t>10.4主要环境影响</w:t>
          </w:r>
          <w:r>
            <w:rPr>
              <w:rFonts w:hint="eastAsia"/>
            </w:rPr>
            <w:tab/>
          </w:r>
          <w:r>
            <w:rPr>
              <w:rFonts w:hint="eastAsia"/>
            </w:rPr>
            <w:fldChar w:fldCharType="begin"/>
          </w:r>
          <w:r>
            <w:rPr>
              <w:rFonts w:hint="eastAsia"/>
            </w:rPr>
            <w:instrText xml:space="preserve"> </w:instrText>
          </w:r>
          <w:r>
            <w:instrText xml:space="preserve">PAGEREF _Toc221056490 \h</w:instrText>
          </w:r>
          <w:r>
            <w:rPr>
              <w:rFonts w:hint="eastAsia"/>
            </w:rPr>
            <w:instrText xml:space="preserve"> </w:instrText>
          </w:r>
          <w:r>
            <w:rPr>
              <w:rFonts w:hint="eastAsia"/>
            </w:rPr>
            <w:fldChar w:fldCharType="separate"/>
          </w:r>
          <w:r>
            <w:t>314</w:t>
          </w:r>
          <w:r>
            <w:rPr>
              <w:rFonts w:hint="eastAsia"/>
            </w:rPr>
            <w:fldChar w:fldCharType="end"/>
          </w:r>
          <w:r>
            <w:rPr>
              <w:rFonts w:hint="eastAsia"/>
            </w:rPr>
            <w:fldChar w:fldCharType="end"/>
          </w:r>
        </w:p>
        <w:p w14:paraId="574A9A39">
          <w:pPr>
            <w:pStyle w:val="18"/>
            <w:tabs>
              <w:tab w:val="right" w:leader="dot" w:pos="9060"/>
            </w:tabs>
            <w:ind w:left="960"/>
            <w:rPr>
              <w:rFonts w:hint="eastAsia" w:asciiTheme="minorHAnsi" w:hAnsiTheme="minorHAnsi" w:eastAsiaTheme="minorEastAsia"/>
              <w:sz w:val="22"/>
            </w:rPr>
          </w:pPr>
          <w:r>
            <w:fldChar w:fldCharType="begin"/>
          </w:r>
          <w:r>
            <w:instrText xml:space="preserve"> HYPERLINK \l "_Toc221056491" </w:instrText>
          </w:r>
          <w:r>
            <w:fldChar w:fldCharType="separate"/>
          </w:r>
          <w:r>
            <w:rPr>
              <w:rStyle w:val="41"/>
              <w:rFonts w:hint="eastAsia"/>
              <w:color w:val="000000" w:themeColor="text1"/>
              <w14:textFill>
                <w14:solidFill>
                  <w14:schemeClr w14:val="tx1"/>
                </w14:solidFill>
              </w14:textFill>
            </w:rPr>
            <w:t>10.4.1大气环境影响</w:t>
          </w:r>
          <w:r>
            <w:rPr>
              <w:rFonts w:hint="eastAsia"/>
            </w:rPr>
            <w:tab/>
          </w:r>
          <w:r>
            <w:rPr>
              <w:rFonts w:hint="eastAsia"/>
            </w:rPr>
            <w:fldChar w:fldCharType="begin"/>
          </w:r>
          <w:r>
            <w:rPr>
              <w:rFonts w:hint="eastAsia"/>
            </w:rPr>
            <w:instrText xml:space="preserve"> </w:instrText>
          </w:r>
          <w:r>
            <w:instrText xml:space="preserve">PAGEREF _Toc221056491 \h</w:instrText>
          </w:r>
          <w:r>
            <w:rPr>
              <w:rFonts w:hint="eastAsia"/>
            </w:rPr>
            <w:instrText xml:space="preserve"> </w:instrText>
          </w:r>
          <w:r>
            <w:rPr>
              <w:rFonts w:hint="eastAsia"/>
            </w:rPr>
            <w:fldChar w:fldCharType="separate"/>
          </w:r>
          <w:r>
            <w:t>314</w:t>
          </w:r>
          <w:r>
            <w:rPr>
              <w:rFonts w:hint="eastAsia"/>
            </w:rPr>
            <w:fldChar w:fldCharType="end"/>
          </w:r>
          <w:r>
            <w:rPr>
              <w:rFonts w:hint="eastAsia"/>
            </w:rPr>
            <w:fldChar w:fldCharType="end"/>
          </w:r>
        </w:p>
        <w:p w14:paraId="640B562B">
          <w:pPr>
            <w:pStyle w:val="18"/>
            <w:tabs>
              <w:tab w:val="right" w:leader="dot" w:pos="9060"/>
            </w:tabs>
            <w:ind w:left="960"/>
            <w:rPr>
              <w:rFonts w:hint="eastAsia" w:asciiTheme="minorHAnsi" w:hAnsiTheme="minorHAnsi" w:eastAsiaTheme="minorEastAsia"/>
              <w:sz w:val="22"/>
            </w:rPr>
          </w:pPr>
          <w:r>
            <w:fldChar w:fldCharType="begin"/>
          </w:r>
          <w:r>
            <w:instrText xml:space="preserve"> HYPERLINK \l "_Toc221056492" </w:instrText>
          </w:r>
          <w:r>
            <w:fldChar w:fldCharType="separate"/>
          </w:r>
          <w:r>
            <w:rPr>
              <w:rStyle w:val="41"/>
              <w:rFonts w:hint="eastAsia"/>
              <w:color w:val="000000" w:themeColor="text1"/>
              <w14:textFill>
                <w14:solidFill>
                  <w14:schemeClr w14:val="tx1"/>
                </w14:solidFill>
              </w14:textFill>
            </w:rPr>
            <w:t>10.4.2地表水环境影响</w:t>
          </w:r>
          <w:r>
            <w:rPr>
              <w:rFonts w:hint="eastAsia"/>
            </w:rPr>
            <w:tab/>
          </w:r>
          <w:r>
            <w:rPr>
              <w:rFonts w:hint="eastAsia"/>
            </w:rPr>
            <w:fldChar w:fldCharType="begin"/>
          </w:r>
          <w:r>
            <w:rPr>
              <w:rFonts w:hint="eastAsia"/>
            </w:rPr>
            <w:instrText xml:space="preserve"> </w:instrText>
          </w:r>
          <w:r>
            <w:instrText xml:space="preserve">PAGEREF _Toc221056492 \h</w:instrText>
          </w:r>
          <w:r>
            <w:rPr>
              <w:rFonts w:hint="eastAsia"/>
            </w:rPr>
            <w:instrText xml:space="preserve"> </w:instrText>
          </w:r>
          <w:r>
            <w:rPr>
              <w:rFonts w:hint="eastAsia"/>
            </w:rPr>
            <w:fldChar w:fldCharType="separate"/>
          </w:r>
          <w:r>
            <w:t>314</w:t>
          </w:r>
          <w:r>
            <w:rPr>
              <w:rFonts w:hint="eastAsia"/>
            </w:rPr>
            <w:fldChar w:fldCharType="end"/>
          </w:r>
          <w:r>
            <w:rPr>
              <w:rFonts w:hint="eastAsia"/>
            </w:rPr>
            <w:fldChar w:fldCharType="end"/>
          </w:r>
        </w:p>
        <w:p w14:paraId="21F5AB2E">
          <w:pPr>
            <w:pStyle w:val="18"/>
            <w:tabs>
              <w:tab w:val="right" w:leader="dot" w:pos="9060"/>
            </w:tabs>
            <w:ind w:left="960"/>
            <w:rPr>
              <w:rFonts w:hint="eastAsia" w:asciiTheme="minorHAnsi" w:hAnsiTheme="minorHAnsi" w:eastAsiaTheme="minorEastAsia"/>
              <w:sz w:val="22"/>
            </w:rPr>
          </w:pPr>
          <w:r>
            <w:fldChar w:fldCharType="begin"/>
          </w:r>
          <w:r>
            <w:instrText xml:space="preserve"> HYPERLINK \l "_Toc221056493" </w:instrText>
          </w:r>
          <w:r>
            <w:fldChar w:fldCharType="separate"/>
          </w:r>
          <w:r>
            <w:rPr>
              <w:rStyle w:val="41"/>
              <w:rFonts w:hint="eastAsia"/>
              <w:color w:val="000000" w:themeColor="text1"/>
              <w14:textFill>
                <w14:solidFill>
                  <w14:schemeClr w14:val="tx1"/>
                </w14:solidFill>
              </w14:textFill>
            </w:rPr>
            <w:t>10.4.3声环境影响</w:t>
          </w:r>
          <w:r>
            <w:rPr>
              <w:rFonts w:hint="eastAsia"/>
            </w:rPr>
            <w:tab/>
          </w:r>
          <w:r>
            <w:rPr>
              <w:rFonts w:hint="eastAsia"/>
            </w:rPr>
            <w:fldChar w:fldCharType="begin"/>
          </w:r>
          <w:r>
            <w:rPr>
              <w:rFonts w:hint="eastAsia"/>
            </w:rPr>
            <w:instrText xml:space="preserve"> </w:instrText>
          </w:r>
          <w:r>
            <w:instrText xml:space="preserve">PAGEREF _Toc221056493 \h</w:instrText>
          </w:r>
          <w:r>
            <w:rPr>
              <w:rFonts w:hint="eastAsia"/>
            </w:rPr>
            <w:instrText xml:space="preserve"> </w:instrText>
          </w:r>
          <w:r>
            <w:rPr>
              <w:rFonts w:hint="eastAsia"/>
            </w:rPr>
            <w:fldChar w:fldCharType="separate"/>
          </w:r>
          <w:r>
            <w:t>314</w:t>
          </w:r>
          <w:r>
            <w:rPr>
              <w:rFonts w:hint="eastAsia"/>
            </w:rPr>
            <w:fldChar w:fldCharType="end"/>
          </w:r>
          <w:r>
            <w:rPr>
              <w:rFonts w:hint="eastAsia"/>
            </w:rPr>
            <w:fldChar w:fldCharType="end"/>
          </w:r>
        </w:p>
        <w:p w14:paraId="68B4CB57">
          <w:pPr>
            <w:pStyle w:val="18"/>
            <w:tabs>
              <w:tab w:val="right" w:leader="dot" w:pos="9060"/>
            </w:tabs>
            <w:ind w:left="960"/>
            <w:rPr>
              <w:rFonts w:hint="eastAsia" w:asciiTheme="minorHAnsi" w:hAnsiTheme="minorHAnsi" w:eastAsiaTheme="minorEastAsia"/>
              <w:sz w:val="22"/>
            </w:rPr>
          </w:pPr>
          <w:r>
            <w:fldChar w:fldCharType="begin"/>
          </w:r>
          <w:r>
            <w:instrText xml:space="preserve"> HYPERLINK \l "_Toc221056494" </w:instrText>
          </w:r>
          <w:r>
            <w:fldChar w:fldCharType="separate"/>
          </w:r>
          <w:r>
            <w:rPr>
              <w:rStyle w:val="41"/>
              <w:rFonts w:hint="eastAsia"/>
              <w:color w:val="000000" w:themeColor="text1"/>
              <w14:textFill>
                <w14:solidFill>
                  <w14:schemeClr w14:val="tx1"/>
                </w14:solidFill>
              </w14:textFill>
            </w:rPr>
            <w:t>10.4.4地下水和土壤影响</w:t>
          </w:r>
          <w:r>
            <w:rPr>
              <w:rFonts w:hint="eastAsia"/>
            </w:rPr>
            <w:tab/>
          </w:r>
          <w:r>
            <w:rPr>
              <w:rFonts w:hint="eastAsia"/>
            </w:rPr>
            <w:fldChar w:fldCharType="begin"/>
          </w:r>
          <w:r>
            <w:rPr>
              <w:rFonts w:hint="eastAsia"/>
            </w:rPr>
            <w:instrText xml:space="preserve"> </w:instrText>
          </w:r>
          <w:r>
            <w:instrText xml:space="preserve">PAGEREF _Toc221056494 \h</w:instrText>
          </w:r>
          <w:r>
            <w:rPr>
              <w:rFonts w:hint="eastAsia"/>
            </w:rPr>
            <w:instrText xml:space="preserve"> </w:instrText>
          </w:r>
          <w:r>
            <w:rPr>
              <w:rFonts w:hint="eastAsia"/>
            </w:rPr>
            <w:fldChar w:fldCharType="separate"/>
          </w:r>
          <w:r>
            <w:t>314</w:t>
          </w:r>
          <w:r>
            <w:rPr>
              <w:rFonts w:hint="eastAsia"/>
            </w:rPr>
            <w:fldChar w:fldCharType="end"/>
          </w:r>
          <w:r>
            <w:rPr>
              <w:rFonts w:hint="eastAsia"/>
            </w:rPr>
            <w:fldChar w:fldCharType="end"/>
          </w:r>
        </w:p>
        <w:p w14:paraId="7AE9BB51">
          <w:pPr>
            <w:pStyle w:val="18"/>
            <w:tabs>
              <w:tab w:val="right" w:leader="dot" w:pos="9060"/>
            </w:tabs>
            <w:ind w:left="960"/>
            <w:rPr>
              <w:rFonts w:hint="eastAsia" w:asciiTheme="minorHAnsi" w:hAnsiTheme="minorHAnsi" w:eastAsiaTheme="minorEastAsia"/>
              <w:sz w:val="22"/>
            </w:rPr>
          </w:pPr>
          <w:r>
            <w:fldChar w:fldCharType="begin"/>
          </w:r>
          <w:r>
            <w:instrText xml:space="preserve"> HYPERLINK \l "_Toc221056495" </w:instrText>
          </w:r>
          <w:r>
            <w:fldChar w:fldCharType="separate"/>
          </w:r>
          <w:r>
            <w:rPr>
              <w:rStyle w:val="41"/>
              <w:rFonts w:hint="eastAsia"/>
              <w:color w:val="000000" w:themeColor="text1"/>
              <w14:textFill>
                <w14:solidFill>
                  <w14:schemeClr w14:val="tx1"/>
                </w14:solidFill>
              </w14:textFill>
            </w:rPr>
            <w:t>10.4.5环境风险影响</w:t>
          </w:r>
          <w:r>
            <w:rPr>
              <w:rFonts w:hint="eastAsia"/>
            </w:rPr>
            <w:tab/>
          </w:r>
          <w:r>
            <w:rPr>
              <w:rFonts w:hint="eastAsia"/>
            </w:rPr>
            <w:fldChar w:fldCharType="begin"/>
          </w:r>
          <w:r>
            <w:rPr>
              <w:rFonts w:hint="eastAsia"/>
            </w:rPr>
            <w:instrText xml:space="preserve"> </w:instrText>
          </w:r>
          <w:r>
            <w:instrText xml:space="preserve">PAGEREF _Toc221056495 \h</w:instrText>
          </w:r>
          <w:r>
            <w:rPr>
              <w:rFonts w:hint="eastAsia"/>
            </w:rPr>
            <w:instrText xml:space="preserve"> </w:instrText>
          </w:r>
          <w:r>
            <w:rPr>
              <w:rFonts w:hint="eastAsia"/>
            </w:rPr>
            <w:fldChar w:fldCharType="separate"/>
          </w:r>
          <w:r>
            <w:t>314</w:t>
          </w:r>
          <w:r>
            <w:rPr>
              <w:rFonts w:hint="eastAsia"/>
            </w:rPr>
            <w:fldChar w:fldCharType="end"/>
          </w:r>
          <w:r>
            <w:rPr>
              <w:rFonts w:hint="eastAsia"/>
            </w:rPr>
            <w:fldChar w:fldCharType="end"/>
          </w:r>
        </w:p>
        <w:p w14:paraId="73C41626">
          <w:pPr>
            <w:pStyle w:val="31"/>
            <w:tabs>
              <w:tab w:val="right" w:leader="dot" w:pos="9060"/>
            </w:tabs>
            <w:ind w:left="480"/>
            <w:rPr>
              <w:rFonts w:hint="eastAsia" w:asciiTheme="minorHAnsi" w:hAnsiTheme="minorHAnsi" w:eastAsiaTheme="minorEastAsia"/>
              <w:sz w:val="22"/>
            </w:rPr>
          </w:pPr>
          <w:r>
            <w:fldChar w:fldCharType="begin"/>
          </w:r>
          <w:r>
            <w:instrText xml:space="preserve"> HYPERLINK \l "_Toc221056496" </w:instrText>
          </w:r>
          <w:r>
            <w:fldChar w:fldCharType="separate"/>
          </w:r>
          <w:r>
            <w:rPr>
              <w:rStyle w:val="41"/>
              <w:rFonts w:hint="eastAsia"/>
              <w:color w:val="000000" w:themeColor="text1"/>
              <w14:textFill>
                <w14:solidFill>
                  <w14:schemeClr w14:val="tx1"/>
                </w14:solidFill>
              </w14:textFill>
            </w:rPr>
            <w:t>10.5公众意见采纳情况</w:t>
          </w:r>
          <w:r>
            <w:rPr>
              <w:rFonts w:hint="eastAsia"/>
            </w:rPr>
            <w:tab/>
          </w:r>
          <w:r>
            <w:rPr>
              <w:rFonts w:hint="eastAsia"/>
            </w:rPr>
            <w:fldChar w:fldCharType="begin"/>
          </w:r>
          <w:r>
            <w:rPr>
              <w:rFonts w:hint="eastAsia"/>
            </w:rPr>
            <w:instrText xml:space="preserve"> </w:instrText>
          </w:r>
          <w:r>
            <w:instrText xml:space="preserve">PAGEREF _Toc221056496 \h</w:instrText>
          </w:r>
          <w:r>
            <w:rPr>
              <w:rFonts w:hint="eastAsia"/>
            </w:rPr>
            <w:instrText xml:space="preserve"> </w:instrText>
          </w:r>
          <w:r>
            <w:rPr>
              <w:rFonts w:hint="eastAsia"/>
            </w:rPr>
            <w:fldChar w:fldCharType="separate"/>
          </w:r>
          <w:r>
            <w:t>315</w:t>
          </w:r>
          <w:r>
            <w:rPr>
              <w:rFonts w:hint="eastAsia"/>
            </w:rPr>
            <w:fldChar w:fldCharType="end"/>
          </w:r>
          <w:r>
            <w:rPr>
              <w:rFonts w:hint="eastAsia"/>
            </w:rPr>
            <w:fldChar w:fldCharType="end"/>
          </w:r>
        </w:p>
        <w:p w14:paraId="4492963B">
          <w:pPr>
            <w:pStyle w:val="31"/>
            <w:tabs>
              <w:tab w:val="right" w:leader="dot" w:pos="9060"/>
            </w:tabs>
            <w:ind w:left="480"/>
            <w:rPr>
              <w:rFonts w:hint="eastAsia" w:asciiTheme="minorHAnsi" w:hAnsiTheme="minorHAnsi" w:eastAsiaTheme="minorEastAsia"/>
              <w:sz w:val="22"/>
            </w:rPr>
          </w:pPr>
          <w:r>
            <w:fldChar w:fldCharType="begin"/>
          </w:r>
          <w:r>
            <w:instrText xml:space="preserve"> HYPERLINK \l "_Toc221056497" </w:instrText>
          </w:r>
          <w:r>
            <w:fldChar w:fldCharType="separate"/>
          </w:r>
          <w:r>
            <w:rPr>
              <w:rStyle w:val="41"/>
              <w:rFonts w:hint="eastAsia"/>
              <w:color w:val="000000" w:themeColor="text1"/>
              <w14:textFill>
                <w14:solidFill>
                  <w14:schemeClr w14:val="tx1"/>
                </w14:solidFill>
              </w14:textFill>
            </w:rPr>
            <w:t>10.6总量控制</w:t>
          </w:r>
          <w:r>
            <w:rPr>
              <w:rFonts w:hint="eastAsia"/>
            </w:rPr>
            <w:tab/>
          </w:r>
          <w:r>
            <w:rPr>
              <w:rFonts w:hint="eastAsia"/>
            </w:rPr>
            <w:fldChar w:fldCharType="begin"/>
          </w:r>
          <w:r>
            <w:rPr>
              <w:rFonts w:hint="eastAsia"/>
            </w:rPr>
            <w:instrText xml:space="preserve"> </w:instrText>
          </w:r>
          <w:r>
            <w:instrText xml:space="preserve">PAGEREF _Toc221056497 \h</w:instrText>
          </w:r>
          <w:r>
            <w:rPr>
              <w:rFonts w:hint="eastAsia"/>
            </w:rPr>
            <w:instrText xml:space="preserve"> </w:instrText>
          </w:r>
          <w:r>
            <w:rPr>
              <w:rFonts w:hint="eastAsia"/>
            </w:rPr>
            <w:fldChar w:fldCharType="separate"/>
          </w:r>
          <w:r>
            <w:t>315</w:t>
          </w:r>
          <w:r>
            <w:rPr>
              <w:rFonts w:hint="eastAsia"/>
            </w:rPr>
            <w:fldChar w:fldCharType="end"/>
          </w:r>
          <w:r>
            <w:rPr>
              <w:rFonts w:hint="eastAsia"/>
            </w:rPr>
            <w:fldChar w:fldCharType="end"/>
          </w:r>
        </w:p>
        <w:p w14:paraId="469A3AF6">
          <w:pPr>
            <w:pStyle w:val="31"/>
            <w:tabs>
              <w:tab w:val="right" w:leader="dot" w:pos="9060"/>
            </w:tabs>
            <w:ind w:left="480"/>
            <w:rPr>
              <w:rFonts w:hint="eastAsia" w:asciiTheme="minorHAnsi" w:hAnsiTheme="minorHAnsi" w:eastAsiaTheme="minorEastAsia"/>
              <w:sz w:val="22"/>
            </w:rPr>
          </w:pPr>
          <w:r>
            <w:fldChar w:fldCharType="begin"/>
          </w:r>
          <w:r>
            <w:instrText xml:space="preserve"> HYPERLINK \l "_Toc221056498" </w:instrText>
          </w:r>
          <w:r>
            <w:fldChar w:fldCharType="separate"/>
          </w:r>
          <w:r>
            <w:rPr>
              <w:rStyle w:val="41"/>
              <w:rFonts w:hint="eastAsia"/>
              <w:color w:val="000000" w:themeColor="text1"/>
              <w14:textFill>
                <w14:solidFill>
                  <w14:schemeClr w14:val="tx1"/>
                </w14:solidFill>
              </w14:textFill>
            </w:rPr>
            <w:t>10.7评价总结论</w:t>
          </w:r>
          <w:r>
            <w:rPr>
              <w:rFonts w:hint="eastAsia"/>
            </w:rPr>
            <w:tab/>
          </w:r>
          <w:r>
            <w:rPr>
              <w:rFonts w:hint="eastAsia"/>
            </w:rPr>
            <w:fldChar w:fldCharType="begin"/>
          </w:r>
          <w:r>
            <w:rPr>
              <w:rFonts w:hint="eastAsia"/>
            </w:rPr>
            <w:instrText xml:space="preserve"> </w:instrText>
          </w:r>
          <w:r>
            <w:instrText xml:space="preserve">PAGEREF _Toc221056498 \h</w:instrText>
          </w:r>
          <w:r>
            <w:rPr>
              <w:rFonts w:hint="eastAsia"/>
            </w:rPr>
            <w:instrText xml:space="preserve"> </w:instrText>
          </w:r>
          <w:r>
            <w:rPr>
              <w:rFonts w:hint="eastAsia"/>
            </w:rPr>
            <w:fldChar w:fldCharType="separate"/>
          </w:r>
          <w:r>
            <w:t>315</w:t>
          </w:r>
          <w:r>
            <w:rPr>
              <w:rFonts w:hint="eastAsia"/>
            </w:rPr>
            <w:fldChar w:fldCharType="end"/>
          </w:r>
          <w:r>
            <w:rPr>
              <w:rFonts w:hint="eastAsia"/>
            </w:rPr>
            <w:fldChar w:fldCharType="end"/>
          </w:r>
        </w:p>
        <w:p w14:paraId="25D4CDEE">
          <w:r>
            <w:rPr>
              <w:b/>
              <w:bCs/>
              <w:lang w:val="zh-CN"/>
            </w:rPr>
            <w:fldChar w:fldCharType="end"/>
          </w:r>
        </w:p>
      </w:sdtContent>
    </w:sdt>
    <w:p w14:paraId="6FECDFC7">
      <w:pPr>
        <w:sectPr>
          <w:footerReference r:id="rId5" w:type="default"/>
          <w:pgSz w:w="11906" w:h="16838"/>
          <w:pgMar w:top="1418" w:right="1418" w:bottom="1418" w:left="1418" w:header="851" w:footer="992" w:gutter="0"/>
          <w:pgNumType w:fmt="upperRoman" w:start="1"/>
          <w:cols w:space="425" w:num="1"/>
          <w:docGrid w:type="lines" w:linePitch="326" w:charSpace="0"/>
        </w:sectPr>
      </w:pPr>
    </w:p>
    <w:p w14:paraId="6D51B799">
      <w:pPr>
        <w:pStyle w:val="2"/>
        <w:spacing w:before="0" w:beforeLines="0" w:after="0" w:afterLines="0"/>
        <w:rPr>
          <w:rFonts w:hint="eastAsia"/>
        </w:rPr>
      </w:pPr>
      <w:bookmarkStart w:id="0" w:name="_Toc221056307"/>
      <w:r>
        <w:rPr>
          <w:rFonts w:hint="eastAsia"/>
        </w:rPr>
        <w:t>1概述</w:t>
      </w:r>
      <w:bookmarkEnd w:id="0"/>
    </w:p>
    <w:p w14:paraId="72FD4E68">
      <w:pPr>
        <w:pStyle w:val="3"/>
        <w:spacing w:before="326"/>
        <w:rPr>
          <w:rFonts w:hint="eastAsia"/>
        </w:rPr>
      </w:pPr>
      <w:bookmarkStart w:id="1" w:name="_Toc221056308"/>
      <w:r>
        <w:rPr>
          <w:rFonts w:hint="eastAsia"/>
        </w:rPr>
        <w:t>1.1项目概况及背景</w:t>
      </w:r>
      <w:bookmarkEnd w:id="1"/>
    </w:p>
    <w:p w14:paraId="7AB5E649">
      <w:pPr>
        <w:ind w:firstLine="480"/>
      </w:pPr>
      <w:r>
        <w:t>安徽海华科技集团有限公司前身为安徽海华化工有限公司，成立于2008年10月，2012年6月更名为安徽海华科技集团有限公司，位于安徽蚌埠淮上经济开发区(安徽蚌埠精细化工集聚区)，</w:t>
      </w:r>
      <w:r>
        <w:rPr>
          <w:rFonts w:hint="eastAsia" w:cs="Times New Roman"/>
          <w:color w:val="000000"/>
          <w:lang w:bidi="ar"/>
        </w:rPr>
        <w:t>注册资本</w:t>
      </w:r>
      <w:r>
        <w:rPr>
          <w:rFonts w:cs="Times New Roman"/>
          <w:color w:val="000000"/>
          <w:lang w:bidi="ar"/>
        </w:rPr>
        <w:t>4</w:t>
      </w:r>
      <w:r>
        <w:rPr>
          <w:rFonts w:hint="eastAsia" w:cs="Times New Roman"/>
          <w:color w:val="000000"/>
          <w:lang w:bidi="ar"/>
        </w:rPr>
        <w:t>亿元，资产总额</w:t>
      </w:r>
      <w:r>
        <w:rPr>
          <w:rFonts w:cs="Times New Roman"/>
          <w:color w:val="000000"/>
          <w:lang w:bidi="ar"/>
        </w:rPr>
        <w:t>20</w:t>
      </w:r>
      <w:r>
        <w:rPr>
          <w:rFonts w:hint="eastAsia" w:cs="Times New Roman"/>
          <w:color w:val="000000"/>
          <w:lang w:bidi="ar"/>
        </w:rPr>
        <w:t>亿元</w:t>
      </w:r>
      <w:r>
        <w:rPr>
          <w:rFonts w:cs="Times New Roman"/>
          <w:color w:val="000000"/>
          <w:lang w:bidi="ar"/>
        </w:rPr>
        <w:t>(</w:t>
      </w:r>
      <w:r>
        <w:rPr>
          <w:rFonts w:hint="eastAsia" w:cs="Times New Roman"/>
          <w:color w:val="000000"/>
          <w:lang w:bidi="ar"/>
        </w:rPr>
        <w:t>集团本部</w:t>
      </w:r>
      <w:r>
        <w:rPr>
          <w:rFonts w:cs="Times New Roman"/>
          <w:color w:val="000000"/>
          <w:lang w:bidi="ar"/>
        </w:rPr>
        <w:t>)</w:t>
      </w:r>
      <w:r>
        <w:rPr>
          <w:rFonts w:hint="eastAsia" w:cs="Times New Roman"/>
          <w:color w:val="000000"/>
          <w:lang w:bidi="ar"/>
        </w:rPr>
        <w:t>，有</w:t>
      </w:r>
      <w:r>
        <w:rPr>
          <w:rFonts w:cs="Times New Roman"/>
          <w:color w:val="000000"/>
          <w:lang w:bidi="ar"/>
        </w:rPr>
        <w:t>2</w:t>
      </w:r>
      <w:r>
        <w:rPr>
          <w:rFonts w:hint="eastAsia" w:cs="Times New Roman"/>
          <w:color w:val="000000"/>
          <w:lang w:bidi="ar"/>
        </w:rPr>
        <w:t>个生产区，总占地面积约</w:t>
      </w:r>
      <w:r>
        <w:rPr>
          <w:rFonts w:cs="Times New Roman"/>
          <w:color w:val="000000"/>
          <w:lang w:bidi="ar"/>
        </w:rPr>
        <w:t>1000</w:t>
      </w:r>
      <w:r>
        <w:rPr>
          <w:rFonts w:hint="eastAsia" w:cs="Times New Roman"/>
          <w:color w:val="000000"/>
          <w:lang w:bidi="ar"/>
        </w:rPr>
        <w:t>亩，员工</w:t>
      </w:r>
      <w:r>
        <w:rPr>
          <w:rFonts w:cs="Times New Roman"/>
          <w:color w:val="000000"/>
          <w:lang w:bidi="ar"/>
        </w:rPr>
        <w:t>700</w:t>
      </w:r>
      <w:r>
        <w:rPr>
          <w:rFonts w:hint="eastAsia" w:cs="Times New Roman"/>
          <w:color w:val="000000"/>
          <w:lang w:bidi="ar"/>
        </w:rPr>
        <w:t>余人</w:t>
      </w:r>
      <w:r>
        <w:t>。</w:t>
      </w:r>
    </w:p>
    <w:p w14:paraId="2F507E20">
      <w:pPr>
        <w:ind w:firstLine="424" w:firstLineChars="177"/>
      </w:pPr>
      <w:r>
        <w:t>安徽海华科技集团有限公司是专门从事医药、农药、食品添加剂、日用化学品等中间体生产的技、工、贸为一体的大型化工企业，拥有自营进出口权。工厂南靠京沪铁路，西邻南洛高速公路，地理位置得天独厚，交通运输极为便捷。公司拥有可靠的生产装置、精良的检测设备。现已开发投产的精细化工产品有10余种，主要有：对(邻)氨基苯甲醚、对(邻)氯甲苯、大苏打、间(对、邻)甲酚、2,6-二叔丁基对甲酚(BHT)、6-叔丁基间甲酚、二甲苯基醚(高温导热油)、百里香酚、L-薄荷醇、3,4-二氯苯胺、间氯苯胺等。</w:t>
      </w:r>
      <w:r>
        <w:fldChar w:fldCharType="begin"/>
      </w:r>
      <w:r>
        <w:instrText xml:space="preserve"> HYPERLINK "http://www.haihuachem.com.cn/" \t "_blank" </w:instrText>
      </w:r>
      <w:r>
        <w:fldChar w:fldCharType="separate"/>
      </w:r>
      <w:r>
        <w:t>安徽海华科技集团有限公司</w:t>
      </w:r>
      <w:r>
        <w:fldChar w:fldCharType="end"/>
      </w:r>
      <w:r>
        <w:t>在甲酚系列产品的研发成功，打破了国外长达30年的技术垄断，2020年海华科技有限公司建设了</w:t>
      </w:r>
      <w:r>
        <w:rPr>
          <w:kern w:val="0"/>
        </w:rPr>
        <w:t>年产10000吨间甲酚项目，该项目</w:t>
      </w:r>
      <w:r>
        <w:rPr>
          <w:rFonts w:hint="eastAsia"/>
          <w:kern w:val="0"/>
        </w:rPr>
        <w:t>采用浅度烷基化工艺，</w:t>
      </w:r>
      <w:r>
        <w:rPr>
          <w:kern w:val="0"/>
        </w:rPr>
        <w:t>年产10000吨间甲酚、</w:t>
      </w:r>
      <w:r>
        <w:rPr>
          <w:rFonts w:hint="eastAsia"/>
          <w:kern w:val="0"/>
        </w:rPr>
        <w:t>副产</w:t>
      </w:r>
      <w:r>
        <w:rPr>
          <w:kern w:val="0"/>
        </w:rPr>
        <w:t>1056吨对甲酚</w:t>
      </w:r>
      <w:r>
        <w:rPr>
          <w:rFonts w:hint="eastAsia"/>
          <w:kern w:val="0"/>
        </w:rPr>
        <w:t>、</w:t>
      </w:r>
      <w:r>
        <w:rPr>
          <w:kern w:val="0"/>
        </w:rPr>
        <w:t>1080吨2-叔丁基对甲酚</w:t>
      </w:r>
      <w:r>
        <w:rPr>
          <w:rFonts w:hint="eastAsia"/>
          <w:kern w:val="0"/>
        </w:rPr>
        <w:t>和</w:t>
      </w:r>
      <w:r>
        <w:rPr>
          <w:kern w:val="0"/>
        </w:rPr>
        <w:t>11768吨2、6-二叔丁基对甲酚(自用，回用于</w:t>
      </w:r>
      <w:r>
        <w:rPr>
          <w:rFonts w:hint="eastAsia"/>
          <w:kern w:val="0"/>
        </w:rPr>
        <w:t>海华</w:t>
      </w:r>
      <w:r>
        <w:rPr>
          <w:kern w:val="0"/>
        </w:rPr>
        <w:t>BHT精制车间)</w:t>
      </w:r>
      <w:r>
        <w:t>。</w:t>
      </w:r>
    </w:p>
    <w:p w14:paraId="3E0351FD">
      <w:pPr>
        <w:ind w:firstLine="480" w:firstLineChars="200"/>
        <w:rPr>
          <w:kern w:val="0"/>
        </w:rPr>
      </w:pPr>
      <w:r>
        <w:rPr>
          <w:rFonts w:hint="eastAsia"/>
        </w:rPr>
        <w:t>间甲酚车间运行至今，企业发现</w:t>
      </w:r>
      <w:r>
        <w:rPr>
          <w:rFonts w:hint="eastAsia"/>
          <w:kern w:val="0"/>
        </w:rPr>
        <w:t>采用浅度烷基化工艺，</w:t>
      </w:r>
      <w:r>
        <w:rPr>
          <w:kern w:val="0"/>
        </w:rPr>
        <w:t>生产</w:t>
      </w:r>
      <w:r>
        <w:rPr>
          <w:rFonts w:hint="eastAsia"/>
          <w:kern w:val="0"/>
        </w:rPr>
        <w:t>副产品</w:t>
      </w:r>
      <w:r>
        <w:rPr>
          <w:kern w:val="0"/>
        </w:rPr>
        <w:t>对甲酚、2-叔丁基对甲酚需要经过多</w:t>
      </w:r>
      <w:r>
        <w:rPr>
          <w:rFonts w:hint="eastAsia"/>
          <w:kern w:val="0"/>
        </w:rPr>
        <w:t>级</w:t>
      </w:r>
      <w:r>
        <w:rPr>
          <w:kern w:val="0"/>
        </w:rPr>
        <w:t>精馏，</w:t>
      </w:r>
      <w:r>
        <w:rPr>
          <w:rFonts w:hint="eastAsia"/>
          <w:kern w:val="0"/>
        </w:rPr>
        <w:t>导致</w:t>
      </w:r>
      <w:r>
        <w:rPr>
          <w:kern w:val="0"/>
        </w:rPr>
        <w:t>生产能耗</w:t>
      </w:r>
      <w:r>
        <w:rPr>
          <w:rFonts w:hint="eastAsia"/>
          <w:kern w:val="0"/>
        </w:rPr>
        <w:t>大</w:t>
      </w:r>
      <w:r>
        <w:rPr>
          <w:kern w:val="0"/>
        </w:rPr>
        <w:t>，</w:t>
      </w:r>
      <w:r>
        <w:rPr>
          <w:rFonts w:hint="eastAsia"/>
          <w:kern w:val="0"/>
        </w:rPr>
        <w:t>产品成本较高，造成产品</w:t>
      </w:r>
      <w:r>
        <w:rPr>
          <w:kern w:val="0"/>
        </w:rPr>
        <w:t>市场销路不畅</w:t>
      </w:r>
      <w:r>
        <w:rPr>
          <w:rFonts w:hint="eastAsia"/>
          <w:kern w:val="0"/>
        </w:rPr>
        <w:t>。</w:t>
      </w:r>
      <w:r>
        <w:rPr>
          <w:kern w:val="0"/>
        </w:rPr>
        <w:t>海华</w:t>
      </w:r>
      <w:r>
        <w:rPr>
          <w:rFonts w:hint="eastAsia"/>
          <w:kern w:val="0"/>
        </w:rPr>
        <w:t>科技集团拟将现有浅度烷基化工艺生产时间从现有3</w:t>
      </w:r>
      <w:r>
        <w:rPr>
          <w:kern w:val="0"/>
        </w:rPr>
        <w:t>00</w:t>
      </w:r>
      <w:r>
        <w:rPr>
          <w:rFonts w:hint="eastAsia"/>
          <w:kern w:val="0"/>
        </w:rPr>
        <w:t>天调整为1</w:t>
      </w:r>
      <w:r>
        <w:rPr>
          <w:kern w:val="0"/>
        </w:rPr>
        <w:t>50</w:t>
      </w:r>
      <w:r>
        <w:rPr>
          <w:rFonts w:hint="eastAsia"/>
          <w:kern w:val="0"/>
        </w:rPr>
        <w:t>天，剩余1</w:t>
      </w:r>
      <w:r>
        <w:rPr>
          <w:kern w:val="0"/>
        </w:rPr>
        <w:t>50</w:t>
      </w:r>
      <w:r>
        <w:rPr>
          <w:rFonts w:hint="eastAsia"/>
          <w:kern w:val="0"/>
        </w:rPr>
        <w:t>天在利用现有生产装置基础上，新增1台烷基化釜，通过延长烷基化时间，将烷基化反应从浅度烷基化改为深度烷基化工艺。深度烷基化的产品方案为主产品间甲酚，副产品</w:t>
      </w:r>
      <w:r>
        <w:rPr>
          <w:kern w:val="0"/>
        </w:rPr>
        <w:t>叔丁醇、二聚异丁烯</w:t>
      </w:r>
      <w:r>
        <w:rPr>
          <w:rFonts w:hint="eastAsia"/>
          <w:kern w:val="0"/>
        </w:rPr>
        <w:t>、</w:t>
      </w:r>
      <w:r>
        <w:rPr>
          <w:kern w:val="0"/>
        </w:rPr>
        <w:t>2、6-二叔丁基对甲酚</w:t>
      </w:r>
      <w:r>
        <w:rPr>
          <w:rFonts w:hint="eastAsia"/>
          <w:kern w:val="0"/>
        </w:rPr>
        <w:t>(双对粗品、</w:t>
      </w:r>
      <w:r>
        <w:rPr>
          <w:kern w:val="0"/>
        </w:rPr>
        <w:t>自用，回用于</w:t>
      </w:r>
      <w:r>
        <w:rPr>
          <w:rFonts w:hint="eastAsia"/>
          <w:kern w:val="0"/>
        </w:rPr>
        <w:t>海华</w:t>
      </w:r>
      <w:r>
        <w:rPr>
          <w:kern w:val="0"/>
        </w:rPr>
        <w:t>BHT精制车间)</w:t>
      </w:r>
      <w:r>
        <w:rPr>
          <w:rFonts w:hint="eastAsia"/>
          <w:kern w:val="0"/>
        </w:rPr>
        <w:t>。</w:t>
      </w:r>
    </w:p>
    <w:p w14:paraId="206D31E0">
      <w:pPr>
        <w:ind w:firstLine="480" w:firstLineChars="200"/>
        <w:rPr>
          <w:kern w:val="0"/>
        </w:rPr>
      </w:pPr>
      <w:r>
        <w:rPr>
          <w:rFonts w:hint="eastAsia"/>
          <w:kern w:val="0"/>
        </w:rPr>
        <w:t>技改项目实施后，全厂产品产量间甲酚为1</w:t>
      </w:r>
      <w:r>
        <w:rPr>
          <w:kern w:val="0"/>
        </w:rPr>
        <w:t>0000</w:t>
      </w:r>
      <w:r>
        <w:rPr>
          <w:rFonts w:hint="eastAsia"/>
          <w:kern w:val="0"/>
        </w:rPr>
        <w:t>吨/年，对甲酚5</w:t>
      </w:r>
      <w:r>
        <w:rPr>
          <w:kern w:val="0"/>
        </w:rPr>
        <w:t>28</w:t>
      </w:r>
      <w:r>
        <w:rPr>
          <w:rFonts w:hint="eastAsia"/>
          <w:kern w:val="0"/>
        </w:rPr>
        <w:t>t/a、</w:t>
      </w:r>
      <w:r>
        <w:rPr>
          <w:kern w:val="0"/>
        </w:rPr>
        <w:t>2-叔丁基对甲酚</w:t>
      </w:r>
      <w:r>
        <w:rPr>
          <w:rFonts w:hint="eastAsia"/>
          <w:kern w:val="0"/>
        </w:rPr>
        <w:t>540t/a、8</w:t>
      </w:r>
      <w:r>
        <w:rPr>
          <w:kern w:val="0"/>
        </w:rPr>
        <w:t>5%</w:t>
      </w:r>
      <w:r>
        <w:rPr>
          <w:rFonts w:hint="eastAsia"/>
          <w:kern w:val="0"/>
        </w:rPr>
        <w:t>叔丁醇溶液5</w:t>
      </w:r>
      <w:r>
        <w:rPr>
          <w:kern w:val="0"/>
        </w:rPr>
        <w:t>00</w:t>
      </w:r>
      <w:r>
        <w:rPr>
          <w:rFonts w:hint="eastAsia"/>
          <w:kern w:val="0"/>
        </w:rPr>
        <w:t>吨/年、二聚异丁烯7</w:t>
      </w:r>
      <w:r>
        <w:rPr>
          <w:kern w:val="0"/>
        </w:rPr>
        <w:t>25</w:t>
      </w:r>
      <w:r>
        <w:rPr>
          <w:rFonts w:hint="eastAsia"/>
          <w:kern w:val="0"/>
        </w:rPr>
        <w:t>吨/年、</w:t>
      </w:r>
      <w:r>
        <w:rPr>
          <w:kern w:val="0"/>
        </w:rPr>
        <w:t>2、6-二叔丁基对甲酚</w:t>
      </w:r>
      <w:r>
        <w:rPr>
          <w:rFonts w:hint="eastAsia"/>
          <w:kern w:val="0"/>
        </w:rPr>
        <w:t>11768吨/年(双对粗品，自用</w:t>
      </w:r>
      <w:r>
        <w:rPr>
          <w:kern w:val="0"/>
        </w:rPr>
        <w:t>)</w:t>
      </w:r>
      <w:r>
        <w:rPr>
          <w:rFonts w:hint="eastAsia"/>
          <w:kern w:val="0"/>
        </w:rPr>
        <w:t>。技改项目实施后，全厂VOCs排放量减少了</w:t>
      </w:r>
      <w:r>
        <w:rPr>
          <w:kern w:val="0"/>
        </w:rPr>
        <w:t>0.123</w:t>
      </w:r>
      <w:r>
        <w:rPr>
          <w:rFonts w:hint="eastAsia"/>
          <w:kern w:val="0"/>
        </w:rPr>
        <w:t>t/a、废水排放量减少了225t/a，蒸汽消耗量减少了</w:t>
      </w:r>
      <w:r>
        <w:rPr>
          <w:kern w:val="0"/>
        </w:rPr>
        <w:t>61200</w:t>
      </w:r>
      <w:r>
        <w:rPr>
          <w:rFonts w:hint="eastAsia"/>
          <w:kern w:val="0"/>
        </w:rPr>
        <w:t>t/a。</w:t>
      </w:r>
    </w:p>
    <w:p w14:paraId="181F257C">
      <w:pPr>
        <w:ind w:firstLine="480"/>
        <w:rPr>
          <w:kern w:val="0"/>
        </w:rPr>
      </w:pPr>
      <w:r>
        <w:rPr>
          <w:kern w:val="0"/>
        </w:rPr>
        <w:t>2025年7月22日</w:t>
      </w:r>
      <w:r>
        <w:rPr>
          <w:rFonts w:hint="eastAsia"/>
          <w:kern w:val="0"/>
        </w:rPr>
        <w:t>，</w:t>
      </w:r>
      <w:r>
        <w:rPr>
          <w:kern w:val="0"/>
        </w:rPr>
        <w:t>蚌埠市淮上区发展和改革委员会对</w:t>
      </w:r>
      <w:bookmarkStart w:id="2" w:name="_Hlk218497150"/>
      <w:r>
        <w:rPr>
          <w:kern w:val="0"/>
        </w:rPr>
        <w:t>安徽海华科技集团有限公司10000吨间甲酚车间环保技改项目</w:t>
      </w:r>
      <w:bookmarkEnd w:id="2"/>
      <w:r>
        <w:rPr>
          <w:kern w:val="0"/>
        </w:rPr>
        <w:t>进行了备案(项目代码：2506-340311-07-02-731702)，根据《中华人民共和国环境影响评价法》、国务院第682号令《建设项目环境保护管理条例》等有关国家法律法规规定，该项目应开展环境影响评价工作。</w:t>
      </w:r>
      <w:r>
        <w:t>根据《建设项目环境影响评价分类管理名录》，本项目属于“十五、化学原料和化学制品制造业：36、基本化学原料制造；农药制造；涂料、染料、颜料、油墨及其类似产品制造；合成材料制造；专用化学品制造；炸药、火工就焰火产品制造；水处理剂等制造”，由于本项目涉及化学反应，不属于“单纯混合和分装”，</w:t>
      </w:r>
      <w:r>
        <w:rPr>
          <w:rFonts w:hint="eastAsia"/>
        </w:rPr>
        <w:t>需</w:t>
      </w:r>
      <w:r>
        <w:t>编制环境影响报告书。</w:t>
      </w:r>
    </w:p>
    <w:p w14:paraId="7DEDC7FB">
      <w:pPr>
        <w:ind w:firstLine="480"/>
        <w:rPr>
          <w:kern w:val="0"/>
        </w:rPr>
      </w:pPr>
      <w:r>
        <w:rPr>
          <w:kern w:val="0"/>
        </w:rPr>
        <w:t>2025年10月22日</w:t>
      </w:r>
      <w:r>
        <w:t>安徽海华科技集团有限公司</w:t>
      </w:r>
      <w:r>
        <w:rPr>
          <w:kern w:val="0"/>
        </w:rPr>
        <w:t>委托</w:t>
      </w:r>
      <w:bookmarkStart w:id="3" w:name="_Hlk218497250"/>
      <w:r>
        <w:rPr>
          <w:kern w:val="0"/>
        </w:rPr>
        <w:t>合肥中霁生态环境科技有限公司</w:t>
      </w:r>
      <w:bookmarkEnd w:id="3"/>
      <w:r>
        <w:rPr>
          <w:kern w:val="0"/>
        </w:rPr>
        <w:t>承担该项目的环境影响评价工作。我</w:t>
      </w:r>
      <w:r>
        <w:rPr>
          <w:rFonts w:hint="eastAsia"/>
          <w:kern w:val="0"/>
        </w:rPr>
        <w:t>公司</w:t>
      </w:r>
      <w:r>
        <w:rPr>
          <w:kern w:val="0"/>
        </w:rPr>
        <w:t>接受委托后，立即组织技术人员进行现场踏勘，并收集了与项目有关的技术资料，在现场调研和现场监测基础上，按照国家对建设项目环境影响评价有关规定、相关环保政策、导则与技术规范，编制</w:t>
      </w:r>
      <w:r>
        <w:rPr>
          <w:rFonts w:hint="eastAsia"/>
          <w:kern w:val="0"/>
        </w:rPr>
        <w:t>了</w:t>
      </w:r>
      <w:r>
        <w:rPr>
          <w:kern w:val="0"/>
        </w:rPr>
        <w:t>《</w:t>
      </w:r>
      <w:bookmarkStart w:id="4" w:name="_Hlk218521836"/>
      <w:bookmarkStart w:id="5" w:name="_Hlk48039554"/>
      <w:bookmarkStart w:id="6" w:name="_Hlk218521860"/>
      <w:r>
        <w:t>安徽海华科技</w:t>
      </w:r>
      <w:bookmarkStart w:id="7" w:name="_Hlk48035382"/>
      <w:r>
        <w:t>集团有限公司</w:t>
      </w:r>
      <w:bookmarkEnd w:id="4"/>
      <w:bookmarkStart w:id="8" w:name="_Hlk218521849"/>
      <w:r>
        <w:t>10000吨间甲酚车间环保</w:t>
      </w:r>
      <w:r>
        <w:rPr>
          <w:rFonts w:hint="eastAsia"/>
        </w:rPr>
        <w:t>技改</w:t>
      </w:r>
      <w:r>
        <w:t>项目</w:t>
      </w:r>
      <w:bookmarkEnd w:id="5"/>
      <w:bookmarkEnd w:id="7"/>
      <w:bookmarkEnd w:id="8"/>
      <w:r>
        <w:rPr>
          <w:kern w:val="0"/>
        </w:rPr>
        <w:t>环境影响报告书</w:t>
      </w:r>
      <w:bookmarkEnd w:id="6"/>
      <w:r>
        <w:rPr>
          <w:kern w:val="0"/>
        </w:rPr>
        <w:t>》(以下简称“报告书”)</w:t>
      </w:r>
      <w:r>
        <w:rPr>
          <w:rFonts w:cs="Times New Roman"/>
        </w:rPr>
        <w:t>。</w:t>
      </w:r>
    </w:p>
    <w:p w14:paraId="261DE265">
      <w:pPr>
        <w:pStyle w:val="3"/>
        <w:spacing w:before="326"/>
        <w:rPr>
          <w:rFonts w:hint="eastAsia"/>
        </w:rPr>
      </w:pPr>
      <w:bookmarkStart w:id="9" w:name="_Toc221056309"/>
      <w:r>
        <w:rPr>
          <w:rFonts w:hint="eastAsia"/>
        </w:rPr>
        <w:t>1.2环评过程及分析判定相关情况</w:t>
      </w:r>
      <w:bookmarkEnd w:id="9"/>
    </w:p>
    <w:p w14:paraId="6382FA0E">
      <w:pPr>
        <w:ind w:firstLine="480"/>
        <w:rPr>
          <w:kern w:val="0"/>
        </w:rPr>
      </w:pPr>
      <w:r>
        <w:rPr>
          <w:rFonts w:hint="eastAsia"/>
          <w:kern w:val="0"/>
        </w:rPr>
        <w:t>(1)产业政策</w:t>
      </w:r>
    </w:p>
    <w:p w14:paraId="32BFE239">
      <w:pPr>
        <w:ind w:firstLine="480"/>
        <w:rPr>
          <w:kern w:val="0"/>
        </w:rPr>
      </w:pPr>
      <w:r>
        <w:rPr>
          <w:rFonts w:hint="eastAsia"/>
          <w:kern w:val="0"/>
        </w:rPr>
        <w:t>拟建项目产品、生产工艺和生产能力不属于《产业结构调整指导目录(2024年本)》中鼓励、限制、淘汰落后产品、生产工艺和能力的目录之列，属于允许类项目，并已取得蚌埠市淮上区经济和发展改革委员会的备案通知，项目建设符合国家产业政策。</w:t>
      </w:r>
    </w:p>
    <w:p w14:paraId="06567735">
      <w:pPr>
        <w:ind w:firstLine="480"/>
        <w:rPr>
          <w:kern w:val="0"/>
        </w:rPr>
      </w:pPr>
      <w:r>
        <w:rPr>
          <w:kern w:val="0"/>
        </w:rPr>
        <w:t>(2)规划符合性</w:t>
      </w:r>
    </w:p>
    <w:p w14:paraId="3E27DF35">
      <w:pPr>
        <w:ind w:firstLine="480"/>
        <w:rPr>
          <w:kern w:val="0"/>
        </w:rPr>
      </w:pPr>
      <w:r>
        <w:rPr>
          <w:kern w:val="0"/>
        </w:rPr>
        <w:t>2006年安徽省发展和改革委员会以发改高[2006]941号文批准在沫河口镇区设置“蚌埠精细化工高新技术产业基地”，蚌埠市人民政府下达了《关于在五河经济开发区沫河口设立蚌埠精细化工高新技术产业基地的通知》(蚌政[2008]69号)。精细化工基地南起洪庙路，北至园区工业大道，西至三铺大沟，东至横岭路，总规划面积5.8km</w:t>
      </w:r>
      <w:r>
        <w:rPr>
          <w:kern w:val="0"/>
          <w:vertAlign w:val="superscript"/>
        </w:rPr>
        <w:t>2</w:t>
      </w:r>
      <w:r>
        <w:rPr>
          <w:kern w:val="0"/>
        </w:rPr>
        <w:t>。</w:t>
      </w:r>
    </w:p>
    <w:p w14:paraId="1AAABB83">
      <w:pPr>
        <w:ind w:firstLine="480"/>
        <w:rPr>
          <w:kern w:val="0"/>
        </w:rPr>
      </w:pPr>
      <w:r>
        <w:rPr>
          <w:kern w:val="0"/>
        </w:rPr>
        <w:t>2018年7月，安徽省人民政府以《关于蚌埠市省级以上开发区优化整合方案的批复》文件，撤销蚌埠沫河口工业园区，将其整体并入安徽蚌埠工业园区，并更名为安徽蚌埠淮上经济开发区，加挂“安徽蚌埠精细化工集聚区”牌子。至此，蚌埠精细化工高新技术产业基地更名为安徽蚌埠精细化工集聚区，规划面积、四至范围及主导产业定位与原“蚌埠精细化工高新技术产业基地”一致。</w:t>
      </w:r>
    </w:p>
    <w:p w14:paraId="22E86077">
      <w:pPr>
        <w:ind w:firstLine="480"/>
        <w:rPr>
          <w:kern w:val="0"/>
        </w:rPr>
      </w:pPr>
      <w:r>
        <w:t>项目位于蚌埠精细化工高新技术产业基地开源大道3</w:t>
      </w:r>
      <w:r>
        <w:rPr>
          <w:rFonts w:hint="eastAsia"/>
        </w:rPr>
        <w:t>8</w:t>
      </w:r>
      <w:r>
        <w:t>号的海华</w:t>
      </w:r>
      <w:r>
        <w:rPr>
          <w:rFonts w:hint="eastAsia"/>
        </w:rPr>
        <w:t>科技集团有限</w:t>
      </w:r>
      <w:r>
        <w:t>公司</w:t>
      </w:r>
      <w:r>
        <w:rPr>
          <w:rFonts w:hint="eastAsia"/>
        </w:rPr>
        <w:t>厂区</w:t>
      </w:r>
      <w:r>
        <w:t>东侧用地内，属于蚌埠精细化工高新技术产业基地的规划范围，产业定位符合规划要求，项目选址合理。</w:t>
      </w:r>
    </w:p>
    <w:p w14:paraId="47C980D5">
      <w:pPr>
        <w:ind w:firstLine="480"/>
        <w:rPr>
          <w:kern w:val="0"/>
        </w:rPr>
      </w:pPr>
      <w:r>
        <w:rPr>
          <w:rFonts w:hint="eastAsia"/>
        </w:rPr>
        <w:t>生态环境分区管控</w:t>
      </w:r>
      <w:r>
        <w:t>符合性：项目位于</w:t>
      </w:r>
      <w:r>
        <w:rPr>
          <w:kern w:val="0"/>
        </w:rPr>
        <w:t>安徽蚌埠淮上经济开发区(安徽蚌埠精细化工集聚区)，不涉及生态红线问题；</w:t>
      </w:r>
      <w:r>
        <w:t>根据</w:t>
      </w:r>
      <w:r>
        <w:rPr>
          <w:rFonts w:hint="eastAsia"/>
        </w:rPr>
        <w:t>《2024年蚌埠市生态环境质量状况公报》</w:t>
      </w:r>
      <w:r>
        <w:t>，该区域PM</w:t>
      </w:r>
      <w:r>
        <w:rPr>
          <w:vertAlign w:val="subscript"/>
        </w:rPr>
        <w:t>2.5</w:t>
      </w:r>
      <w:r>
        <w:rPr>
          <w:rFonts w:hint="eastAsia"/>
        </w:rPr>
        <w:t>、O</w:t>
      </w:r>
      <w:r>
        <w:rPr>
          <w:rFonts w:hint="eastAsia"/>
          <w:vertAlign w:val="subscript"/>
        </w:rPr>
        <w:t>3</w:t>
      </w:r>
      <w:r>
        <w:t>两项指标均超标，因此认定该区域为空气质量不达标区，</w:t>
      </w:r>
      <w:r>
        <w:rPr>
          <w:rFonts w:hint="eastAsia"/>
        </w:rPr>
        <w:t>项目主要污染物为酚类和非甲烷总烃，技改项目依托现有车间生产、环保措施，项目实施后废水、废气污染物种类没有发生变化，污染物产生及排放量比现有工程有所降低，各类污染物能做到稳定达标排放，技改项目实施后不会影响环境质量底线</w:t>
      </w:r>
      <w:r>
        <w:rPr>
          <w:rFonts w:hint="eastAsia"/>
          <w:kern w:val="0"/>
        </w:rPr>
        <w:t>；项目在利用现有生产装置的基础上，通过生产工艺参数的调整，副产品种类发生了变化；技改后间甲酚车间生产使用的水、蒸汽、电与现有工程相比较均降低，未超过资源利用的上线；项目位于蚌埠市精细化工集聚区，该区主要以精细化工产业为主，项目</w:t>
      </w:r>
      <w:r>
        <w:rPr>
          <w:rFonts w:hint="eastAsia"/>
        </w:rPr>
        <w:t>不在环境准入负面清单内。</w:t>
      </w:r>
    </w:p>
    <w:p w14:paraId="18604FC9">
      <w:pPr>
        <w:ind w:firstLine="480"/>
        <w:rPr>
          <w:kern w:val="0"/>
        </w:rPr>
      </w:pPr>
      <w:r>
        <w:rPr>
          <w:kern w:val="0"/>
        </w:rPr>
        <w:t>(3)</w:t>
      </w:r>
      <w:r>
        <w:rPr>
          <w:rFonts w:hint="eastAsia"/>
          <w:kern w:val="0"/>
        </w:rPr>
        <w:t>工作过程</w:t>
      </w:r>
    </w:p>
    <w:p w14:paraId="41E194C8">
      <w:pPr>
        <w:ind w:firstLine="480" w:firstLineChars="200"/>
        <w:rPr>
          <w:bCs/>
        </w:rPr>
      </w:pPr>
      <w:r>
        <w:rPr>
          <w:rFonts w:hint="eastAsia"/>
          <w:bCs/>
        </w:rPr>
        <w:t>20</w:t>
      </w:r>
      <w:r>
        <w:rPr>
          <w:bCs/>
        </w:rPr>
        <w:t>25</w:t>
      </w:r>
      <w:r>
        <w:rPr>
          <w:rFonts w:hint="eastAsia"/>
          <w:bCs/>
        </w:rPr>
        <w:t>年</w:t>
      </w:r>
      <w:r>
        <w:rPr>
          <w:bCs/>
        </w:rPr>
        <w:t>10</w:t>
      </w:r>
      <w:r>
        <w:rPr>
          <w:rFonts w:hint="eastAsia"/>
          <w:bCs/>
        </w:rPr>
        <w:t>月</w:t>
      </w:r>
      <w:r>
        <w:rPr>
          <w:bCs/>
        </w:rPr>
        <w:t>22</w:t>
      </w:r>
      <w:r>
        <w:rPr>
          <w:rFonts w:hint="eastAsia"/>
          <w:bCs/>
        </w:rPr>
        <w:t>日，合肥中霁生态环境科技有限公司受</w:t>
      </w:r>
      <w:r>
        <w:t>安徽海华科技</w:t>
      </w:r>
      <w:r>
        <w:rPr>
          <w:rFonts w:hint="eastAsia"/>
        </w:rPr>
        <w:t>集团</w:t>
      </w:r>
      <w:r>
        <w:t>有限公司</w:t>
      </w:r>
      <w:r>
        <w:rPr>
          <w:rFonts w:hint="eastAsia"/>
          <w:bCs/>
        </w:rPr>
        <w:t>委托，承担该项目环境影响报告书的编制工作。</w:t>
      </w:r>
    </w:p>
    <w:p w14:paraId="0615906E">
      <w:pPr>
        <w:wordWrap w:val="0"/>
        <w:ind w:firstLine="480" w:firstLineChars="200"/>
        <w:rPr>
          <w:rFonts w:cs="Times New Roman"/>
          <w:spacing w:val="-3"/>
        </w:rPr>
      </w:pPr>
      <w:r>
        <w:rPr>
          <w:rFonts w:hint="eastAsia"/>
        </w:rPr>
        <w:t>20</w:t>
      </w:r>
      <w:r>
        <w:t>25</w:t>
      </w:r>
      <w:r>
        <w:rPr>
          <w:rFonts w:hint="eastAsia"/>
        </w:rPr>
        <w:t>年</w:t>
      </w:r>
      <w:r>
        <w:t>10</w:t>
      </w:r>
      <w:r>
        <w:rPr>
          <w:rFonts w:hint="eastAsia"/>
        </w:rPr>
        <w:t>月</w:t>
      </w:r>
      <w:r>
        <w:t>23</w:t>
      </w:r>
      <w:r>
        <w:rPr>
          <w:rFonts w:hint="eastAsia"/>
        </w:rPr>
        <w:t>日，</w:t>
      </w:r>
      <w:r>
        <w:rPr>
          <w:rFonts w:hint="eastAsia"/>
          <w:bCs/>
        </w:rPr>
        <w:t>在安徽海华科技集团有限公司网站上(</w:t>
      </w:r>
      <w:r>
        <w:rPr>
          <w:bCs/>
        </w:rPr>
        <w:t>http://www.haihuachem.com.cn/news1_detail_zh/id/63.html</w:t>
      </w:r>
      <w:r>
        <w:rPr>
          <w:rFonts w:hint="eastAsia"/>
          <w:bCs/>
        </w:rPr>
        <w:t>)进行了第一次网络公示</w:t>
      </w:r>
      <w:r>
        <w:rPr>
          <w:rFonts w:cs="Times New Roman"/>
          <w:spacing w:val="-3"/>
        </w:rPr>
        <w:t>。</w:t>
      </w:r>
    </w:p>
    <w:p w14:paraId="0452824A">
      <w:pPr>
        <w:wordWrap w:val="0"/>
        <w:ind w:firstLine="468" w:firstLineChars="200"/>
        <w:rPr>
          <w:rFonts w:cs="Times New Roman"/>
          <w:spacing w:val="-3"/>
        </w:rPr>
      </w:pPr>
      <w:r>
        <w:rPr>
          <w:rFonts w:hint="eastAsia" w:cs="Times New Roman"/>
          <w:spacing w:val="-3"/>
        </w:rPr>
        <w:t>2025年11月-12月，项目课题组进行各章节编写、汇总，提出污染防治对策并论证其可行性，得出项目建设环境可行性结论，形成报告书的初稿。</w:t>
      </w:r>
    </w:p>
    <w:p w14:paraId="6C5CF871">
      <w:pPr>
        <w:ind w:firstLine="468" w:firstLineChars="200"/>
        <w:rPr>
          <w:bCs/>
        </w:rPr>
      </w:pPr>
      <w:r>
        <w:rPr>
          <w:rFonts w:hint="eastAsia" w:cs="Times New Roman"/>
          <w:spacing w:val="-3"/>
        </w:rPr>
        <w:t>2026年1月7日-2026年1月21日，徽海华科技有限公司在安徽海华科技集团有限公司网站上(</w:t>
      </w:r>
      <w:r>
        <w:rPr>
          <w:rFonts w:cs="Times New Roman"/>
          <w:spacing w:val="-3"/>
        </w:rPr>
        <w:t>http://www.haihuachem.com.cn/news1_detail_zh/id/75.html</w:t>
      </w:r>
      <w:r>
        <w:rPr>
          <w:rFonts w:hint="eastAsia" w:cs="Times New Roman"/>
          <w:spacing w:val="-3"/>
        </w:rPr>
        <w:t>)进行了征求意见稿公示，在此期间进行了2次报纸公示。</w:t>
      </w:r>
    </w:p>
    <w:p w14:paraId="45B403A8">
      <w:pPr>
        <w:ind w:firstLine="480" w:firstLineChars="200"/>
        <w:rPr>
          <w:rFonts w:cs="Times New Roman"/>
        </w:rPr>
      </w:pPr>
      <w:r>
        <w:rPr>
          <w:rFonts w:hint="eastAsia"/>
          <w:bCs/>
        </w:rPr>
        <w:t>2026年2月，</w:t>
      </w:r>
      <w:r>
        <w:rPr>
          <w:rFonts w:hint="eastAsia" w:cs="Times New Roman"/>
        </w:rPr>
        <w:t>该项目环境影响报告书进入合肥中霁生态环境科技有限公司内审程序，经校核、审核、审定后定稿。</w:t>
      </w:r>
    </w:p>
    <w:p w14:paraId="25FD2092">
      <w:pPr>
        <w:pStyle w:val="3"/>
        <w:spacing w:before="326"/>
        <w:rPr>
          <w:rFonts w:hint="eastAsia"/>
        </w:rPr>
      </w:pPr>
      <w:bookmarkStart w:id="10" w:name="_Toc221056310"/>
      <w:r>
        <w:rPr>
          <w:rFonts w:hint="eastAsia"/>
        </w:rPr>
        <w:t>1.3环境影响评价关注的主要问题</w:t>
      </w:r>
      <w:bookmarkEnd w:id="10"/>
    </w:p>
    <w:p w14:paraId="7AD74106">
      <w:pPr>
        <w:ind w:firstLine="480" w:firstLineChars="200"/>
        <w:rPr>
          <w:bCs/>
        </w:rPr>
      </w:pPr>
      <w:r>
        <w:rPr>
          <w:rFonts w:hint="eastAsia"/>
          <w:bCs/>
        </w:rPr>
        <w:t>本次环境影响评价过程中关注的主要问题如下：</w:t>
      </w:r>
    </w:p>
    <w:p w14:paraId="2EE68807">
      <w:pPr>
        <w:ind w:firstLine="480" w:firstLineChars="200"/>
        <w:rPr>
          <w:bCs/>
        </w:rPr>
      </w:pPr>
      <w:r>
        <w:rPr>
          <w:rFonts w:hint="eastAsia"/>
          <w:bCs/>
        </w:rPr>
        <w:t>◆结合项目建设方案，对照产业政策和相关规划及规划环评要求，分析拟建项目规划符合性及环境合理性；</w:t>
      </w:r>
    </w:p>
    <w:p w14:paraId="5CFD5054">
      <w:pPr>
        <w:ind w:firstLine="480" w:firstLineChars="200"/>
        <w:rPr>
          <w:bCs/>
        </w:rPr>
      </w:pPr>
      <w:r>
        <w:rPr>
          <w:rFonts w:hint="eastAsia"/>
          <w:bCs/>
        </w:rPr>
        <w:t>◆对照厂区现有工程，进一步梳理现有工程配套环保设施的落实及运行情况，查找现有工程是否存在环境问题，并提出针对性整改方案；进一步分析拟建工程与现有工程的依托关系，论证依托可行性；</w:t>
      </w:r>
    </w:p>
    <w:p w14:paraId="7CFF93E8">
      <w:pPr>
        <w:ind w:firstLine="480" w:firstLineChars="200"/>
        <w:rPr>
          <w:bCs/>
        </w:rPr>
      </w:pPr>
      <w:r>
        <w:rPr>
          <w:rFonts w:hint="eastAsia"/>
          <w:bCs/>
        </w:rPr>
        <w:t>◆根据项目建设方案，详细分析技改后生产工艺流程及产排污节点，核算污染源强，重点关注有机废气和危险废物的处置，分析废水依托现有污水处理站的可行性；</w:t>
      </w:r>
    </w:p>
    <w:p w14:paraId="73DA32F9">
      <w:pPr>
        <w:ind w:firstLine="480" w:firstLineChars="200"/>
        <w:rPr>
          <w:bCs/>
        </w:rPr>
      </w:pPr>
      <w:r>
        <w:rPr>
          <w:rFonts w:hint="eastAsia"/>
          <w:bCs/>
        </w:rPr>
        <w:t>◆</w:t>
      </w:r>
      <w:r>
        <w:rPr>
          <w:bCs/>
        </w:rPr>
        <w:t>对项目实施后污染物产生的环境影响进行预测和评价，</w:t>
      </w:r>
      <w:r>
        <w:rPr>
          <w:rFonts w:hint="eastAsia"/>
          <w:bCs/>
        </w:rPr>
        <w:t>对工程采取的污染防治对策及污染物排放达标可行性和可靠性分析，论证项目建设的可行性；</w:t>
      </w:r>
    </w:p>
    <w:p w14:paraId="14E278DD">
      <w:pPr>
        <w:ind w:firstLine="480" w:firstLineChars="200"/>
        <w:rPr>
          <w:bCs/>
        </w:rPr>
      </w:pPr>
      <w:r>
        <w:rPr>
          <w:rFonts w:hint="eastAsia"/>
          <w:bCs/>
        </w:rPr>
        <w:t>◆项目建成运行后，重点对烷基化工艺、原料和成品罐区等可能发生泄漏、火灾和爆炸的危险工艺装置、危险物质进行环境风险分析，提出可行的环境风险防范措施，明确应急预案的修编要求。</w:t>
      </w:r>
    </w:p>
    <w:p w14:paraId="4F437A3F">
      <w:pPr>
        <w:pStyle w:val="3"/>
        <w:spacing w:before="326"/>
        <w:rPr>
          <w:rFonts w:hint="eastAsia"/>
        </w:rPr>
      </w:pPr>
      <w:bookmarkStart w:id="11" w:name="_Toc221056311"/>
      <w:r>
        <w:rPr>
          <w:rFonts w:hint="eastAsia"/>
        </w:rPr>
        <w:t>1.4环境影响报告书的主要结论</w:t>
      </w:r>
      <w:bookmarkEnd w:id="11"/>
    </w:p>
    <w:p w14:paraId="6AB5930F">
      <w:pPr>
        <w:ind w:firstLine="480" w:firstLineChars="200"/>
      </w:pPr>
      <w:bookmarkStart w:id="12" w:name="_Hlk53691574"/>
      <w:r>
        <w:t>安徽海华科技集团有限公司10000吨间甲酚车间环保</w:t>
      </w:r>
      <w:r>
        <w:rPr>
          <w:rFonts w:hint="eastAsia"/>
        </w:rPr>
        <w:t>技改</w:t>
      </w:r>
      <w:r>
        <w:t>项目</w:t>
      </w:r>
      <w:r>
        <w:rPr>
          <w:rFonts w:hint="eastAsia"/>
          <w:kern w:val="0"/>
        </w:rPr>
        <w:t>符合产业政策，选址符合安徽蚌埠淮上经济开发区(安徽蚌埠精细化工集聚区</w:t>
      </w:r>
      <w:r>
        <w:rPr>
          <w:kern w:val="0"/>
        </w:rPr>
        <w:t>)</w:t>
      </w:r>
      <w:r>
        <w:rPr>
          <w:rFonts w:hint="eastAsia"/>
          <w:kern w:val="0"/>
        </w:rPr>
        <w:t>用地及产业规划要求，符合规划环评及审查意见，符合淮河流域及相关规划要求，已取得蚌埠市淮上区经济和发展改革委员会的备案和安徽省生态环境厅关于项目的环保预审复函</w:t>
      </w:r>
      <w:r>
        <w:rPr>
          <w:rFonts w:hint="eastAsia"/>
        </w:rPr>
        <w:t>。</w:t>
      </w:r>
    </w:p>
    <w:p w14:paraId="52D78DED">
      <w:pPr>
        <w:ind w:firstLine="424" w:firstLineChars="177"/>
      </w:pPr>
      <w:r>
        <w:rPr>
          <w:rFonts w:hint="eastAsia"/>
        </w:rPr>
        <w:t>项目采取的生产工艺和生产设备先进可靠，与现有工程衔接较好，采取的污染防治措施稳定可靠，</w:t>
      </w:r>
      <w:r>
        <w:t>各项污染物</w:t>
      </w:r>
      <w:r>
        <w:rPr>
          <w:rFonts w:hint="eastAsia"/>
        </w:rPr>
        <w:t>能够</w:t>
      </w:r>
      <w:r>
        <w:t>做到达标排放</w:t>
      </w:r>
      <w:r>
        <w:rPr>
          <w:rFonts w:hint="eastAsia"/>
        </w:rPr>
        <w:t>，</w:t>
      </w:r>
      <w:r>
        <w:t>排放的各种污染物对周围空气环境、</w:t>
      </w:r>
      <w:r>
        <w:rPr>
          <w:rFonts w:hint="eastAsia"/>
        </w:rPr>
        <w:t>水环境</w:t>
      </w:r>
      <w:r>
        <w:t>及声环境</w:t>
      </w:r>
      <w:r>
        <w:rPr>
          <w:rFonts w:hint="eastAsia"/>
        </w:rPr>
        <w:t>等影响</w:t>
      </w:r>
      <w:r>
        <w:t>能控制在国家相关的标准要求范围内</w:t>
      </w:r>
      <w:r>
        <w:rPr>
          <w:rFonts w:hint="eastAsia"/>
        </w:rPr>
        <w:t>，技改项目能够满足总量控制指标要求，环境风险处于可接受范围内；公示期间，未收到公众反馈意见。</w:t>
      </w:r>
      <w:r>
        <w:t>该项目在建设过程中，应严格执行环保设施与主体工程同时设计、同时施工、同时投产的“三同时”制度</w:t>
      </w:r>
      <w:r>
        <w:rPr>
          <w:rFonts w:hint="eastAsia"/>
        </w:rPr>
        <w:t>，认真落实本评价提出的各项污染防治措施，</w:t>
      </w:r>
      <w:r>
        <w:t>从环境保护角度出发，该项目的建设可行。</w:t>
      </w:r>
      <w:bookmarkEnd w:id="12"/>
    </w:p>
    <w:p w14:paraId="326C9105">
      <w:pPr>
        <w:ind w:firstLine="468" w:firstLineChars="200"/>
        <w:rPr>
          <w:rFonts w:cs="Times New Roman"/>
          <w:spacing w:val="-3"/>
        </w:rPr>
      </w:pPr>
    </w:p>
    <w:p w14:paraId="0A043114">
      <w:pPr>
        <w:ind w:firstLine="468" w:firstLineChars="200"/>
        <w:rPr>
          <w:rFonts w:cs="Times New Roman"/>
          <w:spacing w:val="-3"/>
        </w:rPr>
        <w:sectPr>
          <w:headerReference r:id="rId6" w:type="default"/>
          <w:footerReference r:id="rId7" w:type="default"/>
          <w:pgSz w:w="11906" w:h="16838"/>
          <w:pgMar w:top="1418" w:right="1418" w:bottom="1418" w:left="1418" w:header="851" w:footer="992" w:gutter="0"/>
          <w:pgNumType w:start="1"/>
          <w:cols w:space="425" w:num="1"/>
          <w:docGrid w:type="lines" w:linePitch="326" w:charSpace="0"/>
        </w:sectPr>
      </w:pPr>
    </w:p>
    <w:p w14:paraId="5DDB91F3">
      <w:pPr>
        <w:pStyle w:val="2"/>
        <w:spacing w:before="163" w:after="163"/>
        <w:rPr>
          <w:rFonts w:hint="eastAsia"/>
        </w:rPr>
      </w:pPr>
      <w:bookmarkStart w:id="13" w:name="_Toc221056312"/>
      <w:r>
        <w:rPr>
          <w:rFonts w:hint="eastAsia"/>
        </w:rPr>
        <w:t>2总则</w:t>
      </w:r>
      <w:bookmarkEnd w:id="13"/>
    </w:p>
    <w:p w14:paraId="4B7AEE45">
      <w:pPr>
        <w:pStyle w:val="3"/>
        <w:spacing w:before="326"/>
        <w:rPr>
          <w:rFonts w:hint="eastAsia"/>
        </w:rPr>
      </w:pPr>
      <w:bookmarkStart w:id="14" w:name="_Toc221056313"/>
      <w:r>
        <w:rPr>
          <w:rFonts w:hint="eastAsia"/>
        </w:rPr>
        <w:t>2.1评价目的与指导思想</w:t>
      </w:r>
      <w:bookmarkEnd w:id="14"/>
    </w:p>
    <w:p w14:paraId="4613A27C">
      <w:pPr>
        <w:pStyle w:val="4"/>
        <w:rPr>
          <w:rFonts w:hint="eastAsia"/>
        </w:rPr>
      </w:pPr>
      <w:bookmarkStart w:id="15" w:name="_Toc221056314"/>
      <w:r>
        <w:rPr>
          <w:rFonts w:hint="eastAsia"/>
        </w:rPr>
        <w:t>2.1.1评价目的</w:t>
      </w:r>
      <w:bookmarkEnd w:id="15"/>
    </w:p>
    <w:p w14:paraId="7A4D4B95">
      <w:pPr>
        <w:ind w:firstLine="468" w:firstLineChars="200"/>
        <w:rPr>
          <w:rFonts w:cs="Times New Roman"/>
          <w:spacing w:val="-3"/>
        </w:rPr>
      </w:pPr>
      <w:r>
        <w:rPr>
          <w:rFonts w:hint="eastAsia" w:cs="Times New Roman"/>
          <w:spacing w:val="-3"/>
        </w:rPr>
        <w:t>本次评价的目的是通过对项目进行详细工程分析，明确技改项目实施后间甲酚车间污染物的产生种类、数量及排放特征。明确技改项目与现有工程的衔接关系，运用合理的方法评价项目建设可能产生的环境影响，论证技改项目实施后环保措施和环境风险防范措施的稳定性、可靠性，提出把污染影响和环境风险降低到最低程度而必须采取的综合防治措施。并从环境保护角度给出该工程可行性的结论，提出有效的污染防治对策，为环保行政主管部门对建设项目的监督管理及环保设施的设计提供科学依据，以利于企业及社会经济的可持续发展，改善环境。</w:t>
      </w:r>
    </w:p>
    <w:p w14:paraId="0259797C">
      <w:pPr>
        <w:pStyle w:val="4"/>
        <w:rPr>
          <w:rFonts w:hint="eastAsia"/>
        </w:rPr>
      </w:pPr>
      <w:bookmarkStart w:id="16" w:name="_Toc221056315"/>
      <w:r>
        <w:rPr>
          <w:rFonts w:hint="eastAsia"/>
        </w:rPr>
        <w:t>2.1.2指导思想</w:t>
      </w:r>
      <w:bookmarkEnd w:id="16"/>
    </w:p>
    <w:p w14:paraId="3D964252">
      <w:pPr>
        <w:ind w:firstLine="468" w:firstLineChars="200"/>
        <w:rPr>
          <w:rFonts w:cs="Times New Roman"/>
          <w:spacing w:val="-3"/>
        </w:rPr>
      </w:pPr>
      <w:r>
        <w:rPr>
          <w:rFonts w:hint="eastAsia" w:cs="Times New Roman"/>
          <w:spacing w:val="-3"/>
        </w:rPr>
        <w:t>评价在实现发展和效益的同时，必须以保护环境为指导思想，强调科学性、客观性与针对性、实用性的统一，在评价过程中遵循以下原则：</w:t>
      </w:r>
    </w:p>
    <w:p w14:paraId="487B0714">
      <w:pPr>
        <w:ind w:firstLine="468" w:firstLineChars="200"/>
        <w:rPr>
          <w:rFonts w:cs="Times New Roman"/>
          <w:spacing w:val="-3"/>
        </w:rPr>
      </w:pPr>
      <w:r>
        <w:rPr>
          <w:rFonts w:hint="eastAsia" w:cs="Times New Roman"/>
          <w:spacing w:val="-3"/>
        </w:rPr>
        <w:t>(1)评价相关资料收集应该全面、充分，现状调查和类比调查分析应有代表性；</w:t>
      </w:r>
    </w:p>
    <w:p w14:paraId="32CB5917">
      <w:pPr>
        <w:ind w:firstLine="468" w:firstLineChars="200"/>
        <w:rPr>
          <w:rFonts w:cs="Times New Roman"/>
          <w:spacing w:val="-3"/>
        </w:rPr>
      </w:pPr>
      <w:r>
        <w:rPr>
          <w:rFonts w:hint="eastAsia" w:cs="Times New Roman"/>
          <w:spacing w:val="-3"/>
        </w:rPr>
        <w:t>(2)污染调查与工程分析力求准确；</w:t>
      </w:r>
    </w:p>
    <w:p w14:paraId="3E25A47E">
      <w:pPr>
        <w:ind w:firstLine="468" w:firstLineChars="200"/>
        <w:rPr>
          <w:rFonts w:cs="Times New Roman"/>
          <w:spacing w:val="-3"/>
        </w:rPr>
      </w:pPr>
      <w:r>
        <w:rPr>
          <w:rFonts w:hint="eastAsia" w:cs="Times New Roman"/>
          <w:spacing w:val="-3"/>
        </w:rPr>
        <w:t>(3)环境影响预测与评价方法要具有合理性、数据可信；</w:t>
      </w:r>
    </w:p>
    <w:p w14:paraId="45244725">
      <w:pPr>
        <w:ind w:firstLine="468" w:firstLineChars="200"/>
        <w:rPr>
          <w:rFonts w:cs="Times New Roman"/>
          <w:spacing w:val="-3"/>
        </w:rPr>
      </w:pPr>
      <w:r>
        <w:rPr>
          <w:rFonts w:hint="eastAsia" w:cs="Times New Roman"/>
          <w:spacing w:val="-3"/>
        </w:rPr>
        <w:t>(4)提出的污染防治措施应该具有很强的可操作性，提出的环境管理和监测计划要切实可行。</w:t>
      </w:r>
    </w:p>
    <w:p w14:paraId="1BCA3A53">
      <w:pPr>
        <w:pStyle w:val="3"/>
        <w:spacing w:before="326"/>
        <w:rPr>
          <w:rFonts w:hint="eastAsia"/>
        </w:rPr>
      </w:pPr>
      <w:bookmarkStart w:id="17" w:name="_Toc221056316"/>
      <w:r>
        <w:rPr>
          <w:rFonts w:hint="eastAsia"/>
        </w:rPr>
        <w:t>2.2编制依据</w:t>
      </w:r>
      <w:bookmarkEnd w:id="17"/>
    </w:p>
    <w:p w14:paraId="382C3A80">
      <w:pPr>
        <w:pStyle w:val="4"/>
        <w:rPr>
          <w:rFonts w:hint="eastAsia"/>
        </w:rPr>
      </w:pPr>
      <w:bookmarkStart w:id="18" w:name="_Toc221056317"/>
      <w:r>
        <w:rPr>
          <w:rFonts w:hint="eastAsia"/>
        </w:rPr>
        <w:t>2.2.1国家法律、法规及环保政策</w:t>
      </w:r>
      <w:bookmarkEnd w:id="18"/>
    </w:p>
    <w:p w14:paraId="13CD0AC2">
      <w:pPr>
        <w:ind w:firstLine="480" w:firstLineChars="200"/>
        <w:rPr>
          <w:rFonts w:cs="Times New Roman"/>
          <w14:ligatures w14:val="none"/>
        </w:rPr>
      </w:pPr>
      <w:bookmarkStart w:id="19" w:name="_Toc209720814"/>
      <w:r>
        <w:rPr>
          <w:rFonts w:cs="Times New Roman"/>
          <w14:ligatures w14:val="none"/>
        </w:rPr>
        <w:t>(1)</w:t>
      </w:r>
      <w:r>
        <w:rPr>
          <w:rFonts w:ascii="宋体" w:hAnsi="宋体" w:cs="Times New Roman"/>
          <w14:ligatures w14:val="none"/>
        </w:rPr>
        <w:t>《中华人民共和国环境保护法》</w:t>
      </w:r>
      <w:r>
        <w:rPr>
          <w:rFonts w:cs="Times New Roman"/>
          <w14:ligatures w14:val="none"/>
        </w:rPr>
        <w:t>(2015</w:t>
      </w:r>
      <w:r>
        <w:rPr>
          <w:rFonts w:ascii="宋体" w:hAnsi="宋体" w:cs="Times New Roman"/>
          <w14:ligatures w14:val="none"/>
        </w:rPr>
        <w:t>年</w:t>
      </w:r>
      <w:r>
        <w:rPr>
          <w:rFonts w:cs="Times New Roman"/>
          <w14:ligatures w14:val="none"/>
        </w:rPr>
        <w:t>1</w:t>
      </w:r>
      <w:r>
        <w:rPr>
          <w:rFonts w:ascii="宋体" w:hAnsi="宋体" w:cs="Times New Roman"/>
          <w14:ligatures w14:val="none"/>
        </w:rPr>
        <w:t>月</w:t>
      </w:r>
      <w:r>
        <w:rPr>
          <w:rFonts w:cs="Times New Roman"/>
          <w14:ligatures w14:val="none"/>
        </w:rPr>
        <w:t>1</w:t>
      </w:r>
      <w:r>
        <w:rPr>
          <w:rFonts w:ascii="宋体" w:hAnsi="宋体" w:cs="Times New Roman"/>
          <w14:ligatures w14:val="none"/>
        </w:rPr>
        <w:t>日施行</w:t>
      </w:r>
      <w:r>
        <w:rPr>
          <w:rFonts w:cs="Times New Roman"/>
          <w14:ligatures w14:val="none"/>
        </w:rPr>
        <w:t>)</w:t>
      </w:r>
      <w:r>
        <w:rPr>
          <w:rFonts w:ascii="宋体" w:hAnsi="宋体" w:cs="Times New Roman"/>
          <w14:ligatures w14:val="none"/>
        </w:rPr>
        <w:t>；</w:t>
      </w:r>
    </w:p>
    <w:p w14:paraId="3C22682D">
      <w:pPr>
        <w:ind w:firstLine="480" w:firstLineChars="200"/>
        <w:rPr>
          <w:rFonts w:cs="Times New Roman"/>
          <w14:ligatures w14:val="none"/>
        </w:rPr>
      </w:pPr>
      <w:r>
        <w:rPr>
          <w:rFonts w:cs="Times New Roman"/>
          <w14:ligatures w14:val="none"/>
        </w:rPr>
        <w:t>(2)</w:t>
      </w:r>
      <w:r>
        <w:rPr>
          <w:rFonts w:ascii="宋体" w:hAnsi="宋体" w:cs="Times New Roman"/>
          <w14:ligatures w14:val="none"/>
        </w:rPr>
        <w:t>《中华人民共和国环境影响评价法》</w:t>
      </w:r>
      <w:r>
        <w:rPr>
          <w:rFonts w:cs="Times New Roman"/>
          <w14:ligatures w14:val="none"/>
        </w:rPr>
        <w:t>(2018</w:t>
      </w:r>
      <w:r>
        <w:rPr>
          <w:rFonts w:ascii="宋体" w:hAnsi="宋体" w:cs="Times New Roman"/>
          <w14:ligatures w14:val="none"/>
        </w:rPr>
        <w:t>年</w:t>
      </w:r>
      <w:r>
        <w:rPr>
          <w:rFonts w:cs="Times New Roman"/>
          <w14:ligatures w14:val="none"/>
        </w:rPr>
        <w:t>12</w:t>
      </w:r>
      <w:r>
        <w:rPr>
          <w:rFonts w:ascii="宋体" w:hAnsi="宋体" w:cs="Times New Roman"/>
          <w14:ligatures w14:val="none"/>
        </w:rPr>
        <w:t>月</w:t>
      </w:r>
      <w:r>
        <w:rPr>
          <w:rFonts w:cs="Times New Roman"/>
          <w14:ligatures w14:val="none"/>
        </w:rPr>
        <w:t>29</w:t>
      </w:r>
      <w:r>
        <w:rPr>
          <w:rFonts w:ascii="宋体" w:hAnsi="宋体" w:cs="Times New Roman"/>
          <w14:ligatures w14:val="none"/>
        </w:rPr>
        <w:t>日修订</w:t>
      </w:r>
      <w:r>
        <w:rPr>
          <w:rFonts w:cs="Times New Roman"/>
          <w14:ligatures w14:val="none"/>
        </w:rPr>
        <w:t>)</w:t>
      </w:r>
      <w:r>
        <w:rPr>
          <w:rFonts w:ascii="宋体" w:hAnsi="宋体" w:cs="Times New Roman"/>
          <w14:ligatures w14:val="none"/>
        </w:rPr>
        <w:t>；</w:t>
      </w:r>
    </w:p>
    <w:p w14:paraId="0F036CEE">
      <w:pPr>
        <w:ind w:firstLine="480" w:firstLineChars="200"/>
        <w:rPr>
          <w:rFonts w:cs="Times New Roman"/>
          <w14:ligatures w14:val="none"/>
        </w:rPr>
      </w:pPr>
      <w:r>
        <w:rPr>
          <w:rFonts w:cs="Times New Roman"/>
          <w14:ligatures w14:val="none"/>
        </w:rPr>
        <w:t>(3)</w:t>
      </w:r>
      <w:r>
        <w:rPr>
          <w:rFonts w:ascii="宋体" w:hAnsi="宋体" w:cs="Times New Roman"/>
          <w14:ligatures w14:val="none"/>
        </w:rPr>
        <w:t>《中华人民共和国大气污染防治法》</w:t>
      </w:r>
      <w:r>
        <w:rPr>
          <w:rFonts w:cs="Times New Roman"/>
          <w14:ligatures w14:val="none"/>
        </w:rPr>
        <w:t>(2018</w:t>
      </w:r>
      <w:r>
        <w:rPr>
          <w:rFonts w:ascii="宋体" w:hAnsi="宋体" w:cs="Times New Roman"/>
          <w14:ligatures w14:val="none"/>
        </w:rPr>
        <w:t>年</w:t>
      </w:r>
      <w:r>
        <w:rPr>
          <w:rFonts w:cs="Times New Roman"/>
          <w14:ligatures w14:val="none"/>
        </w:rPr>
        <w:t>10</w:t>
      </w:r>
      <w:r>
        <w:rPr>
          <w:rFonts w:ascii="宋体" w:hAnsi="宋体" w:cs="Times New Roman"/>
          <w14:ligatures w14:val="none"/>
        </w:rPr>
        <w:t>月</w:t>
      </w:r>
      <w:r>
        <w:rPr>
          <w:rFonts w:cs="Times New Roman"/>
          <w14:ligatures w14:val="none"/>
        </w:rPr>
        <w:t>26</w:t>
      </w:r>
      <w:r>
        <w:rPr>
          <w:rFonts w:ascii="宋体" w:hAnsi="宋体" w:cs="Times New Roman"/>
          <w14:ligatures w14:val="none"/>
        </w:rPr>
        <w:t>日修订</w:t>
      </w:r>
      <w:r>
        <w:rPr>
          <w:rFonts w:cs="Times New Roman"/>
          <w14:ligatures w14:val="none"/>
        </w:rPr>
        <w:t>)</w:t>
      </w:r>
      <w:r>
        <w:rPr>
          <w:rFonts w:ascii="宋体" w:hAnsi="宋体" w:cs="Times New Roman"/>
          <w14:ligatures w14:val="none"/>
        </w:rPr>
        <w:t>；</w:t>
      </w:r>
    </w:p>
    <w:p w14:paraId="11768D21">
      <w:pPr>
        <w:ind w:firstLine="480" w:firstLineChars="200"/>
        <w:rPr>
          <w:rFonts w:cs="Times New Roman"/>
          <w14:ligatures w14:val="none"/>
        </w:rPr>
      </w:pPr>
      <w:r>
        <w:rPr>
          <w:rFonts w:cs="Times New Roman"/>
          <w14:ligatures w14:val="none"/>
        </w:rPr>
        <w:t>(4)</w:t>
      </w:r>
      <w:r>
        <w:rPr>
          <w:rFonts w:ascii="宋体" w:hAnsi="宋体" w:cs="Times New Roman"/>
          <w14:ligatures w14:val="none"/>
        </w:rPr>
        <w:t>《中华人民共和国水污染防治法》</w:t>
      </w:r>
      <w:r>
        <w:rPr>
          <w:rFonts w:cs="Times New Roman"/>
          <w14:ligatures w14:val="none"/>
        </w:rPr>
        <w:t>(2017</w:t>
      </w:r>
      <w:r>
        <w:rPr>
          <w:rFonts w:ascii="宋体" w:hAnsi="宋体" w:cs="Times New Roman"/>
          <w14:ligatures w14:val="none"/>
        </w:rPr>
        <w:t>年</w:t>
      </w:r>
      <w:r>
        <w:rPr>
          <w:rFonts w:cs="Times New Roman"/>
          <w14:ligatures w14:val="none"/>
        </w:rPr>
        <w:t>6</w:t>
      </w:r>
      <w:r>
        <w:rPr>
          <w:rFonts w:ascii="宋体" w:hAnsi="宋体" w:cs="Times New Roman"/>
          <w14:ligatures w14:val="none"/>
        </w:rPr>
        <w:t>月</w:t>
      </w:r>
      <w:r>
        <w:rPr>
          <w:rFonts w:cs="Times New Roman"/>
          <w14:ligatures w14:val="none"/>
        </w:rPr>
        <w:t>27</w:t>
      </w:r>
      <w:r>
        <w:rPr>
          <w:rFonts w:ascii="宋体" w:hAnsi="宋体" w:cs="Times New Roman"/>
          <w14:ligatures w14:val="none"/>
        </w:rPr>
        <w:t>日修订</w:t>
      </w:r>
      <w:r>
        <w:rPr>
          <w:rFonts w:cs="Times New Roman"/>
          <w14:ligatures w14:val="none"/>
        </w:rPr>
        <w:t>)</w:t>
      </w:r>
      <w:r>
        <w:rPr>
          <w:rFonts w:ascii="宋体" w:hAnsi="宋体" w:cs="Times New Roman"/>
          <w14:ligatures w14:val="none"/>
        </w:rPr>
        <w:t>；</w:t>
      </w:r>
    </w:p>
    <w:p w14:paraId="0C10D3FA">
      <w:pPr>
        <w:ind w:firstLine="480" w:firstLineChars="200"/>
        <w:rPr>
          <w:rFonts w:cs="Times New Roman"/>
          <w14:ligatures w14:val="none"/>
        </w:rPr>
      </w:pPr>
      <w:r>
        <w:rPr>
          <w:rFonts w:cs="Times New Roman"/>
          <w14:ligatures w14:val="none"/>
        </w:rPr>
        <w:t>(5)</w:t>
      </w:r>
      <w:r>
        <w:rPr>
          <w:rFonts w:ascii="宋体" w:hAnsi="宋体" w:cs="Times New Roman"/>
          <w14:ligatures w14:val="none"/>
        </w:rPr>
        <w:t>《中华人民共和国固体废物污染环境防治法》</w:t>
      </w:r>
      <w:r>
        <w:rPr>
          <w:rFonts w:cs="Times New Roman"/>
          <w14:ligatures w14:val="none"/>
        </w:rPr>
        <w:t>(2020</w:t>
      </w:r>
      <w:r>
        <w:rPr>
          <w:rFonts w:ascii="宋体" w:hAnsi="宋体" w:cs="Times New Roman"/>
          <w14:ligatures w14:val="none"/>
        </w:rPr>
        <w:t>年</w:t>
      </w:r>
      <w:r>
        <w:rPr>
          <w:rFonts w:cs="Times New Roman"/>
          <w14:ligatures w14:val="none"/>
        </w:rPr>
        <w:t>4</w:t>
      </w:r>
      <w:r>
        <w:rPr>
          <w:rFonts w:ascii="宋体" w:hAnsi="宋体" w:cs="Times New Roman"/>
          <w14:ligatures w14:val="none"/>
        </w:rPr>
        <w:t>月</w:t>
      </w:r>
      <w:r>
        <w:rPr>
          <w:rFonts w:cs="Times New Roman"/>
          <w14:ligatures w14:val="none"/>
        </w:rPr>
        <w:t>29</w:t>
      </w:r>
      <w:r>
        <w:rPr>
          <w:rFonts w:ascii="宋体" w:hAnsi="宋体" w:cs="Times New Roman"/>
          <w14:ligatures w14:val="none"/>
        </w:rPr>
        <w:t>日修订</w:t>
      </w:r>
      <w:r>
        <w:rPr>
          <w:rFonts w:cs="Times New Roman"/>
          <w14:ligatures w14:val="none"/>
        </w:rPr>
        <w:t>)</w:t>
      </w:r>
      <w:r>
        <w:rPr>
          <w:rFonts w:ascii="宋体" w:hAnsi="宋体" w:cs="Times New Roman"/>
          <w14:ligatures w14:val="none"/>
        </w:rPr>
        <w:t>；</w:t>
      </w:r>
    </w:p>
    <w:p w14:paraId="7CA0DF01">
      <w:pPr>
        <w:ind w:firstLine="480" w:firstLineChars="200"/>
        <w:rPr>
          <w:rFonts w:cs="Times New Roman"/>
          <w14:ligatures w14:val="none"/>
        </w:rPr>
      </w:pPr>
      <w:r>
        <w:rPr>
          <w:rFonts w:cs="Times New Roman"/>
          <w14:ligatures w14:val="none"/>
        </w:rPr>
        <w:t>(6)</w:t>
      </w:r>
      <w:r>
        <w:rPr>
          <w:rFonts w:ascii="宋体" w:hAnsi="宋体" w:cs="Times New Roman"/>
          <w14:ligatures w14:val="none"/>
        </w:rPr>
        <w:t>《中华人民共和国土壤污染防治法》</w:t>
      </w:r>
      <w:r>
        <w:rPr>
          <w:rFonts w:cs="Times New Roman"/>
          <w14:ligatures w14:val="none"/>
        </w:rPr>
        <w:t>(20</w:t>
      </w:r>
      <w:r>
        <w:rPr>
          <w:rFonts w:hint="eastAsia" w:cs="Times New Roman"/>
          <w14:ligatures w14:val="none"/>
        </w:rPr>
        <w:t>19</w:t>
      </w:r>
      <w:r>
        <w:rPr>
          <w:rFonts w:ascii="宋体" w:hAnsi="宋体" w:cs="Times New Roman"/>
          <w14:ligatures w14:val="none"/>
        </w:rPr>
        <w:t>年</w:t>
      </w:r>
      <w:r>
        <w:rPr>
          <w:rFonts w:hint="eastAsia" w:cs="Times New Roman"/>
          <w14:ligatures w14:val="none"/>
        </w:rPr>
        <w:t>1</w:t>
      </w:r>
      <w:r>
        <w:rPr>
          <w:rFonts w:ascii="宋体" w:hAnsi="宋体" w:cs="Times New Roman"/>
          <w14:ligatures w14:val="none"/>
        </w:rPr>
        <w:t>月</w:t>
      </w:r>
      <w:r>
        <w:rPr>
          <w:rFonts w:hint="eastAsia" w:cs="Times New Roman"/>
          <w14:ligatures w14:val="none"/>
        </w:rPr>
        <w:t>1</w:t>
      </w:r>
      <w:r>
        <w:rPr>
          <w:rFonts w:ascii="宋体" w:hAnsi="宋体" w:cs="Times New Roman"/>
          <w14:ligatures w14:val="none"/>
        </w:rPr>
        <w:t>日</w:t>
      </w:r>
      <w:r>
        <w:rPr>
          <w:rFonts w:hint="eastAsia" w:ascii="宋体" w:hAnsi="宋体" w:cs="Times New Roman"/>
          <w14:ligatures w14:val="none"/>
        </w:rPr>
        <w:t>施行</w:t>
      </w:r>
      <w:r>
        <w:rPr>
          <w:rFonts w:cs="Times New Roman"/>
          <w14:ligatures w14:val="none"/>
        </w:rPr>
        <w:t>)</w:t>
      </w:r>
      <w:r>
        <w:rPr>
          <w:rFonts w:ascii="宋体" w:hAnsi="宋体" w:cs="Times New Roman"/>
          <w14:ligatures w14:val="none"/>
        </w:rPr>
        <w:t>；</w:t>
      </w:r>
    </w:p>
    <w:p w14:paraId="42982A9D">
      <w:pPr>
        <w:ind w:firstLine="480" w:firstLineChars="200"/>
        <w:rPr>
          <w:rFonts w:cs="Times New Roman"/>
          <w14:ligatures w14:val="none"/>
        </w:rPr>
      </w:pPr>
      <w:r>
        <w:rPr>
          <w:rFonts w:cs="Times New Roman"/>
          <w14:ligatures w14:val="none"/>
        </w:rPr>
        <w:t>(7)</w:t>
      </w:r>
      <w:r>
        <w:rPr>
          <w:rFonts w:ascii="宋体" w:hAnsi="宋体" w:cs="Times New Roman"/>
          <w14:ligatures w14:val="none"/>
        </w:rPr>
        <w:t>《中华人民共和国噪声污染防治法》</w:t>
      </w:r>
      <w:r>
        <w:rPr>
          <w:rFonts w:cs="Times New Roman"/>
          <w14:ligatures w14:val="none"/>
        </w:rPr>
        <w:t>(2021</w:t>
      </w:r>
      <w:r>
        <w:rPr>
          <w:rFonts w:ascii="宋体" w:hAnsi="宋体" w:cs="Times New Roman"/>
          <w14:ligatures w14:val="none"/>
        </w:rPr>
        <w:t>年</w:t>
      </w:r>
      <w:r>
        <w:rPr>
          <w:rFonts w:cs="Times New Roman"/>
          <w14:ligatures w14:val="none"/>
        </w:rPr>
        <w:t>12</w:t>
      </w:r>
      <w:r>
        <w:rPr>
          <w:rFonts w:ascii="宋体" w:hAnsi="宋体" w:cs="Times New Roman"/>
          <w14:ligatures w14:val="none"/>
        </w:rPr>
        <w:t>月</w:t>
      </w:r>
      <w:r>
        <w:rPr>
          <w:rFonts w:cs="Times New Roman"/>
          <w14:ligatures w14:val="none"/>
        </w:rPr>
        <w:t>24</w:t>
      </w:r>
      <w:r>
        <w:rPr>
          <w:rFonts w:ascii="宋体" w:hAnsi="宋体" w:cs="Times New Roman"/>
          <w14:ligatures w14:val="none"/>
        </w:rPr>
        <w:t>日修订</w:t>
      </w:r>
      <w:r>
        <w:rPr>
          <w:rFonts w:cs="Times New Roman"/>
          <w14:ligatures w14:val="none"/>
        </w:rPr>
        <w:t>)</w:t>
      </w:r>
      <w:r>
        <w:rPr>
          <w:rFonts w:ascii="宋体" w:hAnsi="宋体" w:cs="Times New Roman"/>
          <w14:ligatures w14:val="none"/>
        </w:rPr>
        <w:t>；</w:t>
      </w:r>
    </w:p>
    <w:p w14:paraId="62A7AF9C">
      <w:pPr>
        <w:ind w:firstLine="480" w:firstLineChars="200"/>
        <w:rPr>
          <w:rFonts w:cs="Times New Roman"/>
          <w14:ligatures w14:val="none"/>
        </w:rPr>
      </w:pPr>
      <w:r>
        <w:rPr>
          <w:rFonts w:cs="Times New Roman"/>
          <w14:ligatures w14:val="none"/>
        </w:rPr>
        <w:t>(8)</w:t>
      </w:r>
      <w:r>
        <w:rPr>
          <w:rFonts w:ascii="宋体" w:hAnsi="宋体" w:cs="Times New Roman"/>
          <w14:ligatures w14:val="none"/>
        </w:rPr>
        <w:t>《中华人民共和国清洁生产促进法》</w:t>
      </w:r>
      <w:r>
        <w:rPr>
          <w:rFonts w:cs="Times New Roman"/>
          <w14:ligatures w14:val="none"/>
        </w:rPr>
        <w:t>(201</w:t>
      </w:r>
      <w:r>
        <w:rPr>
          <w:rFonts w:hint="eastAsia" w:cs="Times New Roman"/>
          <w14:ligatures w14:val="none"/>
        </w:rPr>
        <w:t>2</w:t>
      </w:r>
      <w:r>
        <w:rPr>
          <w:rFonts w:ascii="宋体" w:hAnsi="宋体" w:cs="Times New Roman"/>
          <w14:ligatures w14:val="none"/>
        </w:rPr>
        <w:t>年</w:t>
      </w:r>
      <w:r>
        <w:rPr>
          <w:rFonts w:hint="eastAsia" w:cs="Times New Roman"/>
          <w14:ligatures w14:val="none"/>
        </w:rPr>
        <w:t>2</w:t>
      </w:r>
      <w:r>
        <w:rPr>
          <w:rFonts w:ascii="宋体" w:hAnsi="宋体" w:cs="Times New Roman"/>
          <w14:ligatures w14:val="none"/>
        </w:rPr>
        <w:t>月</w:t>
      </w:r>
      <w:r>
        <w:rPr>
          <w:rFonts w:hint="eastAsia" w:cs="Times New Roman"/>
          <w14:ligatures w14:val="none"/>
        </w:rPr>
        <w:t>29</w:t>
      </w:r>
      <w:r>
        <w:rPr>
          <w:rFonts w:ascii="宋体" w:hAnsi="宋体" w:cs="Times New Roman"/>
          <w14:ligatures w14:val="none"/>
        </w:rPr>
        <w:t>日修订</w:t>
      </w:r>
      <w:r>
        <w:rPr>
          <w:rFonts w:cs="Times New Roman"/>
          <w14:ligatures w14:val="none"/>
        </w:rPr>
        <w:t>)</w:t>
      </w:r>
      <w:r>
        <w:rPr>
          <w:rFonts w:ascii="宋体" w:hAnsi="宋体" w:cs="Times New Roman"/>
          <w14:ligatures w14:val="none"/>
        </w:rPr>
        <w:t>；</w:t>
      </w:r>
    </w:p>
    <w:p w14:paraId="5608E70F">
      <w:pPr>
        <w:ind w:firstLine="480" w:firstLineChars="200"/>
        <w:rPr>
          <w:rFonts w:cs="Times New Roman"/>
          <w14:ligatures w14:val="none"/>
        </w:rPr>
      </w:pPr>
      <w:r>
        <w:rPr>
          <w:rFonts w:cs="Times New Roman"/>
          <w14:ligatures w14:val="none"/>
        </w:rPr>
        <w:t>(9)中华人民共和国国务院令第682号《建设项目环境保护管理条例》(2017年10月1日施行)；</w:t>
      </w:r>
    </w:p>
    <w:p w14:paraId="2E95202A">
      <w:pPr>
        <w:pStyle w:val="82"/>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(10)中华人民共和国国务院令第748号《地下水管理条例》(2021年1</w:t>
      </w:r>
      <w:r>
        <w:rPr>
          <w:rFonts w:hint="eastAsia" w:ascii="Times New Roman" w:hAnsi="Times New Roman" w:cs="Times New Roman"/>
          <w:color w:val="000000" w:themeColor="text1"/>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月</w:t>
      </w:r>
      <w:r>
        <w:rPr>
          <w:rFonts w:hint="eastAsia" w:ascii="Times New Roman" w:hAnsi="Times New Roman" w:cs="Times New Roman"/>
          <w:color w:val="000000" w:themeColor="text1"/>
          <w14:textFill>
            <w14:solidFill>
              <w14:schemeClr w14:val="tx1"/>
            </w14:solidFill>
          </w14:textFill>
        </w:rPr>
        <w:t>1</w:t>
      </w:r>
      <w:r>
        <w:rPr>
          <w:rFonts w:ascii="Times New Roman" w:hAnsi="Times New Roman" w:cs="Times New Roman"/>
          <w:color w:val="000000" w:themeColor="text1"/>
          <w14:textFill>
            <w14:solidFill>
              <w14:schemeClr w14:val="tx1"/>
            </w14:solidFill>
          </w14:textFill>
        </w:rPr>
        <w:t>日</w:t>
      </w:r>
      <w:r>
        <w:rPr>
          <w:rFonts w:hint="eastAsia" w:ascii="Times New Roman" w:hAnsi="Times New Roman" w:cs="Times New Roman"/>
          <w:color w:val="000000" w:themeColor="text1"/>
          <w14:textFill>
            <w14:solidFill>
              <w14:schemeClr w14:val="tx1"/>
            </w14:solidFill>
          </w14:textFill>
        </w:rPr>
        <w:t>施行</w:t>
      </w:r>
      <w:r>
        <w:rPr>
          <w:rFonts w:ascii="Times New Roman" w:hAnsi="Times New Roman" w:cs="Times New Roman"/>
          <w:color w:val="000000" w:themeColor="text1"/>
          <w14:textFill>
            <w14:solidFill>
              <w14:schemeClr w14:val="tx1"/>
            </w14:solidFill>
          </w14:textFill>
        </w:rPr>
        <w:t>)；</w:t>
      </w:r>
    </w:p>
    <w:p w14:paraId="29FFAC72">
      <w:pPr>
        <w:ind w:firstLine="480" w:firstLineChars="200"/>
        <w:rPr>
          <w:rFonts w:cs="Times New Roman"/>
          <w14:ligatures w14:val="none"/>
        </w:rPr>
      </w:pPr>
      <w:r>
        <w:rPr>
          <w:rFonts w:cs="Times New Roman"/>
          <w14:ligatures w14:val="none"/>
        </w:rPr>
        <w:t>(1</w:t>
      </w:r>
      <w:r>
        <w:rPr>
          <w:rFonts w:hint="eastAsia" w:cs="Times New Roman"/>
          <w14:ligatures w14:val="none"/>
        </w:rPr>
        <w:t>1</w:t>
      </w:r>
      <w:r>
        <w:rPr>
          <w:rFonts w:cs="Times New Roman"/>
          <w14:ligatures w14:val="none"/>
        </w:rPr>
        <w:t>)</w:t>
      </w:r>
      <w:r>
        <w:rPr>
          <w:rFonts w:ascii="宋体" w:hAnsi="宋体" w:cs="Times New Roman"/>
          <w14:ligatures w14:val="none"/>
        </w:rPr>
        <w:t>中华人民共和国生态环境部部令</w:t>
      </w:r>
      <w:r>
        <w:rPr>
          <w:rFonts w:cs="Times New Roman"/>
          <w14:ligatures w14:val="none"/>
        </w:rPr>
        <w:t>(2021)</w:t>
      </w:r>
      <w:r>
        <w:rPr>
          <w:rFonts w:ascii="宋体" w:hAnsi="宋体" w:cs="Times New Roman"/>
          <w14:ligatures w14:val="none"/>
        </w:rPr>
        <w:t>第</w:t>
      </w:r>
      <w:r>
        <w:rPr>
          <w:rFonts w:cs="Times New Roman"/>
          <w14:ligatures w14:val="none"/>
        </w:rPr>
        <w:t>16</w:t>
      </w:r>
      <w:r>
        <w:rPr>
          <w:rFonts w:ascii="宋体" w:hAnsi="宋体" w:cs="Times New Roman"/>
          <w14:ligatures w14:val="none"/>
        </w:rPr>
        <w:t>号《建设项目环境影响评价分类管理名录》，</w:t>
      </w:r>
      <w:r>
        <w:rPr>
          <w:rFonts w:cs="Times New Roman"/>
          <w14:ligatures w14:val="none"/>
        </w:rPr>
        <w:t>2020</w:t>
      </w:r>
      <w:r>
        <w:rPr>
          <w:rFonts w:ascii="宋体" w:hAnsi="宋体" w:cs="Times New Roman"/>
          <w14:ligatures w14:val="none"/>
        </w:rPr>
        <w:t>年</w:t>
      </w:r>
      <w:r>
        <w:rPr>
          <w:rFonts w:cs="Times New Roman"/>
          <w14:ligatures w14:val="none"/>
        </w:rPr>
        <w:t>11</w:t>
      </w:r>
      <w:r>
        <w:rPr>
          <w:rFonts w:ascii="宋体" w:hAnsi="宋体" w:cs="Times New Roman"/>
          <w14:ligatures w14:val="none"/>
        </w:rPr>
        <w:t>月</w:t>
      </w:r>
      <w:r>
        <w:rPr>
          <w:rFonts w:cs="Times New Roman"/>
          <w14:ligatures w14:val="none"/>
        </w:rPr>
        <w:t>30</w:t>
      </w:r>
      <w:r>
        <w:rPr>
          <w:rFonts w:ascii="宋体" w:hAnsi="宋体" w:cs="Times New Roman"/>
          <w14:ligatures w14:val="none"/>
        </w:rPr>
        <w:t>日；</w:t>
      </w:r>
    </w:p>
    <w:p w14:paraId="50876C4D">
      <w:pPr>
        <w:ind w:firstLine="480" w:firstLineChars="200"/>
        <w:rPr>
          <w:rFonts w:cs="Times New Roman"/>
          <w14:ligatures w14:val="none"/>
        </w:rPr>
      </w:pPr>
      <w:r>
        <w:rPr>
          <w:rFonts w:cs="Times New Roman"/>
          <w14:ligatures w14:val="none"/>
        </w:rPr>
        <w:t>(1</w:t>
      </w:r>
      <w:r>
        <w:rPr>
          <w:rFonts w:hint="eastAsia" w:cs="Times New Roman"/>
          <w14:ligatures w14:val="none"/>
        </w:rPr>
        <w:t>2</w:t>
      </w:r>
      <w:r>
        <w:rPr>
          <w:rFonts w:cs="Times New Roman"/>
          <w14:ligatures w14:val="none"/>
        </w:rPr>
        <w:t>)</w:t>
      </w:r>
      <w:r>
        <w:rPr>
          <w:rFonts w:ascii="宋体" w:hAnsi="宋体" w:cs="Times New Roman"/>
          <w14:ligatures w14:val="none"/>
        </w:rPr>
        <w:t>中共中央国务院《关于全面加强生态环境保护坚决打好污染防治攻坚战的意见》</w:t>
      </w:r>
      <w:r>
        <w:rPr>
          <w:rFonts w:hint="eastAsia" w:ascii="宋体" w:hAnsi="宋体" w:cs="Times New Roman"/>
          <w14:ligatures w14:val="none"/>
        </w:rPr>
        <w:t>，</w:t>
      </w:r>
      <w:r>
        <w:rPr>
          <w:rFonts w:cs="Times New Roman"/>
          <w14:ligatures w14:val="none"/>
        </w:rPr>
        <w:t>2018年6月16日；</w:t>
      </w:r>
    </w:p>
    <w:p w14:paraId="7652AC79">
      <w:pPr>
        <w:ind w:firstLine="480" w:firstLineChars="200"/>
        <w:rPr>
          <w:rFonts w:cs="Times New Roman"/>
          <w14:ligatures w14:val="none"/>
        </w:rPr>
      </w:pPr>
      <w:r>
        <w:rPr>
          <w:rFonts w:cs="Times New Roman"/>
          <w14:ligatures w14:val="none"/>
        </w:rPr>
        <w:t>(13)中华人民共和国国务院令国发[2011]35号《国务院关于加强环境保护重点工作的意见》，2011年10月17日；</w:t>
      </w:r>
    </w:p>
    <w:p w14:paraId="5CAF8A60">
      <w:pPr>
        <w:ind w:firstLine="480" w:firstLineChars="200"/>
        <w:rPr>
          <w:rFonts w:cs="Times New Roman"/>
          <w14:ligatures w14:val="none"/>
        </w:rPr>
      </w:pPr>
      <w:r>
        <w:rPr>
          <w:rFonts w:cs="Times New Roman"/>
          <w14:ligatures w14:val="none"/>
        </w:rPr>
        <w:t>(14)中华人民共和国国务院国发[2015]17号《国务院关于印发水污染防治行动计划的通知》，2015年4月2日；</w:t>
      </w:r>
    </w:p>
    <w:p w14:paraId="555C7EC8">
      <w:pPr>
        <w:ind w:firstLine="480" w:firstLineChars="200"/>
        <w:rPr>
          <w:rFonts w:cs="Times New Roman"/>
          <w14:ligatures w14:val="none"/>
        </w:rPr>
      </w:pPr>
      <w:r>
        <w:rPr>
          <w:rFonts w:cs="Times New Roman"/>
          <w14:ligatures w14:val="none"/>
        </w:rPr>
        <w:t>(15)中华人民共和国国务院国发[2016]31号《国务院关于印发土壤污染防治行动计划的通知》，2016年5月28日；</w:t>
      </w:r>
    </w:p>
    <w:p w14:paraId="5878ACCD">
      <w:pPr>
        <w:ind w:firstLine="480" w:firstLineChars="200"/>
        <w:rPr>
          <w:rFonts w:cs="Times New Roman"/>
          <w14:ligatures w14:val="none"/>
        </w:rPr>
      </w:pPr>
      <w:r>
        <w:rPr>
          <w:rFonts w:cs="Times New Roman"/>
          <w14:ligatures w14:val="none"/>
        </w:rPr>
        <w:t>(16)国家发展和改革委员会第7号令《产业结构调整指导目录(2024年本)》，202</w:t>
      </w:r>
      <w:r>
        <w:rPr>
          <w:rFonts w:hint="eastAsia" w:cs="Times New Roman"/>
          <w14:ligatures w14:val="none"/>
        </w:rPr>
        <w:t>4</w:t>
      </w:r>
      <w:r>
        <w:rPr>
          <w:rFonts w:cs="Times New Roman"/>
          <w14:ligatures w14:val="none"/>
        </w:rPr>
        <w:t>年</w:t>
      </w:r>
      <w:r>
        <w:rPr>
          <w:rFonts w:hint="eastAsia" w:cs="Times New Roman"/>
          <w14:ligatures w14:val="none"/>
        </w:rPr>
        <w:t>2</w:t>
      </w:r>
      <w:r>
        <w:rPr>
          <w:rFonts w:cs="Times New Roman"/>
          <w14:ligatures w14:val="none"/>
        </w:rPr>
        <w:t>月</w:t>
      </w:r>
      <w:r>
        <w:rPr>
          <w:rFonts w:hint="eastAsia" w:cs="Times New Roman"/>
          <w14:ligatures w14:val="none"/>
        </w:rPr>
        <w:t>1</w:t>
      </w:r>
      <w:r>
        <w:rPr>
          <w:rFonts w:cs="Times New Roman"/>
          <w14:ligatures w14:val="none"/>
        </w:rPr>
        <w:t>日</w:t>
      </w:r>
      <w:r>
        <w:rPr>
          <w:rFonts w:hint="eastAsia" w:cs="Times New Roman"/>
          <w14:ligatures w14:val="none"/>
        </w:rPr>
        <w:t>施行</w:t>
      </w:r>
      <w:r>
        <w:rPr>
          <w:rFonts w:cs="Times New Roman"/>
          <w14:ligatures w14:val="none"/>
        </w:rPr>
        <w:t>；</w:t>
      </w:r>
    </w:p>
    <w:p w14:paraId="288A0EC3">
      <w:pPr>
        <w:ind w:firstLine="480" w:firstLineChars="200"/>
        <w:rPr>
          <w:rFonts w:cs="Times New Roman"/>
          <w14:ligatures w14:val="none"/>
        </w:rPr>
      </w:pPr>
      <w:r>
        <w:rPr>
          <w:rFonts w:cs="Times New Roman"/>
          <w14:ligatures w14:val="none"/>
        </w:rPr>
        <w:t>(1</w:t>
      </w:r>
      <w:r>
        <w:rPr>
          <w:rFonts w:hint="eastAsia" w:cs="Times New Roman"/>
          <w14:ligatures w14:val="none"/>
        </w:rPr>
        <w:t>7</w:t>
      </w:r>
      <w:r>
        <w:rPr>
          <w:rFonts w:cs="Times New Roman"/>
          <w14:ligatures w14:val="none"/>
        </w:rPr>
        <w:t>)</w:t>
      </w:r>
      <w:r>
        <w:rPr>
          <w:rFonts w:cs="Times New Roman"/>
        </w:rPr>
        <w:t>国务院</w:t>
      </w:r>
      <w:r>
        <w:rPr>
          <w:rFonts w:cs="Times New Roman"/>
          <w14:ligatures w14:val="none"/>
        </w:rPr>
        <w:t>国发[2023]24号“国务院关于印发《空气质量持续改善行动计划》的通知”，2023年11月30日；</w:t>
      </w:r>
    </w:p>
    <w:p w14:paraId="536523F5">
      <w:pPr>
        <w:ind w:firstLine="480" w:firstLineChars="200"/>
        <w:rPr>
          <w:rFonts w:cs="Times New Roman"/>
          <w14:ligatures w14:val="none"/>
        </w:rPr>
      </w:pPr>
      <w:r>
        <w:rPr>
          <w:rFonts w:cs="Times New Roman"/>
          <w14:ligatures w14:val="none"/>
        </w:rPr>
        <w:t>(1</w:t>
      </w:r>
      <w:r>
        <w:rPr>
          <w:rFonts w:hint="eastAsia" w:cs="Times New Roman"/>
          <w14:ligatures w14:val="none"/>
        </w:rPr>
        <w:t>8</w:t>
      </w:r>
      <w:r>
        <w:rPr>
          <w:rFonts w:cs="Times New Roman"/>
          <w14:ligatures w14:val="none"/>
        </w:rPr>
        <w:t>)中华人民共和国生态环境部部令第4号《环境影响评价公众参与办法》，2019年1</w:t>
      </w:r>
      <w:r>
        <w:rPr>
          <w:rFonts w:ascii="宋体" w:hAnsi="宋体" w:cs="Times New Roman"/>
          <w14:ligatures w14:val="none"/>
        </w:rPr>
        <w:t>月</w:t>
      </w:r>
      <w:r>
        <w:rPr>
          <w:rFonts w:cs="Times New Roman"/>
          <w14:ligatures w14:val="none"/>
        </w:rPr>
        <w:t>1</w:t>
      </w:r>
      <w:r>
        <w:rPr>
          <w:rFonts w:ascii="宋体" w:hAnsi="宋体" w:cs="Times New Roman"/>
          <w14:ligatures w14:val="none"/>
        </w:rPr>
        <w:t>日实施；</w:t>
      </w:r>
    </w:p>
    <w:p w14:paraId="6A215507">
      <w:pPr>
        <w:ind w:firstLine="480" w:firstLineChars="200"/>
        <w:rPr>
          <w:rFonts w:cs="Times New Roman"/>
          <w14:ligatures w14:val="none"/>
        </w:rPr>
      </w:pPr>
      <w:r>
        <w:rPr>
          <w:rFonts w:cs="Times New Roman"/>
          <w14:ligatures w14:val="none"/>
        </w:rPr>
        <w:t>(1</w:t>
      </w:r>
      <w:r>
        <w:rPr>
          <w:rFonts w:hint="eastAsia" w:cs="Times New Roman"/>
          <w14:ligatures w14:val="none"/>
        </w:rPr>
        <w:t>9</w:t>
      </w:r>
      <w:r>
        <w:rPr>
          <w:rFonts w:cs="Times New Roman"/>
          <w14:ligatures w14:val="none"/>
        </w:rPr>
        <w:t>)</w:t>
      </w:r>
      <w:r>
        <w:rPr>
          <w:rFonts w:ascii="宋体" w:hAnsi="宋体" w:cs="Times New Roman"/>
          <w14:ligatures w14:val="none"/>
        </w:rPr>
        <w:t>生态环境部、国家发展和改革委员会、公安部、交通运输部、国家卫生健康委员会令第</w:t>
      </w:r>
      <w:r>
        <w:rPr>
          <w:rFonts w:cs="Times New Roman"/>
          <w14:ligatures w14:val="none"/>
        </w:rPr>
        <w:t>36</w:t>
      </w:r>
      <w:r>
        <w:rPr>
          <w:rFonts w:ascii="宋体" w:hAnsi="宋体" w:cs="Times New Roman"/>
          <w14:ligatures w14:val="none"/>
        </w:rPr>
        <w:t>号公布，《国家危险废物名录》</w:t>
      </w:r>
      <w:r>
        <w:rPr>
          <w:rFonts w:cs="Times New Roman"/>
          <w14:ligatures w14:val="none"/>
        </w:rPr>
        <w:t>(2025</w:t>
      </w:r>
      <w:r>
        <w:rPr>
          <w:rFonts w:ascii="宋体" w:hAnsi="宋体" w:cs="Times New Roman"/>
          <w14:ligatures w14:val="none"/>
        </w:rPr>
        <w:t>版</w:t>
      </w:r>
      <w:r>
        <w:rPr>
          <w:rFonts w:cs="Times New Roman"/>
          <w14:ligatures w14:val="none"/>
        </w:rPr>
        <w:t>)</w:t>
      </w:r>
      <w:r>
        <w:rPr>
          <w:rFonts w:ascii="宋体" w:hAnsi="宋体" w:cs="Times New Roman"/>
          <w14:ligatures w14:val="none"/>
        </w:rPr>
        <w:t>，</w:t>
      </w:r>
      <w:r>
        <w:rPr>
          <w:rFonts w:cs="Times New Roman"/>
          <w14:ligatures w14:val="none"/>
        </w:rPr>
        <w:t>2024</w:t>
      </w:r>
      <w:r>
        <w:rPr>
          <w:rFonts w:ascii="宋体" w:hAnsi="宋体" w:cs="Times New Roman"/>
          <w14:ligatures w14:val="none"/>
        </w:rPr>
        <w:t>年</w:t>
      </w:r>
      <w:r>
        <w:rPr>
          <w:rFonts w:cs="Times New Roman"/>
          <w14:ligatures w14:val="none"/>
        </w:rPr>
        <w:t>11</w:t>
      </w:r>
      <w:r>
        <w:rPr>
          <w:rFonts w:ascii="宋体" w:hAnsi="宋体" w:cs="Times New Roman"/>
          <w14:ligatures w14:val="none"/>
        </w:rPr>
        <w:t>月</w:t>
      </w:r>
      <w:r>
        <w:rPr>
          <w:rFonts w:cs="Times New Roman"/>
          <w14:ligatures w14:val="none"/>
        </w:rPr>
        <w:t>26</w:t>
      </w:r>
      <w:r>
        <w:rPr>
          <w:rFonts w:ascii="宋体" w:hAnsi="宋体" w:cs="Times New Roman"/>
          <w14:ligatures w14:val="none"/>
        </w:rPr>
        <w:t>日；</w:t>
      </w:r>
    </w:p>
    <w:p w14:paraId="1BC7E462">
      <w:pPr>
        <w:ind w:firstLine="480" w:firstLineChars="200"/>
        <w:rPr>
          <w:rFonts w:cs="Times New Roman"/>
          <w14:ligatures w14:val="none"/>
        </w:rPr>
      </w:pPr>
      <w:r>
        <w:rPr>
          <w:rFonts w:cs="Times New Roman"/>
          <w14:ligatures w14:val="none"/>
        </w:rPr>
        <w:t>(</w:t>
      </w:r>
      <w:r>
        <w:rPr>
          <w:rFonts w:hint="eastAsia" w:cs="Times New Roman"/>
          <w14:ligatures w14:val="none"/>
        </w:rPr>
        <w:t>20</w:t>
      </w:r>
      <w:r>
        <w:rPr>
          <w:rFonts w:cs="Times New Roman"/>
          <w14:ligatures w14:val="none"/>
        </w:rPr>
        <w:t>)</w:t>
      </w:r>
      <w:r>
        <w:rPr>
          <w:rFonts w:ascii="宋体" w:hAnsi="宋体" w:cs="Times New Roman"/>
          <w14:ligatures w14:val="none"/>
        </w:rPr>
        <w:t>中华人民共和国原环境保护部环发</w:t>
      </w:r>
      <w:r>
        <w:rPr>
          <w:rFonts w:cs="Times New Roman"/>
          <w14:ligatures w14:val="none"/>
        </w:rPr>
        <w:t>[2014]197</w:t>
      </w:r>
      <w:r>
        <w:rPr>
          <w:rFonts w:ascii="宋体" w:hAnsi="宋体" w:cs="Times New Roman"/>
          <w14:ligatures w14:val="none"/>
        </w:rPr>
        <w:t>号</w:t>
      </w:r>
      <w:r>
        <w:rPr>
          <w:rFonts w:cs="Times New Roman"/>
          <w14:ligatures w14:val="none"/>
        </w:rPr>
        <w:t>“</w:t>
      </w:r>
      <w:r>
        <w:rPr>
          <w:rFonts w:ascii="宋体" w:hAnsi="宋体" w:cs="Times New Roman"/>
          <w14:ligatures w14:val="none"/>
        </w:rPr>
        <w:t>关于印发《建设项目主要污染物排放总量指标审核及管理暂行办法》的通知</w:t>
      </w:r>
      <w:r>
        <w:rPr>
          <w:rFonts w:cs="Times New Roman"/>
          <w14:ligatures w14:val="none"/>
        </w:rPr>
        <w:t>”</w:t>
      </w:r>
      <w:r>
        <w:rPr>
          <w:rFonts w:ascii="宋体" w:hAnsi="宋体" w:cs="Times New Roman"/>
          <w14:ligatures w14:val="none"/>
        </w:rPr>
        <w:t>，</w:t>
      </w:r>
      <w:r>
        <w:rPr>
          <w:rFonts w:cs="Times New Roman"/>
          <w14:ligatures w14:val="none"/>
        </w:rPr>
        <w:t>2014</w:t>
      </w:r>
      <w:r>
        <w:rPr>
          <w:rFonts w:ascii="宋体" w:hAnsi="宋体" w:cs="Times New Roman"/>
          <w14:ligatures w14:val="none"/>
        </w:rPr>
        <w:t>年</w:t>
      </w:r>
      <w:r>
        <w:rPr>
          <w:rFonts w:cs="Times New Roman"/>
          <w14:ligatures w14:val="none"/>
        </w:rPr>
        <w:t>12</w:t>
      </w:r>
      <w:r>
        <w:rPr>
          <w:rFonts w:ascii="宋体" w:hAnsi="宋体" w:cs="Times New Roman"/>
          <w14:ligatures w14:val="none"/>
        </w:rPr>
        <w:t>月</w:t>
      </w:r>
      <w:r>
        <w:rPr>
          <w:rFonts w:cs="Times New Roman"/>
          <w14:ligatures w14:val="none"/>
        </w:rPr>
        <w:t>31</w:t>
      </w:r>
      <w:r>
        <w:rPr>
          <w:rFonts w:ascii="宋体" w:hAnsi="宋体" w:cs="Times New Roman"/>
          <w14:ligatures w14:val="none"/>
        </w:rPr>
        <w:t>日；</w:t>
      </w:r>
    </w:p>
    <w:p w14:paraId="5E913A39">
      <w:pPr>
        <w:ind w:firstLine="480" w:firstLineChars="200"/>
        <w:rPr>
          <w:rFonts w:cs="Times New Roman"/>
          <w14:ligatures w14:val="none"/>
        </w:rPr>
      </w:pPr>
      <w:r>
        <w:rPr>
          <w:rFonts w:cs="Times New Roman"/>
          <w14:ligatures w14:val="none"/>
        </w:rPr>
        <w:t>(2</w:t>
      </w:r>
      <w:r>
        <w:rPr>
          <w:rFonts w:hint="eastAsia" w:cs="Times New Roman"/>
          <w14:ligatures w14:val="none"/>
        </w:rPr>
        <w:t>1</w:t>
      </w:r>
      <w:r>
        <w:rPr>
          <w:rFonts w:cs="Times New Roman"/>
          <w14:ligatures w14:val="none"/>
        </w:rPr>
        <w:t>)</w:t>
      </w:r>
      <w:r>
        <w:rPr>
          <w:rFonts w:ascii="宋体" w:hAnsi="宋体" w:cs="Times New Roman"/>
          <w14:ligatures w14:val="none"/>
        </w:rPr>
        <w:t>中华人民共和国原环境保护部环环评</w:t>
      </w:r>
      <w:r>
        <w:rPr>
          <w:rFonts w:cs="Times New Roman"/>
          <w14:ligatures w14:val="none"/>
        </w:rPr>
        <w:t>[2018]11</w:t>
      </w:r>
      <w:r>
        <w:rPr>
          <w:rFonts w:ascii="宋体" w:hAnsi="宋体" w:cs="Times New Roman"/>
          <w14:ligatures w14:val="none"/>
        </w:rPr>
        <w:t>号《关于强化建设项目环境影响评价事中事后监管的实施意见》，</w:t>
      </w:r>
      <w:r>
        <w:rPr>
          <w:rFonts w:cs="Times New Roman"/>
          <w14:ligatures w14:val="none"/>
        </w:rPr>
        <w:t>2018</w:t>
      </w:r>
      <w:r>
        <w:rPr>
          <w:rFonts w:ascii="宋体" w:hAnsi="宋体" w:cs="Times New Roman"/>
          <w14:ligatures w14:val="none"/>
        </w:rPr>
        <w:t>年</w:t>
      </w:r>
      <w:r>
        <w:rPr>
          <w:rFonts w:cs="Times New Roman"/>
          <w14:ligatures w14:val="none"/>
        </w:rPr>
        <w:t>1</w:t>
      </w:r>
      <w:r>
        <w:rPr>
          <w:rFonts w:ascii="宋体" w:hAnsi="宋体" w:cs="Times New Roman"/>
          <w14:ligatures w14:val="none"/>
        </w:rPr>
        <w:t>月</w:t>
      </w:r>
      <w:r>
        <w:rPr>
          <w:rFonts w:cs="Times New Roman"/>
          <w14:ligatures w14:val="none"/>
        </w:rPr>
        <w:t>26</w:t>
      </w:r>
      <w:r>
        <w:rPr>
          <w:rFonts w:ascii="宋体" w:hAnsi="宋体" w:cs="Times New Roman"/>
          <w14:ligatures w14:val="none"/>
        </w:rPr>
        <w:t>日；</w:t>
      </w:r>
    </w:p>
    <w:p w14:paraId="04738682">
      <w:pPr>
        <w:ind w:firstLine="480" w:firstLineChars="200"/>
        <w:rPr>
          <w:rFonts w:cs="Times New Roman"/>
          <w14:ligatures w14:val="none"/>
        </w:rPr>
      </w:pPr>
      <w:r>
        <w:rPr>
          <w:rFonts w:cs="Times New Roman"/>
          <w14:ligatures w14:val="none"/>
        </w:rPr>
        <w:t>(2</w:t>
      </w:r>
      <w:r>
        <w:rPr>
          <w:rFonts w:hint="eastAsia" w:cs="Times New Roman"/>
          <w14:ligatures w14:val="none"/>
        </w:rPr>
        <w:t>2</w:t>
      </w:r>
      <w:r>
        <w:rPr>
          <w:rFonts w:cs="Times New Roman"/>
          <w14:ligatures w14:val="none"/>
        </w:rPr>
        <w:t>)</w:t>
      </w:r>
      <w:r>
        <w:rPr>
          <w:rFonts w:ascii="宋体" w:hAnsi="宋体" w:cs="Times New Roman"/>
          <w14:ligatures w14:val="none"/>
        </w:rPr>
        <w:t>工信部</w:t>
      </w:r>
      <w:r>
        <w:rPr>
          <w:rFonts w:cs="Times New Roman"/>
          <w14:ligatures w14:val="none"/>
        </w:rPr>
        <w:t>[2021]178</w:t>
      </w:r>
      <w:r>
        <w:rPr>
          <w:rFonts w:ascii="宋体" w:hAnsi="宋体" w:cs="Times New Roman"/>
          <w14:ligatures w14:val="none"/>
        </w:rPr>
        <w:t>号《关于印发</w:t>
      </w:r>
      <w:r>
        <w:rPr>
          <w:rFonts w:cs="Times New Roman"/>
          <w14:ligatures w14:val="none"/>
        </w:rPr>
        <w:t>&lt;“</w:t>
      </w:r>
      <w:r>
        <w:rPr>
          <w:rFonts w:ascii="宋体" w:hAnsi="宋体" w:cs="Times New Roman"/>
          <w14:ligatures w14:val="none"/>
        </w:rPr>
        <w:t>十四五</w:t>
      </w:r>
      <w:r>
        <w:rPr>
          <w:rFonts w:cs="Times New Roman"/>
          <w14:ligatures w14:val="none"/>
        </w:rPr>
        <w:t>”</w:t>
      </w:r>
      <w:r>
        <w:rPr>
          <w:rFonts w:ascii="宋体" w:hAnsi="宋体" w:cs="Times New Roman"/>
          <w14:ligatures w14:val="none"/>
        </w:rPr>
        <w:t>工业绿色发展规划</w:t>
      </w:r>
      <w:r>
        <w:rPr>
          <w:rFonts w:cs="Times New Roman"/>
          <w14:ligatures w14:val="none"/>
        </w:rPr>
        <w:t>&gt;</w:t>
      </w:r>
      <w:r>
        <w:rPr>
          <w:rFonts w:ascii="宋体" w:hAnsi="宋体" w:cs="Times New Roman"/>
          <w14:ligatures w14:val="none"/>
        </w:rPr>
        <w:t>的通知》，</w:t>
      </w:r>
      <w:r>
        <w:rPr>
          <w:rFonts w:cs="Times New Roman"/>
          <w14:ligatures w14:val="none"/>
        </w:rPr>
        <w:t>2021</w:t>
      </w:r>
      <w:r>
        <w:rPr>
          <w:rFonts w:ascii="宋体" w:hAnsi="宋体" w:cs="Times New Roman"/>
          <w14:ligatures w14:val="none"/>
        </w:rPr>
        <w:t>年</w:t>
      </w:r>
      <w:r>
        <w:rPr>
          <w:rFonts w:cs="Times New Roman"/>
          <w14:ligatures w14:val="none"/>
        </w:rPr>
        <w:t>1</w:t>
      </w:r>
      <w:r>
        <w:rPr>
          <w:rFonts w:hint="eastAsia" w:cs="Times New Roman"/>
          <w14:ligatures w14:val="none"/>
        </w:rPr>
        <w:t>1</w:t>
      </w:r>
      <w:r>
        <w:rPr>
          <w:rFonts w:ascii="宋体" w:hAnsi="宋体" w:cs="Times New Roman"/>
          <w14:ligatures w14:val="none"/>
        </w:rPr>
        <w:t>月</w:t>
      </w:r>
      <w:r>
        <w:rPr>
          <w:rFonts w:hint="eastAsia" w:cs="Times New Roman"/>
          <w14:ligatures w14:val="none"/>
        </w:rPr>
        <w:t>15</w:t>
      </w:r>
      <w:r>
        <w:rPr>
          <w:rFonts w:ascii="宋体" w:hAnsi="宋体" w:cs="Times New Roman"/>
          <w14:ligatures w14:val="none"/>
        </w:rPr>
        <w:t>日；</w:t>
      </w:r>
    </w:p>
    <w:p w14:paraId="5EFBEEFC">
      <w:pPr>
        <w:ind w:firstLine="480" w:firstLineChars="200"/>
        <w:rPr>
          <w:rFonts w:hint="eastAsia" w:ascii="宋体" w:hAnsi="宋体" w:cs="Times New Roman"/>
          <w14:ligatures w14:val="none"/>
        </w:rPr>
      </w:pPr>
      <w:r>
        <w:rPr>
          <w:rFonts w:cs="Times New Roman"/>
          <w14:ligatures w14:val="none"/>
        </w:rPr>
        <w:t>(2</w:t>
      </w:r>
      <w:r>
        <w:rPr>
          <w:rFonts w:hint="eastAsia" w:cs="Times New Roman"/>
          <w14:ligatures w14:val="none"/>
        </w:rPr>
        <w:t>3</w:t>
      </w:r>
      <w:r>
        <w:rPr>
          <w:rFonts w:cs="Times New Roman"/>
          <w14:ligatures w14:val="none"/>
        </w:rPr>
        <w:t>)</w:t>
      </w:r>
      <w:r>
        <w:rPr>
          <w:rFonts w:hint="eastAsia" w:ascii="宋体" w:hAnsi="宋体" w:cs="Times New Roman"/>
          <w14:ligatures w14:val="none"/>
        </w:rPr>
        <w:t>中共中央国务院</w:t>
      </w:r>
      <w:r>
        <w:rPr>
          <w:rFonts w:ascii="宋体" w:hAnsi="宋体" w:cs="Times New Roman"/>
          <w14:ligatures w14:val="none"/>
        </w:rPr>
        <w:t>《关于深入打好污染防治攻坚战的意见》，</w:t>
      </w:r>
      <w:r>
        <w:rPr>
          <w:rFonts w:cs="Times New Roman"/>
          <w14:ligatures w14:val="none"/>
        </w:rPr>
        <w:t>2021</w:t>
      </w:r>
      <w:r>
        <w:rPr>
          <w:rFonts w:ascii="宋体" w:hAnsi="宋体" w:cs="Times New Roman"/>
          <w14:ligatures w14:val="none"/>
        </w:rPr>
        <w:t>年</w:t>
      </w:r>
      <w:r>
        <w:rPr>
          <w:rFonts w:hint="eastAsia" w:cs="Times New Roman"/>
          <w14:ligatures w14:val="none"/>
        </w:rPr>
        <w:t>11</w:t>
      </w:r>
      <w:r>
        <w:rPr>
          <w:rFonts w:ascii="宋体" w:hAnsi="宋体" w:cs="Times New Roman"/>
          <w14:ligatures w14:val="none"/>
        </w:rPr>
        <w:t>月</w:t>
      </w:r>
      <w:r>
        <w:rPr>
          <w:rFonts w:hint="eastAsia" w:cs="Times New Roman"/>
          <w14:ligatures w14:val="none"/>
        </w:rPr>
        <w:t>2</w:t>
      </w:r>
      <w:r>
        <w:rPr>
          <w:rFonts w:ascii="宋体" w:hAnsi="宋体" w:cs="Times New Roman"/>
          <w14:ligatures w14:val="none"/>
        </w:rPr>
        <w:t>日；</w:t>
      </w:r>
    </w:p>
    <w:p w14:paraId="020C1783">
      <w:pPr>
        <w:ind w:firstLine="480" w:firstLineChars="200"/>
        <w:rPr>
          <w:rFonts w:cs="Times New Roman"/>
          <w14:ligatures w14:val="none"/>
        </w:rPr>
      </w:pPr>
      <w:r>
        <w:rPr>
          <w:rFonts w:cs="Times New Roman"/>
          <w14:ligatures w14:val="none"/>
        </w:rPr>
        <w:t>(2</w:t>
      </w:r>
      <w:r>
        <w:rPr>
          <w:rFonts w:hint="eastAsia" w:cs="Times New Roman"/>
          <w14:ligatures w14:val="none"/>
        </w:rPr>
        <w:t>4</w:t>
      </w:r>
      <w:r>
        <w:rPr>
          <w:rFonts w:cs="Times New Roman"/>
          <w14:ligatures w14:val="none"/>
        </w:rPr>
        <w:t>)</w:t>
      </w:r>
      <w:r>
        <w:rPr>
          <w:rFonts w:ascii="宋体" w:hAnsi="宋体" w:cs="Times New Roman"/>
          <w14:ligatures w14:val="none"/>
        </w:rPr>
        <w:t>生态环境部《环境保护综合名录</w:t>
      </w:r>
      <w:r>
        <w:rPr>
          <w:rFonts w:cs="Times New Roman"/>
          <w14:ligatures w14:val="none"/>
        </w:rPr>
        <w:t>(2021</w:t>
      </w:r>
      <w:r>
        <w:rPr>
          <w:rFonts w:ascii="宋体" w:hAnsi="宋体" w:cs="Times New Roman"/>
          <w14:ligatures w14:val="none"/>
        </w:rPr>
        <w:t>年版</w:t>
      </w:r>
      <w:r>
        <w:rPr>
          <w:rFonts w:cs="Times New Roman"/>
          <w14:ligatures w14:val="none"/>
        </w:rPr>
        <w:t>)</w:t>
      </w:r>
      <w:r>
        <w:rPr>
          <w:rFonts w:ascii="宋体" w:hAnsi="宋体" w:cs="Times New Roman"/>
          <w14:ligatures w14:val="none"/>
        </w:rPr>
        <w:t>》，</w:t>
      </w:r>
      <w:r>
        <w:rPr>
          <w:rFonts w:cs="Times New Roman"/>
          <w14:ligatures w14:val="none"/>
        </w:rPr>
        <w:t>2021</w:t>
      </w:r>
      <w:r>
        <w:rPr>
          <w:rFonts w:ascii="宋体" w:hAnsi="宋体" w:cs="Times New Roman"/>
          <w14:ligatures w14:val="none"/>
        </w:rPr>
        <w:t>年</w:t>
      </w:r>
      <w:r>
        <w:rPr>
          <w:rFonts w:cs="Times New Roman"/>
          <w14:ligatures w14:val="none"/>
        </w:rPr>
        <w:t>1</w:t>
      </w:r>
      <w:r>
        <w:rPr>
          <w:rFonts w:hint="eastAsia" w:cs="Times New Roman"/>
          <w14:ligatures w14:val="none"/>
        </w:rPr>
        <w:t>0</w:t>
      </w:r>
      <w:r>
        <w:rPr>
          <w:rFonts w:ascii="宋体" w:hAnsi="宋体" w:cs="Times New Roman"/>
          <w14:ligatures w14:val="none"/>
        </w:rPr>
        <w:t>月</w:t>
      </w:r>
      <w:r>
        <w:rPr>
          <w:rFonts w:hint="eastAsia" w:cs="Times New Roman"/>
          <w14:ligatures w14:val="none"/>
        </w:rPr>
        <w:t>25</w:t>
      </w:r>
      <w:r>
        <w:rPr>
          <w:rFonts w:ascii="宋体" w:hAnsi="宋体" w:cs="Times New Roman"/>
          <w14:ligatures w14:val="none"/>
        </w:rPr>
        <w:t>日；</w:t>
      </w:r>
    </w:p>
    <w:p w14:paraId="24EEA787">
      <w:pPr>
        <w:ind w:firstLine="480" w:firstLineChars="200"/>
        <w:rPr>
          <w:rFonts w:cs="Times New Roman"/>
          <w14:ligatures w14:val="none"/>
        </w:rPr>
      </w:pPr>
      <w:r>
        <w:rPr>
          <w:rFonts w:cs="Times New Roman"/>
          <w14:ligatures w14:val="none"/>
        </w:rPr>
        <w:t>(2</w:t>
      </w:r>
      <w:r>
        <w:rPr>
          <w:rFonts w:hint="eastAsia" w:cs="Times New Roman"/>
          <w14:ligatures w14:val="none"/>
        </w:rPr>
        <w:t>5</w:t>
      </w:r>
      <w:r>
        <w:rPr>
          <w:rFonts w:cs="Times New Roman"/>
          <w14:ligatures w14:val="none"/>
        </w:rPr>
        <w:t>)</w:t>
      </w:r>
      <w:r>
        <w:rPr>
          <w:rFonts w:ascii="宋体" w:hAnsi="宋体" w:cs="Times New Roman"/>
          <w14:ligatures w14:val="none"/>
        </w:rPr>
        <w:t>中华人民共和国国务院令第</w:t>
      </w:r>
      <w:r>
        <w:rPr>
          <w:rFonts w:cs="Times New Roman"/>
          <w14:ligatures w14:val="none"/>
        </w:rPr>
        <w:t>736</w:t>
      </w:r>
      <w:r>
        <w:rPr>
          <w:rFonts w:ascii="宋体" w:hAnsi="宋体" w:cs="Times New Roman"/>
          <w14:ligatures w14:val="none"/>
        </w:rPr>
        <w:t>号，《排污许可管理条例》，</w:t>
      </w:r>
      <w:r>
        <w:rPr>
          <w:rFonts w:cs="Times New Roman"/>
          <w14:ligatures w14:val="none"/>
        </w:rPr>
        <w:t>2021</w:t>
      </w:r>
      <w:r>
        <w:rPr>
          <w:rFonts w:ascii="宋体" w:hAnsi="宋体" w:cs="Times New Roman"/>
          <w14:ligatures w14:val="none"/>
        </w:rPr>
        <w:t>年</w:t>
      </w:r>
      <w:r>
        <w:rPr>
          <w:rFonts w:cs="Times New Roman"/>
          <w14:ligatures w14:val="none"/>
        </w:rPr>
        <w:t>3</w:t>
      </w:r>
      <w:r>
        <w:rPr>
          <w:rFonts w:ascii="宋体" w:hAnsi="宋体" w:cs="Times New Roman"/>
          <w14:ligatures w14:val="none"/>
        </w:rPr>
        <w:t>月</w:t>
      </w:r>
      <w:r>
        <w:rPr>
          <w:rFonts w:cs="Times New Roman"/>
          <w14:ligatures w14:val="none"/>
        </w:rPr>
        <w:t>1</w:t>
      </w:r>
      <w:r>
        <w:rPr>
          <w:rFonts w:ascii="宋体" w:hAnsi="宋体" w:cs="Times New Roman"/>
          <w14:ligatures w14:val="none"/>
        </w:rPr>
        <w:t>日施行；</w:t>
      </w:r>
    </w:p>
    <w:p w14:paraId="729D9C97">
      <w:pPr>
        <w:ind w:firstLine="480" w:firstLineChars="200"/>
        <w:rPr>
          <w:rFonts w:hint="eastAsia" w:ascii="宋体" w:hAnsi="宋体" w:cs="Times New Roman"/>
          <w14:ligatures w14:val="none"/>
        </w:rPr>
      </w:pPr>
      <w:r>
        <w:rPr>
          <w:rFonts w:hint="eastAsia" w:cs="Times New Roman"/>
          <w14:ligatures w14:val="none"/>
        </w:rPr>
        <w:t>(26)</w:t>
      </w:r>
      <w:r>
        <w:rPr>
          <w:rFonts w:hint="eastAsia" w:ascii="宋体" w:hAnsi="宋体" w:cs="Times New Roman"/>
          <w14:ligatures w14:val="none"/>
        </w:rPr>
        <w:t>生态环境部，环环评</w:t>
      </w:r>
      <w:r>
        <w:rPr>
          <w:rFonts w:hint="eastAsia" w:cs="Times New Roman"/>
          <w14:ligatures w14:val="none"/>
        </w:rPr>
        <w:t>[2023]52</w:t>
      </w:r>
      <w:r>
        <w:rPr>
          <w:rFonts w:hint="eastAsia" w:ascii="宋体" w:hAnsi="宋体" w:cs="Times New Roman"/>
          <w14:ligatures w14:val="none"/>
        </w:rPr>
        <w:t>号，《关于进一步优化环境影响评价工作的意见》，</w:t>
      </w:r>
      <w:r>
        <w:rPr>
          <w:rFonts w:hint="eastAsia" w:cs="Times New Roman"/>
          <w14:ligatures w14:val="none"/>
        </w:rPr>
        <w:t>2023</w:t>
      </w:r>
      <w:r>
        <w:rPr>
          <w:rFonts w:hint="eastAsia" w:ascii="宋体" w:hAnsi="宋体" w:cs="Times New Roman"/>
          <w14:ligatures w14:val="none"/>
        </w:rPr>
        <w:t>年</w:t>
      </w:r>
      <w:r>
        <w:rPr>
          <w:rFonts w:hint="eastAsia" w:cs="Times New Roman"/>
          <w14:ligatures w14:val="none"/>
        </w:rPr>
        <w:t>9</w:t>
      </w:r>
      <w:r>
        <w:rPr>
          <w:rFonts w:hint="eastAsia" w:ascii="宋体" w:hAnsi="宋体" w:cs="Times New Roman"/>
          <w14:ligatures w14:val="none"/>
        </w:rPr>
        <w:t>月</w:t>
      </w:r>
      <w:r>
        <w:rPr>
          <w:rFonts w:hint="eastAsia" w:cs="Times New Roman"/>
          <w14:ligatures w14:val="none"/>
        </w:rPr>
        <w:t>20</w:t>
      </w:r>
      <w:r>
        <w:rPr>
          <w:rFonts w:hint="eastAsia" w:ascii="宋体" w:hAnsi="宋体" w:cs="Times New Roman"/>
          <w14:ligatures w14:val="none"/>
        </w:rPr>
        <w:t>日；</w:t>
      </w:r>
    </w:p>
    <w:p w14:paraId="238D46B1">
      <w:pPr>
        <w:ind w:firstLine="480" w:firstLineChars="200"/>
        <w:rPr>
          <w:rFonts w:cs="Times New Roman"/>
          <w14:ligatures w14:val="none"/>
        </w:rPr>
      </w:pPr>
      <w:r>
        <w:rPr>
          <w:rFonts w:hint="eastAsia" w:cs="Times New Roman"/>
          <w14:ligatures w14:val="none"/>
        </w:rPr>
        <w:t>(27)生态环境部，环环评[2024]65号，《关于进一步深化环境影响评价改革的通知》，2024年9月13日。</w:t>
      </w:r>
    </w:p>
    <w:p w14:paraId="7DDDB543">
      <w:pPr>
        <w:pStyle w:val="4"/>
        <w:rPr>
          <w:rFonts w:hint="eastAsia"/>
        </w:rPr>
      </w:pPr>
      <w:bookmarkStart w:id="20" w:name="_Toc221056318"/>
      <w:r>
        <w:rPr>
          <w:rFonts w:hint="eastAsia"/>
        </w:rPr>
        <w:t>2.1.2地方法律法规及环保政策</w:t>
      </w:r>
      <w:bookmarkEnd w:id="19"/>
      <w:bookmarkEnd w:id="20"/>
    </w:p>
    <w:p w14:paraId="3D7FB7B0">
      <w:pPr>
        <w:ind w:firstLine="480" w:firstLineChars="200"/>
        <w:rPr>
          <w:rFonts w:cs="Times New Roman"/>
          <w14:ligatures w14:val="none"/>
        </w:rPr>
      </w:pPr>
      <w:r>
        <w:rPr>
          <w:rFonts w:cs="Times New Roman"/>
          <w14:ligatures w14:val="none"/>
        </w:rPr>
        <w:t>(1)</w:t>
      </w:r>
      <w:r>
        <w:rPr>
          <w:rFonts w:ascii="宋体" w:hAnsi="宋体" w:cs="Times New Roman"/>
          <w14:ligatures w14:val="none"/>
        </w:rPr>
        <w:t>安徽省人民代表大会常务委员会公告第六十六号《安徽省环境保护条例》</w:t>
      </w:r>
      <w:r>
        <w:rPr>
          <w:rFonts w:hint="eastAsia" w:ascii="宋体" w:hAnsi="宋体" w:cs="Times New Roman"/>
          <w14:ligatures w14:val="none"/>
        </w:rPr>
        <w:t>，</w:t>
      </w:r>
      <w:r>
        <w:rPr>
          <w:rFonts w:hint="eastAsia" w:cs="Times New Roman"/>
          <w14:ligatures w14:val="none"/>
        </w:rPr>
        <w:t>2024年11月22日</w:t>
      </w:r>
      <w:r>
        <w:rPr>
          <w:rFonts w:ascii="宋体" w:hAnsi="宋体" w:cs="Times New Roman"/>
          <w14:ligatures w14:val="none"/>
        </w:rPr>
        <w:t>；</w:t>
      </w:r>
    </w:p>
    <w:p w14:paraId="67B6A796">
      <w:pPr>
        <w:ind w:firstLine="480" w:firstLineChars="200"/>
        <w:rPr>
          <w:rFonts w:cs="Times New Roman"/>
          <w14:ligatures w14:val="none"/>
        </w:rPr>
      </w:pPr>
      <w:r>
        <w:rPr>
          <w:rFonts w:cs="Times New Roman"/>
          <w14:ligatures w14:val="none"/>
        </w:rPr>
        <w:t>(2)</w:t>
      </w:r>
      <w:r>
        <w:rPr>
          <w:rFonts w:ascii="宋体" w:hAnsi="宋体" w:cs="Times New Roman"/>
          <w14:ligatures w14:val="none"/>
        </w:rPr>
        <w:t>安徽省第十三届人民代表大会常务委员会第五次会议《安徽省大气污染防治条例</w:t>
      </w:r>
      <w:r>
        <w:rPr>
          <w:rFonts w:cs="Times New Roman"/>
          <w14:ligatures w14:val="none"/>
        </w:rPr>
        <w:t>(</w:t>
      </w:r>
      <w:r>
        <w:rPr>
          <w:rFonts w:ascii="宋体" w:hAnsi="宋体" w:cs="Times New Roman"/>
          <w14:ligatures w14:val="none"/>
        </w:rPr>
        <w:t>修订</w:t>
      </w:r>
      <w:r>
        <w:rPr>
          <w:rFonts w:cs="Times New Roman"/>
          <w14:ligatures w14:val="none"/>
        </w:rPr>
        <w:t>)</w:t>
      </w:r>
      <w:r>
        <w:rPr>
          <w:rFonts w:ascii="宋体" w:hAnsi="宋体" w:cs="Times New Roman"/>
          <w14:ligatures w14:val="none"/>
        </w:rPr>
        <w:t>》</w:t>
      </w:r>
      <w:r>
        <w:rPr>
          <w:rFonts w:cs="Times New Roman"/>
          <w14:ligatures w14:val="none"/>
        </w:rPr>
        <w:t>(2018</w:t>
      </w:r>
      <w:r>
        <w:rPr>
          <w:rFonts w:ascii="宋体" w:hAnsi="宋体" w:cs="Times New Roman"/>
          <w14:ligatures w14:val="none"/>
        </w:rPr>
        <w:t>年</w:t>
      </w:r>
      <w:r>
        <w:rPr>
          <w:rFonts w:cs="Times New Roman"/>
          <w14:ligatures w14:val="none"/>
        </w:rPr>
        <w:t>11</w:t>
      </w:r>
      <w:r>
        <w:rPr>
          <w:rFonts w:ascii="宋体" w:hAnsi="宋体" w:cs="Times New Roman"/>
          <w14:ligatures w14:val="none"/>
        </w:rPr>
        <w:t>月</w:t>
      </w:r>
      <w:r>
        <w:rPr>
          <w:rFonts w:cs="Times New Roman"/>
          <w14:ligatures w14:val="none"/>
        </w:rPr>
        <w:t>1</w:t>
      </w:r>
      <w:r>
        <w:rPr>
          <w:rFonts w:ascii="宋体" w:hAnsi="宋体" w:cs="Times New Roman"/>
          <w14:ligatures w14:val="none"/>
        </w:rPr>
        <w:t>日起施行</w:t>
      </w:r>
      <w:r>
        <w:rPr>
          <w:rFonts w:cs="Times New Roman"/>
          <w14:ligatures w14:val="none"/>
        </w:rPr>
        <w:t>)</w:t>
      </w:r>
      <w:r>
        <w:rPr>
          <w:rFonts w:ascii="宋体" w:hAnsi="宋体" w:cs="Times New Roman"/>
          <w14:ligatures w14:val="none"/>
        </w:rPr>
        <w:t>；</w:t>
      </w:r>
    </w:p>
    <w:p w14:paraId="65481EB9">
      <w:pPr>
        <w:ind w:firstLine="480" w:firstLineChars="200"/>
        <w:rPr>
          <w:rFonts w:cs="Times New Roman"/>
          <w14:ligatures w14:val="none"/>
        </w:rPr>
      </w:pPr>
      <w:r>
        <w:rPr>
          <w:rFonts w:cs="Times New Roman"/>
          <w14:ligatures w14:val="none"/>
        </w:rPr>
        <w:t>(3)</w:t>
      </w:r>
      <w:r>
        <w:rPr>
          <w:rFonts w:ascii="宋体" w:hAnsi="宋体" w:cs="Times New Roman"/>
          <w14:ligatures w14:val="none"/>
        </w:rPr>
        <w:t>安徽省人民政府皖政</w:t>
      </w:r>
      <w:r>
        <w:rPr>
          <w:rFonts w:cs="Times New Roman"/>
          <w14:ligatures w14:val="none"/>
        </w:rPr>
        <w:t>(2015)131</w:t>
      </w:r>
      <w:r>
        <w:rPr>
          <w:rFonts w:ascii="宋体" w:hAnsi="宋体" w:cs="Times New Roman"/>
          <w14:ligatures w14:val="none"/>
        </w:rPr>
        <w:t>号《关于印发安徽省水污染防治工作方案的通知》，</w:t>
      </w:r>
      <w:r>
        <w:rPr>
          <w:rFonts w:cs="Times New Roman"/>
          <w14:ligatures w14:val="none"/>
        </w:rPr>
        <w:t>2015</w:t>
      </w:r>
      <w:r>
        <w:rPr>
          <w:rFonts w:ascii="宋体" w:hAnsi="宋体" w:cs="Times New Roman"/>
          <w14:ligatures w14:val="none"/>
        </w:rPr>
        <w:t>年</w:t>
      </w:r>
      <w:r>
        <w:rPr>
          <w:rFonts w:cs="Times New Roman"/>
          <w14:ligatures w14:val="none"/>
        </w:rPr>
        <w:t>12</w:t>
      </w:r>
      <w:r>
        <w:rPr>
          <w:rFonts w:ascii="宋体" w:hAnsi="宋体" w:cs="Times New Roman"/>
          <w14:ligatures w14:val="none"/>
        </w:rPr>
        <w:t>月</w:t>
      </w:r>
      <w:r>
        <w:rPr>
          <w:rFonts w:cs="Times New Roman"/>
          <w14:ligatures w14:val="none"/>
        </w:rPr>
        <w:t>29</w:t>
      </w:r>
      <w:r>
        <w:rPr>
          <w:rFonts w:ascii="宋体" w:hAnsi="宋体" w:cs="Times New Roman"/>
          <w14:ligatures w14:val="none"/>
        </w:rPr>
        <w:t>日；</w:t>
      </w:r>
    </w:p>
    <w:p w14:paraId="1ACF9B5E">
      <w:pPr>
        <w:ind w:firstLine="480" w:firstLineChars="200"/>
        <w:rPr>
          <w:rFonts w:cs="Times New Roman"/>
          <w14:ligatures w14:val="none"/>
        </w:rPr>
      </w:pPr>
      <w:r>
        <w:rPr>
          <w:rFonts w:cs="Times New Roman"/>
          <w14:ligatures w14:val="none"/>
        </w:rPr>
        <w:t>(4)</w:t>
      </w:r>
      <w:r>
        <w:rPr>
          <w:rFonts w:ascii="宋体" w:hAnsi="宋体" w:cs="Times New Roman"/>
          <w14:ligatures w14:val="none"/>
        </w:rPr>
        <w:t>安徽省人大常委会公告第八号《安徽省淮河流域水污染防治条例》，</w:t>
      </w:r>
      <w:r>
        <w:rPr>
          <w:rFonts w:cs="Times New Roman"/>
          <w14:ligatures w14:val="none"/>
        </w:rPr>
        <w:t>2019</w:t>
      </w:r>
      <w:r>
        <w:rPr>
          <w:rFonts w:ascii="宋体" w:hAnsi="宋体" w:cs="Times New Roman"/>
          <w14:ligatures w14:val="none"/>
        </w:rPr>
        <w:t>年</w:t>
      </w:r>
      <w:r>
        <w:rPr>
          <w:rFonts w:cs="Times New Roman"/>
          <w14:ligatures w14:val="none"/>
        </w:rPr>
        <w:t>1</w:t>
      </w:r>
      <w:r>
        <w:rPr>
          <w:rFonts w:ascii="宋体" w:hAnsi="宋体" w:cs="Times New Roman"/>
          <w14:ligatures w14:val="none"/>
        </w:rPr>
        <w:t>月</w:t>
      </w:r>
      <w:r>
        <w:rPr>
          <w:rFonts w:cs="Times New Roman"/>
          <w14:ligatures w14:val="none"/>
        </w:rPr>
        <w:t>1</w:t>
      </w:r>
      <w:r>
        <w:rPr>
          <w:rFonts w:ascii="宋体" w:hAnsi="宋体" w:cs="Times New Roman"/>
          <w14:ligatures w14:val="none"/>
        </w:rPr>
        <w:t>日；</w:t>
      </w:r>
    </w:p>
    <w:p w14:paraId="298817CD">
      <w:pPr>
        <w:ind w:firstLine="480" w:firstLineChars="200"/>
        <w:rPr>
          <w:rFonts w:cs="Times New Roman"/>
          <w14:ligatures w14:val="none"/>
        </w:rPr>
      </w:pPr>
      <w:r>
        <w:rPr>
          <w:rFonts w:cs="Times New Roman"/>
          <w14:ligatures w14:val="none"/>
        </w:rPr>
        <w:t>(5)安徽省人民政府皖政(2016)116号《关于印发安徽省土壤污染防治工作方案的通知》，2016年12月30日；</w:t>
      </w:r>
    </w:p>
    <w:p w14:paraId="6505E538">
      <w:pPr>
        <w:ind w:firstLine="480" w:firstLineChars="200"/>
        <w:rPr>
          <w:rFonts w:cs="Times New Roman"/>
          <w14:ligatures w14:val="none"/>
        </w:rPr>
      </w:pPr>
      <w:r>
        <w:rPr>
          <w:rFonts w:cs="Times New Roman"/>
          <w14:ligatures w14:val="none"/>
        </w:rPr>
        <w:t>(6)</w:t>
      </w:r>
      <w:r>
        <w:rPr>
          <w:rFonts w:ascii="宋体" w:hAnsi="宋体" w:cs="Times New Roman"/>
          <w14:ligatures w14:val="none"/>
        </w:rPr>
        <w:t>安徽省环保厅皖环函</w:t>
      </w:r>
      <w:r>
        <w:rPr>
          <w:rFonts w:cs="Times New Roman"/>
          <w14:ligatures w14:val="none"/>
        </w:rPr>
        <w:t>(2018)955</w:t>
      </w:r>
      <w:r>
        <w:rPr>
          <w:rFonts w:ascii="宋体" w:hAnsi="宋体" w:cs="Times New Roman"/>
          <w14:ligatures w14:val="none"/>
        </w:rPr>
        <w:t>号《关于加强土壤环境污染重点监管企业土壤环境监管的通知》，</w:t>
      </w:r>
      <w:r>
        <w:rPr>
          <w:rFonts w:cs="Times New Roman"/>
          <w14:ligatures w14:val="none"/>
        </w:rPr>
        <w:t>2018</w:t>
      </w:r>
      <w:r>
        <w:rPr>
          <w:rFonts w:ascii="宋体" w:hAnsi="宋体" w:cs="Times New Roman"/>
          <w14:ligatures w14:val="none"/>
        </w:rPr>
        <w:t>年</w:t>
      </w:r>
      <w:r>
        <w:rPr>
          <w:rFonts w:cs="Times New Roman"/>
          <w14:ligatures w14:val="none"/>
        </w:rPr>
        <w:t>7</w:t>
      </w:r>
      <w:r>
        <w:rPr>
          <w:rFonts w:ascii="宋体" w:hAnsi="宋体" w:cs="Times New Roman"/>
          <w14:ligatures w14:val="none"/>
        </w:rPr>
        <w:t>月</w:t>
      </w:r>
      <w:r>
        <w:rPr>
          <w:rFonts w:cs="Times New Roman"/>
          <w14:ligatures w14:val="none"/>
        </w:rPr>
        <w:t>23</w:t>
      </w:r>
      <w:r>
        <w:rPr>
          <w:rFonts w:ascii="宋体" w:hAnsi="宋体" w:cs="Times New Roman"/>
          <w14:ligatures w14:val="none"/>
        </w:rPr>
        <w:t>日；</w:t>
      </w:r>
    </w:p>
    <w:p w14:paraId="2E3775B4">
      <w:pPr>
        <w:ind w:firstLine="480" w:firstLineChars="200"/>
        <w:rPr>
          <w:rFonts w:cs="Times New Roman"/>
          <w14:ligatures w14:val="none"/>
        </w:rPr>
      </w:pPr>
      <w:r>
        <w:rPr>
          <w:rFonts w:cs="Times New Roman"/>
          <w14:ligatures w14:val="none"/>
        </w:rPr>
        <w:t>(7)安徽省人民政府皖政(2018)51号《关于建立固体废物污染防控长效机制的意见》，2018年6月19日；</w:t>
      </w:r>
    </w:p>
    <w:p w14:paraId="20AB447F">
      <w:pPr>
        <w:ind w:firstLine="480" w:firstLineChars="200"/>
        <w:rPr>
          <w:rFonts w:cs="Times New Roman"/>
          <w14:ligatures w14:val="none"/>
        </w:rPr>
      </w:pPr>
      <w:r>
        <w:rPr>
          <w:rFonts w:cs="Times New Roman"/>
          <w14:ligatures w14:val="none"/>
        </w:rPr>
        <w:t>(</w:t>
      </w:r>
      <w:r>
        <w:rPr>
          <w:rFonts w:hint="eastAsia" w:cs="Times New Roman"/>
          <w14:ligatures w14:val="none"/>
        </w:rPr>
        <w:t>8</w:t>
      </w:r>
      <w:r>
        <w:rPr>
          <w:rFonts w:cs="Times New Roman"/>
          <w14:ligatures w14:val="none"/>
        </w:rPr>
        <w:t>)</w:t>
      </w:r>
      <w:r>
        <w:rPr>
          <w:rFonts w:ascii="宋体" w:hAnsi="宋体" w:cs="Times New Roman"/>
          <w14:ligatures w14:val="none"/>
        </w:rPr>
        <w:t>安徽省节能减排及应对气候变化工作领导小组皖节能</w:t>
      </w:r>
      <w:r>
        <w:rPr>
          <w:rFonts w:cs="Times New Roman"/>
          <w14:ligatures w14:val="none"/>
        </w:rPr>
        <w:t>(202</w:t>
      </w:r>
      <w:r>
        <w:rPr>
          <w:rFonts w:hint="eastAsia" w:cs="Times New Roman"/>
          <w14:ligatures w14:val="none"/>
        </w:rPr>
        <w:t>1</w:t>
      </w:r>
      <w:r>
        <w:rPr>
          <w:rFonts w:cs="Times New Roman"/>
          <w14:ligatures w14:val="none"/>
        </w:rPr>
        <w:t>)</w:t>
      </w:r>
      <w:r>
        <w:rPr>
          <w:rFonts w:hint="eastAsia" w:cs="Times New Roman"/>
          <w14:ligatures w14:val="none"/>
        </w:rPr>
        <w:t>3</w:t>
      </w:r>
      <w:r>
        <w:rPr>
          <w:rFonts w:ascii="宋体" w:hAnsi="宋体" w:cs="Times New Roman"/>
          <w14:ligatures w14:val="none"/>
        </w:rPr>
        <w:t>号《安徽省节能减排及应对气候变化工作领导小组关于印发安徽省</w:t>
      </w:r>
      <w:r>
        <w:rPr>
          <w:rFonts w:cs="Times New Roman"/>
          <w14:ligatures w14:val="none"/>
        </w:rPr>
        <w:t>“</w:t>
      </w:r>
      <w:r>
        <w:rPr>
          <w:rFonts w:ascii="宋体" w:hAnsi="宋体" w:cs="Times New Roman"/>
          <w14:ligatures w14:val="none"/>
        </w:rPr>
        <w:t>两高</w:t>
      </w:r>
      <w:r>
        <w:rPr>
          <w:rFonts w:cs="Times New Roman"/>
          <w14:ligatures w14:val="none"/>
        </w:rPr>
        <w:t>”</w:t>
      </w:r>
      <w:r>
        <w:rPr>
          <w:rFonts w:ascii="宋体" w:hAnsi="宋体" w:cs="Times New Roman"/>
          <w14:ligatures w14:val="none"/>
        </w:rPr>
        <w:t>项目管理目录</w:t>
      </w:r>
      <w:r>
        <w:rPr>
          <w:rFonts w:cs="Times New Roman"/>
          <w14:ligatures w14:val="none"/>
        </w:rPr>
        <w:t>(</w:t>
      </w:r>
      <w:r>
        <w:rPr>
          <w:rFonts w:ascii="宋体" w:hAnsi="宋体" w:cs="Times New Roman"/>
          <w14:ligatures w14:val="none"/>
        </w:rPr>
        <w:t>试行</w:t>
      </w:r>
      <w:r>
        <w:rPr>
          <w:rFonts w:cs="Times New Roman"/>
          <w14:ligatures w14:val="none"/>
        </w:rPr>
        <w:t>)</w:t>
      </w:r>
      <w:r>
        <w:rPr>
          <w:rFonts w:ascii="宋体" w:hAnsi="宋体" w:cs="Times New Roman"/>
          <w14:ligatures w14:val="none"/>
        </w:rPr>
        <w:t>的通知》，</w:t>
      </w:r>
      <w:r>
        <w:rPr>
          <w:rFonts w:cs="Times New Roman"/>
          <w14:ligatures w14:val="none"/>
        </w:rPr>
        <w:t>202</w:t>
      </w:r>
      <w:r>
        <w:rPr>
          <w:rFonts w:hint="eastAsia" w:cs="Times New Roman"/>
          <w14:ligatures w14:val="none"/>
        </w:rPr>
        <w:t>1</w:t>
      </w:r>
      <w:r>
        <w:rPr>
          <w:rFonts w:ascii="宋体" w:hAnsi="宋体" w:cs="Times New Roman"/>
          <w14:ligatures w14:val="none"/>
        </w:rPr>
        <w:t>年</w:t>
      </w:r>
      <w:r>
        <w:rPr>
          <w:rFonts w:hint="eastAsia" w:cs="Times New Roman"/>
          <w14:ligatures w14:val="none"/>
        </w:rPr>
        <w:t>12</w:t>
      </w:r>
      <w:r>
        <w:rPr>
          <w:rFonts w:ascii="宋体" w:hAnsi="宋体" w:cs="Times New Roman"/>
          <w14:ligatures w14:val="none"/>
        </w:rPr>
        <w:t>月</w:t>
      </w:r>
      <w:r>
        <w:rPr>
          <w:rFonts w:hint="eastAsia" w:cs="Times New Roman"/>
          <w14:ligatures w14:val="none"/>
        </w:rPr>
        <w:t>3</w:t>
      </w:r>
      <w:r>
        <w:rPr>
          <w:rFonts w:cs="Times New Roman"/>
          <w14:ligatures w14:val="none"/>
        </w:rPr>
        <w:t>1</w:t>
      </w:r>
      <w:r>
        <w:rPr>
          <w:rFonts w:ascii="宋体" w:hAnsi="宋体" w:cs="Times New Roman"/>
          <w14:ligatures w14:val="none"/>
        </w:rPr>
        <w:t>日；</w:t>
      </w:r>
    </w:p>
    <w:p w14:paraId="656F8843">
      <w:pPr>
        <w:ind w:firstLine="480" w:firstLineChars="200"/>
        <w:rPr>
          <w:rFonts w:cs="Times New Roman"/>
          <w14:ligatures w14:val="none"/>
        </w:rPr>
      </w:pPr>
      <w:r>
        <w:rPr>
          <w:rFonts w:cs="Times New Roman"/>
          <w14:ligatures w14:val="none"/>
        </w:rPr>
        <w:t>(</w:t>
      </w:r>
      <w:r>
        <w:rPr>
          <w:rFonts w:hint="eastAsia" w:cs="Times New Roman"/>
          <w14:ligatures w14:val="none"/>
        </w:rPr>
        <w:t>9</w:t>
      </w:r>
      <w:r>
        <w:rPr>
          <w:rFonts w:cs="Times New Roman"/>
          <w14:ligatures w14:val="none"/>
        </w:rPr>
        <w:t>)</w:t>
      </w:r>
      <w:r>
        <w:rPr>
          <w:rFonts w:ascii="宋体" w:hAnsi="宋体" w:cs="Times New Roman"/>
          <w14:ligatures w14:val="none"/>
        </w:rPr>
        <w:t>《安徽省生态环境厅关于统筹做好固定污染源排污许可日常管理工作的通知》</w:t>
      </w:r>
      <w:r>
        <w:rPr>
          <w:rFonts w:cs="Times New Roman"/>
          <w14:ligatures w14:val="none"/>
        </w:rPr>
        <w:t>(</w:t>
      </w:r>
      <w:r>
        <w:rPr>
          <w:rFonts w:ascii="宋体" w:hAnsi="宋体" w:cs="Times New Roman"/>
          <w14:ligatures w14:val="none"/>
        </w:rPr>
        <w:t>皖环发</w:t>
      </w:r>
      <w:r>
        <w:rPr>
          <w:rFonts w:cs="Times New Roman"/>
          <w14:ligatures w14:val="none"/>
        </w:rPr>
        <w:t>[2021]7</w:t>
      </w:r>
      <w:r>
        <w:rPr>
          <w:rFonts w:ascii="宋体" w:hAnsi="宋体" w:cs="Times New Roman"/>
          <w14:ligatures w14:val="none"/>
        </w:rPr>
        <w:t>号</w:t>
      </w:r>
      <w:r>
        <w:rPr>
          <w:rFonts w:cs="Times New Roman"/>
          <w14:ligatures w14:val="none"/>
        </w:rPr>
        <w:t>)</w:t>
      </w:r>
      <w:r>
        <w:rPr>
          <w:rFonts w:hint="eastAsia" w:cs="Times New Roman"/>
          <w14:ligatures w14:val="none"/>
        </w:rPr>
        <w:t>，2020年12月30日</w:t>
      </w:r>
      <w:r>
        <w:rPr>
          <w:rFonts w:ascii="宋体" w:hAnsi="宋体" w:cs="Times New Roman"/>
          <w14:ligatures w14:val="none"/>
        </w:rPr>
        <w:t>；</w:t>
      </w:r>
    </w:p>
    <w:p w14:paraId="02CB612A">
      <w:pPr>
        <w:ind w:firstLine="480" w:firstLineChars="200"/>
        <w:rPr>
          <w:rFonts w:hint="eastAsia" w:ascii="宋体" w:hAnsi="宋体" w:cs="Times New Roman"/>
          <w14:ligatures w14:val="none"/>
        </w:rPr>
      </w:pPr>
      <w:r>
        <w:rPr>
          <w:rFonts w:cs="Times New Roman"/>
          <w14:ligatures w14:val="none"/>
        </w:rPr>
        <w:t>(1</w:t>
      </w:r>
      <w:r>
        <w:rPr>
          <w:rFonts w:hint="eastAsia" w:cs="Times New Roman"/>
          <w14:ligatures w14:val="none"/>
        </w:rPr>
        <w:t>0</w:t>
      </w:r>
      <w:r>
        <w:rPr>
          <w:rFonts w:cs="Times New Roman"/>
          <w14:ligatures w14:val="none"/>
        </w:rPr>
        <w:t>)</w:t>
      </w:r>
      <w:r>
        <w:rPr>
          <w:rFonts w:ascii="宋体" w:hAnsi="宋体" w:cs="Times New Roman"/>
          <w14:ligatures w14:val="none"/>
        </w:rPr>
        <w:t>安徽省生态环境厅关于印发《安徽省建设项目环境保护事中事后监督管理办法》的通知</w:t>
      </w:r>
      <w:r>
        <w:rPr>
          <w:rFonts w:cs="Times New Roman"/>
          <w14:ligatures w14:val="none"/>
        </w:rPr>
        <w:t>(</w:t>
      </w:r>
      <w:r>
        <w:rPr>
          <w:rFonts w:ascii="宋体" w:hAnsi="宋体" w:cs="Times New Roman"/>
          <w14:ligatures w14:val="none"/>
        </w:rPr>
        <w:t>皖环发</w:t>
      </w:r>
      <w:r>
        <w:rPr>
          <w:rFonts w:cs="Times New Roman"/>
          <w14:ligatures w14:val="none"/>
        </w:rPr>
        <w:t>[2021]70</w:t>
      </w:r>
      <w:r>
        <w:rPr>
          <w:rFonts w:ascii="宋体" w:hAnsi="宋体" w:cs="Times New Roman"/>
          <w14:ligatures w14:val="none"/>
        </w:rPr>
        <w:t>号</w:t>
      </w:r>
      <w:r>
        <w:rPr>
          <w:rFonts w:cs="Times New Roman"/>
          <w14:ligatures w14:val="none"/>
        </w:rPr>
        <w:t>)</w:t>
      </w:r>
      <w:r>
        <w:rPr>
          <w:rFonts w:hint="eastAsia" w:cs="Times New Roman"/>
          <w14:ligatures w14:val="none"/>
        </w:rPr>
        <w:t>，2021年12月29日</w:t>
      </w:r>
      <w:r>
        <w:rPr>
          <w:rFonts w:ascii="宋体" w:hAnsi="宋体" w:cs="Times New Roman"/>
          <w14:ligatures w14:val="none"/>
        </w:rPr>
        <w:t>；</w:t>
      </w:r>
    </w:p>
    <w:p w14:paraId="4F5B2E2C">
      <w:pPr>
        <w:ind w:firstLine="480" w:firstLineChars="200"/>
        <w:rPr>
          <w:rFonts w:cs="Times New Roman"/>
          <w14:ligatures w14:val="none"/>
        </w:rPr>
      </w:pPr>
      <w:r>
        <w:rPr>
          <w:rFonts w:hint="eastAsia" w:cs="Times New Roman"/>
          <w14:ligatures w14:val="none"/>
        </w:rPr>
        <w:t>(11)《安徽省规范危险废物环境管理促进危险废物利用处置行业健康发展若干措施》，安徽省生态环境厅，2024年1月4日；</w:t>
      </w:r>
    </w:p>
    <w:p w14:paraId="78072460">
      <w:pPr>
        <w:ind w:firstLine="480" w:firstLineChars="200"/>
        <w:rPr>
          <w:rFonts w:hint="eastAsia" w:ascii="宋体" w:hAnsi="宋体" w:cs="Times New Roman"/>
          <w14:ligatures w14:val="none"/>
        </w:rPr>
      </w:pPr>
      <w:r>
        <w:rPr>
          <w:rFonts w:cs="Times New Roman"/>
          <w14:ligatures w14:val="none"/>
        </w:rPr>
        <w:t>(</w:t>
      </w:r>
      <w:r>
        <w:rPr>
          <w:rFonts w:hint="eastAsia" w:cs="Times New Roman"/>
          <w14:ligatures w14:val="none"/>
        </w:rPr>
        <w:t>12</w:t>
      </w:r>
      <w:r>
        <w:rPr>
          <w:rFonts w:cs="Times New Roman"/>
          <w14:ligatures w14:val="none"/>
        </w:rPr>
        <w:t>)</w:t>
      </w:r>
      <w:r>
        <w:rPr>
          <w:rFonts w:ascii="宋体" w:hAnsi="宋体" w:cs="Times New Roman"/>
          <w14:ligatures w14:val="none"/>
        </w:rPr>
        <w:t>《蚌埠市人民政府关于印发蚌埠市土壤污染防治工作方案的通知》</w:t>
      </w:r>
      <w:r>
        <w:rPr>
          <w:rFonts w:cs="Times New Roman"/>
          <w14:ligatures w14:val="none"/>
        </w:rPr>
        <w:t>(</w:t>
      </w:r>
      <w:r>
        <w:rPr>
          <w:rFonts w:ascii="宋体" w:hAnsi="宋体" w:cs="Times New Roman"/>
          <w14:ligatures w14:val="none"/>
        </w:rPr>
        <w:t>蚌埠市人民政府 蚌政</w:t>
      </w:r>
      <w:r>
        <w:rPr>
          <w:rFonts w:cs="Times New Roman"/>
          <w14:ligatures w14:val="none"/>
        </w:rPr>
        <w:t>[2016]68</w:t>
      </w:r>
      <w:r>
        <w:rPr>
          <w:rFonts w:ascii="宋体" w:hAnsi="宋体" w:cs="Times New Roman"/>
          <w14:ligatures w14:val="none"/>
        </w:rPr>
        <w:t>号</w:t>
      </w:r>
      <w:r>
        <w:rPr>
          <w:rFonts w:cs="Times New Roman"/>
          <w14:ligatures w14:val="none"/>
        </w:rPr>
        <w:t>)</w:t>
      </w:r>
      <w:r>
        <w:rPr>
          <w:rFonts w:hint="eastAsia" w:cs="Times New Roman"/>
          <w14:ligatures w14:val="none"/>
        </w:rPr>
        <w:t>，2017年2月9日</w:t>
      </w:r>
      <w:r>
        <w:rPr>
          <w:rFonts w:hint="eastAsia" w:ascii="宋体" w:hAnsi="宋体" w:cs="Times New Roman"/>
          <w14:ligatures w14:val="none"/>
        </w:rPr>
        <w:t>；</w:t>
      </w:r>
    </w:p>
    <w:p w14:paraId="450B7847">
      <w:pPr>
        <w:ind w:firstLine="480" w:firstLineChars="200"/>
        <w:rPr>
          <w:rFonts w:cs="Times New Roman"/>
          <w14:ligatures w14:val="none"/>
        </w:rPr>
      </w:pPr>
      <w:r>
        <w:rPr>
          <w:rFonts w:cs="Times New Roman"/>
          <w14:ligatures w14:val="none"/>
        </w:rPr>
        <w:t>(</w:t>
      </w:r>
      <w:r>
        <w:rPr>
          <w:rFonts w:hint="eastAsia" w:cs="Times New Roman"/>
          <w14:ligatures w14:val="none"/>
        </w:rPr>
        <w:t>13</w:t>
      </w:r>
      <w:r>
        <w:rPr>
          <w:rFonts w:cs="Times New Roman"/>
          <w14:ligatures w14:val="none"/>
        </w:rPr>
        <w:t>)《关于进一步明确建设项目环境影响评价文件审批工作职责有关事宜的通知》</w:t>
      </w:r>
      <w:r>
        <w:rPr>
          <w:rFonts w:hint="eastAsia" w:cs="Times New Roman"/>
          <w14:ligatures w14:val="none"/>
        </w:rPr>
        <w:t>(</w:t>
      </w:r>
      <w:r>
        <w:rPr>
          <w:rFonts w:cs="Times New Roman"/>
          <w14:ligatures w14:val="none"/>
        </w:rPr>
        <w:t>蚌环字[2021]11号</w:t>
      </w:r>
      <w:r>
        <w:rPr>
          <w:rFonts w:hint="eastAsia" w:cs="Times New Roman"/>
          <w14:ligatures w14:val="none"/>
        </w:rPr>
        <w:t>)，2024年9月13日</w:t>
      </w:r>
      <w:r>
        <w:rPr>
          <w:rFonts w:cs="Times New Roman"/>
          <w14:ligatures w14:val="none"/>
        </w:rPr>
        <w:t>。</w:t>
      </w:r>
    </w:p>
    <w:p w14:paraId="641209F1">
      <w:pPr>
        <w:pStyle w:val="4"/>
        <w:rPr>
          <w:rFonts w:hint="eastAsia"/>
        </w:rPr>
      </w:pPr>
      <w:bookmarkStart w:id="21" w:name="_Toc221056319"/>
      <w:r>
        <w:rPr>
          <w:rFonts w:hint="eastAsia"/>
        </w:rPr>
        <w:t>2.2.3技术依据</w:t>
      </w:r>
      <w:bookmarkEnd w:id="21"/>
    </w:p>
    <w:p w14:paraId="23144DB3">
      <w:pPr>
        <w:ind w:firstLine="480" w:firstLineChars="200"/>
      </w:pPr>
      <w:r>
        <w:t>(1)《建设项目环境影响评价技术导则 总纲》(HJ2.1-2016)；</w:t>
      </w:r>
    </w:p>
    <w:p w14:paraId="5CF59C20">
      <w:pPr>
        <w:ind w:firstLine="480" w:firstLineChars="200"/>
      </w:pPr>
      <w:r>
        <w:t>(2)《环境影响评价技术导则 大气环境》(HJ2.2-2018)；</w:t>
      </w:r>
    </w:p>
    <w:p w14:paraId="55735822">
      <w:pPr>
        <w:ind w:firstLine="480" w:firstLineChars="200"/>
      </w:pPr>
      <w:r>
        <w:t>(3)《环境影响评价技术导则 地表水环境》(HJ2.3-2018)；</w:t>
      </w:r>
    </w:p>
    <w:p w14:paraId="4508E864">
      <w:pPr>
        <w:ind w:firstLine="480" w:firstLineChars="200"/>
      </w:pPr>
      <w:r>
        <w:t>(4)《环境影响评价技术导则 地下水环境》(HJ610-2016)；</w:t>
      </w:r>
    </w:p>
    <w:p w14:paraId="01C82E95">
      <w:pPr>
        <w:ind w:firstLine="480" w:firstLineChars="200"/>
      </w:pPr>
      <w:r>
        <w:t>(5)《环境影响评价技术导则 声环境》(HJ2.4-2021)；</w:t>
      </w:r>
    </w:p>
    <w:p w14:paraId="77AFACF8">
      <w:pPr>
        <w:ind w:firstLine="480" w:firstLineChars="200"/>
      </w:pPr>
      <w:r>
        <w:t>(6)《建设项目环境风险评价技术导则》(HJ169-2018)；</w:t>
      </w:r>
    </w:p>
    <w:p w14:paraId="298B91B2">
      <w:pPr>
        <w:ind w:firstLine="480" w:firstLineChars="200"/>
      </w:pPr>
      <w:r>
        <w:t>(7)《环境影响评价技术导则 土壤环境</w:t>
      </w:r>
      <w:r>
        <w:rPr>
          <w:rFonts w:hint="eastAsia"/>
        </w:rPr>
        <w:t>(试行)</w:t>
      </w:r>
      <w:r>
        <w:t>》(HJ964-2018)；</w:t>
      </w:r>
    </w:p>
    <w:p w14:paraId="6A611DEC">
      <w:pPr>
        <w:ind w:firstLine="480" w:firstLineChars="200"/>
      </w:pPr>
      <w:r>
        <w:t>(8)《环境影响评价技术导则 生态影响》(HJ19-2022)；</w:t>
      </w:r>
    </w:p>
    <w:p w14:paraId="2AC5D2C8">
      <w:pPr>
        <w:ind w:firstLine="480" w:firstLineChars="200"/>
      </w:pPr>
      <w:r>
        <w:t>(9)《固体废物鉴别标准 通则》(GB34330-2017)；</w:t>
      </w:r>
    </w:p>
    <w:p w14:paraId="023419A7">
      <w:pPr>
        <w:ind w:firstLine="480" w:firstLineChars="200"/>
      </w:pPr>
      <w:r>
        <w:t>(10)《危险废物鉴别标准 通则》(GB5085.7-2019)；</w:t>
      </w:r>
    </w:p>
    <w:p w14:paraId="23C8CABA">
      <w:pPr>
        <w:ind w:firstLine="480" w:firstLineChars="200"/>
      </w:pPr>
      <w:r>
        <w:t>(11)《危险废物收集、贮存、运输技术规范》(HJ2025-2012)；</w:t>
      </w:r>
    </w:p>
    <w:p w14:paraId="6915F7BE">
      <w:pPr>
        <w:ind w:firstLine="480" w:firstLineChars="200"/>
      </w:pPr>
      <w:r>
        <w:rPr>
          <w:rFonts w:hint="eastAsia"/>
        </w:rPr>
        <w:t>(12)《危险废物贮存污染控制标准》(GB 18597-2023)；</w:t>
      </w:r>
    </w:p>
    <w:p w14:paraId="0ACE3162">
      <w:pPr>
        <w:ind w:firstLine="480" w:firstLineChars="200"/>
      </w:pPr>
      <w:r>
        <w:t>(1</w:t>
      </w:r>
      <w:r>
        <w:rPr>
          <w:rFonts w:hint="eastAsia"/>
        </w:rPr>
        <w:t>3</w:t>
      </w:r>
      <w:r>
        <w:t>)《工业企业土壤和地下水自行监测技术指南(试行)》(HJ1209-2021)；</w:t>
      </w:r>
    </w:p>
    <w:p w14:paraId="23492BA9">
      <w:pPr>
        <w:ind w:firstLine="480" w:firstLineChars="200"/>
      </w:pPr>
      <w:r>
        <w:t>(1</w:t>
      </w:r>
      <w:r>
        <w:rPr>
          <w:rFonts w:hint="eastAsia"/>
        </w:rPr>
        <w:t>4</w:t>
      </w:r>
      <w:r>
        <w:t>)《排污单位自行监测技术指南 总则》(HJ819-2017)；</w:t>
      </w:r>
    </w:p>
    <w:p w14:paraId="491CA891">
      <w:pPr>
        <w:ind w:firstLine="480" w:firstLineChars="200"/>
      </w:pPr>
      <w:r>
        <w:t>(1</w:t>
      </w:r>
      <w:r>
        <w:rPr>
          <w:rFonts w:hint="eastAsia"/>
        </w:rPr>
        <w:t>5</w:t>
      </w:r>
      <w:r>
        <w:t>)《排污许可证申请与核发技术规范 总则》(HJ942-2018)；</w:t>
      </w:r>
    </w:p>
    <w:p w14:paraId="6B7BA907">
      <w:pPr>
        <w:ind w:firstLine="480" w:firstLineChars="200"/>
      </w:pPr>
      <w:r>
        <w:t>(</w:t>
      </w:r>
      <w:r>
        <w:rPr>
          <w:rFonts w:hint="eastAsia"/>
        </w:rPr>
        <w:t>16</w:t>
      </w:r>
      <w:r>
        <w:t>)《危险化学品重大危险源辨识》(GB18218-</w:t>
      </w:r>
      <w:r>
        <w:rPr>
          <w:rFonts w:hint="eastAsia"/>
        </w:rPr>
        <w:t>2018</w:t>
      </w:r>
      <w:r>
        <w:t>)；</w:t>
      </w:r>
    </w:p>
    <w:p w14:paraId="02105008">
      <w:pPr>
        <w:ind w:firstLine="480" w:firstLineChars="200"/>
      </w:pPr>
      <w:r>
        <w:t>(</w:t>
      </w:r>
      <w:r>
        <w:rPr>
          <w:rFonts w:hint="eastAsia"/>
        </w:rPr>
        <w:t>17)</w:t>
      </w:r>
      <w:r>
        <w:t>《石油化学工业污染物排放标准》(GB31571-2015)</w:t>
      </w:r>
      <w:r>
        <w:rPr>
          <w:rFonts w:hint="eastAsia"/>
        </w:rPr>
        <w:t>；</w:t>
      </w:r>
    </w:p>
    <w:p w14:paraId="46DAF854">
      <w:pPr>
        <w:ind w:firstLine="480" w:firstLineChars="200"/>
      </w:pPr>
      <w:r>
        <w:rPr>
          <w:rFonts w:hint="eastAsia"/>
        </w:rPr>
        <w:t>(18)《石油化工工程防渗技术规范》(</w:t>
      </w:r>
      <w:r>
        <w:t>GB/T50934</w:t>
      </w:r>
      <w:r>
        <w:rPr>
          <w:rFonts w:hint="eastAsia"/>
        </w:rPr>
        <w:t>-2013)；</w:t>
      </w:r>
    </w:p>
    <w:p w14:paraId="59759BE9">
      <w:pPr>
        <w:ind w:firstLine="480" w:firstLineChars="200"/>
      </w:pPr>
      <w:r>
        <w:rPr>
          <w:rFonts w:hint="eastAsia"/>
        </w:rPr>
        <w:t>(19)《污染源强核算技术指南  准则》(HJ884-2018)；</w:t>
      </w:r>
    </w:p>
    <w:p w14:paraId="0FEB31FC">
      <w:pPr>
        <w:ind w:firstLine="480" w:firstLineChars="200"/>
      </w:pPr>
      <w:r>
        <w:rPr>
          <w:rFonts w:hint="eastAsia"/>
        </w:rPr>
        <w:t>(20)《排污单位自行监测技术指南</w:t>
      </w:r>
      <w:r>
        <w:t xml:space="preserve">  </w:t>
      </w:r>
      <w:r>
        <w:rPr>
          <w:rFonts w:hint="eastAsia"/>
        </w:rPr>
        <w:t>石油化学工业》(</w:t>
      </w:r>
      <w:r>
        <w:t>HJ947-2018</w:t>
      </w:r>
      <w:r>
        <w:rPr>
          <w:rFonts w:hint="eastAsia"/>
        </w:rPr>
        <w:t>)；</w:t>
      </w:r>
    </w:p>
    <w:p w14:paraId="4CE93915">
      <w:pPr>
        <w:ind w:firstLine="480" w:firstLineChars="200"/>
      </w:pPr>
      <w:r>
        <w:rPr>
          <w:rFonts w:hint="eastAsia"/>
        </w:rPr>
        <w:t>(21)《</w:t>
      </w:r>
      <w:r>
        <w:t>排污许可证申请与核发技术规范 专用化学产品制造工业</w:t>
      </w:r>
      <w:r>
        <w:rPr>
          <w:rFonts w:hint="eastAsia"/>
        </w:rPr>
        <w:t>》(</w:t>
      </w:r>
      <w:r>
        <w:t>HJ</w:t>
      </w:r>
      <w:r>
        <w:rPr>
          <w:rFonts w:hint="eastAsia"/>
        </w:rPr>
        <w:t>1103</w:t>
      </w:r>
      <w:r>
        <w:t>-20</w:t>
      </w:r>
      <w:r>
        <w:rPr>
          <w:rFonts w:hint="eastAsia"/>
        </w:rPr>
        <w:t>20)；</w:t>
      </w:r>
    </w:p>
    <w:p w14:paraId="2A3FBEBC">
      <w:pPr>
        <w:ind w:firstLine="480" w:firstLineChars="200"/>
      </w:pPr>
      <w:r>
        <w:rPr>
          <w:rFonts w:hint="eastAsia"/>
        </w:rPr>
        <w:t>(22)《固定源挥发性有机物综合排放标准 第3部分 有机化学品制造工业》(DB344812.3-2024)。</w:t>
      </w:r>
    </w:p>
    <w:p w14:paraId="6A84FF8C">
      <w:pPr>
        <w:pStyle w:val="4"/>
        <w:rPr>
          <w:rFonts w:hint="eastAsia"/>
        </w:rPr>
      </w:pPr>
      <w:bookmarkStart w:id="22" w:name="_Toc221056320"/>
      <w:r>
        <w:rPr>
          <w:rFonts w:hint="eastAsia"/>
        </w:rPr>
        <w:t>2.2.3相关技术资料及其他依据</w:t>
      </w:r>
      <w:bookmarkEnd w:id="22"/>
    </w:p>
    <w:p w14:paraId="0B4C821E">
      <w:pPr>
        <w:ind w:firstLine="424" w:firstLineChars="177"/>
      </w:pPr>
      <w:r>
        <w:rPr>
          <w:rFonts w:hint="eastAsia"/>
        </w:rPr>
        <w:t>(1)《蚌埠精细化工高新技术产业基地规划(2021-2035)环境影响报告书》及其审查意见；</w:t>
      </w:r>
    </w:p>
    <w:p w14:paraId="11286DBA">
      <w:pPr>
        <w:ind w:firstLine="424" w:firstLineChars="177"/>
        <w:rPr>
          <w:bCs/>
        </w:rPr>
      </w:pPr>
      <w:r>
        <w:rPr>
          <w:rFonts w:hint="eastAsia"/>
          <w:bCs/>
        </w:rPr>
        <w:t>(2)</w:t>
      </w:r>
      <w:r>
        <w:rPr>
          <w:bCs/>
        </w:rPr>
        <w:t>安徽海华科技集团有限公司关于开展环境影响评价工作的委托书</w:t>
      </w:r>
      <w:r>
        <w:rPr>
          <w:rFonts w:hint="eastAsia"/>
          <w:bCs/>
        </w:rPr>
        <w:t>；</w:t>
      </w:r>
    </w:p>
    <w:p w14:paraId="57062E38">
      <w:pPr>
        <w:ind w:firstLine="424" w:firstLineChars="177"/>
      </w:pPr>
      <w:r>
        <w:rPr>
          <w:rFonts w:hint="eastAsia"/>
          <w:bCs/>
        </w:rPr>
        <w:t>(3)安徽海华科技集团有限公司</w:t>
      </w:r>
      <w:r>
        <w:rPr>
          <w:rFonts w:hint="eastAsia"/>
        </w:rPr>
        <w:t>提供其他的基础设计技术资料等。</w:t>
      </w:r>
    </w:p>
    <w:p w14:paraId="2327F648">
      <w:pPr>
        <w:pStyle w:val="3"/>
        <w:spacing w:before="326"/>
        <w:rPr>
          <w:rFonts w:hint="eastAsia"/>
        </w:rPr>
      </w:pPr>
      <w:bookmarkStart w:id="23" w:name="_Toc221056321"/>
      <w:r>
        <w:rPr>
          <w:rFonts w:hint="eastAsia"/>
        </w:rPr>
        <w:t>2.3环境因素识别和评价因子筛选</w:t>
      </w:r>
      <w:bookmarkEnd w:id="23"/>
    </w:p>
    <w:p w14:paraId="4F1FFD20">
      <w:pPr>
        <w:pStyle w:val="4"/>
        <w:rPr>
          <w:rFonts w:hint="eastAsia"/>
        </w:rPr>
      </w:pPr>
      <w:bookmarkStart w:id="24" w:name="_Toc221056322"/>
      <w:r>
        <w:rPr>
          <w:rFonts w:hint="eastAsia"/>
        </w:rPr>
        <w:t>2.3.1环境因素识别</w:t>
      </w:r>
      <w:bookmarkEnd w:id="24"/>
    </w:p>
    <w:p w14:paraId="193E8DB8">
      <w:pPr>
        <w:ind w:firstLine="424" w:firstLineChars="177"/>
      </w:pPr>
      <w:r>
        <w:rPr>
          <w:rFonts w:hint="eastAsia"/>
        </w:rPr>
        <w:t>(1)废水</w:t>
      </w:r>
    </w:p>
    <w:p w14:paraId="0FCF7E33">
      <w:pPr>
        <w:ind w:firstLine="480" w:firstLineChars="200"/>
      </w:pPr>
      <w:r>
        <w:rPr>
          <w:rFonts w:hint="eastAsia"/>
        </w:rPr>
        <w:t>间甲酚车间产生的废水为分层罐、干燥塔排放的生产废水，地坪冲洗废水、循环冷却系统排污水、初期雨水和生活污水等，废水分类收集后经不同管道输送至海华西厂区污水处理站集中处理后排入沫河口污水处理厂三期工程。</w:t>
      </w:r>
    </w:p>
    <w:p w14:paraId="26292067">
      <w:pPr>
        <w:ind w:firstLine="480" w:firstLineChars="200"/>
      </w:pPr>
      <w:r>
        <w:t>(2)废气</w:t>
      </w:r>
    </w:p>
    <w:p w14:paraId="12CCD9E6">
      <w:pPr>
        <w:ind w:firstLine="480" w:firstLineChars="200"/>
      </w:pPr>
      <w:r>
        <w:rPr>
          <w:rFonts w:hint="eastAsia"/>
        </w:rPr>
        <w:t>间甲酚车间产生的</w:t>
      </w:r>
      <w:r>
        <w:t>废气主要</w:t>
      </w:r>
      <w:r>
        <w:rPr>
          <w:rFonts w:hint="eastAsia"/>
        </w:rPr>
        <w:t>为</w:t>
      </w:r>
      <w:r>
        <w:t>减压精馏</w:t>
      </w:r>
      <w:r>
        <w:rPr>
          <w:rFonts w:hint="eastAsia"/>
        </w:rPr>
        <w:t>系统的不凝气</w:t>
      </w:r>
      <w:r>
        <w:t>和储罐产生的呼吸废气，废气污染物为酚类和非甲烷总烃，废气经</w:t>
      </w:r>
      <w:r>
        <w:rPr>
          <w:rFonts w:hint="eastAsia"/>
        </w:rPr>
        <w:t>管道</w:t>
      </w:r>
      <w:r>
        <w:t>收集后送至</w:t>
      </w:r>
      <w:r>
        <w:rPr>
          <w:rFonts w:hint="eastAsia"/>
        </w:rPr>
        <w:t>东厂区2</w:t>
      </w:r>
      <w:r>
        <w:t>#RTO</w:t>
      </w:r>
      <w:r>
        <w:rPr>
          <w:rFonts w:hint="eastAsia"/>
        </w:rPr>
        <w:t>炉进行处理</w:t>
      </w:r>
      <w:r>
        <w:t>。</w:t>
      </w:r>
    </w:p>
    <w:p w14:paraId="57D01529">
      <w:pPr>
        <w:ind w:firstLine="424" w:firstLineChars="177"/>
      </w:pPr>
      <w:r>
        <w:t>(3)噪声</w:t>
      </w:r>
    </w:p>
    <w:p w14:paraId="64C8A01B">
      <w:pPr>
        <w:ind w:firstLine="424" w:firstLineChars="177"/>
      </w:pPr>
      <w:r>
        <w:rPr>
          <w:rFonts w:hint="eastAsia"/>
        </w:rPr>
        <w:t>间甲酚车间</w:t>
      </w:r>
      <w:r>
        <w:t>噪声源主要是精馏塔、机泵、冷却塔及空压机等设备噪声，其声级范围为70-</w:t>
      </w:r>
      <w:r>
        <w:rPr>
          <w:rFonts w:hint="eastAsia"/>
        </w:rPr>
        <w:t>90</w:t>
      </w:r>
      <w:r>
        <w:t>dB(A)。</w:t>
      </w:r>
    </w:p>
    <w:p w14:paraId="7FB32052">
      <w:pPr>
        <w:ind w:firstLine="480" w:firstLineChars="200"/>
      </w:pPr>
      <w:r>
        <w:t>(4)固体废物</w:t>
      </w:r>
    </w:p>
    <w:p w14:paraId="15EBD4F0">
      <w:pPr>
        <w:ind w:firstLine="480" w:firstLineChars="200"/>
      </w:pPr>
      <w:r>
        <w:rPr>
          <w:rFonts w:hint="eastAsia"/>
        </w:rPr>
        <w:t>间甲酚车间</w:t>
      </w:r>
      <w:r>
        <w:t>生产产生</w:t>
      </w:r>
      <w:r>
        <w:rPr>
          <w:rFonts w:hint="eastAsia"/>
        </w:rPr>
        <w:t>的</w:t>
      </w:r>
      <w:r>
        <w:t>固废为精馏残渣，</w:t>
      </w:r>
      <w:r>
        <w:rPr>
          <w:rFonts w:hint="eastAsia"/>
        </w:rPr>
        <w:t>产生单元</w:t>
      </w:r>
      <w:r>
        <w:t>主要</w:t>
      </w:r>
      <w:r>
        <w:rPr>
          <w:rFonts w:hint="eastAsia"/>
        </w:rPr>
        <w:t>为</w:t>
      </w:r>
      <w:r>
        <w:t>脱焦塔、单对脱烯塔、间甲酚脱烯塔</w:t>
      </w:r>
      <w:r>
        <w:rPr>
          <w:rFonts w:hint="eastAsia"/>
        </w:rPr>
        <w:t>等装置。精馏残渣</w:t>
      </w:r>
      <w:r>
        <w:t>为危险废物，暂存在</w:t>
      </w:r>
      <w:r>
        <w:rPr>
          <w:rFonts w:hint="eastAsia"/>
        </w:rPr>
        <w:t>东厂区</w:t>
      </w:r>
      <w:r>
        <w:t>危废暂存间</w:t>
      </w:r>
      <w:r>
        <w:rPr>
          <w:rFonts w:hint="eastAsia"/>
        </w:rPr>
        <w:t>内</w:t>
      </w:r>
      <w:r>
        <w:t>，</w:t>
      </w:r>
      <w:r>
        <w:rPr>
          <w:rFonts w:hint="eastAsia"/>
        </w:rPr>
        <w:t>定期交给有资质单位处置</w:t>
      </w:r>
      <w:r>
        <w:t>。</w:t>
      </w:r>
    </w:p>
    <w:p w14:paraId="1354CB70">
      <w:pPr>
        <w:ind w:firstLine="424" w:firstLineChars="177"/>
      </w:pPr>
      <w:r>
        <w:t>(5)环境风险</w:t>
      </w:r>
    </w:p>
    <w:p w14:paraId="370D4FC5">
      <w:pPr>
        <w:ind w:firstLine="424" w:firstLineChars="177"/>
      </w:pPr>
      <w:r>
        <w:t>根据项目原料和产品物化性质，项目涉及的原料和产品大多为易燃易爆危险物质，生产工艺中烷基化工艺为危险工艺，因此本项目主要的环境风险影响为发生泄漏事故和火灾爆炸导致的次生伴生环境污染。</w:t>
      </w:r>
    </w:p>
    <w:p w14:paraId="14BA085E">
      <w:pPr>
        <w:pStyle w:val="74"/>
        <w:spacing w:line="480" w:lineRule="exact"/>
        <w:ind w:firstLine="480"/>
        <w:rPr>
          <w:rFonts w:cs="Times New Roman"/>
          <w:color w:val="000000" w:themeColor="text1"/>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根据该工程特点和排污特征，结合当地环境现状和规划功能，本项目的环境影响因素主要为大气环境，其次为固体废物和声环境影响。</w:t>
      </w:r>
    </w:p>
    <w:p w14:paraId="3FDFC2C8">
      <w:pPr>
        <w:pStyle w:val="28"/>
        <w:rPr>
          <w:rFonts w:hint="eastAsia"/>
        </w:rPr>
      </w:pPr>
      <w:r>
        <w:t>表</w:t>
      </w:r>
      <w:r>
        <w:rPr>
          <w:rFonts w:hint="eastAsia"/>
        </w:rPr>
        <w:t>2</w:t>
      </w:r>
      <w:r>
        <w:t>.3-1  环境影响因素识别结果</w:t>
      </w:r>
    </w:p>
    <w:tbl>
      <w:tblPr>
        <w:tblStyle w:val="36"/>
        <w:tblW w:w="5000" w:type="pct"/>
        <w:jc w:val="center"/>
        <w:tblBorders>
          <w:top w:val="single" w:color="auto" w:sz="4" w:space="0"/>
          <w:left w:val="single" w:color="auto" w:sz="4" w:space="0"/>
          <w:bottom w:val="single" w:color="auto" w:sz="4" w:space="0"/>
          <w:right w:val="single" w:color="auto" w:sz="4" w:space="0"/>
          <w:insideH w:val="single" w:color="auto" w:sz="2" w:space="0"/>
          <w:insideV w:val="single" w:color="auto" w:sz="4" w:space="0"/>
        </w:tblBorders>
        <w:tblLayout w:type="autofit"/>
        <w:tblCellMar>
          <w:top w:w="0" w:type="dxa"/>
          <w:left w:w="108" w:type="dxa"/>
          <w:bottom w:w="0" w:type="dxa"/>
          <w:right w:w="108" w:type="dxa"/>
        </w:tblCellMar>
      </w:tblPr>
      <w:tblGrid>
        <w:gridCol w:w="933"/>
        <w:gridCol w:w="1397"/>
        <w:gridCol w:w="496"/>
        <w:gridCol w:w="496"/>
        <w:gridCol w:w="497"/>
        <w:gridCol w:w="497"/>
        <w:gridCol w:w="497"/>
        <w:gridCol w:w="497"/>
        <w:gridCol w:w="497"/>
        <w:gridCol w:w="497"/>
        <w:gridCol w:w="497"/>
        <w:gridCol w:w="497"/>
        <w:gridCol w:w="497"/>
        <w:gridCol w:w="497"/>
        <w:gridCol w:w="497"/>
        <w:gridCol w:w="497"/>
      </w:tblGrid>
      <w:tr w14:paraId="384C59E6">
        <w:tblPrEx>
          <w:tblBorders>
            <w:top w:val="single" w:color="auto" w:sz="4" w:space="0"/>
            <w:left w:val="single" w:color="auto" w:sz="4" w:space="0"/>
            <w:bottom w:val="single" w:color="auto" w:sz="4" w:space="0"/>
            <w:right w:val="single" w:color="auto" w:sz="4" w:space="0"/>
            <w:insideH w:val="single" w:color="auto" w:sz="2" w:space="0"/>
            <w:insideV w:val="single" w:color="auto" w:sz="4" w:space="0"/>
          </w:tblBorders>
          <w:tblCellMar>
            <w:top w:w="0" w:type="dxa"/>
            <w:left w:w="108" w:type="dxa"/>
            <w:bottom w:w="0" w:type="dxa"/>
            <w:right w:w="108" w:type="dxa"/>
          </w:tblCellMar>
        </w:tblPrEx>
        <w:trPr>
          <w:cantSplit/>
          <w:trHeight w:val="340" w:hRule="atLeast"/>
          <w:jc w:val="center"/>
        </w:trPr>
        <w:tc>
          <w:tcPr>
            <w:tcW w:w="2330" w:type="dxa"/>
            <w:gridSpan w:val="2"/>
            <w:vMerge w:val="restart"/>
            <w:vAlign w:val="center"/>
          </w:tcPr>
          <w:p w14:paraId="06405B2F">
            <w:pPr>
              <w:spacing w:line="240" w:lineRule="auto"/>
              <w:jc w:val="center"/>
              <w:rPr>
                <w:rFonts w:cs="Times New Roman"/>
                <w:sz w:val="21"/>
                <w:szCs w:val="21"/>
              </w:rPr>
            </w:pPr>
            <w:r>
              <w:rPr>
                <w:rFonts w:cs="Times New Roman"/>
                <w:sz w:val="21"/>
                <w:szCs w:val="21"/>
              </w:rPr>
              <w:t>影响分析</w:t>
            </w:r>
          </w:p>
        </w:tc>
        <w:tc>
          <w:tcPr>
            <w:tcW w:w="4471" w:type="dxa"/>
            <w:gridSpan w:val="9"/>
            <w:vAlign w:val="center"/>
          </w:tcPr>
          <w:p w14:paraId="6DF6DC75">
            <w:pPr>
              <w:spacing w:line="240" w:lineRule="auto"/>
              <w:jc w:val="center"/>
              <w:rPr>
                <w:rFonts w:cs="Times New Roman"/>
                <w:sz w:val="21"/>
                <w:szCs w:val="21"/>
              </w:rPr>
            </w:pPr>
            <w:r>
              <w:rPr>
                <w:rFonts w:cs="Times New Roman"/>
                <w:sz w:val="21"/>
                <w:szCs w:val="21"/>
              </w:rPr>
              <w:t>自然环境</w:t>
            </w:r>
          </w:p>
        </w:tc>
        <w:tc>
          <w:tcPr>
            <w:tcW w:w="2485" w:type="dxa"/>
            <w:gridSpan w:val="5"/>
            <w:vAlign w:val="center"/>
          </w:tcPr>
          <w:p w14:paraId="32747229">
            <w:pPr>
              <w:spacing w:line="240" w:lineRule="auto"/>
              <w:jc w:val="center"/>
              <w:rPr>
                <w:rFonts w:cs="Times New Roman"/>
                <w:sz w:val="21"/>
                <w:szCs w:val="21"/>
              </w:rPr>
            </w:pPr>
            <w:r>
              <w:rPr>
                <w:rFonts w:cs="Times New Roman"/>
                <w:sz w:val="21"/>
                <w:szCs w:val="21"/>
              </w:rPr>
              <w:t>社会环境</w:t>
            </w:r>
          </w:p>
        </w:tc>
      </w:tr>
      <w:tr w14:paraId="2A145B3A">
        <w:tblPrEx>
          <w:tblBorders>
            <w:top w:val="single" w:color="auto" w:sz="4" w:space="0"/>
            <w:left w:val="single" w:color="auto" w:sz="4" w:space="0"/>
            <w:bottom w:val="single" w:color="auto" w:sz="4" w:space="0"/>
            <w:right w:val="single" w:color="auto" w:sz="4" w:space="0"/>
            <w:insideH w:val="single" w:color="auto" w:sz="2" w:space="0"/>
            <w:insideV w:val="single" w:color="auto" w:sz="4" w:space="0"/>
          </w:tblBorders>
          <w:tblCellMar>
            <w:top w:w="0" w:type="dxa"/>
            <w:left w:w="108" w:type="dxa"/>
            <w:bottom w:w="0" w:type="dxa"/>
            <w:right w:w="108" w:type="dxa"/>
          </w:tblCellMar>
        </w:tblPrEx>
        <w:trPr>
          <w:cantSplit/>
          <w:trHeight w:val="340" w:hRule="atLeast"/>
          <w:jc w:val="center"/>
        </w:trPr>
        <w:tc>
          <w:tcPr>
            <w:tcW w:w="2330" w:type="dxa"/>
            <w:gridSpan w:val="2"/>
            <w:vMerge w:val="continue"/>
            <w:vAlign w:val="center"/>
          </w:tcPr>
          <w:p w14:paraId="64219F93">
            <w:pPr>
              <w:spacing w:line="240" w:lineRule="auto"/>
              <w:rPr>
                <w:rFonts w:cs="Times New Roman"/>
                <w:sz w:val="21"/>
                <w:szCs w:val="21"/>
              </w:rPr>
            </w:pPr>
          </w:p>
        </w:tc>
        <w:tc>
          <w:tcPr>
            <w:tcW w:w="496" w:type="dxa"/>
            <w:vAlign w:val="center"/>
          </w:tcPr>
          <w:p w14:paraId="78F3AE21">
            <w:pPr>
              <w:spacing w:line="240" w:lineRule="auto"/>
              <w:rPr>
                <w:rFonts w:cs="Times New Roman"/>
                <w:sz w:val="21"/>
                <w:szCs w:val="21"/>
              </w:rPr>
            </w:pPr>
            <w:r>
              <w:rPr>
                <w:rFonts w:cs="Times New Roman"/>
                <w:sz w:val="21"/>
                <w:szCs w:val="21"/>
              </w:rPr>
              <w:t>地形地貌</w:t>
            </w:r>
          </w:p>
        </w:tc>
        <w:tc>
          <w:tcPr>
            <w:tcW w:w="496" w:type="dxa"/>
            <w:vAlign w:val="center"/>
          </w:tcPr>
          <w:p w14:paraId="376C1F20">
            <w:pPr>
              <w:spacing w:line="240" w:lineRule="auto"/>
              <w:rPr>
                <w:rFonts w:cs="Times New Roman"/>
                <w:sz w:val="21"/>
                <w:szCs w:val="21"/>
              </w:rPr>
            </w:pPr>
            <w:r>
              <w:rPr>
                <w:rFonts w:cs="Times New Roman"/>
                <w:sz w:val="21"/>
                <w:szCs w:val="21"/>
              </w:rPr>
              <w:t>河流水文</w:t>
            </w:r>
          </w:p>
        </w:tc>
        <w:tc>
          <w:tcPr>
            <w:tcW w:w="497" w:type="dxa"/>
            <w:vAlign w:val="center"/>
          </w:tcPr>
          <w:p w14:paraId="49F2E145">
            <w:pPr>
              <w:spacing w:line="240" w:lineRule="auto"/>
              <w:rPr>
                <w:rFonts w:cs="Times New Roman"/>
                <w:sz w:val="21"/>
                <w:szCs w:val="21"/>
              </w:rPr>
            </w:pPr>
            <w:r>
              <w:rPr>
                <w:rFonts w:cs="Times New Roman"/>
                <w:sz w:val="21"/>
                <w:szCs w:val="21"/>
              </w:rPr>
              <w:t>水土流失</w:t>
            </w:r>
          </w:p>
        </w:tc>
        <w:tc>
          <w:tcPr>
            <w:tcW w:w="497" w:type="dxa"/>
            <w:vAlign w:val="center"/>
          </w:tcPr>
          <w:p w14:paraId="05B8FB52">
            <w:pPr>
              <w:spacing w:line="240" w:lineRule="auto"/>
              <w:rPr>
                <w:rFonts w:cs="Times New Roman"/>
                <w:sz w:val="21"/>
                <w:szCs w:val="21"/>
              </w:rPr>
            </w:pPr>
            <w:r>
              <w:rPr>
                <w:rFonts w:cs="Times New Roman"/>
                <w:sz w:val="21"/>
                <w:szCs w:val="21"/>
              </w:rPr>
              <w:t>地表水质</w:t>
            </w:r>
          </w:p>
        </w:tc>
        <w:tc>
          <w:tcPr>
            <w:tcW w:w="497" w:type="dxa"/>
            <w:vAlign w:val="center"/>
          </w:tcPr>
          <w:p w14:paraId="248E37CE">
            <w:pPr>
              <w:spacing w:line="240" w:lineRule="auto"/>
              <w:rPr>
                <w:rFonts w:cs="Times New Roman"/>
                <w:sz w:val="21"/>
                <w:szCs w:val="21"/>
              </w:rPr>
            </w:pPr>
            <w:r>
              <w:rPr>
                <w:rFonts w:cs="Times New Roman"/>
                <w:sz w:val="21"/>
                <w:szCs w:val="21"/>
              </w:rPr>
              <w:t>地下水质</w:t>
            </w:r>
          </w:p>
        </w:tc>
        <w:tc>
          <w:tcPr>
            <w:tcW w:w="497" w:type="dxa"/>
            <w:vAlign w:val="center"/>
          </w:tcPr>
          <w:p w14:paraId="7EFFAA75">
            <w:pPr>
              <w:spacing w:line="240" w:lineRule="auto"/>
              <w:rPr>
                <w:rFonts w:cs="Times New Roman"/>
                <w:sz w:val="21"/>
                <w:szCs w:val="21"/>
              </w:rPr>
            </w:pPr>
            <w:r>
              <w:rPr>
                <w:rFonts w:cs="Times New Roman"/>
                <w:sz w:val="21"/>
                <w:szCs w:val="21"/>
              </w:rPr>
              <w:t>土壤环境</w:t>
            </w:r>
          </w:p>
        </w:tc>
        <w:tc>
          <w:tcPr>
            <w:tcW w:w="497" w:type="dxa"/>
            <w:vAlign w:val="center"/>
          </w:tcPr>
          <w:p w14:paraId="313B356E">
            <w:pPr>
              <w:spacing w:line="240" w:lineRule="auto"/>
              <w:rPr>
                <w:rFonts w:cs="Times New Roman"/>
                <w:sz w:val="21"/>
                <w:szCs w:val="21"/>
              </w:rPr>
            </w:pPr>
            <w:r>
              <w:rPr>
                <w:rFonts w:cs="Times New Roman"/>
                <w:sz w:val="21"/>
                <w:szCs w:val="21"/>
              </w:rPr>
              <w:t>空气质量</w:t>
            </w:r>
          </w:p>
        </w:tc>
        <w:tc>
          <w:tcPr>
            <w:tcW w:w="497" w:type="dxa"/>
            <w:vAlign w:val="center"/>
          </w:tcPr>
          <w:p w14:paraId="477D783B">
            <w:pPr>
              <w:spacing w:line="240" w:lineRule="auto"/>
              <w:rPr>
                <w:rFonts w:cs="Times New Roman"/>
                <w:sz w:val="21"/>
                <w:szCs w:val="21"/>
              </w:rPr>
            </w:pPr>
            <w:r>
              <w:rPr>
                <w:rFonts w:cs="Times New Roman"/>
                <w:sz w:val="21"/>
                <w:szCs w:val="21"/>
              </w:rPr>
              <w:t>声学环境</w:t>
            </w:r>
          </w:p>
        </w:tc>
        <w:tc>
          <w:tcPr>
            <w:tcW w:w="497" w:type="dxa"/>
            <w:vAlign w:val="center"/>
          </w:tcPr>
          <w:p w14:paraId="337A3CE9">
            <w:pPr>
              <w:spacing w:line="240" w:lineRule="auto"/>
              <w:rPr>
                <w:rFonts w:cs="Times New Roman"/>
                <w:sz w:val="21"/>
                <w:szCs w:val="21"/>
              </w:rPr>
            </w:pPr>
            <w:r>
              <w:rPr>
                <w:rFonts w:cs="Times New Roman"/>
                <w:sz w:val="21"/>
                <w:szCs w:val="21"/>
              </w:rPr>
              <w:t>生态环境</w:t>
            </w:r>
          </w:p>
        </w:tc>
        <w:tc>
          <w:tcPr>
            <w:tcW w:w="497" w:type="dxa"/>
            <w:vAlign w:val="center"/>
          </w:tcPr>
          <w:p w14:paraId="737F8970">
            <w:pPr>
              <w:spacing w:line="240" w:lineRule="auto"/>
              <w:rPr>
                <w:rFonts w:cs="Times New Roman"/>
                <w:sz w:val="21"/>
                <w:szCs w:val="21"/>
              </w:rPr>
            </w:pPr>
            <w:r>
              <w:rPr>
                <w:rFonts w:cs="Times New Roman"/>
                <w:sz w:val="21"/>
                <w:szCs w:val="21"/>
              </w:rPr>
              <w:t>供</w:t>
            </w:r>
          </w:p>
          <w:p w14:paraId="7EC882DF">
            <w:pPr>
              <w:spacing w:line="240" w:lineRule="auto"/>
              <w:rPr>
                <w:rFonts w:cs="Times New Roman"/>
                <w:sz w:val="21"/>
                <w:szCs w:val="21"/>
              </w:rPr>
            </w:pPr>
          </w:p>
          <w:p w14:paraId="6D51A882">
            <w:pPr>
              <w:spacing w:line="240" w:lineRule="auto"/>
              <w:rPr>
                <w:rFonts w:cs="Times New Roman"/>
                <w:sz w:val="21"/>
                <w:szCs w:val="21"/>
              </w:rPr>
            </w:pPr>
            <w:r>
              <w:rPr>
                <w:rFonts w:cs="Times New Roman"/>
                <w:sz w:val="21"/>
                <w:szCs w:val="21"/>
              </w:rPr>
              <w:t>电</w:t>
            </w:r>
          </w:p>
        </w:tc>
        <w:tc>
          <w:tcPr>
            <w:tcW w:w="497" w:type="dxa"/>
            <w:vAlign w:val="center"/>
          </w:tcPr>
          <w:p w14:paraId="70BA7B09">
            <w:pPr>
              <w:spacing w:line="240" w:lineRule="auto"/>
              <w:rPr>
                <w:rFonts w:cs="Times New Roman"/>
                <w:sz w:val="21"/>
                <w:szCs w:val="21"/>
              </w:rPr>
            </w:pPr>
            <w:r>
              <w:rPr>
                <w:rFonts w:cs="Times New Roman"/>
                <w:sz w:val="21"/>
                <w:szCs w:val="21"/>
              </w:rPr>
              <w:t>供</w:t>
            </w:r>
          </w:p>
          <w:p w14:paraId="3D0EF331">
            <w:pPr>
              <w:spacing w:line="240" w:lineRule="auto"/>
              <w:rPr>
                <w:rFonts w:cs="Times New Roman"/>
                <w:sz w:val="21"/>
                <w:szCs w:val="21"/>
              </w:rPr>
            </w:pPr>
          </w:p>
          <w:p w14:paraId="01948070">
            <w:pPr>
              <w:spacing w:line="240" w:lineRule="auto"/>
              <w:rPr>
                <w:rFonts w:cs="Times New Roman"/>
                <w:sz w:val="21"/>
                <w:szCs w:val="21"/>
              </w:rPr>
            </w:pPr>
            <w:r>
              <w:rPr>
                <w:rFonts w:cs="Times New Roman"/>
                <w:sz w:val="21"/>
                <w:szCs w:val="21"/>
              </w:rPr>
              <w:t>水</w:t>
            </w:r>
          </w:p>
        </w:tc>
        <w:tc>
          <w:tcPr>
            <w:tcW w:w="497" w:type="dxa"/>
            <w:vAlign w:val="center"/>
          </w:tcPr>
          <w:p w14:paraId="390FEFCD">
            <w:pPr>
              <w:spacing w:line="240" w:lineRule="auto"/>
              <w:rPr>
                <w:rFonts w:cs="Times New Roman"/>
                <w:sz w:val="21"/>
                <w:szCs w:val="21"/>
              </w:rPr>
            </w:pPr>
            <w:r>
              <w:rPr>
                <w:rFonts w:cs="Times New Roman"/>
                <w:sz w:val="21"/>
                <w:szCs w:val="21"/>
              </w:rPr>
              <w:t>安全卫生</w:t>
            </w:r>
          </w:p>
        </w:tc>
        <w:tc>
          <w:tcPr>
            <w:tcW w:w="497" w:type="dxa"/>
            <w:vAlign w:val="center"/>
          </w:tcPr>
          <w:p w14:paraId="336F5E45">
            <w:pPr>
              <w:spacing w:line="240" w:lineRule="auto"/>
              <w:rPr>
                <w:rFonts w:cs="Times New Roman"/>
                <w:sz w:val="21"/>
                <w:szCs w:val="21"/>
              </w:rPr>
            </w:pPr>
            <w:r>
              <w:rPr>
                <w:rFonts w:cs="Times New Roman"/>
                <w:sz w:val="21"/>
                <w:szCs w:val="21"/>
              </w:rPr>
              <w:t>就</w:t>
            </w:r>
          </w:p>
          <w:p w14:paraId="5280575B">
            <w:pPr>
              <w:spacing w:line="240" w:lineRule="auto"/>
              <w:rPr>
                <w:rFonts w:cs="Times New Roman"/>
                <w:sz w:val="21"/>
                <w:szCs w:val="21"/>
              </w:rPr>
            </w:pPr>
          </w:p>
          <w:p w14:paraId="20A4132E">
            <w:pPr>
              <w:spacing w:line="240" w:lineRule="auto"/>
              <w:rPr>
                <w:rFonts w:cs="Times New Roman"/>
                <w:sz w:val="21"/>
                <w:szCs w:val="21"/>
              </w:rPr>
            </w:pPr>
            <w:r>
              <w:rPr>
                <w:rFonts w:cs="Times New Roman"/>
                <w:sz w:val="21"/>
                <w:szCs w:val="21"/>
              </w:rPr>
              <w:t>业</w:t>
            </w:r>
          </w:p>
        </w:tc>
        <w:tc>
          <w:tcPr>
            <w:tcW w:w="497" w:type="dxa"/>
            <w:vAlign w:val="center"/>
          </w:tcPr>
          <w:p w14:paraId="51808C60">
            <w:pPr>
              <w:spacing w:line="240" w:lineRule="auto"/>
              <w:rPr>
                <w:rFonts w:cs="Times New Roman"/>
                <w:sz w:val="21"/>
                <w:szCs w:val="21"/>
              </w:rPr>
            </w:pPr>
            <w:r>
              <w:rPr>
                <w:rFonts w:cs="Times New Roman"/>
                <w:sz w:val="21"/>
                <w:szCs w:val="21"/>
              </w:rPr>
              <w:t>经</w:t>
            </w:r>
          </w:p>
          <w:p w14:paraId="4B960F59">
            <w:pPr>
              <w:spacing w:line="240" w:lineRule="auto"/>
              <w:rPr>
                <w:rFonts w:cs="Times New Roman"/>
                <w:sz w:val="21"/>
                <w:szCs w:val="21"/>
              </w:rPr>
            </w:pPr>
          </w:p>
          <w:p w14:paraId="56D7A651">
            <w:pPr>
              <w:spacing w:line="240" w:lineRule="auto"/>
              <w:rPr>
                <w:rFonts w:cs="Times New Roman"/>
                <w:sz w:val="21"/>
                <w:szCs w:val="21"/>
              </w:rPr>
            </w:pPr>
            <w:r>
              <w:rPr>
                <w:rFonts w:cs="Times New Roman"/>
                <w:sz w:val="21"/>
                <w:szCs w:val="21"/>
              </w:rPr>
              <w:t>济</w:t>
            </w:r>
          </w:p>
        </w:tc>
      </w:tr>
      <w:tr w14:paraId="705A3A48">
        <w:tblPrEx>
          <w:tblBorders>
            <w:top w:val="single" w:color="auto" w:sz="4" w:space="0"/>
            <w:left w:val="single" w:color="auto" w:sz="4" w:space="0"/>
            <w:bottom w:val="single" w:color="auto" w:sz="4" w:space="0"/>
            <w:right w:val="single" w:color="auto" w:sz="4" w:space="0"/>
            <w:insideH w:val="single" w:color="auto" w:sz="2" w:space="0"/>
            <w:insideV w:val="single" w:color="auto" w:sz="4" w:space="0"/>
          </w:tblBorders>
          <w:tblCellMar>
            <w:top w:w="0" w:type="dxa"/>
            <w:left w:w="108" w:type="dxa"/>
            <w:bottom w:w="0" w:type="dxa"/>
            <w:right w:w="108" w:type="dxa"/>
          </w:tblCellMar>
        </w:tblPrEx>
        <w:trPr>
          <w:cantSplit/>
          <w:trHeight w:val="340" w:hRule="atLeast"/>
          <w:jc w:val="center"/>
        </w:trPr>
        <w:tc>
          <w:tcPr>
            <w:tcW w:w="933" w:type="dxa"/>
            <w:vMerge w:val="restart"/>
            <w:vAlign w:val="center"/>
          </w:tcPr>
          <w:p w14:paraId="69FC85D4">
            <w:pPr>
              <w:spacing w:line="240" w:lineRule="auto"/>
              <w:rPr>
                <w:rFonts w:cs="Times New Roman"/>
                <w:sz w:val="21"/>
                <w:szCs w:val="21"/>
              </w:rPr>
            </w:pPr>
            <w:r>
              <w:rPr>
                <w:rFonts w:cs="Times New Roman"/>
                <w:sz w:val="21"/>
                <w:szCs w:val="21"/>
              </w:rPr>
              <w:t>建设期</w:t>
            </w:r>
          </w:p>
        </w:tc>
        <w:tc>
          <w:tcPr>
            <w:tcW w:w="1397" w:type="dxa"/>
            <w:vAlign w:val="center"/>
          </w:tcPr>
          <w:p w14:paraId="17A6F3FA">
            <w:pPr>
              <w:spacing w:line="240" w:lineRule="auto"/>
              <w:rPr>
                <w:rFonts w:cs="Times New Roman"/>
                <w:sz w:val="21"/>
                <w:szCs w:val="21"/>
              </w:rPr>
            </w:pPr>
            <w:r>
              <w:rPr>
                <w:rFonts w:cs="Times New Roman"/>
                <w:sz w:val="21"/>
                <w:szCs w:val="21"/>
              </w:rPr>
              <w:t>有利影响</w:t>
            </w:r>
          </w:p>
        </w:tc>
        <w:tc>
          <w:tcPr>
            <w:tcW w:w="496" w:type="dxa"/>
            <w:vAlign w:val="center"/>
          </w:tcPr>
          <w:p w14:paraId="7AEA8F1D">
            <w:pPr>
              <w:spacing w:line="240" w:lineRule="auto"/>
              <w:rPr>
                <w:rFonts w:cs="Times New Roman"/>
                <w:sz w:val="21"/>
                <w:szCs w:val="21"/>
              </w:rPr>
            </w:pPr>
          </w:p>
        </w:tc>
        <w:tc>
          <w:tcPr>
            <w:tcW w:w="496" w:type="dxa"/>
            <w:vAlign w:val="center"/>
          </w:tcPr>
          <w:p w14:paraId="13814ED0">
            <w:pPr>
              <w:spacing w:line="240" w:lineRule="auto"/>
              <w:rPr>
                <w:rFonts w:cs="Times New Roman"/>
                <w:sz w:val="21"/>
                <w:szCs w:val="21"/>
              </w:rPr>
            </w:pPr>
          </w:p>
        </w:tc>
        <w:tc>
          <w:tcPr>
            <w:tcW w:w="497" w:type="dxa"/>
            <w:vAlign w:val="center"/>
          </w:tcPr>
          <w:p w14:paraId="62B93E07">
            <w:pPr>
              <w:spacing w:line="240" w:lineRule="auto"/>
              <w:rPr>
                <w:rFonts w:cs="Times New Roman"/>
                <w:sz w:val="21"/>
                <w:szCs w:val="21"/>
              </w:rPr>
            </w:pPr>
          </w:p>
        </w:tc>
        <w:tc>
          <w:tcPr>
            <w:tcW w:w="497" w:type="dxa"/>
            <w:vAlign w:val="center"/>
          </w:tcPr>
          <w:p w14:paraId="778D82C8">
            <w:pPr>
              <w:spacing w:line="240" w:lineRule="auto"/>
              <w:rPr>
                <w:rFonts w:cs="Times New Roman"/>
                <w:sz w:val="21"/>
                <w:szCs w:val="21"/>
              </w:rPr>
            </w:pPr>
          </w:p>
        </w:tc>
        <w:tc>
          <w:tcPr>
            <w:tcW w:w="497" w:type="dxa"/>
            <w:vAlign w:val="center"/>
          </w:tcPr>
          <w:p w14:paraId="0ADF369C">
            <w:pPr>
              <w:spacing w:line="240" w:lineRule="auto"/>
              <w:rPr>
                <w:rFonts w:cs="Times New Roman"/>
                <w:sz w:val="21"/>
                <w:szCs w:val="21"/>
              </w:rPr>
            </w:pPr>
          </w:p>
        </w:tc>
        <w:tc>
          <w:tcPr>
            <w:tcW w:w="497" w:type="dxa"/>
            <w:vAlign w:val="center"/>
          </w:tcPr>
          <w:p w14:paraId="303EAD34">
            <w:pPr>
              <w:spacing w:line="240" w:lineRule="auto"/>
              <w:rPr>
                <w:rFonts w:cs="Times New Roman"/>
                <w:sz w:val="21"/>
                <w:szCs w:val="21"/>
              </w:rPr>
            </w:pPr>
          </w:p>
        </w:tc>
        <w:tc>
          <w:tcPr>
            <w:tcW w:w="497" w:type="dxa"/>
            <w:vAlign w:val="center"/>
          </w:tcPr>
          <w:p w14:paraId="6F877602">
            <w:pPr>
              <w:spacing w:line="240" w:lineRule="auto"/>
              <w:rPr>
                <w:rFonts w:cs="Times New Roman"/>
                <w:sz w:val="21"/>
                <w:szCs w:val="21"/>
              </w:rPr>
            </w:pPr>
          </w:p>
        </w:tc>
        <w:tc>
          <w:tcPr>
            <w:tcW w:w="497" w:type="dxa"/>
            <w:vAlign w:val="center"/>
          </w:tcPr>
          <w:p w14:paraId="3AC72DED">
            <w:pPr>
              <w:spacing w:line="240" w:lineRule="auto"/>
              <w:rPr>
                <w:rFonts w:cs="Times New Roman"/>
                <w:sz w:val="21"/>
                <w:szCs w:val="21"/>
              </w:rPr>
            </w:pPr>
          </w:p>
        </w:tc>
        <w:tc>
          <w:tcPr>
            <w:tcW w:w="497" w:type="dxa"/>
            <w:vAlign w:val="center"/>
          </w:tcPr>
          <w:p w14:paraId="0639B90A">
            <w:pPr>
              <w:spacing w:line="240" w:lineRule="auto"/>
              <w:rPr>
                <w:rFonts w:cs="Times New Roman"/>
                <w:sz w:val="21"/>
                <w:szCs w:val="21"/>
              </w:rPr>
            </w:pPr>
          </w:p>
        </w:tc>
        <w:tc>
          <w:tcPr>
            <w:tcW w:w="497" w:type="dxa"/>
            <w:vAlign w:val="center"/>
          </w:tcPr>
          <w:p w14:paraId="6F7C633C">
            <w:pPr>
              <w:spacing w:line="240" w:lineRule="auto"/>
              <w:rPr>
                <w:rFonts w:cs="Times New Roman"/>
                <w:sz w:val="21"/>
                <w:szCs w:val="21"/>
              </w:rPr>
            </w:pPr>
            <w:r>
              <w:rPr>
                <w:rFonts w:cs="Times New Roman"/>
                <w:spacing w:val="-40"/>
                <w:sz w:val="21"/>
                <w:szCs w:val="21"/>
              </w:rPr>
              <w:t>+1</w:t>
            </w:r>
          </w:p>
        </w:tc>
        <w:tc>
          <w:tcPr>
            <w:tcW w:w="497" w:type="dxa"/>
            <w:vAlign w:val="center"/>
          </w:tcPr>
          <w:p w14:paraId="11F7F441">
            <w:pPr>
              <w:spacing w:line="240" w:lineRule="auto"/>
              <w:rPr>
                <w:rFonts w:cs="Times New Roman"/>
                <w:sz w:val="21"/>
                <w:szCs w:val="21"/>
              </w:rPr>
            </w:pPr>
            <w:r>
              <w:rPr>
                <w:rFonts w:cs="Times New Roman"/>
                <w:spacing w:val="-40"/>
                <w:sz w:val="21"/>
                <w:szCs w:val="21"/>
              </w:rPr>
              <w:t>+1</w:t>
            </w:r>
          </w:p>
        </w:tc>
        <w:tc>
          <w:tcPr>
            <w:tcW w:w="497" w:type="dxa"/>
            <w:vAlign w:val="center"/>
          </w:tcPr>
          <w:p w14:paraId="7062140A">
            <w:pPr>
              <w:spacing w:line="240" w:lineRule="auto"/>
              <w:rPr>
                <w:rFonts w:cs="Times New Roman"/>
                <w:sz w:val="21"/>
                <w:szCs w:val="21"/>
              </w:rPr>
            </w:pPr>
          </w:p>
        </w:tc>
        <w:tc>
          <w:tcPr>
            <w:tcW w:w="497" w:type="dxa"/>
            <w:vAlign w:val="center"/>
          </w:tcPr>
          <w:p w14:paraId="7DA7A6D6">
            <w:pPr>
              <w:spacing w:line="240" w:lineRule="auto"/>
              <w:rPr>
                <w:rFonts w:cs="Times New Roman"/>
                <w:sz w:val="21"/>
                <w:szCs w:val="21"/>
              </w:rPr>
            </w:pPr>
            <w:r>
              <w:rPr>
                <w:rFonts w:cs="Times New Roman"/>
                <w:spacing w:val="-40"/>
                <w:sz w:val="21"/>
                <w:szCs w:val="21"/>
              </w:rPr>
              <w:t>+1</w:t>
            </w:r>
          </w:p>
        </w:tc>
        <w:tc>
          <w:tcPr>
            <w:tcW w:w="497" w:type="dxa"/>
            <w:vAlign w:val="center"/>
          </w:tcPr>
          <w:p w14:paraId="23B84C77">
            <w:pPr>
              <w:spacing w:line="240" w:lineRule="auto"/>
              <w:rPr>
                <w:rFonts w:cs="Times New Roman"/>
                <w:sz w:val="21"/>
                <w:szCs w:val="21"/>
              </w:rPr>
            </w:pPr>
            <w:r>
              <w:rPr>
                <w:rFonts w:cs="Times New Roman"/>
                <w:spacing w:val="-40"/>
                <w:sz w:val="21"/>
                <w:szCs w:val="21"/>
              </w:rPr>
              <w:t>+1</w:t>
            </w:r>
          </w:p>
        </w:tc>
      </w:tr>
      <w:tr w14:paraId="33B0B9EA">
        <w:tblPrEx>
          <w:tblBorders>
            <w:top w:val="single" w:color="auto" w:sz="4" w:space="0"/>
            <w:left w:val="single" w:color="auto" w:sz="4" w:space="0"/>
            <w:bottom w:val="single" w:color="auto" w:sz="4" w:space="0"/>
            <w:right w:val="single" w:color="auto" w:sz="4" w:space="0"/>
            <w:insideH w:val="single" w:color="auto" w:sz="2" w:space="0"/>
            <w:insideV w:val="single" w:color="auto" w:sz="4" w:space="0"/>
          </w:tblBorders>
          <w:tblCellMar>
            <w:top w:w="0" w:type="dxa"/>
            <w:left w:w="108" w:type="dxa"/>
            <w:bottom w:w="0" w:type="dxa"/>
            <w:right w:w="108" w:type="dxa"/>
          </w:tblCellMar>
        </w:tblPrEx>
        <w:trPr>
          <w:cantSplit/>
          <w:trHeight w:val="340" w:hRule="atLeast"/>
          <w:jc w:val="center"/>
        </w:trPr>
        <w:tc>
          <w:tcPr>
            <w:tcW w:w="933" w:type="dxa"/>
            <w:vMerge w:val="continue"/>
            <w:vAlign w:val="center"/>
          </w:tcPr>
          <w:p w14:paraId="507AE02E">
            <w:pPr>
              <w:spacing w:line="240" w:lineRule="auto"/>
              <w:rPr>
                <w:rFonts w:cs="Times New Roman"/>
                <w:sz w:val="21"/>
                <w:szCs w:val="21"/>
              </w:rPr>
            </w:pPr>
          </w:p>
        </w:tc>
        <w:tc>
          <w:tcPr>
            <w:tcW w:w="1397" w:type="dxa"/>
            <w:vAlign w:val="center"/>
          </w:tcPr>
          <w:p w14:paraId="14F720A7">
            <w:pPr>
              <w:spacing w:line="240" w:lineRule="auto"/>
              <w:rPr>
                <w:rFonts w:cs="Times New Roman"/>
                <w:sz w:val="21"/>
                <w:szCs w:val="21"/>
              </w:rPr>
            </w:pPr>
            <w:r>
              <w:rPr>
                <w:rFonts w:cs="Times New Roman"/>
                <w:sz w:val="21"/>
                <w:szCs w:val="21"/>
              </w:rPr>
              <w:t>不利影响</w:t>
            </w:r>
          </w:p>
        </w:tc>
        <w:tc>
          <w:tcPr>
            <w:tcW w:w="496" w:type="dxa"/>
            <w:vAlign w:val="center"/>
          </w:tcPr>
          <w:p w14:paraId="67AC5545">
            <w:pPr>
              <w:spacing w:line="240" w:lineRule="auto"/>
              <w:rPr>
                <w:rFonts w:cs="Times New Roman"/>
                <w:sz w:val="21"/>
                <w:szCs w:val="21"/>
              </w:rPr>
            </w:pPr>
            <w:r>
              <w:rPr>
                <w:rFonts w:hint="eastAsia" w:cs="Times New Roman"/>
                <w:spacing w:val="-40"/>
                <w:sz w:val="21"/>
                <w:szCs w:val="21"/>
              </w:rPr>
              <w:t>-</w:t>
            </w:r>
            <w:r>
              <w:rPr>
                <w:rFonts w:cs="Times New Roman"/>
                <w:spacing w:val="-40"/>
                <w:sz w:val="21"/>
                <w:szCs w:val="21"/>
              </w:rPr>
              <w:t>1</w:t>
            </w:r>
          </w:p>
        </w:tc>
        <w:tc>
          <w:tcPr>
            <w:tcW w:w="496" w:type="dxa"/>
            <w:vAlign w:val="center"/>
          </w:tcPr>
          <w:p w14:paraId="59503785">
            <w:pPr>
              <w:spacing w:line="240" w:lineRule="auto"/>
              <w:rPr>
                <w:rFonts w:cs="Times New Roman"/>
                <w:sz w:val="21"/>
                <w:szCs w:val="21"/>
              </w:rPr>
            </w:pPr>
          </w:p>
        </w:tc>
        <w:tc>
          <w:tcPr>
            <w:tcW w:w="497" w:type="dxa"/>
            <w:vAlign w:val="center"/>
          </w:tcPr>
          <w:p w14:paraId="756EC207">
            <w:pPr>
              <w:spacing w:line="240" w:lineRule="auto"/>
              <w:rPr>
                <w:rFonts w:cs="Times New Roman"/>
                <w:sz w:val="21"/>
                <w:szCs w:val="21"/>
              </w:rPr>
            </w:pPr>
            <w:r>
              <w:rPr>
                <w:rFonts w:cs="Times New Roman"/>
                <w:spacing w:val="-40"/>
                <w:sz w:val="21"/>
                <w:szCs w:val="21"/>
              </w:rPr>
              <w:t>-1</w:t>
            </w:r>
          </w:p>
        </w:tc>
        <w:tc>
          <w:tcPr>
            <w:tcW w:w="497" w:type="dxa"/>
            <w:vAlign w:val="center"/>
          </w:tcPr>
          <w:p w14:paraId="35168925">
            <w:pPr>
              <w:spacing w:line="240" w:lineRule="auto"/>
              <w:rPr>
                <w:rFonts w:cs="Times New Roman"/>
                <w:sz w:val="21"/>
                <w:szCs w:val="21"/>
              </w:rPr>
            </w:pPr>
            <w:r>
              <w:rPr>
                <w:rFonts w:cs="Times New Roman"/>
                <w:spacing w:val="-40"/>
                <w:sz w:val="21"/>
                <w:szCs w:val="21"/>
              </w:rPr>
              <w:t>-1</w:t>
            </w:r>
          </w:p>
        </w:tc>
        <w:tc>
          <w:tcPr>
            <w:tcW w:w="497" w:type="dxa"/>
            <w:vAlign w:val="center"/>
          </w:tcPr>
          <w:p w14:paraId="3C981AFF">
            <w:pPr>
              <w:spacing w:line="240" w:lineRule="auto"/>
              <w:rPr>
                <w:rFonts w:cs="Times New Roman"/>
                <w:sz w:val="21"/>
                <w:szCs w:val="21"/>
              </w:rPr>
            </w:pPr>
          </w:p>
        </w:tc>
        <w:tc>
          <w:tcPr>
            <w:tcW w:w="497" w:type="dxa"/>
            <w:vAlign w:val="center"/>
          </w:tcPr>
          <w:p w14:paraId="32507836">
            <w:pPr>
              <w:spacing w:line="240" w:lineRule="auto"/>
              <w:rPr>
                <w:rFonts w:cs="Times New Roman"/>
                <w:sz w:val="21"/>
                <w:szCs w:val="21"/>
              </w:rPr>
            </w:pPr>
          </w:p>
        </w:tc>
        <w:tc>
          <w:tcPr>
            <w:tcW w:w="497" w:type="dxa"/>
            <w:vAlign w:val="center"/>
          </w:tcPr>
          <w:p w14:paraId="542085B5">
            <w:pPr>
              <w:spacing w:line="240" w:lineRule="auto"/>
              <w:rPr>
                <w:rFonts w:cs="Times New Roman"/>
                <w:sz w:val="21"/>
                <w:szCs w:val="21"/>
              </w:rPr>
            </w:pPr>
            <w:r>
              <w:rPr>
                <w:rFonts w:cs="Times New Roman"/>
                <w:spacing w:val="-40"/>
                <w:sz w:val="21"/>
                <w:szCs w:val="21"/>
              </w:rPr>
              <w:t>-1</w:t>
            </w:r>
          </w:p>
        </w:tc>
        <w:tc>
          <w:tcPr>
            <w:tcW w:w="497" w:type="dxa"/>
            <w:vAlign w:val="center"/>
          </w:tcPr>
          <w:p w14:paraId="7EB665A3">
            <w:pPr>
              <w:spacing w:line="240" w:lineRule="auto"/>
              <w:rPr>
                <w:rFonts w:cs="Times New Roman"/>
                <w:sz w:val="21"/>
                <w:szCs w:val="21"/>
              </w:rPr>
            </w:pPr>
            <w:r>
              <w:rPr>
                <w:rFonts w:cs="Times New Roman"/>
                <w:spacing w:val="-40"/>
                <w:sz w:val="21"/>
                <w:szCs w:val="21"/>
              </w:rPr>
              <w:t>-1</w:t>
            </w:r>
          </w:p>
        </w:tc>
        <w:tc>
          <w:tcPr>
            <w:tcW w:w="497" w:type="dxa"/>
            <w:vAlign w:val="center"/>
          </w:tcPr>
          <w:p w14:paraId="36662C34">
            <w:pPr>
              <w:spacing w:line="240" w:lineRule="auto"/>
              <w:rPr>
                <w:rFonts w:cs="Times New Roman"/>
                <w:sz w:val="21"/>
                <w:szCs w:val="21"/>
              </w:rPr>
            </w:pPr>
            <w:r>
              <w:rPr>
                <w:rFonts w:cs="Times New Roman"/>
                <w:spacing w:val="-40"/>
                <w:sz w:val="21"/>
                <w:szCs w:val="21"/>
              </w:rPr>
              <w:t>-1</w:t>
            </w:r>
          </w:p>
        </w:tc>
        <w:tc>
          <w:tcPr>
            <w:tcW w:w="497" w:type="dxa"/>
            <w:vAlign w:val="center"/>
          </w:tcPr>
          <w:p w14:paraId="08BAA8D3">
            <w:pPr>
              <w:spacing w:line="240" w:lineRule="auto"/>
              <w:rPr>
                <w:rFonts w:cs="Times New Roman"/>
                <w:sz w:val="21"/>
                <w:szCs w:val="21"/>
              </w:rPr>
            </w:pPr>
          </w:p>
        </w:tc>
        <w:tc>
          <w:tcPr>
            <w:tcW w:w="497" w:type="dxa"/>
            <w:vAlign w:val="center"/>
          </w:tcPr>
          <w:p w14:paraId="7BEB69A3">
            <w:pPr>
              <w:spacing w:line="240" w:lineRule="auto"/>
              <w:rPr>
                <w:rFonts w:cs="Times New Roman"/>
                <w:sz w:val="21"/>
                <w:szCs w:val="21"/>
              </w:rPr>
            </w:pPr>
          </w:p>
        </w:tc>
        <w:tc>
          <w:tcPr>
            <w:tcW w:w="497" w:type="dxa"/>
            <w:vAlign w:val="center"/>
          </w:tcPr>
          <w:p w14:paraId="11407AE5">
            <w:pPr>
              <w:spacing w:line="240" w:lineRule="auto"/>
              <w:rPr>
                <w:rFonts w:cs="Times New Roman"/>
                <w:sz w:val="21"/>
                <w:szCs w:val="21"/>
              </w:rPr>
            </w:pPr>
          </w:p>
        </w:tc>
        <w:tc>
          <w:tcPr>
            <w:tcW w:w="497" w:type="dxa"/>
            <w:vAlign w:val="center"/>
          </w:tcPr>
          <w:p w14:paraId="71B74D39">
            <w:pPr>
              <w:spacing w:line="240" w:lineRule="auto"/>
              <w:rPr>
                <w:rFonts w:cs="Times New Roman"/>
                <w:sz w:val="21"/>
                <w:szCs w:val="21"/>
              </w:rPr>
            </w:pPr>
          </w:p>
        </w:tc>
        <w:tc>
          <w:tcPr>
            <w:tcW w:w="497" w:type="dxa"/>
            <w:vAlign w:val="center"/>
          </w:tcPr>
          <w:p w14:paraId="201A8017">
            <w:pPr>
              <w:spacing w:line="240" w:lineRule="auto"/>
              <w:rPr>
                <w:rFonts w:cs="Times New Roman"/>
                <w:sz w:val="21"/>
                <w:szCs w:val="21"/>
              </w:rPr>
            </w:pPr>
          </w:p>
        </w:tc>
      </w:tr>
      <w:tr w14:paraId="4E28AB0D">
        <w:tblPrEx>
          <w:tblBorders>
            <w:top w:val="single" w:color="auto" w:sz="4" w:space="0"/>
            <w:left w:val="single" w:color="auto" w:sz="4" w:space="0"/>
            <w:bottom w:val="single" w:color="auto" w:sz="4" w:space="0"/>
            <w:right w:val="single" w:color="auto" w:sz="4" w:space="0"/>
            <w:insideH w:val="single" w:color="auto" w:sz="2" w:space="0"/>
            <w:insideV w:val="single" w:color="auto" w:sz="4" w:space="0"/>
          </w:tblBorders>
          <w:tblCellMar>
            <w:top w:w="0" w:type="dxa"/>
            <w:left w:w="108" w:type="dxa"/>
            <w:bottom w:w="0" w:type="dxa"/>
            <w:right w:w="108" w:type="dxa"/>
          </w:tblCellMar>
        </w:tblPrEx>
        <w:trPr>
          <w:cantSplit/>
          <w:trHeight w:val="340" w:hRule="atLeast"/>
          <w:jc w:val="center"/>
        </w:trPr>
        <w:tc>
          <w:tcPr>
            <w:tcW w:w="933" w:type="dxa"/>
            <w:vMerge w:val="continue"/>
            <w:tcBorders>
              <w:bottom w:val="single" w:color="auto" w:sz="4" w:space="0"/>
            </w:tcBorders>
            <w:vAlign w:val="center"/>
          </w:tcPr>
          <w:p w14:paraId="1DD90B65">
            <w:pPr>
              <w:spacing w:line="240" w:lineRule="auto"/>
              <w:rPr>
                <w:rFonts w:cs="Times New Roman"/>
                <w:sz w:val="21"/>
                <w:szCs w:val="21"/>
              </w:rPr>
            </w:pPr>
          </w:p>
        </w:tc>
        <w:tc>
          <w:tcPr>
            <w:tcW w:w="1397" w:type="dxa"/>
            <w:tcBorders>
              <w:bottom w:val="single" w:color="auto" w:sz="4" w:space="0"/>
            </w:tcBorders>
            <w:vAlign w:val="center"/>
          </w:tcPr>
          <w:p w14:paraId="2A96DCD0">
            <w:pPr>
              <w:spacing w:line="240" w:lineRule="auto"/>
              <w:rPr>
                <w:rFonts w:cs="Times New Roman"/>
                <w:sz w:val="21"/>
                <w:szCs w:val="21"/>
              </w:rPr>
            </w:pPr>
            <w:r>
              <w:rPr>
                <w:rFonts w:cs="Times New Roman"/>
                <w:sz w:val="21"/>
                <w:szCs w:val="21"/>
              </w:rPr>
              <w:t>综合影响</w:t>
            </w:r>
          </w:p>
        </w:tc>
        <w:tc>
          <w:tcPr>
            <w:tcW w:w="496" w:type="dxa"/>
            <w:tcBorders>
              <w:bottom w:val="single" w:color="auto" w:sz="4" w:space="0"/>
            </w:tcBorders>
            <w:vAlign w:val="center"/>
          </w:tcPr>
          <w:p w14:paraId="78A1D719">
            <w:pPr>
              <w:spacing w:line="240" w:lineRule="auto"/>
              <w:rPr>
                <w:rFonts w:cs="Times New Roman"/>
                <w:sz w:val="21"/>
                <w:szCs w:val="21"/>
              </w:rPr>
            </w:pPr>
            <w:r>
              <w:rPr>
                <w:rFonts w:cs="Times New Roman"/>
                <w:spacing w:val="-40"/>
                <w:sz w:val="21"/>
                <w:szCs w:val="21"/>
              </w:rPr>
              <w:t>-1</w:t>
            </w:r>
          </w:p>
        </w:tc>
        <w:tc>
          <w:tcPr>
            <w:tcW w:w="496" w:type="dxa"/>
            <w:tcBorders>
              <w:bottom w:val="single" w:color="auto" w:sz="4" w:space="0"/>
            </w:tcBorders>
            <w:vAlign w:val="center"/>
          </w:tcPr>
          <w:p w14:paraId="73C5DB7B">
            <w:pPr>
              <w:spacing w:line="240" w:lineRule="auto"/>
              <w:rPr>
                <w:rFonts w:cs="Times New Roman"/>
                <w:sz w:val="21"/>
                <w:szCs w:val="21"/>
              </w:rPr>
            </w:pPr>
          </w:p>
        </w:tc>
        <w:tc>
          <w:tcPr>
            <w:tcW w:w="497" w:type="dxa"/>
            <w:tcBorders>
              <w:bottom w:val="single" w:color="auto" w:sz="4" w:space="0"/>
            </w:tcBorders>
            <w:vAlign w:val="center"/>
          </w:tcPr>
          <w:p w14:paraId="0881F233">
            <w:pPr>
              <w:spacing w:line="240" w:lineRule="auto"/>
              <w:rPr>
                <w:rFonts w:cs="Times New Roman"/>
                <w:sz w:val="21"/>
                <w:szCs w:val="21"/>
              </w:rPr>
            </w:pPr>
            <w:r>
              <w:rPr>
                <w:rFonts w:cs="Times New Roman"/>
                <w:spacing w:val="-40"/>
                <w:sz w:val="21"/>
                <w:szCs w:val="21"/>
              </w:rPr>
              <w:t>-1</w:t>
            </w:r>
          </w:p>
        </w:tc>
        <w:tc>
          <w:tcPr>
            <w:tcW w:w="497" w:type="dxa"/>
            <w:tcBorders>
              <w:bottom w:val="single" w:color="auto" w:sz="4" w:space="0"/>
            </w:tcBorders>
            <w:vAlign w:val="center"/>
          </w:tcPr>
          <w:p w14:paraId="7C355362">
            <w:pPr>
              <w:spacing w:line="240" w:lineRule="auto"/>
              <w:rPr>
                <w:rFonts w:cs="Times New Roman"/>
                <w:sz w:val="21"/>
                <w:szCs w:val="21"/>
              </w:rPr>
            </w:pPr>
            <w:r>
              <w:rPr>
                <w:rFonts w:cs="Times New Roman"/>
                <w:spacing w:val="-40"/>
                <w:sz w:val="21"/>
                <w:szCs w:val="21"/>
              </w:rPr>
              <w:t>-1</w:t>
            </w:r>
          </w:p>
        </w:tc>
        <w:tc>
          <w:tcPr>
            <w:tcW w:w="497" w:type="dxa"/>
            <w:tcBorders>
              <w:bottom w:val="single" w:color="auto" w:sz="4" w:space="0"/>
            </w:tcBorders>
            <w:vAlign w:val="center"/>
          </w:tcPr>
          <w:p w14:paraId="24CCD409">
            <w:pPr>
              <w:spacing w:line="240" w:lineRule="auto"/>
              <w:rPr>
                <w:rFonts w:cs="Times New Roman"/>
                <w:sz w:val="21"/>
                <w:szCs w:val="21"/>
              </w:rPr>
            </w:pPr>
          </w:p>
        </w:tc>
        <w:tc>
          <w:tcPr>
            <w:tcW w:w="497" w:type="dxa"/>
            <w:tcBorders>
              <w:bottom w:val="single" w:color="auto" w:sz="4" w:space="0"/>
            </w:tcBorders>
            <w:vAlign w:val="center"/>
          </w:tcPr>
          <w:p w14:paraId="60EF1371">
            <w:pPr>
              <w:spacing w:line="240" w:lineRule="auto"/>
              <w:rPr>
                <w:rFonts w:cs="Times New Roman"/>
                <w:sz w:val="21"/>
                <w:szCs w:val="21"/>
              </w:rPr>
            </w:pPr>
          </w:p>
        </w:tc>
        <w:tc>
          <w:tcPr>
            <w:tcW w:w="497" w:type="dxa"/>
            <w:tcBorders>
              <w:bottom w:val="single" w:color="auto" w:sz="4" w:space="0"/>
            </w:tcBorders>
            <w:vAlign w:val="center"/>
          </w:tcPr>
          <w:p w14:paraId="4EC9BC67">
            <w:pPr>
              <w:spacing w:line="240" w:lineRule="auto"/>
              <w:rPr>
                <w:rFonts w:cs="Times New Roman"/>
                <w:sz w:val="21"/>
                <w:szCs w:val="21"/>
              </w:rPr>
            </w:pPr>
            <w:r>
              <w:rPr>
                <w:rFonts w:cs="Times New Roman"/>
                <w:spacing w:val="-40"/>
                <w:sz w:val="21"/>
                <w:szCs w:val="21"/>
              </w:rPr>
              <w:t>-1</w:t>
            </w:r>
          </w:p>
        </w:tc>
        <w:tc>
          <w:tcPr>
            <w:tcW w:w="497" w:type="dxa"/>
            <w:tcBorders>
              <w:bottom w:val="single" w:color="auto" w:sz="4" w:space="0"/>
            </w:tcBorders>
            <w:vAlign w:val="center"/>
          </w:tcPr>
          <w:p w14:paraId="2C4D99E7">
            <w:pPr>
              <w:spacing w:line="240" w:lineRule="auto"/>
              <w:rPr>
                <w:rFonts w:cs="Times New Roman"/>
                <w:sz w:val="21"/>
                <w:szCs w:val="21"/>
              </w:rPr>
            </w:pPr>
            <w:r>
              <w:rPr>
                <w:rFonts w:cs="Times New Roman"/>
                <w:spacing w:val="-40"/>
                <w:sz w:val="21"/>
                <w:szCs w:val="21"/>
              </w:rPr>
              <w:t>-1</w:t>
            </w:r>
          </w:p>
        </w:tc>
        <w:tc>
          <w:tcPr>
            <w:tcW w:w="497" w:type="dxa"/>
            <w:tcBorders>
              <w:bottom w:val="single" w:color="auto" w:sz="4" w:space="0"/>
            </w:tcBorders>
            <w:vAlign w:val="center"/>
          </w:tcPr>
          <w:p w14:paraId="38160EA2">
            <w:pPr>
              <w:spacing w:line="240" w:lineRule="auto"/>
              <w:rPr>
                <w:rFonts w:cs="Times New Roman"/>
                <w:sz w:val="21"/>
                <w:szCs w:val="21"/>
              </w:rPr>
            </w:pPr>
            <w:r>
              <w:rPr>
                <w:rFonts w:cs="Times New Roman"/>
                <w:spacing w:val="-40"/>
                <w:sz w:val="21"/>
                <w:szCs w:val="21"/>
              </w:rPr>
              <w:t>-1</w:t>
            </w:r>
          </w:p>
        </w:tc>
        <w:tc>
          <w:tcPr>
            <w:tcW w:w="497" w:type="dxa"/>
            <w:tcBorders>
              <w:bottom w:val="single" w:color="auto" w:sz="4" w:space="0"/>
            </w:tcBorders>
            <w:vAlign w:val="center"/>
          </w:tcPr>
          <w:p w14:paraId="413C1CEA">
            <w:pPr>
              <w:spacing w:line="240" w:lineRule="auto"/>
              <w:rPr>
                <w:rFonts w:cs="Times New Roman"/>
                <w:sz w:val="21"/>
                <w:szCs w:val="21"/>
              </w:rPr>
            </w:pPr>
            <w:r>
              <w:rPr>
                <w:rFonts w:cs="Times New Roman"/>
                <w:spacing w:val="-40"/>
                <w:sz w:val="21"/>
                <w:szCs w:val="21"/>
              </w:rPr>
              <w:t>+1</w:t>
            </w:r>
          </w:p>
        </w:tc>
        <w:tc>
          <w:tcPr>
            <w:tcW w:w="497" w:type="dxa"/>
            <w:tcBorders>
              <w:bottom w:val="single" w:color="auto" w:sz="4" w:space="0"/>
            </w:tcBorders>
            <w:vAlign w:val="center"/>
          </w:tcPr>
          <w:p w14:paraId="3A2E2276">
            <w:pPr>
              <w:spacing w:line="240" w:lineRule="auto"/>
              <w:rPr>
                <w:rFonts w:cs="Times New Roman"/>
                <w:sz w:val="21"/>
                <w:szCs w:val="21"/>
              </w:rPr>
            </w:pPr>
            <w:r>
              <w:rPr>
                <w:rFonts w:cs="Times New Roman"/>
                <w:spacing w:val="-40"/>
                <w:sz w:val="21"/>
                <w:szCs w:val="21"/>
              </w:rPr>
              <w:t>+1</w:t>
            </w:r>
          </w:p>
        </w:tc>
        <w:tc>
          <w:tcPr>
            <w:tcW w:w="497" w:type="dxa"/>
            <w:tcBorders>
              <w:bottom w:val="single" w:color="auto" w:sz="4" w:space="0"/>
            </w:tcBorders>
            <w:vAlign w:val="center"/>
          </w:tcPr>
          <w:p w14:paraId="16ECE076">
            <w:pPr>
              <w:spacing w:line="240" w:lineRule="auto"/>
              <w:rPr>
                <w:rFonts w:cs="Times New Roman"/>
                <w:sz w:val="21"/>
                <w:szCs w:val="21"/>
              </w:rPr>
            </w:pPr>
          </w:p>
        </w:tc>
        <w:tc>
          <w:tcPr>
            <w:tcW w:w="497" w:type="dxa"/>
            <w:tcBorders>
              <w:bottom w:val="single" w:color="auto" w:sz="4" w:space="0"/>
            </w:tcBorders>
            <w:vAlign w:val="center"/>
          </w:tcPr>
          <w:p w14:paraId="186BCF4F">
            <w:pPr>
              <w:spacing w:line="240" w:lineRule="auto"/>
              <w:rPr>
                <w:rFonts w:cs="Times New Roman"/>
                <w:sz w:val="21"/>
                <w:szCs w:val="21"/>
              </w:rPr>
            </w:pPr>
            <w:r>
              <w:rPr>
                <w:rFonts w:cs="Times New Roman"/>
                <w:spacing w:val="-40"/>
                <w:sz w:val="21"/>
                <w:szCs w:val="21"/>
              </w:rPr>
              <w:t>+1</w:t>
            </w:r>
          </w:p>
        </w:tc>
        <w:tc>
          <w:tcPr>
            <w:tcW w:w="497" w:type="dxa"/>
            <w:tcBorders>
              <w:bottom w:val="single" w:color="auto" w:sz="4" w:space="0"/>
            </w:tcBorders>
            <w:vAlign w:val="center"/>
          </w:tcPr>
          <w:p w14:paraId="7AFCC544">
            <w:pPr>
              <w:spacing w:line="240" w:lineRule="auto"/>
              <w:rPr>
                <w:rFonts w:cs="Times New Roman"/>
                <w:sz w:val="21"/>
                <w:szCs w:val="21"/>
              </w:rPr>
            </w:pPr>
            <w:r>
              <w:rPr>
                <w:rFonts w:cs="Times New Roman"/>
                <w:spacing w:val="-40"/>
                <w:sz w:val="21"/>
                <w:szCs w:val="21"/>
              </w:rPr>
              <w:t>+1</w:t>
            </w:r>
          </w:p>
        </w:tc>
      </w:tr>
      <w:tr w14:paraId="49DB4E89">
        <w:tblPrEx>
          <w:tblBorders>
            <w:top w:val="single" w:color="auto" w:sz="4" w:space="0"/>
            <w:left w:val="single" w:color="auto" w:sz="4" w:space="0"/>
            <w:bottom w:val="single" w:color="auto" w:sz="4" w:space="0"/>
            <w:right w:val="single" w:color="auto" w:sz="4" w:space="0"/>
            <w:insideH w:val="single" w:color="auto" w:sz="2" w:space="0"/>
            <w:insideV w:val="single" w:color="auto" w:sz="4" w:space="0"/>
          </w:tblBorders>
          <w:tblCellMar>
            <w:top w:w="0" w:type="dxa"/>
            <w:left w:w="108" w:type="dxa"/>
            <w:bottom w:w="0" w:type="dxa"/>
            <w:right w:w="108" w:type="dxa"/>
          </w:tblCellMar>
        </w:tblPrEx>
        <w:trPr>
          <w:cantSplit/>
          <w:trHeight w:val="340" w:hRule="atLeast"/>
          <w:jc w:val="center"/>
        </w:trPr>
        <w:tc>
          <w:tcPr>
            <w:tcW w:w="933" w:type="dxa"/>
            <w:vMerge w:val="restart"/>
            <w:tcBorders>
              <w:top w:val="single" w:color="auto" w:sz="4" w:space="0"/>
              <w:bottom w:val="single" w:color="auto" w:sz="4" w:space="0"/>
            </w:tcBorders>
            <w:vAlign w:val="center"/>
          </w:tcPr>
          <w:p w14:paraId="0936FA8D">
            <w:pPr>
              <w:spacing w:line="240" w:lineRule="auto"/>
              <w:jc w:val="center"/>
              <w:rPr>
                <w:rFonts w:cs="Times New Roman"/>
                <w:sz w:val="21"/>
                <w:szCs w:val="21"/>
              </w:rPr>
            </w:pPr>
            <w:r>
              <w:rPr>
                <w:rFonts w:cs="Times New Roman"/>
                <w:sz w:val="21"/>
                <w:szCs w:val="21"/>
              </w:rPr>
              <w:t>运行期</w:t>
            </w:r>
          </w:p>
        </w:tc>
        <w:tc>
          <w:tcPr>
            <w:tcW w:w="1397" w:type="dxa"/>
            <w:tcBorders>
              <w:top w:val="single" w:color="auto" w:sz="4" w:space="0"/>
              <w:bottom w:val="single" w:color="auto" w:sz="4" w:space="0"/>
            </w:tcBorders>
            <w:vAlign w:val="center"/>
          </w:tcPr>
          <w:p w14:paraId="1D36AB1F">
            <w:pPr>
              <w:spacing w:line="240" w:lineRule="auto"/>
              <w:rPr>
                <w:rFonts w:cs="Times New Roman"/>
                <w:sz w:val="21"/>
                <w:szCs w:val="21"/>
              </w:rPr>
            </w:pPr>
            <w:r>
              <w:rPr>
                <w:rFonts w:cs="Times New Roman"/>
                <w:sz w:val="21"/>
                <w:szCs w:val="21"/>
              </w:rPr>
              <w:t>有利影响</w:t>
            </w:r>
          </w:p>
        </w:tc>
        <w:tc>
          <w:tcPr>
            <w:tcW w:w="496" w:type="dxa"/>
            <w:tcBorders>
              <w:top w:val="single" w:color="auto" w:sz="4" w:space="0"/>
              <w:bottom w:val="single" w:color="auto" w:sz="4" w:space="0"/>
            </w:tcBorders>
            <w:vAlign w:val="center"/>
          </w:tcPr>
          <w:p w14:paraId="554F8B11">
            <w:pPr>
              <w:spacing w:line="240" w:lineRule="auto"/>
              <w:rPr>
                <w:rFonts w:cs="Times New Roman"/>
                <w:sz w:val="21"/>
                <w:szCs w:val="21"/>
              </w:rPr>
            </w:pPr>
          </w:p>
        </w:tc>
        <w:tc>
          <w:tcPr>
            <w:tcW w:w="496" w:type="dxa"/>
            <w:tcBorders>
              <w:top w:val="single" w:color="auto" w:sz="4" w:space="0"/>
              <w:bottom w:val="single" w:color="auto" w:sz="4" w:space="0"/>
            </w:tcBorders>
            <w:vAlign w:val="center"/>
          </w:tcPr>
          <w:p w14:paraId="6796FDF7">
            <w:pPr>
              <w:spacing w:line="240" w:lineRule="auto"/>
              <w:rPr>
                <w:rFonts w:cs="Times New Roman"/>
                <w:sz w:val="21"/>
                <w:szCs w:val="21"/>
              </w:rPr>
            </w:pPr>
          </w:p>
        </w:tc>
        <w:tc>
          <w:tcPr>
            <w:tcW w:w="497" w:type="dxa"/>
            <w:tcBorders>
              <w:top w:val="single" w:color="auto" w:sz="4" w:space="0"/>
              <w:bottom w:val="single" w:color="auto" w:sz="4" w:space="0"/>
            </w:tcBorders>
            <w:vAlign w:val="center"/>
          </w:tcPr>
          <w:p w14:paraId="2699D110">
            <w:pPr>
              <w:spacing w:line="240" w:lineRule="auto"/>
              <w:rPr>
                <w:rFonts w:cs="Times New Roman"/>
                <w:sz w:val="21"/>
                <w:szCs w:val="21"/>
              </w:rPr>
            </w:pPr>
          </w:p>
        </w:tc>
        <w:tc>
          <w:tcPr>
            <w:tcW w:w="497" w:type="dxa"/>
            <w:tcBorders>
              <w:top w:val="single" w:color="auto" w:sz="4" w:space="0"/>
              <w:bottom w:val="single" w:color="auto" w:sz="4" w:space="0"/>
            </w:tcBorders>
            <w:vAlign w:val="center"/>
          </w:tcPr>
          <w:p w14:paraId="75F60E9A">
            <w:pPr>
              <w:spacing w:line="240" w:lineRule="auto"/>
              <w:rPr>
                <w:rFonts w:cs="Times New Roman"/>
                <w:sz w:val="21"/>
                <w:szCs w:val="21"/>
              </w:rPr>
            </w:pPr>
          </w:p>
        </w:tc>
        <w:tc>
          <w:tcPr>
            <w:tcW w:w="497" w:type="dxa"/>
            <w:tcBorders>
              <w:top w:val="single" w:color="auto" w:sz="4" w:space="0"/>
              <w:bottom w:val="single" w:color="auto" w:sz="4" w:space="0"/>
            </w:tcBorders>
            <w:vAlign w:val="center"/>
          </w:tcPr>
          <w:p w14:paraId="7B9B2832">
            <w:pPr>
              <w:spacing w:line="240" w:lineRule="auto"/>
              <w:rPr>
                <w:rFonts w:cs="Times New Roman"/>
                <w:sz w:val="21"/>
                <w:szCs w:val="21"/>
              </w:rPr>
            </w:pPr>
          </w:p>
        </w:tc>
        <w:tc>
          <w:tcPr>
            <w:tcW w:w="497" w:type="dxa"/>
            <w:tcBorders>
              <w:top w:val="single" w:color="auto" w:sz="4" w:space="0"/>
              <w:bottom w:val="single" w:color="auto" w:sz="4" w:space="0"/>
            </w:tcBorders>
            <w:vAlign w:val="center"/>
          </w:tcPr>
          <w:p w14:paraId="0A6208EB">
            <w:pPr>
              <w:spacing w:line="240" w:lineRule="auto"/>
              <w:rPr>
                <w:rFonts w:cs="Times New Roman"/>
                <w:sz w:val="21"/>
                <w:szCs w:val="21"/>
              </w:rPr>
            </w:pPr>
          </w:p>
        </w:tc>
        <w:tc>
          <w:tcPr>
            <w:tcW w:w="497" w:type="dxa"/>
            <w:tcBorders>
              <w:top w:val="single" w:color="auto" w:sz="4" w:space="0"/>
              <w:bottom w:val="single" w:color="auto" w:sz="4" w:space="0"/>
            </w:tcBorders>
            <w:vAlign w:val="center"/>
          </w:tcPr>
          <w:p w14:paraId="6DFCD17F">
            <w:pPr>
              <w:spacing w:line="240" w:lineRule="auto"/>
              <w:rPr>
                <w:rFonts w:cs="Times New Roman"/>
                <w:sz w:val="21"/>
                <w:szCs w:val="21"/>
              </w:rPr>
            </w:pPr>
          </w:p>
        </w:tc>
        <w:tc>
          <w:tcPr>
            <w:tcW w:w="497" w:type="dxa"/>
            <w:tcBorders>
              <w:top w:val="single" w:color="auto" w:sz="4" w:space="0"/>
              <w:bottom w:val="single" w:color="auto" w:sz="4" w:space="0"/>
            </w:tcBorders>
            <w:vAlign w:val="center"/>
          </w:tcPr>
          <w:p w14:paraId="16FDE2D6">
            <w:pPr>
              <w:spacing w:line="240" w:lineRule="auto"/>
              <w:rPr>
                <w:rFonts w:cs="Times New Roman"/>
                <w:sz w:val="21"/>
                <w:szCs w:val="21"/>
              </w:rPr>
            </w:pPr>
          </w:p>
        </w:tc>
        <w:tc>
          <w:tcPr>
            <w:tcW w:w="497" w:type="dxa"/>
            <w:tcBorders>
              <w:top w:val="single" w:color="auto" w:sz="4" w:space="0"/>
              <w:bottom w:val="single" w:color="auto" w:sz="4" w:space="0"/>
            </w:tcBorders>
            <w:vAlign w:val="center"/>
          </w:tcPr>
          <w:p w14:paraId="24F3DC39">
            <w:pPr>
              <w:spacing w:line="240" w:lineRule="auto"/>
              <w:rPr>
                <w:rFonts w:cs="Times New Roman"/>
                <w:sz w:val="21"/>
                <w:szCs w:val="21"/>
              </w:rPr>
            </w:pPr>
          </w:p>
        </w:tc>
        <w:tc>
          <w:tcPr>
            <w:tcW w:w="497" w:type="dxa"/>
            <w:tcBorders>
              <w:top w:val="single" w:color="auto" w:sz="4" w:space="0"/>
              <w:bottom w:val="single" w:color="auto" w:sz="4" w:space="0"/>
            </w:tcBorders>
            <w:vAlign w:val="center"/>
          </w:tcPr>
          <w:p w14:paraId="3A543E30">
            <w:pPr>
              <w:spacing w:line="240" w:lineRule="auto"/>
              <w:rPr>
                <w:rFonts w:cs="Times New Roman"/>
                <w:spacing w:val="-40"/>
                <w:sz w:val="21"/>
                <w:szCs w:val="21"/>
              </w:rPr>
            </w:pPr>
            <w:r>
              <w:rPr>
                <w:rFonts w:cs="Times New Roman"/>
                <w:spacing w:val="-40"/>
                <w:sz w:val="21"/>
                <w:szCs w:val="21"/>
              </w:rPr>
              <w:t>+1</w:t>
            </w:r>
          </w:p>
        </w:tc>
        <w:tc>
          <w:tcPr>
            <w:tcW w:w="497" w:type="dxa"/>
            <w:tcBorders>
              <w:top w:val="single" w:color="auto" w:sz="4" w:space="0"/>
              <w:bottom w:val="single" w:color="auto" w:sz="4" w:space="0"/>
            </w:tcBorders>
            <w:vAlign w:val="center"/>
          </w:tcPr>
          <w:p w14:paraId="4CE29C37">
            <w:pPr>
              <w:spacing w:line="240" w:lineRule="auto"/>
              <w:rPr>
                <w:rFonts w:cs="Times New Roman"/>
                <w:sz w:val="21"/>
                <w:szCs w:val="21"/>
              </w:rPr>
            </w:pPr>
          </w:p>
        </w:tc>
        <w:tc>
          <w:tcPr>
            <w:tcW w:w="497" w:type="dxa"/>
            <w:tcBorders>
              <w:top w:val="single" w:color="auto" w:sz="4" w:space="0"/>
              <w:bottom w:val="single" w:color="auto" w:sz="4" w:space="0"/>
            </w:tcBorders>
            <w:vAlign w:val="center"/>
          </w:tcPr>
          <w:p w14:paraId="2C8FCF96">
            <w:pPr>
              <w:spacing w:line="240" w:lineRule="auto"/>
              <w:rPr>
                <w:rFonts w:cs="Times New Roman"/>
                <w:sz w:val="21"/>
                <w:szCs w:val="21"/>
              </w:rPr>
            </w:pPr>
          </w:p>
        </w:tc>
        <w:tc>
          <w:tcPr>
            <w:tcW w:w="497" w:type="dxa"/>
            <w:tcBorders>
              <w:top w:val="single" w:color="auto" w:sz="4" w:space="0"/>
              <w:bottom w:val="single" w:color="auto" w:sz="4" w:space="0"/>
            </w:tcBorders>
            <w:vAlign w:val="center"/>
          </w:tcPr>
          <w:p w14:paraId="241B6CA9">
            <w:pPr>
              <w:spacing w:line="240" w:lineRule="auto"/>
              <w:rPr>
                <w:rFonts w:cs="Times New Roman"/>
                <w:spacing w:val="-40"/>
                <w:sz w:val="21"/>
                <w:szCs w:val="21"/>
              </w:rPr>
            </w:pPr>
            <w:r>
              <w:rPr>
                <w:rFonts w:cs="Times New Roman"/>
                <w:spacing w:val="-40"/>
                <w:sz w:val="21"/>
                <w:szCs w:val="21"/>
              </w:rPr>
              <w:t>+1</w:t>
            </w:r>
          </w:p>
        </w:tc>
        <w:tc>
          <w:tcPr>
            <w:tcW w:w="497" w:type="dxa"/>
            <w:tcBorders>
              <w:top w:val="single" w:color="auto" w:sz="4" w:space="0"/>
              <w:bottom w:val="single" w:color="auto" w:sz="4" w:space="0"/>
            </w:tcBorders>
            <w:vAlign w:val="center"/>
          </w:tcPr>
          <w:p w14:paraId="4B244797">
            <w:pPr>
              <w:spacing w:line="240" w:lineRule="auto"/>
              <w:rPr>
                <w:rFonts w:cs="Times New Roman"/>
                <w:spacing w:val="-40"/>
                <w:sz w:val="21"/>
                <w:szCs w:val="21"/>
              </w:rPr>
            </w:pPr>
            <w:r>
              <w:rPr>
                <w:rFonts w:cs="Times New Roman"/>
                <w:spacing w:val="-40"/>
                <w:sz w:val="21"/>
                <w:szCs w:val="21"/>
              </w:rPr>
              <w:t>+1</w:t>
            </w:r>
          </w:p>
        </w:tc>
      </w:tr>
      <w:tr w14:paraId="0B21CD48">
        <w:tblPrEx>
          <w:tblBorders>
            <w:top w:val="single" w:color="auto" w:sz="4" w:space="0"/>
            <w:left w:val="single" w:color="auto" w:sz="4" w:space="0"/>
            <w:bottom w:val="single" w:color="auto" w:sz="4" w:space="0"/>
            <w:right w:val="single" w:color="auto" w:sz="4" w:space="0"/>
            <w:insideH w:val="single" w:color="auto" w:sz="2" w:space="0"/>
            <w:insideV w:val="single" w:color="auto" w:sz="4" w:space="0"/>
          </w:tblBorders>
          <w:tblCellMar>
            <w:top w:w="0" w:type="dxa"/>
            <w:left w:w="108" w:type="dxa"/>
            <w:bottom w:w="0" w:type="dxa"/>
            <w:right w:w="108" w:type="dxa"/>
          </w:tblCellMar>
        </w:tblPrEx>
        <w:trPr>
          <w:cantSplit/>
          <w:trHeight w:val="340" w:hRule="atLeast"/>
          <w:jc w:val="center"/>
        </w:trPr>
        <w:tc>
          <w:tcPr>
            <w:tcW w:w="933" w:type="dxa"/>
            <w:vMerge w:val="continue"/>
            <w:tcBorders>
              <w:top w:val="single" w:color="auto" w:sz="4" w:space="0"/>
              <w:bottom w:val="single" w:color="auto" w:sz="4" w:space="0"/>
            </w:tcBorders>
            <w:vAlign w:val="center"/>
          </w:tcPr>
          <w:p w14:paraId="7D60C012">
            <w:pPr>
              <w:spacing w:line="240" w:lineRule="auto"/>
              <w:rPr>
                <w:rFonts w:cs="Times New Roman"/>
                <w:sz w:val="21"/>
                <w:szCs w:val="21"/>
              </w:rPr>
            </w:pPr>
          </w:p>
        </w:tc>
        <w:tc>
          <w:tcPr>
            <w:tcW w:w="1397" w:type="dxa"/>
            <w:tcBorders>
              <w:top w:val="single" w:color="auto" w:sz="4" w:space="0"/>
              <w:bottom w:val="single" w:color="auto" w:sz="4" w:space="0"/>
            </w:tcBorders>
            <w:vAlign w:val="center"/>
          </w:tcPr>
          <w:p w14:paraId="03B57EBC">
            <w:pPr>
              <w:spacing w:line="240" w:lineRule="auto"/>
              <w:rPr>
                <w:rFonts w:cs="Times New Roman"/>
                <w:sz w:val="21"/>
                <w:szCs w:val="21"/>
              </w:rPr>
            </w:pPr>
            <w:r>
              <w:rPr>
                <w:rFonts w:cs="Times New Roman"/>
                <w:sz w:val="21"/>
                <w:szCs w:val="21"/>
              </w:rPr>
              <w:t>不利影响</w:t>
            </w:r>
          </w:p>
        </w:tc>
        <w:tc>
          <w:tcPr>
            <w:tcW w:w="496" w:type="dxa"/>
            <w:tcBorders>
              <w:top w:val="single" w:color="auto" w:sz="4" w:space="0"/>
              <w:bottom w:val="single" w:color="auto" w:sz="4" w:space="0"/>
            </w:tcBorders>
            <w:vAlign w:val="center"/>
          </w:tcPr>
          <w:p w14:paraId="64CBA013">
            <w:pPr>
              <w:spacing w:line="240" w:lineRule="auto"/>
              <w:rPr>
                <w:rFonts w:cs="Times New Roman"/>
                <w:sz w:val="21"/>
                <w:szCs w:val="21"/>
              </w:rPr>
            </w:pPr>
          </w:p>
        </w:tc>
        <w:tc>
          <w:tcPr>
            <w:tcW w:w="496" w:type="dxa"/>
            <w:tcBorders>
              <w:top w:val="single" w:color="auto" w:sz="4" w:space="0"/>
              <w:bottom w:val="single" w:color="auto" w:sz="4" w:space="0"/>
            </w:tcBorders>
            <w:vAlign w:val="center"/>
          </w:tcPr>
          <w:p w14:paraId="72C8F86D">
            <w:pPr>
              <w:spacing w:line="240" w:lineRule="auto"/>
              <w:rPr>
                <w:rFonts w:cs="Times New Roman"/>
                <w:sz w:val="21"/>
                <w:szCs w:val="21"/>
              </w:rPr>
            </w:pPr>
          </w:p>
        </w:tc>
        <w:tc>
          <w:tcPr>
            <w:tcW w:w="497" w:type="dxa"/>
            <w:tcBorders>
              <w:top w:val="single" w:color="auto" w:sz="4" w:space="0"/>
              <w:bottom w:val="single" w:color="auto" w:sz="4" w:space="0"/>
            </w:tcBorders>
            <w:vAlign w:val="center"/>
          </w:tcPr>
          <w:p w14:paraId="22EF73A5">
            <w:pPr>
              <w:spacing w:line="240" w:lineRule="auto"/>
              <w:rPr>
                <w:rFonts w:cs="Times New Roman"/>
                <w:sz w:val="21"/>
                <w:szCs w:val="21"/>
              </w:rPr>
            </w:pPr>
          </w:p>
        </w:tc>
        <w:tc>
          <w:tcPr>
            <w:tcW w:w="497" w:type="dxa"/>
            <w:tcBorders>
              <w:top w:val="single" w:color="auto" w:sz="4" w:space="0"/>
              <w:bottom w:val="single" w:color="auto" w:sz="4" w:space="0"/>
            </w:tcBorders>
            <w:vAlign w:val="center"/>
          </w:tcPr>
          <w:p w14:paraId="57345922">
            <w:pPr>
              <w:spacing w:line="240" w:lineRule="auto"/>
              <w:rPr>
                <w:rFonts w:cs="Times New Roman"/>
                <w:sz w:val="21"/>
                <w:szCs w:val="21"/>
              </w:rPr>
            </w:pPr>
            <w:r>
              <w:rPr>
                <w:rFonts w:cs="Times New Roman"/>
                <w:spacing w:val="-40"/>
                <w:sz w:val="21"/>
                <w:szCs w:val="21"/>
              </w:rPr>
              <w:t>-1</w:t>
            </w:r>
          </w:p>
        </w:tc>
        <w:tc>
          <w:tcPr>
            <w:tcW w:w="497" w:type="dxa"/>
            <w:tcBorders>
              <w:top w:val="single" w:color="auto" w:sz="4" w:space="0"/>
              <w:bottom w:val="single" w:color="auto" w:sz="4" w:space="0"/>
            </w:tcBorders>
            <w:vAlign w:val="center"/>
          </w:tcPr>
          <w:p w14:paraId="0E4C3F2D">
            <w:pPr>
              <w:spacing w:line="240" w:lineRule="auto"/>
              <w:rPr>
                <w:rFonts w:cs="Times New Roman"/>
                <w:sz w:val="21"/>
                <w:szCs w:val="21"/>
              </w:rPr>
            </w:pPr>
            <w:r>
              <w:rPr>
                <w:rFonts w:cs="Times New Roman"/>
                <w:spacing w:val="-40"/>
                <w:sz w:val="21"/>
                <w:szCs w:val="21"/>
              </w:rPr>
              <w:t>-1</w:t>
            </w:r>
          </w:p>
        </w:tc>
        <w:tc>
          <w:tcPr>
            <w:tcW w:w="497" w:type="dxa"/>
            <w:tcBorders>
              <w:top w:val="single" w:color="auto" w:sz="4" w:space="0"/>
              <w:bottom w:val="single" w:color="auto" w:sz="4" w:space="0"/>
            </w:tcBorders>
            <w:vAlign w:val="center"/>
          </w:tcPr>
          <w:p w14:paraId="1E206250">
            <w:pPr>
              <w:spacing w:line="240" w:lineRule="auto"/>
              <w:rPr>
                <w:rFonts w:cs="Times New Roman"/>
                <w:sz w:val="21"/>
                <w:szCs w:val="21"/>
              </w:rPr>
            </w:pPr>
            <w:r>
              <w:rPr>
                <w:rFonts w:cs="Times New Roman"/>
                <w:spacing w:val="-40"/>
                <w:sz w:val="21"/>
                <w:szCs w:val="21"/>
              </w:rPr>
              <w:t>-1</w:t>
            </w:r>
          </w:p>
        </w:tc>
        <w:tc>
          <w:tcPr>
            <w:tcW w:w="497" w:type="dxa"/>
            <w:tcBorders>
              <w:top w:val="single" w:color="auto" w:sz="4" w:space="0"/>
              <w:bottom w:val="single" w:color="auto" w:sz="4" w:space="0"/>
            </w:tcBorders>
            <w:vAlign w:val="center"/>
          </w:tcPr>
          <w:p w14:paraId="5B685D0B">
            <w:pPr>
              <w:spacing w:line="240" w:lineRule="auto"/>
              <w:rPr>
                <w:rFonts w:cs="Times New Roman"/>
                <w:sz w:val="21"/>
                <w:szCs w:val="21"/>
              </w:rPr>
            </w:pPr>
            <w:r>
              <w:rPr>
                <w:rFonts w:cs="Times New Roman"/>
                <w:spacing w:val="-40"/>
                <w:sz w:val="21"/>
                <w:szCs w:val="21"/>
              </w:rPr>
              <w:t>-1</w:t>
            </w:r>
          </w:p>
        </w:tc>
        <w:tc>
          <w:tcPr>
            <w:tcW w:w="497" w:type="dxa"/>
            <w:tcBorders>
              <w:top w:val="single" w:color="auto" w:sz="4" w:space="0"/>
              <w:bottom w:val="single" w:color="auto" w:sz="4" w:space="0"/>
            </w:tcBorders>
            <w:vAlign w:val="center"/>
          </w:tcPr>
          <w:p w14:paraId="4DC661DC">
            <w:pPr>
              <w:spacing w:line="240" w:lineRule="auto"/>
              <w:rPr>
                <w:rFonts w:cs="Times New Roman"/>
                <w:sz w:val="21"/>
                <w:szCs w:val="21"/>
              </w:rPr>
            </w:pPr>
            <w:r>
              <w:rPr>
                <w:rFonts w:cs="Times New Roman"/>
                <w:spacing w:val="-40"/>
                <w:sz w:val="21"/>
                <w:szCs w:val="21"/>
              </w:rPr>
              <w:t>-1</w:t>
            </w:r>
          </w:p>
        </w:tc>
        <w:tc>
          <w:tcPr>
            <w:tcW w:w="497" w:type="dxa"/>
            <w:tcBorders>
              <w:top w:val="single" w:color="auto" w:sz="4" w:space="0"/>
              <w:bottom w:val="single" w:color="auto" w:sz="4" w:space="0"/>
            </w:tcBorders>
            <w:vAlign w:val="center"/>
          </w:tcPr>
          <w:p w14:paraId="4EA52038">
            <w:pPr>
              <w:spacing w:line="240" w:lineRule="auto"/>
              <w:rPr>
                <w:rFonts w:cs="Times New Roman"/>
                <w:sz w:val="21"/>
                <w:szCs w:val="21"/>
              </w:rPr>
            </w:pPr>
          </w:p>
        </w:tc>
        <w:tc>
          <w:tcPr>
            <w:tcW w:w="497" w:type="dxa"/>
            <w:tcBorders>
              <w:top w:val="single" w:color="auto" w:sz="4" w:space="0"/>
              <w:bottom w:val="single" w:color="auto" w:sz="4" w:space="0"/>
            </w:tcBorders>
            <w:vAlign w:val="center"/>
          </w:tcPr>
          <w:p w14:paraId="2FD1E261">
            <w:pPr>
              <w:spacing w:line="240" w:lineRule="auto"/>
              <w:rPr>
                <w:rFonts w:cs="Times New Roman"/>
                <w:spacing w:val="-40"/>
                <w:sz w:val="21"/>
                <w:szCs w:val="21"/>
              </w:rPr>
            </w:pPr>
          </w:p>
        </w:tc>
        <w:tc>
          <w:tcPr>
            <w:tcW w:w="497" w:type="dxa"/>
            <w:tcBorders>
              <w:top w:val="single" w:color="auto" w:sz="4" w:space="0"/>
              <w:bottom w:val="single" w:color="auto" w:sz="4" w:space="0"/>
            </w:tcBorders>
            <w:vAlign w:val="center"/>
          </w:tcPr>
          <w:p w14:paraId="21E67B82">
            <w:pPr>
              <w:spacing w:line="240" w:lineRule="auto"/>
              <w:rPr>
                <w:rFonts w:cs="Times New Roman"/>
                <w:sz w:val="21"/>
                <w:szCs w:val="21"/>
              </w:rPr>
            </w:pPr>
            <w:r>
              <w:rPr>
                <w:rFonts w:cs="Times New Roman"/>
                <w:spacing w:val="-40"/>
                <w:sz w:val="21"/>
                <w:szCs w:val="21"/>
              </w:rPr>
              <w:t>-1</w:t>
            </w:r>
          </w:p>
        </w:tc>
        <w:tc>
          <w:tcPr>
            <w:tcW w:w="497" w:type="dxa"/>
            <w:tcBorders>
              <w:top w:val="single" w:color="auto" w:sz="4" w:space="0"/>
              <w:bottom w:val="single" w:color="auto" w:sz="4" w:space="0"/>
            </w:tcBorders>
            <w:vAlign w:val="center"/>
          </w:tcPr>
          <w:p w14:paraId="221CDCA8">
            <w:pPr>
              <w:spacing w:line="240" w:lineRule="auto"/>
              <w:rPr>
                <w:rFonts w:cs="Times New Roman"/>
                <w:sz w:val="21"/>
                <w:szCs w:val="21"/>
              </w:rPr>
            </w:pPr>
            <w:r>
              <w:rPr>
                <w:rFonts w:cs="Times New Roman"/>
                <w:spacing w:val="-40"/>
                <w:sz w:val="21"/>
                <w:szCs w:val="21"/>
              </w:rPr>
              <w:t>-1</w:t>
            </w:r>
          </w:p>
        </w:tc>
        <w:tc>
          <w:tcPr>
            <w:tcW w:w="497" w:type="dxa"/>
            <w:tcBorders>
              <w:top w:val="single" w:color="auto" w:sz="4" w:space="0"/>
              <w:bottom w:val="single" w:color="auto" w:sz="4" w:space="0"/>
            </w:tcBorders>
            <w:vAlign w:val="center"/>
          </w:tcPr>
          <w:p w14:paraId="4849D5DF">
            <w:pPr>
              <w:spacing w:line="240" w:lineRule="auto"/>
              <w:rPr>
                <w:rFonts w:cs="Times New Roman"/>
                <w:spacing w:val="-40"/>
                <w:sz w:val="21"/>
                <w:szCs w:val="21"/>
              </w:rPr>
            </w:pPr>
          </w:p>
        </w:tc>
        <w:tc>
          <w:tcPr>
            <w:tcW w:w="497" w:type="dxa"/>
            <w:tcBorders>
              <w:top w:val="single" w:color="auto" w:sz="4" w:space="0"/>
              <w:bottom w:val="single" w:color="auto" w:sz="4" w:space="0"/>
            </w:tcBorders>
            <w:vAlign w:val="center"/>
          </w:tcPr>
          <w:p w14:paraId="539EB8BB">
            <w:pPr>
              <w:spacing w:line="240" w:lineRule="auto"/>
              <w:rPr>
                <w:rFonts w:cs="Times New Roman"/>
                <w:spacing w:val="-40"/>
                <w:sz w:val="21"/>
                <w:szCs w:val="21"/>
              </w:rPr>
            </w:pPr>
          </w:p>
        </w:tc>
      </w:tr>
      <w:tr w14:paraId="4D6623B5">
        <w:tblPrEx>
          <w:tblBorders>
            <w:top w:val="single" w:color="auto" w:sz="4" w:space="0"/>
            <w:left w:val="single" w:color="auto" w:sz="4" w:space="0"/>
            <w:bottom w:val="single" w:color="auto" w:sz="4" w:space="0"/>
            <w:right w:val="single" w:color="auto" w:sz="4" w:space="0"/>
            <w:insideH w:val="single" w:color="auto" w:sz="2" w:space="0"/>
            <w:insideV w:val="single" w:color="auto" w:sz="4" w:space="0"/>
          </w:tblBorders>
          <w:tblCellMar>
            <w:top w:w="0" w:type="dxa"/>
            <w:left w:w="108" w:type="dxa"/>
            <w:bottom w:w="0" w:type="dxa"/>
            <w:right w:w="108" w:type="dxa"/>
          </w:tblCellMar>
        </w:tblPrEx>
        <w:trPr>
          <w:cantSplit/>
          <w:trHeight w:val="340" w:hRule="atLeast"/>
          <w:jc w:val="center"/>
        </w:trPr>
        <w:tc>
          <w:tcPr>
            <w:tcW w:w="933" w:type="dxa"/>
            <w:vMerge w:val="continue"/>
            <w:tcBorders>
              <w:top w:val="single" w:color="auto" w:sz="4" w:space="0"/>
              <w:bottom w:val="single" w:color="auto" w:sz="4" w:space="0"/>
            </w:tcBorders>
            <w:vAlign w:val="center"/>
          </w:tcPr>
          <w:p w14:paraId="2ACCF37D">
            <w:pPr>
              <w:spacing w:line="240" w:lineRule="auto"/>
              <w:rPr>
                <w:rFonts w:cs="Times New Roman"/>
                <w:sz w:val="21"/>
                <w:szCs w:val="21"/>
              </w:rPr>
            </w:pPr>
          </w:p>
        </w:tc>
        <w:tc>
          <w:tcPr>
            <w:tcW w:w="1397" w:type="dxa"/>
            <w:tcBorders>
              <w:top w:val="single" w:color="auto" w:sz="4" w:space="0"/>
              <w:bottom w:val="single" w:color="auto" w:sz="4" w:space="0"/>
            </w:tcBorders>
            <w:vAlign w:val="center"/>
          </w:tcPr>
          <w:p w14:paraId="13A5BBF5">
            <w:pPr>
              <w:spacing w:line="240" w:lineRule="auto"/>
              <w:rPr>
                <w:rFonts w:cs="Times New Roman"/>
                <w:sz w:val="21"/>
                <w:szCs w:val="21"/>
              </w:rPr>
            </w:pPr>
            <w:r>
              <w:rPr>
                <w:rFonts w:cs="Times New Roman"/>
                <w:sz w:val="21"/>
                <w:szCs w:val="21"/>
              </w:rPr>
              <w:t>综合影响</w:t>
            </w:r>
          </w:p>
        </w:tc>
        <w:tc>
          <w:tcPr>
            <w:tcW w:w="496" w:type="dxa"/>
            <w:tcBorders>
              <w:top w:val="single" w:color="auto" w:sz="4" w:space="0"/>
              <w:bottom w:val="single" w:color="auto" w:sz="4" w:space="0"/>
            </w:tcBorders>
            <w:vAlign w:val="center"/>
          </w:tcPr>
          <w:p w14:paraId="58286CA9">
            <w:pPr>
              <w:spacing w:line="240" w:lineRule="auto"/>
              <w:rPr>
                <w:rFonts w:cs="Times New Roman"/>
                <w:sz w:val="21"/>
                <w:szCs w:val="21"/>
              </w:rPr>
            </w:pPr>
          </w:p>
        </w:tc>
        <w:tc>
          <w:tcPr>
            <w:tcW w:w="496" w:type="dxa"/>
            <w:tcBorders>
              <w:top w:val="single" w:color="auto" w:sz="4" w:space="0"/>
              <w:bottom w:val="single" w:color="auto" w:sz="4" w:space="0"/>
            </w:tcBorders>
            <w:vAlign w:val="center"/>
          </w:tcPr>
          <w:p w14:paraId="21DD7440">
            <w:pPr>
              <w:spacing w:line="240" w:lineRule="auto"/>
              <w:rPr>
                <w:rFonts w:cs="Times New Roman"/>
                <w:sz w:val="21"/>
                <w:szCs w:val="21"/>
              </w:rPr>
            </w:pPr>
          </w:p>
        </w:tc>
        <w:tc>
          <w:tcPr>
            <w:tcW w:w="497" w:type="dxa"/>
            <w:tcBorders>
              <w:top w:val="single" w:color="auto" w:sz="4" w:space="0"/>
              <w:bottom w:val="single" w:color="auto" w:sz="4" w:space="0"/>
            </w:tcBorders>
            <w:vAlign w:val="center"/>
          </w:tcPr>
          <w:p w14:paraId="47C18175">
            <w:pPr>
              <w:spacing w:line="240" w:lineRule="auto"/>
              <w:rPr>
                <w:rFonts w:cs="Times New Roman"/>
                <w:sz w:val="21"/>
                <w:szCs w:val="21"/>
              </w:rPr>
            </w:pPr>
          </w:p>
        </w:tc>
        <w:tc>
          <w:tcPr>
            <w:tcW w:w="497" w:type="dxa"/>
            <w:tcBorders>
              <w:top w:val="single" w:color="auto" w:sz="4" w:space="0"/>
              <w:bottom w:val="single" w:color="auto" w:sz="4" w:space="0"/>
            </w:tcBorders>
            <w:vAlign w:val="center"/>
          </w:tcPr>
          <w:p w14:paraId="659046E9">
            <w:pPr>
              <w:spacing w:line="240" w:lineRule="auto"/>
              <w:rPr>
                <w:rFonts w:cs="Times New Roman"/>
                <w:sz w:val="21"/>
                <w:szCs w:val="21"/>
              </w:rPr>
            </w:pPr>
            <w:r>
              <w:rPr>
                <w:rFonts w:cs="Times New Roman"/>
                <w:spacing w:val="-40"/>
                <w:sz w:val="21"/>
                <w:szCs w:val="21"/>
              </w:rPr>
              <w:t>-1</w:t>
            </w:r>
          </w:p>
        </w:tc>
        <w:tc>
          <w:tcPr>
            <w:tcW w:w="497" w:type="dxa"/>
            <w:tcBorders>
              <w:top w:val="single" w:color="auto" w:sz="4" w:space="0"/>
              <w:bottom w:val="single" w:color="auto" w:sz="4" w:space="0"/>
            </w:tcBorders>
            <w:vAlign w:val="center"/>
          </w:tcPr>
          <w:p w14:paraId="6AFD3794">
            <w:pPr>
              <w:spacing w:line="240" w:lineRule="auto"/>
              <w:rPr>
                <w:rFonts w:cs="Times New Roman"/>
                <w:sz w:val="21"/>
                <w:szCs w:val="21"/>
              </w:rPr>
            </w:pPr>
            <w:r>
              <w:rPr>
                <w:rFonts w:cs="Times New Roman"/>
                <w:spacing w:val="-40"/>
                <w:sz w:val="21"/>
                <w:szCs w:val="21"/>
              </w:rPr>
              <w:t>-1</w:t>
            </w:r>
          </w:p>
        </w:tc>
        <w:tc>
          <w:tcPr>
            <w:tcW w:w="497" w:type="dxa"/>
            <w:tcBorders>
              <w:top w:val="single" w:color="auto" w:sz="4" w:space="0"/>
              <w:bottom w:val="single" w:color="auto" w:sz="4" w:space="0"/>
            </w:tcBorders>
            <w:vAlign w:val="center"/>
          </w:tcPr>
          <w:p w14:paraId="0F4A07EE">
            <w:pPr>
              <w:spacing w:line="240" w:lineRule="auto"/>
              <w:rPr>
                <w:rFonts w:cs="Times New Roman"/>
                <w:sz w:val="21"/>
                <w:szCs w:val="21"/>
              </w:rPr>
            </w:pPr>
            <w:r>
              <w:rPr>
                <w:rFonts w:cs="Times New Roman"/>
                <w:spacing w:val="-40"/>
                <w:sz w:val="21"/>
                <w:szCs w:val="21"/>
              </w:rPr>
              <w:t>-1</w:t>
            </w:r>
          </w:p>
        </w:tc>
        <w:tc>
          <w:tcPr>
            <w:tcW w:w="497" w:type="dxa"/>
            <w:tcBorders>
              <w:top w:val="single" w:color="auto" w:sz="4" w:space="0"/>
              <w:bottom w:val="single" w:color="auto" w:sz="4" w:space="0"/>
            </w:tcBorders>
            <w:vAlign w:val="center"/>
          </w:tcPr>
          <w:p w14:paraId="261EDCF3">
            <w:pPr>
              <w:spacing w:line="240" w:lineRule="auto"/>
              <w:rPr>
                <w:rFonts w:cs="Times New Roman"/>
                <w:sz w:val="21"/>
                <w:szCs w:val="21"/>
              </w:rPr>
            </w:pPr>
            <w:r>
              <w:rPr>
                <w:rFonts w:cs="Times New Roman"/>
                <w:spacing w:val="-40"/>
                <w:sz w:val="21"/>
                <w:szCs w:val="21"/>
              </w:rPr>
              <w:t>-2</w:t>
            </w:r>
          </w:p>
        </w:tc>
        <w:tc>
          <w:tcPr>
            <w:tcW w:w="497" w:type="dxa"/>
            <w:tcBorders>
              <w:top w:val="single" w:color="auto" w:sz="4" w:space="0"/>
              <w:bottom w:val="single" w:color="auto" w:sz="4" w:space="0"/>
            </w:tcBorders>
            <w:vAlign w:val="center"/>
          </w:tcPr>
          <w:p w14:paraId="090F258E">
            <w:pPr>
              <w:spacing w:line="240" w:lineRule="auto"/>
              <w:rPr>
                <w:rFonts w:cs="Times New Roman"/>
                <w:sz w:val="21"/>
                <w:szCs w:val="21"/>
              </w:rPr>
            </w:pPr>
            <w:r>
              <w:rPr>
                <w:rFonts w:cs="Times New Roman"/>
                <w:spacing w:val="-40"/>
                <w:sz w:val="21"/>
                <w:szCs w:val="21"/>
              </w:rPr>
              <w:t>-1</w:t>
            </w:r>
          </w:p>
        </w:tc>
        <w:tc>
          <w:tcPr>
            <w:tcW w:w="497" w:type="dxa"/>
            <w:tcBorders>
              <w:top w:val="single" w:color="auto" w:sz="4" w:space="0"/>
              <w:bottom w:val="single" w:color="auto" w:sz="4" w:space="0"/>
            </w:tcBorders>
            <w:vAlign w:val="center"/>
          </w:tcPr>
          <w:p w14:paraId="252072CF">
            <w:pPr>
              <w:spacing w:line="240" w:lineRule="auto"/>
              <w:rPr>
                <w:rFonts w:cs="Times New Roman"/>
                <w:sz w:val="21"/>
                <w:szCs w:val="21"/>
              </w:rPr>
            </w:pPr>
          </w:p>
        </w:tc>
        <w:tc>
          <w:tcPr>
            <w:tcW w:w="497" w:type="dxa"/>
            <w:tcBorders>
              <w:top w:val="single" w:color="auto" w:sz="4" w:space="0"/>
              <w:bottom w:val="single" w:color="auto" w:sz="4" w:space="0"/>
            </w:tcBorders>
            <w:vAlign w:val="center"/>
          </w:tcPr>
          <w:p w14:paraId="68E127D8">
            <w:pPr>
              <w:spacing w:line="240" w:lineRule="auto"/>
              <w:rPr>
                <w:rFonts w:cs="Times New Roman"/>
                <w:spacing w:val="-40"/>
                <w:sz w:val="21"/>
                <w:szCs w:val="21"/>
              </w:rPr>
            </w:pPr>
            <w:r>
              <w:rPr>
                <w:rFonts w:cs="Times New Roman"/>
                <w:spacing w:val="-40"/>
                <w:sz w:val="21"/>
                <w:szCs w:val="21"/>
              </w:rPr>
              <w:t>+1</w:t>
            </w:r>
          </w:p>
        </w:tc>
        <w:tc>
          <w:tcPr>
            <w:tcW w:w="497" w:type="dxa"/>
            <w:tcBorders>
              <w:top w:val="single" w:color="auto" w:sz="4" w:space="0"/>
              <w:bottom w:val="single" w:color="auto" w:sz="4" w:space="0"/>
            </w:tcBorders>
            <w:vAlign w:val="center"/>
          </w:tcPr>
          <w:p w14:paraId="20C26F99">
            <w:pPr>
              <w:spacing w:line="240" w:lineRule="auto"/>
              <w:rPr>
                <w:rFonts w:cs="Times New Roman"/>
                <w:sz w:val="21"/>
                <w:szCs w:val="21"/>
              </w:rPr>
            </w:pPr>
            <w:r>
              <w:rPr>
                <w:rFonts w:cs="Times New Roman"/>
                <w:spacing w:val="-40"/>
                <w:sz w:val="21"/>
                <w:szCs w:val="21"/>
              </w:rPr>
              <w:t>-1</w:t>
            </w:r>
          </w:p>
        </w:tc>
        <w:tc>
          <w:tcPr>
            <w:tcW w:w="497" w:type="dxa"/>
            <w:tcBorders>
              <w:top w:val="single" w:color="auto" w:sz="4" w:space="0"/>
              <w:bottom w:val="single" w:color="auto" w:sz="4" w:space="0"/>
            </w:tcBorders>
            <w:vAlign w:val="center"/>
          </w:tcPr>
          <w:p w14:paraId="5E400A29">
            <w:pPr>
              <w:spacing w:line="240" w:lineRule="auto"/>
              <w:rPr>
                <w:rFonts w:cs="Times New Roman"/>
                <w:sz w:val="21"/>
                <w:szCs w:val="21"/>
              </w:rPr>
            </w:pPr>
            <w:r>
              <w:rPr>
                <w:rFonts w:cs="Times New Roman"/>
                <w:spacing w:val="-40"/>
                <w:sz w:val="21"/>
                <w:szCs w:val="21"/>
              </w:rPr>
              <w:t>-1</w:t>
            </w:r>
          </w:p>
        </w:tc>
        <w:tc>
          <w:tcPr>
            <w:tcW w:w="497" w:type="dxa"/>
            <w:tcBorders>
              <w:top w:val="single" w:color="auto" w:sz="4" w:space="0"/>
              <w:bottom w:val="single" w:color="auto" w:sz="4" w:space="0"/>
            </w:tcBorders>
            <w:vAlign w:val="center"/>
          </w:tcPr>
          <w:p w14:paraId="59D2AEF8">
            <w:pPr>
              <w:spacing w:line="240" w:lineRule="auto"/>
              <w:rPr>
                <w:rFonts w:cs="Times New Roman"/>
                <w:spacing w:val="-40"/>
                <w:sz w:val="21"/>
                <w:szCs w:val="21"/>
              </w:rPr>
            </w:pPr>
            <w:r>
              <w:rPr>
                <w:rFonts w:cs="Times New Roman"/>
                <w:spacing w:val="-40"/>
                <w:sz w:val="21"/>
                <w:szCs w:val="21"/>
              </w:rPr>
              <w:t>+1</w:t>
            </w:r>
          </w:p>
        </w:tc>
        <w:tc>
          <w:tcPr>
            <w:tcW w:w="497" w:type="dxa"/>
            <w:tcBorders>
              <w:top w:val="single" w:color="auto" w:sz="4" w:space="0"/>
              <w:bottom w:val="single" w:color="auto" w:sz="4" w:space="0"/>
            </w:tcBorders>
            <w:vAlign w:val="center"/>
          </w:tcPr>
          <w:p w14:paraId="028F4567">
            <w:pPr>
              <w:spacing w:line="240" w:lineRule="auto"/>
              <w:rPr>
                <w:rFonts w:cs="Times New Roman"/>
                <w:spacing w:val="-40"/>
                <w:sz w:val="21"/>
                <w:szCs w:val="21"/>
              </w:rPr>
            </w:pPr>
            <w:r>
              <w:rPr>
                <w:rFonts w:cs="Times New Roman"/>
                <w:spacing w:val="-40"/>
                <w:sz w:val="21"/>
                <w:szCs w:val="21"/>
              </w:rPr>
              <w:t>+1</w:t>
            </w:r>
          </w:p>
        </w:tc>
      </w:tr>
    </w:tbl>
    <w:p w14:paraId="6274C5CC">
      <w:pPr>
        <w:spacing w:line="240" w:lineRule="auto"/>
        <w:rPr>
          <w:rFonts w:hint="eastAsia" w:ascii="黑体" w:hAnsi="黑体" w:eastAsia="黑体"/>
          <w:spacing w:val="-4"/>
          <w:sz w:val="18"/>
          <w:szCs w:val="18"/>
        </w:rPr>
      </w:pPr>
      <w:r>
        <w:rPr>
          <w:rFonts w:ascii="黑体" w:hAnsi="黑体" w:eastAsia="黑体"/>
          <w:spacing w:val="-4"/>
          <w:sz w:val="18"/>
          <w:szCs w:val="18"/>
        </w:rPr>
        <w:t>注：表中1为轻度影响，2为中度，3为重度，+为正面影响，－为负面影响。</w:t>
      </w:r>
    </w:p>
    <w:p w14:paraId="34D51B4C">
      <w:pPr>
        <w:rPr>
          <w:rFonts w:cs="Times New Roman"/>
          <w:spacing w:val="-3"/>
        </w:rPr>
      </w:pPr>
    </w:p>
    <w:p w14:paraId="6E84F392">
      <w:pPr>
        <w:pStyle w:val="4"/>
        <w:rPr>
          <w:rFonts w:hint="eastAsia"/>
        </w:rPr>
      </w:pPr>
      <w:bookmarkStart w:id="25" w:name="_Toc221056323"/>
      <w:r>
        <w:rPr>
          <w:rFonts w:hint="eastAsia"/>
        </w:rPr>
        <w:t>2.3.2评价因子筛选</w:t>
      </w:r>
      <w:bookmarkEnd w:id="25"/>
    </w:p>
    <w:p w14:paraId="7D811462">
      <w:pPr>
        <w:pStyle w:val="74"/>
        <w:spacing w:line="480" w:lineRule="exact"/>
        <w:ind w:firstLine="480"/>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由环境影响因素分析结果，结合工程分析得出</w:t>
      </w:r>
      <w:r>
        <w:rPr>
          <w:rFonts w:hint="eastAsia"/>
          <w:color w:val="000000" w:themeColor="text1"/>
          <w:sz w:val="24"/>
          <w:szCs w:val="24"/>
          <w14:textFill>
            <w14:solidFill>
              <w14:schemeClr w14:val="tx1"/>
            </w14:solidFill>
          </w14:textFill>
        </w:rPr>
        <w:t>本项目</w:t>
      </w:r>
      <w:r>
        <w:rPr>
          <w:color w:val="000000" w:themeColor="text1"/>
          <w:sz w:val="24"/>
          <w:szCs w:val="24"/>
          <w14:textFill>
            <w14:solidFill>
              <w14:schemeClr w14:val="tx1"/>
            </w14:solidFill>
          </w14:textFill>
        </w:rPr>
        <w:t>环境影响评价因子</w:t>
      </w:r>
      <w:r>
        <w:rPr>
          <w:rFonts w:hint="eastAsia"/>
          <w:color w:val="000000" w:themeColor="text1"/>
          <w:sz w:val="24"/>
          <w:szCs w:val="24"/>
          <w14:textFill>
            <w14:solidFill>
              <w14:schemeClr w14:val="tx1"/>
            </w14:solidFill>
          </w14:textFill>
        </w:rPr>
        <w:t>见下表</w:t>
      </w:r>
      <w:r>
        <w:rPr>
          <w:color w:val="000000" w:themeColor="text1"/>
          <w:sz w:val="24"/>
          <w:szCs w:val="24"/>
          <w14:textFill>
            <w14:solidFill>
              <w14:schemeClr w14:val="tx1"/>
            </w14:solidFill>
          </w14:textFill>
        </w:rPr>
        <w:t>。</w:t>
      </w:r>
    </w:p>
    <w:p w14:paraId="5BF7E69D">
      <w:pPr>
        <w:pStyle w:val="28"/>
        <w:rPr>
          <w:rFonts w:hint="eastAsia"/>
        </w:rPr>
      </w:pPr>
      <w:r>
        <w:rPr>
          <w:rFonts w:hint="eastAsia"/>
        </w:rPr>
        <w:t>表2.3-2  评价因子筛选表</w:t>
      </w:r>
    </w:p>
    <w:tbl>
      <w:tblPr>
        <w:tblStyle w:val="36"/>
        <w:tblW w:w="5082" w:type="pct"/>
        <w:jc w:val="center"/>
        <w:tblLayout w:type="autofit"/>
        <w:tblCellMar>
          <w:top w:w="0" w:type="dxa"/>
          <w:left w:w="108" w:type="dxa"/>
          <w:bottom w:w="0" w:type="dxa"/>
          <w:right w:w="108" w:type="dxa"/>
        </w:tblCellMar>
      </w:tblPr>
      <w:tblGrid>
        <w:gridCol w:w="1159"/>
        <w:gridCol w:w="4647"/>
        <w:gridCol w:w="2037"/>
        <w:gridCol w:w="1595"/>
      </w:tblGrid>
      <w:tr w14:paraId="5D4ACA8D">
        <w:tblPrEx>
          <w:tblCellMar>
            <w:top w:w="0" w:type="dxa"/>
            <w:left w:w="108" w:type="dxa"/>
            <w:bottom w:w="0" w:type="dxa"/>
            <w:right w:w="108" w:type="dxa"/>
          </w:tblCellMar>
        </w:tblPrEx>
        <w:trPr>
          <w:trHeight w:val="20" w:hRule="atLeast"/>
          <w:jc w:val="center"/>
        </w:trPr>
        <w:tc>
          <w:tcPr>
            <w:tcW w:w="614" w:type="pct"/>
            <w:tcBorders>
              <w:top w:val="single" w:color="auto" w:sz="4" w:space="0"/>
              <w:left w:val="single" w:color="auto" w:sz="4" w:space="0"/>
              <w:bottom w:val="single" w:color="auto" w:sz="4" w:space="0"/>
              <w:right w:val="single" w:color="auto" w:sz="4" w:space="0"/>
            </w:tcBorders>
            <w:vAlign w:val="center"/>
          </w:tcPr>
          <w:p w14:paraId="50570E58">
            <w:pPr>
              <w:spacing w:line="240" w:lineRule="auto"/>
              <w:jc w:val="center"/>
              <w:rPr>
                <w:sz w:val="21"/>
                <w:szCs w:val="21"/>
              </w:rPr>
            </w:pPr>
            <w:r>
              <w:rPr>
                <w:sz w:val="21"/>
                <w:szCs w:val="21"/>
              </w:rPr>
              <w:t>要素</w:t>
            </w:r>
          </w:p>
        </w:tc>
        <w:tc>
          <w:tcPr>
            <w:tcW w:w="2462" w:type="pct"/>
            <w:tcBorders>
              <w:top w:val="single" w:color="auto" w:sz="4" w:space="0"/>
              <w:left w:val="single" w:color="auto" w:sz="4" w:space="0"/>
              <w:bottom w:val="single" w:color="auto" w:sz="4" w:space="0"/>
              <w:right w:val="single" w:color="auto" w:sz="4" w:space="0"/>
            </w:tcBorders>
            <w:vAlign w:val="center"/>
          </w:tcPr>
          <w:p w14:paraId="36CE22BB">
            <w:pPr>
              <w:spacing w:line="240" w:lineRule="auto"/>
              <w:jc w:val="center"/>
              <w:rPr>
                <w:sz w:val="21"/>
                <w:szCs w:val="21"/>
              </w:rPr>
            </w:pPr>
            <w:r>
              <w:rPr>
                <w:sz w:val="21"/>
                <w:szCs w:val="21"/>
              </w:rPr>
              <w:t>现状评价因子</w:t>
            </w:r>
          </w:p>
        </w:tc>
        <w:tc>
          <w:tcPr>
            <w:tcW w:w="1079" w:type="pct"/>
            <w:tcBorders>
              <w:top w:val="single" w:color="auto" w:sz="4" w:space="0"/>
              <w:left w:val="single" w:color="auto" w:sz="4" w:space="0"/>
              <w:bottom w:val="single" w:color="auto" w:sz="4" w:space="0"/>
              <w:right w:val="single" w:color="auto" w:sz="4" w:space="0"/>
            </w:tcBorders>
            <w:vAlign w:val="center"/>
          </w:tcPr>
          <w:p w14:paraId="1D1734D4">
            <w:pPr>
              <w:spacing w:line="240" w:lineRule="auto"/>
              <w:jc w:val="center"/>
              <w:rPr>
                <w:sz w:val="21"/>
                <w:szCs w:val="21"/>
              </w:rPr>
            </w:pPr>
            <w:r>
              <w:rPr>
                <w:sz w:val="21"/>
                <w:szCs w:val="21"/>
              </w:rPr>
              <w:t>影响评价因子</w:t>
            </w:r>
          </w:p>
        </w:tc>
        <w:tc>
          <w:tcPr>
            <w:tcW w:w="845" w:type="pct"/>
            <w:tcBorders>
              <w:top w:val="single" w:color="auto" w:sz="4" w:space="0"/>
              <w:left w:val="single" w:color="auto" w:sz="4" w:space="0"/>
              <w:bottom w:val="single" w:color="auto" w:sz="4" w:space="0"/>
              <w:right w:val="single" w:color="auto" w:sz="4" w:space="0"/>
            </w:tcBorders>
            <w:vAlign w:val="center"/>
          </w:tcPr>
          <w:p w14:paraId="1E527B24">
            <w:pPr>
              <w:spacing w:line="240" w:lineRule="auto"/>
              <w:jc w:val="center"/>
              <w:rPr>
                <w:sz w:val="21"/>
                <w:szCs w:val="21"/>
              </w:rPr>
            </w:pPr>
            <w:r>
              <w:rPr>
                <w:sz w:val="21"/>
                <w:szCs w:val="21"/>
              </w:rPr>
              <w:t>总量控制因子</w:t>
            </w:r>
          </w:p>
        </w:tc>
      </w:tr>
      <w:tr w14:paraId="26A16FBA">
        <w:tblPrEx>
          <w:tblCellMar>
            <w:top w:w="0" w:type="dxa"/>
            <w:left w:w="108" w:type="dxa"/>
            <w:bottom w:w="0" w:type="dxa"/>
            <w:right w:w="108" w:type="dxa"/>
          </w:tblCellMar>
        </w:tblPrEx>
        <w:trPr>
          <w:trHeight w:val="20" w:hRule="atLeast"/>
          <w:jc w:val="center"/>
        </w:trPr>
        <w:tc>
          <w:tcPr>
            <w:tcW w:w="614" w:type="pct"/>
            <w:tcBorders>
              <w:top w:val="single" w:color="auto" w:sz="4" w:space="0"/>
              <w:left w:val="single" w:color="auto" w:sz="4" w:space="0"/>
              <w:bottom w:val="single" w:color="auto" w:sz="4" w:space="0"/>
              <w:right w:val="single" w:color="auto" w:sz="4" w:space="0"/>
            </w:tcBorders>
            <w:vAlign w:val="center"/>
          </w:tcPr>
          <w:p w14:paraId="19495F16">
            <w:pPr>
              <w:spacing w:line="240" w:lineRule="auto"/>
              <w:jc w:val="center"/>
              <w:rPr>
                <w:sz w:val="21"/>
                <w:szCs w:val="21"/>
              </w:rPr>
            </w:pPr>
            <w:r>
              <w:rPr>
                <w:sz w:val="21"/>
                <w:szCs w:val="21"/>
              </w:rPr>
              <w:t>大气</w:t>
            </w:r>
          </w:p>
        </w:tc>
        <w:tc>
          <w:tcPr>
            <w:tcW w:w="2462" w:type="pct"/>
            <w:tcBorders>
              <w:top w:val="single" w:color="auto" w:sz="4" w:space="0"/>
              <w:left w:val="single" w:color="auto" w:sz="4" w:space="0"/>
              <w:bottom w:val="single" w:color="auto" w:sz="4" w:space="0"/>
              <w:right w:val="single" w:color="auto" w:sz="4" w:space="0"/>
            </w:tcBorders>
            <w:vAlign w:val="center"/>
          </w:tcPr>
          <w:p w14:paraId="2ED19CFE">
            <w:pPr>
              <w:spacing w:line="240" w:lineRule="auto"/>
              <w:jc w:val="center"/>
              <w:rPr>
                <w:sz w:val="21"/>
                <w:szCs w:val="21"/>
              </w:rPr>
            </w:pPr>
            <w:r>
              <w:rPr>
                <w:rFonts w:hint="eastAsia"/>
                <w:sz w:val="21"/>
                <w:szCs w:val="21"/>
              </w:rPr>
              <w:t>SO</w:t>
            </w:r>
            <w:r>
              <w:rPr>
                <w:rFonts w:hint="eastAsia"/>
                <w:sz w:val="21"/>
                <w:szCs w:val="21"/>
                <w:vertAlign w:val="subscript"/>
              </w:rPr>
              <w:t>2</w:t>
            </w:r>
            <w:r>
              <w:rPr>
                <w:rFonts w:hint="eastAsia"/>
                <w:sz w:val="21"/>
                <w:szCs w:val="21"/>
              </w:rPr>
              <w:t>、NO</w:t>
            </w:r>
            <w:r>
              <w:rPr>
                <w:rFonts w:hint="eastAsia"/>
                <w:sz w:val="21"/>
                <w:szCs w:val="21"/>
                <w:vertAlign w:val="subscript"/>
              </w:rPr>
              <w:t>2</w:t>
            </w:r>
            <w:r>
              <w:rPr>
                <w:rFonts w:hint="eastAsia"/>
                <w:sz w:val="21"/>
                <w:szCs w:val="21"/>
              </w:rPr>
              <w:t>、PM</w:t>
            </w:r>
            <w:r>
              <w:rPr>
                <w:rFonts w:hint="eastAsia"/>
                <w:sz w:val="21"/>
                <w:szCs w:val="21"/>
                <w:vertAlign w:val="subscript"/>
              </w:rPr>
              <w:t>10</w:t>
            </w:r>
            <w:r>
              <w:rPr>
                <w:rFonts w:hint="eastAsia"/>
                <w:sz w:val="21"/>
                <w:szCs w:val="21"/>
              </w:rPr>
              <w:t>、PM</w:t>
            </w:r>
            <w:r>
              <w:rPr>
                <w:rFonts w:hint="eastAsia"/>
                <w:sz w:val="21"/>
                <w:szCs w:val="21"/>
                <w:vertAlign w:val="subscript"/>
              </w:rPr>
              <w:t>2.5</w:t>
            </w:r>
            <w:r>
              <w:rPr>
                <w:rFonts w:hint="eastAsia"/>
                <w:sz w:val="21"/>
                <w:szCs w:val="21"/>
              </w:rPr>
              <w:t>、O</w:t>
            </w:r>
            <w:r>
              <w:rPr>
                <w:rFonts w:hint="eastAsia"/>
                <w:sz w:val="21"/>
                <w:szCs w:val="21"/>
                <w:vertAlign w:val="subscript"/>
              </w:rPr>
              <w:t>3</w:t>
            </w:r>
            <w:r>
              <w:rPr>
                <w:rFonts w:hint="eastAsia"/>
                <w:sz w:val="21"/>
                <w:szCs w:val="21"/>
              </w:rPr>
              <w:t>、CO、酚类、非甲烷总烃、硫酸雾</w:t>
            </w:r>
          </w:p>
        </w:tc>
        <w:tc>
          <w:tcPr>
            <w:tcW w:w="1079" w:type="pct"/>
            <w:tcBorders>
              <w:top w:val="single" w:color="auto" w:sz="4" w:space="0"/>
              <w:left w:val="single" w:color="auto" w:sz="4" w:space="0"/>
              <w:bottom w:val="single" w:color="auto" w:sz="4" w:space="0"/>
              <w:right w:val="single" w:color="auto" w:sz="4" w:space="0"/>
            </w:tcBorders>
            <w:vAlign w:val="center"/>
          </w:tcPr>
          <w:p w14:paraId="3A80997C">
            <w:pPr>
              <w:spacing w:line="240" w:lineRule="auto"/>
              <w:jc w:val="center"/>
              <w:rPr>
                <w:sz w:val="21"/>
                <w:szCs w:val="21"/>
              </w:rPr>
            </w:pPr>
            <w:r>
              <w:rPr>
                <w:rFonts w:hint="eastAsia"/>
                <w:sz w:val="21"/>
                <w:szCs w:val="21"/>
              </w:rPr>
              <w:t>酚类、非甲烷总烃、硫酸雾</w:t>
            </w:r>
          </w:p>
        </w:tc>
        <w:tc>
          <w:tcPr>
            <w:tcW w:w="845" w:type="pct"/>
            <w:tcBorders>
              <w:top w:val="single" w:color="auto" w:sz="4" w:space="0"/>
              <w:left w:val="single" w:color="auto" w:sz="4" w:space="0"/>
              <w:bottom w:val="single" w:color="auto" w:sz="4" w:space="0"/>
              <w:right w:val="single" w:color="auto" w:sz="4" w:space="0"/>
            </w:tcBorders>
            <w:vAlign w:val="center"/>
          </w:tcPr>
          <w:p w14:paraId="728D0262">
            <w:pPr>
              <w:spacing w:line="240" w:lineRule="auto"/>
              <w:jc w:val="center"/>
              <w:rPr>
                <w:sz w:val="21"/>
                <w:szCs w:val="21"/>
              </w:rPr>
            </w:pPr>
            <w:r>
              <w:rPr>
                <w:rFonts w:hint="eastAsia"/>
                <w:sz w:val="21"/>
                <w:szCs w:val="21"/>
              </w:rPr>
              <w:t>VOCs</w:t>
            </w:r>
          </w:p>
        </w:tc>
      </w:tr>
      <w:tr w14:paraId="47528510">
        <w:tblPrEx>
          <w:tblCellMar>
            <w:top w:w="0" w:type="dxa"/>
            <w:left w:w="108" w:type="dxa"/>
            <w:bottom w:w="0" w:type="dxa"/>
            <w:right w:w="108" w:type="dxa"/>
          </w:tblCellMar>
        </w:tblPrEx>
        <w:trPr>
          <w:trHeight w:val="20" w:hRule="atLeast"/>
          <w:jc w:val="center"/>
        </w:trPr>
        <w:tc>
          <w:tcPr>
            <w:tcW w:w="614" w:type="pct"/>
            <w:tcBorders>
              <w:top w:val="single" w:color="auto" w:sz="4" w:space="0"/>
              <w:left w:val="single" w:color="auto" w:sz="4" w:space="0"/>
              <w:bottom w:val="single" w:color="auto" w:sz="4" w:space="0"/>
              <w:right w:val="single" w:color="auto" w:sz="4" w:space="0"/>
            </w:tcBorders>
            <w:vAlign w:val="center"/>
          </w:tcPr>
          <w:p w14:paraId="1A47EB72">
            <w:pPr>
              <w:spacing w:line="240" w:lineRule="auto"/>
              <w:jc w:val="center"/>
              <w:rPr>
                <w:sz w:val="21"/>
                <w:szCs w:val="21"/>
              </w:rPr>
            </w:pPr>
            <w:r>
              <w:rPr>
                <w:sz w:val="21"/>
                <w:szCs w:val="21"/>
              </w:rPr>
              <w:t>地表水</w:t>
            </w:r>
          </w:p>
        </w:tc>
        <w:tc>
          <w:tcPr>
            <w:tcW w:w="2462" w:type="pct"/>
            <w:tcBorders>
              <w:top w:val="single" w:color="auto" w:sz="4" w:space="0"/>
              <w:left w:val="single" w:color="auto" w:sz="4" w:space="0"/>
              <w:bottom w:val="single" w:color="auto" w:sz="4" w:space="0"/>
              <w:right w:val="single" w:color="auto" w:sz="4" w:space="0"/>
            </w:tcBorders>
            <w:vAlign w:val="center"/>
          </w:tcPr>
          <w:p w14:paraId="542022B8">
            <w:pPr>
              <w:spacing w:line="240" w:lineRule="auto"/>
              <w:jc w:val="center"/>
              <w:rPr>
                <w:sz w:val="21"/>
                <w:szCs w:val="21"/>
                <w:highlight w:val="yellow"/>
              </w:rPr>
            </w:pPr>
            <w:r>
              <w:rPr>
                <w:sz w:val="21"/>
                <w:szCs w:val="21"/>
              </w:rPr>
              <w:t>pH、COD、BOD</w:t>
            </w:r>
            <w:r>
              <w:rPr>
                <w:sz w:val="21"/>
                <w:szCs w:val="21"/>
                <w:vertAlign w:val="subscript"/>
              </w:rPr>
              <w:t>5</w:t>
            </w:r>
            <w:r>
              <w:rPr>
                <w:sz w:val="21"/>
                <w:szCs w:val="21"/>
              </w:rPr>
              <w:t>、溶解氧、氨氮、总磷、总氮、铅、镍、砷、铜、锌、硫化物、氟化物、挥发酚、石油类、阴离子表面活性剂</w:t>
            </w:r>
          </w:p>
        </w:tc>
        <w:tc>
          <w:tcPr>
            <w:tcW w:w="1079" w:type="pct"/>
            <w:tcBorders>
              <w:top w:val="single" w:color="auto" w:sz="4" w:space="0"/>
              <w:left w:val="single" w:color="auto" w:sz="4" w:space="0"/>
              <w:bottom w:val="single" w:color="auto" w:sz="4" w:space="0"/>
              <w:right w:val="single" w:color="auto" w:sz="4" w:space="0"/>
            </w:tcBorders>
            <w:vAlign w:val="center"/>
          </w:tcPr>
          <w:p w14:paraId="6FE0D06C">
            <w:pPr>
              <w:spacing w:line="240" w:lineRule="auto"/>
              <w:jc w:val="center"/>
              <w:rPr>
                <w:sz w:val="21"/>
                <w:szCs w:val="21"/>
                <w:highlight w:val="yellow"/>
              </w:rPr>
            </w:pPr>
            <w:r>
              <w:rPr>
                <w:rFonts w:hint="eastAsia"/>
                <w:sz w:val="21"/>
                <w:szCs w:val="21"/>
              </w:rPr>
              <w:t>/</w:t>
            </w:r>
          </w:p>
        </w:tc>
        <w:tc>
          <w:tcPr>
            <w:tcW w:w="845" w:type="pct"/>
            <w:tcBorders>
              <w:top w:val="single" w:color="auto" w:sz="4" w:space="0"/>
              <w:left w:val="single" w:color="auto" w:sz="4" w:space="0"/>
              <w:bottom w:val="single" w:color="auto" w:sz="4" w:space="0"/>
              <w:right w:val="single" w:color="auto" w:sz="4" w:space="0"/>
            </w:tcBorders>
            <w:vAlign w:val="center"/>
          </w:tcPr>
          <w:p w14:paraId="1EA8A870">
            <w:pPr>
              <w:spacing w:line="240" w:lineRule="auto"/>
              <w:jc w:val="center"/>
              <w:rPr>
                <w:sz w:val="21"/>
                <w:szCs w:val="21"/>
              </w:rPr>
            </w:pPr>
            <w:r>
              <w:rPr>
                <w:rFonts w:hint="eastAsia"/>
                <w:sz w:val="21"/>
                <w:szCs w:val="21"/>
              </w:rPr>
              <w:t>COD</w:t>
            </w:r>
          </w:p>
        </w:tc>
      </w:tr>
      <w:tr w14:paraId="61264AC3">
        <w:tblPrEx>
          <w:tblCellMar>
            <w:top w:w="0" w:type="dxa"/>
            <w:left w:w="108" w:type="dxa"/>
            <w:bottom w:w="0" w:type="dxa"/>
            <w:right w:w="108" w:type="dxa"/>
          </w:tblCellMar>
        </w:tblPrEx>
        <w:trPr>
          <w:trHeight w:val="20" w:hRule="atLeast"/>
          <w:jc w:val="center"/>
        </w:trPr>
        <w:tc>
          <w:tcPr>
            <w:tcW w:w="614" w:type="pct"/>
            <w:tcBorders>
              <w:top w:val="single" w:color="auto" w:sz="4" w:space="0"/>
              <w:left w:val="single" w:color="auto" w:sz="4" w:space="0"/>
              <w:bottom w:val="single" w:color="auto" w:sz="4" w:space="0"/>
              <w:right w:val="single" w:color="auto" w:sz="4" w:space="0"/>
            </w:tcBorders>
            <w:vAlign w:val="center"/>
          </w:tcPr>
          <w:p w14:paraId="43C78F61">
            <w:pPr>
              <w:spacing w:line="240" w:lineRule="auto"/>
              <w:jc w:val="center"/>
              <w:rPr>
                <w:sz w:val="21"/>
                <w:szCs w:val="21"/>
              </w:rPr>
            </w:pPr>
            <w:r>
              <w:rPr>
                <w:sz w:val="21"/>
                <w:szCs w:val="21"/>
              </w:rPr>
              <w:t>地下水</w:t>
            </w:r>
          </w:p>
        </w:tc>
        <w:tc>
          <w:tcPr>
            <w:tcW w:w="2462" w:type="pct"/>
            <w:tcBorders>
              <w:top w:val="single" w:color="auto" w:sz="4" w:space="0"/>
              <w:left w:val="single" w:color="auto" w:sz="4" w:space="0"/>
              <w:bottom w:val="single" w:color="auto" w:sz="4" w:space="0"/>
              <w:right w:val="single" w:color="auto" w:sz="4" w:space="0"/>
            </w:tcBorders>
            <w:vAlign w:val="center"/>
          </w:tcPr>
          <w:p w14:paraId="59D44A89">
            <w:pPr>
              <w:spacing w:line="240" w:lineRule="auto"/>
              <w:jc w:val="center"/>
              <w:rPr>
                <w:sz w:val="21"/>
                <w:szCs w:val="21"/>
              </w:rPr>
            </w:pPr>
            <w:r>
              <w:rPr>
                <w:sz w:val="21"/>
                <w:szCs w:val="21"/>
              </w:rPr>
              <w:t>K</w:t>
            </w:r>
            <w:r>
              <w:rPr>
                <w:sz w:val="21"/>
                <w:szCs w:val="21"/>
                <w:vertAlign w:val="superscript"/>
              </w:rPr>
              <w:t>+</w:t>
            </w:r>
            <w:r>
              <w:rPr>
                <w:sz w:val="21"/>
                <w:szCs w:val="21"/>
              </w:rPr>
              <w:t>、Na</w:t>
            </w:r>
            <w:r>
              <w:rPr>
                <w:sz w:val="21"/>
                <w:szCs w:val="21"/>
                <w:vertAlign w:val="superscript"/>
              </w:rPr>
              <w:t>+</w:t>
            </w:r>
            <w:r>
              <w:rPr>
                <w:sz w:val="21"/>
                <w:szCs w:val="21"/>
              </w:rPr>
              <w:t>、Ca</w:t>
            </w:r>
            <w:r>
              <w:rPr>
                <w:sz w:val="21"/>
                <w:szCs w:val="21"/>
                <w:vertAlign w:val="superscript"/>
              </w:rPr>
              <w:t>2+</w:t>
            </w:r>
            <w:r>
              <w:rPr>
                <w:sz w:val="21"/>
                <w:szCs w:val="21"/>
              </w:rPr>
              <w:t>、Mg</w:t>
            </w:r>
            <w:r>
              <w:rPr>
                <w:sz w:val="21"/>
                <w:szCs w:val="21"/>
                <w:vertAlign w:val="superscript"/>
              </w:rPr>
              <w:t>2+</w:t>
            </w:r>
            <w:r>
              <w:rPr>
                <w:sz w:val="21"/>
                <w:szCs w:val="21"/>
              </w:rPr>
              <w:t>、CO</w:t>
            </w:r>
            <w:r>
              <w:rPr>
                <w:sz w:val="21"/>
                <w:szCs w:val="21"/>
                <w:vertAlign w:val="subscript"/>
              </w:rPr>
              <w:t>3</w:t>
            </w:r>
            <w:r>
              <w:rPr>
                <w:sz w:val="21"/>
                <w:szCs w:val="21"/>
                <w:vertAlign w:val="superscript"/>
              </w:rPr>
              <w:t>2-</w:t>
            </w:r>
            <w:r>
              <w:rPr>
                <w:sz w:val="21"/>
                <w:szCs w:val="21"/>
              </w:rPr>
              <w:t>、HCO</w:t>
            </w:r>
            <w:r>
              <w:rPr>
                <w:sz w:val="21"/>
                <w:szCs w:val="21"/>
                <w:vertAlign w:val="subscript"/>
              </w:rPr>
              <w:t>3</w:t>
            </w:r>
            <w:r>
              <w:rPr>
                <w:sz w:val="21"/>
                <w:szCs w:val="21"/>
                <w:vertAlign w:val="superscript"/>
              </w:rPr>
              <w:t>-</w:t>
            </w:r>
            <w:r>
              <w:rPr>
                <w:sz w:val="21"/>
                <w:szCs w:val="21"/>
              </w:rPr>
              <w:t>、SO</w:t>
            </w:r>
            <w:r>
              <w:rPr>
                <w:sz w:val="21"/>
                <w:szCs w:val="21"/>
                <w:vertAlign w:val="subscript"/>
              </w:rPr>
              <w:t>4</w:t>
            </w:r>
            <w:r>
              <w:rPr>
                <w:sz w:val="21"/>
                <w:szCs w:val="21"/>
                <w:vertAlign w:val="superscript"/>
              </w:rPr>
              <w:t>2-</w:t>
            </w:r>
            <w:r>
              <w:rPr>
                <w:sz w:val="21"/>
                <w:szCs w:val="21"/>
              </w:rPr>
              <w:t>、pH、氨氮、硝酸盐、亚硝酸盐、挥发性酚类、氰化物、砷、汞、铬(六价)、铅、氟化物、镉、铁、锰、溶解性总固体、耗氧量、硫酸盐、氯化物</w:t>
            </w:r>
            <w:r>
              <w:rPr>
                <w:rFonts w:hint="eastAsia"/>
                <w:sz w:val="21"/>
                <w:szCs w:val="21"/>
              </w:rPr>
              <w:t>和</w:t>
            </w:r>
            <w:r>
              <w:rPr>
                <w:sz w:val="21"/>
                <w:szCs w:val="21"/>
              </w:rPr>
              <w:t>地下水位</w:t>
            </w:r>
          </w:p>
        </w:tc>
        <w:tc>
          <w:tcPr>
            <w:tcW w:w="1079" w:type="pct"/>
            <w:tcBorders>
              <w:top w:val="single" w:color="auto" w:sz="4" w:space="0"/>
              <w:left w:val="single" w:color="auto" w:sz="4" w:space="0"/>
              <w:bottom w:val="single" w:color="auto" w:sz="4" w:space="0"/>
              <w:right w:val="single" w:color="auto" w:sz="4" w:space="0"/>
            </w:tcBorders>
            <w:vAlign w:val="center"/>
          </w:tcPr>
          <w:p w14:paraId="403C62DB">
            <w:pPr>
              <w:spacing w:line="240" w:lineRule="auto"/>
              <w:jc w:val="center"/>
              <w:rPr>
                <w:sz w:val="21"/>
                <w:szCs w:val="21"/>
              </w:rPr>
            </w:pPr>
            <w:r>
              <w:rPr>
                <w:rFonts w:hint="eastAsia"/>
                <w:sz w:val="21"/>
                <w:szCs w:val="21"/>
              </w:rPr>
              <w:t>耗氧量、</w:t>
            </w:r>
            <w:r>
              <w:rPr>
                <w:sz w:val="21"/>
                <w:szCs w:val="21"/>
              </w:rPr>
              <w:t>挥发性酚类</w:t>
            </w:r>
          </w:p>
        </w:tc>
        <w:tc>
          <w:tcPr>
            <w:tcW w:w="845" w:type="pct"/>
            <w:tcBorders>
              <w:top w:val="single" w:color="auto" w:sz="4" w:space="0"/>
              <w:left w:val="single" w:color="auto" w:sz="4" w:space="0"/>
              <w:bottom w:val="single" w:color="auto" w:sz="4" w:space="0"/>
              <w:right w:val="single" w:color="auto" w:sz="4" w:space="0"/>
            </w:tcBorders>
            <w:vAlign w:val="center"/>
          </w:tcPr>
          <w:p w14:paraId="67A9336A">
            <w:pPr>
              <w:spacing w:line="240" w:lineRule="auto"/>
              <w:jc w:val="center"/>
              <w:rPr>
                <w:sz w:val="21"/>
                <w:szCs w:val="21"/>
              </w:rPr>
            </w:pPr>
            <w:r>
              <w:rPr>
                <w:sz w:val="21"/>
                <w:szCs w:val="21"/>
              </w:rPr>
              <w:t>/</w:t>
            </w:r>
          </w:p>
        </w:tc>
      </w:tr>
      <w:tr w14:paraId="464A6A02">
        <w:tblPrEx>
          <w:tblCellMar>
            <w:top w:w="0" w:type="dxa"/>
            <w:left w:w="108" w:type="dxa"/>
            <w:bottom w:w="0" w:type="dxa"/>
            <w:right w:w="108" w:type="dxa"/>
          </w:tblCellMar>
        </w:tblPrEx>
        <w:trPr>
          <w:trHeight w:val="20" w:hRule="atLeast"/>
          <w:jc w:val="center"/>
        </w:trPr>
        <w:tc>
          <w:tcPr>
            <w:tcW w:w="614" w:type="pct"/>
            <w:tcBorders>
              <w:top w:val="single" w:color="auto" w:sz="4" w:space="0"/>
              <w:left w:val="single" w:color="auto" w:sz="4" w:space="0"/>
              <w:bottom w:val="single" w:color="auto" w:sz="4" w:space="0"/>
              <w:right w:val="single" w:color="auto" w:sz="4" w:space="0"/>
            </w:tcBorders>
            <w:vAlign w:val="center"/>
          </w:tcPr>
          <w:p w14:paraId="150F1234">
            <w:pPr>
              <w:spacing w:line="240" w:lineRule="auto"/>
              <w:jc w:val="center"/>
              <w:rPr>
                <w:sz w:val="21"/>
                <w:szCs w:val="21"/>
              </w:rPr>
            </w:pPr>
            <w:r>
              <w:rPr>
                <w:sz w:val="21"/>
                <w:szCs w:val="21"/>
              </w:rPr>
              <w:t>土壤</w:t>
            </w:r>
          </w:p>
        </w:tc>
        <w:tc>
          <w:tcPr>
            <w:tcW w:w="2462" w:type="pct"/>
            <w:tcBorders>
              <w:top w:val="single" w:color="auto" w:sz="4" w:space="0"/>
              <w:left w:val="single" w:color="auto" w:sz="4" w:space="0"/>
              <w:bottom w:val="single" w:color="auto" w:sz="4" w:space="0"/>
              <w:right w:val="single" w:color="auto" w:sz="4" w:space="0"/>
            </w:tcBorders>
            <w:vAlign w:val="center"/>
          </w:tcPr>
          <w:p w14:paraId="7E3A15ED">
            <w:pPr>
              <w:spacing w:line="240" w:lineRule="auto"/>
              <w:jc w:val="center"/>
              <w:rPr>
                <w:sz w:val="21"/>
                <w:szCs w:val="21"/>
              </w:rPr>
            </w:pPr>
            <w:r>
              <w:rPr>
                <w:sz w:val="21"/>
                <w:szCs w:val="21"/>
              </w:rPr>
              <w:t>pH、铅、镉、汞、砷、镍、铬(六价)、铜、四氯化碳、氯仿、氯甲烷、1，1-二氯乙烷、1，2-二氯乙烷、1，1-二氯乙烯、顺-1，2二氯乙烯、反-1，2-二氯乙烯、二氯甲烷、1，2-二氯丙烷、1，1，1，2-四氯乙烷、1，1，2，2-四氯乙烷、四氯乙烯、1，1，1-三氯乙烷、1，1，2-三氯乙烷、三氯乙烯、1，2，3-三氯丙烷、氯乙烯、苯、氯苯、1，2-二氯苯、1，4-二氯苯、乙苯、苯乙烯、甲苯、间二甲苯+对二甲苯、邻二甲苯、硝基苯、苯胺、二氯酚、苯并[a]蒽、苯并[a]芘、苯并[b]荧蒽、苯并[k]荧蒽、䓛、二苯并[a，h]蒽、茚并[1，2，3-cd]芘、萘</w:t>
            </w:r>
          </w:p>
        </w:tc>
        <w:tc>
          <w:tcPr>
            <w:tcW w:w="1079" w:type="pct"/>
            <w:tcBorders>
              <w:top w:val="single" w:color="auto" w:sz="4" w:space="0"/>
              <w:left w:val="single" w:color="auto" w:sz="4" w:space="0"/>
              <w:bottom w:val="single" w:color="auto" w:sz="4" w:space="0"/>
              <w:right w:val="single" w:color="auto" w:sz="4" w:space="0"/>
            </w:tcBorders>
            <w:vAlign w:val="center"/>
          </w:tcPr>
          <w:p w14:paraId="1568186A">
            <w:pPr>
              <w:spacing w:line="240" w:lineRule="auto"/>
              <w:jc w:val="center"/>
              <w:rPr>
                <w:sz w:val="21"/>
                <w:szCs w:val="21"/>
              </w:rPr>
            </w:pPr>
            <w:r>
              <w:rPr>
                <w:rFonts w:hint="eastAsia"/>
                <w:sz w:val="21"/>
                <w:szCs w:val="21"/>
              </w:rPr>
              <w:t>非甲烷总烃、酚类</w:t>
            </w:r>
          </w:p>
        </w:tc>
        <w:tc>
          <w:tcPr>
            <w:tcW w:w="845" w:type="pct"/>
            <w:tcBorders>
              <w:top w:val="single" w:color="auto" w:sz="4" w:space="0"/>
              <w:left w:val="single" w:color="auto" w:sz="4" w:space="0"/>
              <w:bottom w:val="single" w:color="auto" w:sz="4" w:space="0"/>
              <w:right w:val="single" w:color="auto" w:sz="4" w:space="0"/>
            </w:tcBorders>
            <w:vAlign w:val="center"/>
          </w:tcPr>
          <w:p w14:paraId="557D62F6">
            <w:pPr>
              <w:spacing w:line="240" w:lineRule="auto"/>
              <w:jc w:val="center"/>
              <w:rPr>
                <w:sz w:val="21"/>
                <w:szCs w:val="21"/>
              </w:rPr>
            </w:pPr>
            <w:r>
              <w:rPr>
                <w:sz w:val="21"/>
                <w:szCs w:val="21"/>
              </w:rPr>
              <w:t>/</w:t>
            </w:r>
          </w:p>
        </w:tc>
      </w:tr>
      <w:tr w14:paraId="470A9141">
        <w:tblPrEx>
          <w:tblCellMar>
            <w:top w:w="0" w:type="dxa"/>
            <w:left w:w="108" w:type="dxa"/>
            <w:bottom w:w="0" w:type="dxa"/>
            <w:right w:w="108" w:type="dxa"/>
          </w:tblCellMar>
        </w:tblPrEx>
        <w:trPr>
          <w:trHeight w:val="20" w:hRule="atLeast"/>
          <w:jc w:val="center"/>
        </w:trPr>
        <w:tc>
          <w:tcPr>
            <w:tcW w:w="614" w:type="pct"/>
            <w:tcBorders>
              <w:top w:val="single" w:color="auto" w:sz="4" w:space="0"/>
              <w:left w:val="single" w:color="auto" w:sz="4" w:space="0"/>
              <w:bottom w:val="single" w:color="auto" w:sz="4" w:space="0"/>
              <w:right w:val="single" w:color="auto" w:sz="4" w:space="0"/>
            </w:tcBorders>
            <w:vAlign w:val="center"/>
          </w:tcPr>
          <w:p w14:paraId="2FD1A51F">
            <w:pPr>
              <w:spacing w:line="240" w:lineRule="auto"/>
              <w:jc w:val="center"/>
              <w:rPr>
                <w:sz w:val="21"/>
                <w:szCs w:val="21"/>
              </w:rPr>
            </w:pPr>
            <w:r>
              <w:rPr>
                <w:sz w:val="21"/>
                <w:szCs w:val="21"/>
              </w:rPr>
              <w:t>声</w:t>
            </w:r>
          </w:p>
        </w:tc>
        <w:tc>
          <w:tcPr>
            <w:tcW w:w="2462" w:type="pct"/>
            <w:tcBorders>
              <w:top w:val="single" w:color="auto" w:sz="4" w:space="0"/>
              <w:left w:val="single" w:color="auto" w:sz="4" w:space="0"/>
              <w:bottom w:val="single" w:color="auto" w:sz="4" w:space="0"/>
              <w:right w:val="single" w:color="auto" w:sz="4" w:space="0"/>
            </w:tcBorders>
            <w:vAlign w:val="center"/>
          </w:tcPr>
          <w:p w14:paraId="18B85A4D">
            <w:pPr>
              <w:spacing w:line="240" w:lineRule="auto"/>
              <w:jc w:val="center"/>
              <w:rPr>
                <w:sz w:val="21"/>
                <w:szCs w:val="21"/>
              </w:rPr>
            </w:pPr>
            <w:r>
              <w:rPr>
                <w:sz w:val="21"/>
                <w:szCs w:val="21"/>
              </w:rPr>
              <w:t>等效连续A声级</w:t>
            </w:r>
          </w:p>
        </w:tc>
        <w:tc>
          <w:tcPr>
            <w:tcW w:w="1079" w:type="pct"/>
            <w:tcBorders>
              <w:top w:val="single" w:color="auto" w:sz="4" w:space="0"/>
              <w:left w:val="single" w:color="auto" w:sz="4" w:space="0"/>
              <w:bottom w:val="single" w:color="auto" w:sz="4" w:space="0"/>
              <w:right w:val="single" w:color="auto" w:sz="4" w:space="0"/>
            </w:tcBorders>
            <w:vAlign w:val="center"/>
          </w:tcPr>
          <w:p w14:paraId="736CECC0">
            <w:pPr>
              <w:spacing w:line="240" w:lineRule="auto"/>
              <w:jc w:val="center"/>
              <w:rPr>
                <w:sz w:val="21"/>
                <w:szCs w:val="21"/>
              </w:rPr>
            </w:pPr>
            <w:r>
              <w:rPr>
                <w:sz w:val="21"/>
                <w:szCs w:val="21"/>
              </w:rPr>
              <w:t>等效连续A声级</w:t>
            </w:r>
          </w:p>
        </w:tc>
        <w:tc>
          <w:tcPr>
            <w:tcW w:w="845" w:type="pct"/>
            <w:tcBorders>
              <w:top w:val="single" w:color="auto" w:sz="4" w:space="0"/>
              <w:left w:val="single" w:color="auto" w:sz="4" w:space="0"/>
              <w:bottom w:val="single" w:color="auto" w:sz="4" w:space="0"/>
              <w:right w:val="single" w:color="auto" w:sz="4" w:space="0"/>
            </w:tcBorders>
            <w:vAlign w:val="center"/>
          </w:tcPr>
          <w:p w14:paraId="34C3651B">
            <w:pPr>
              <w:spacing w:line="240" w:lineRule="auto"/>
              <w:jc w:val="center"/>
              <w:rPr>
                <w:sz w:val="21"/>
                <w:szCs w:val="21"/>
              </w:rPr>
            </w:pPr>
            <w:r>
              <w:rPr>
                <w:sz w:val="21"/>
                <w:szCs w:val="21"/>
              </w:rPr>
              <w:t>/</w:t>
            </w:r>
          </w:p>
        </w:tc>
      </w:tr>
      <w:tr w14:paraId="0522ED51">
        <w:tblPrEx>
          <w:tblCellMar>
            <w:top w:w="0" w:type="dxa"/>
            <w:left w:w="108" w:type="dxa"/>
            <w:bottom w:w="0" w:type="dxa"/>
            <w:right w:w="108" w:type="dxa"/>
          </w:tblCellMar>
        </w:tblPrEx>
        <w:trPr>
          <w:trHeight w:val="20" w:hRule="atLeast"/>
          <w:jc w:val="center"/>
        </w:trPr>
        <w:tc>
          <w:tcPr>
            <w:tcW w:w="614" w:type="pct"/>
            <w:tcBorders>
              <w:top w:val="single" w:color="auto" w:sz="4" w:space="0"/>
              <w:left w:val="single" w:color="auto" w:sz="4" w:space="0"/>
              <w:bottom w:val="single" w:color="auto" w:sz="4" w:space="0"/>
              <w:right w:val="single" w:color="auto" w:sz="4" w:space="0"/>
            </w:tcBorders>
            <w:vAlign w:val="center"/>
          </w:tcPr>
          <w:p w14:paraId="7B733949">
            <w:pPr>
              <w:spacing w:line="240" w:lineRule="auto"/>
              <w:jc w:val="center"/>
              <w:rPr>
                <w:sz w:val="21"/>
                <w:szCs w:val="21"/>
              </w:rPr>
            </w:pPr>
            <w:r>
              <w:rPr>
                <w:sz w:val="21"/>
                <w:szCs w:val="21"/>
              </w:rPr>
              <w:t>固体废物</w:t>
            </w:r>
          </w:p>
        </w:tc>
        <w:tc>
          <w:tcPr>
            <w:tcW w:w="2462" w:type="pct"/>
            <w:tcBorders>
              <w:top w:val="single" w:color="auto" w:sz="4" w:space="0"/>
              <w:left w:val="single" w:color="auto" w:sz="4" w:space="0"/>
              <w:bottom w:val="single" w:color="auto" w:sz="4" w:space="0"/>
              <w:right w:val="single" w:color="auto" w:sz="4" w:space="0"/>
            </w:tcBorders>
            <w:vAlign w:val="center"/>
          </w:tcPr>
          <w:p w14:paraId="0E699B16">
            <w:pPr>
              <w:spacing w:line="240" w:lineRule="auto"/>
              <w:jc w:val="center"/>
              <w:rPr>
                <w:sz w:val="21"/>
                <w:szCs w:val="21"/>
              </w:rPr>
            </w:pPr>
            <w:r>
              <w:rPr>
                <w:sz w:val="21"/>
                <w:szCs w:val="21"/>
              </w:rPr>
              <w:t>/</w:t>
            </w:r>
          </w:p>
        </w:tc>
        <w:tc>
          <w:tcPr>
            <w:tcW w:w="1079" w:type="pct"/>
            <w:tcBorders>
              <w:top w:val="single" w:color="auto" w:sz="4" w:space="0"/>
              <w:left w:val="single" w:color="auto" w:sz="4" w:space="0"/>
              <w:bottom w:val="single" w:color="auto" w:sz="4" w:space="0"/>
              <w:right w:val="single" w:color="auto" w:sz="4" w:space="0"/>
            </w:tcBorders>
            <w:vAlign w:val="center"/>
          </w:tcPr>
          <w:p w14:paraId="046F4E52">
            <w:pPr>
              <w:spacing w:line="240" w:lineRule="auto"/>
              <w:jc w:val="center"/>
              <w:rPr>
                <w:sz w:val="21"/>
                <w:szCs w:val="21"/>
              </w:rPr>
            </w:pPr>
            <w:r>
              <w:rPr>
                <w:sz w:val="21"/>
                <w:szCs w:val="21"/>
              </w:rPr>
              <w:t>固体废物排放量</w:t>
            </w:r>
          </w:p>
        </w:tc>
        <w:tc>
          <w:tcPr>
            <w:tcW w:w="845" w:type="pct"/>
            <w:tcBorders>
              <w:top w:val="single" w:color="auto" w:sz="4" w:space="0"/>
              <w:left w:val="single" w:color="auto" w:sz="4" w:space="0"/>
              <w:bottom w:val="single" w:color="auto" w:sz="4" w:space="0"/>
              <w:right w:val="single" w:color="auto" w:sz="4" w:space="0"/>
            </w:tcBorders>
            <w:vAlign w:val="center"/>
          </w:tcPr>
          <w:p w14:paraId="3D1C6386">
            <w:pPr>
              <w:spacing w:line="240" w:lineRule="auto"/>
              <w:jc w:val="center"/>
              <w:rPr>
                <w:sz w:val="21"/>
                <w:szCs w:val="21"/>
              </w:rPr>
            </w:pPr>
            <w:r>
              <w:rPr>
                <w:sz w:val="21"/>
                <w:szCs w:val="21"/>
              </w:rPr>
              <w:t>/</w:t>
            </w:r>
          </w:p>
        </w:tc>
      </w:tr>
    </w:tbl>
    <w:p w14:paraId="27F6E38A">
      <w:pPr>
        <w:rPr>
          <w:rFonts w:cs="Times New Roman"/>
          <w:spacing w:val="-3"/>
        </w:rPr>
      </w:pPr>
    </w:p>
    <w:p w14:paraId="4583F7EE">
      <w:pPr>
        <w:pStyle w:val="3"/>
        <w:spacing w:before="326"/>
        <w:rPr>
          <w:rFonts w:hint="eastAsia"/>
        </w:rPr>
      </w:pPr>
      <w:bookmarkStart w:id="26" w:name="_Toc221056324"/>
      <w:r>
        <w:rPr>
          <w:rFonts w:hint="eastAsia"/>
        </w:rPr>
        <w:t>2.4评价工作等级和评价范围</w:t>
      </w:r>
      <w:bookmarkEnd w:id="26"/>
    </w:p>
    <w:p w14:paraId="72CB3448">
      <w:pPr>
        <w:pStyle w:val="4"/>
        <w:rPr>
          <w:rFonts w:hint="eastAsia"/>
        </w:rPr>
      </w:pPr>
      <w:bookmarkStart w:id="27" w:name="_Toc221056325"/>
      <w:r>
        <w:rPr>
          <w:rFonts w:hint="eastAsia"/>
        </w:rPr>
        <w:t>2.4.1评价工作等级</w:t>
      </w:r>
      <w:bookmarkEnd w:id="27"/>
    </w:p>
    <w:p w14:paraId="78A1B1A7">
      <w:pPr>
        <w:ind w:firstLine="484" w:firstLineChars="202"/>
      </w:pPr>
      <w:r>
        <w:rPr>
          <w:rFonts w:hint="eastAsia"/>
        </w:rPr>
        <w:t>(1)大气评价等级</w:t>
      </w:r>
    </w:p>
    <w:p w14:paraId="6E294B7A">
      <w:pPr>
        <w:ind w:firstLine="480" w:firstLineChars="200"/>
      </w:pPr>
      <w:r>
        <w:t>按照《环境影响评价技术导则 大气环境》(HJ2.2-2018)，根据项目污染源调查结果，分别计算项目排放主要污染物的最大地面空气质量浓度占标率P</w:t>
      </w:r>
      <w:r>
        <w:rPr>
          <w:vertAlign w:val="subscript"/>
        </w:rPr>
        <w:t>i</w:t>
      </w:r>
      <w:r>
        <w:t>(第i个污染物，简称“最大浓度占标率”)，及第i个污染物的地面空气质量浓度达到标准值的10%时所对应的最远距离D</w:t>
      </w:r>
      <w:r>
        <w:rPr>
          <w:vertAlign w:val="subscript"/>
        </w:rPr>
        <w:t>10%</w:t>
      </w:r>
      <w:r>
        <w:t>，其中P</w:t>
      </w:r>
      <w:r>
        <w:rPr>
          <w:vertAlign w:val="subscript"/>
        </w:rPr>
        <w:t>i</w:t>
      </w:r>
      <w:r>
        <w:t>定义为：</w:t>
      </w:r>
    </w:p>
    <w:p w14:paraId="4141723E">
      <w:pPr>
        <w:jc w:val="center"/>
        <w:rPr>
          <w:bCs/>
        </w:rPr>
      </w:pPr>
      <w:r>
        <w:rPr>
          <w:bCs/>
        </w:rPr>
        <w:t>P</w:t>
      </w:r>
      <w:r>
        <w:rPr>
          <w:bCs/>
          <w:vertAlign w:val="subscript"/>
        </w:rPr>
        <w:t>i</w:t>
      </w:r>
      <w:r>
        <w:rPr>
          <w:bCs/>
        </w:rPr>
        <w:t>＝(C</w:t>
      </w:r>
      <w:r>
        <w:rPr>
          <w:bCs/>
          <w:vertAlign w:val="subscript"/>
        </w:rPr>
        <w:t>i</w:t>
      </w:r>
      <w:r>
        <w:rPr>
          <w:bCs/>
        </w:rPr>
        <w:t>/C</w:t>
      </w:r>
      <w:r>
        <w:rPr>
          <w:bCs/>
          <w:vertAlign w:val="subscript"/>
        </w:rPr>
        <w:t>0i</w:t>
      </w:r>
      <w:r>
        <w:rPr>
          <w:bCs/>
        </w:rPr>
        <w:t>)×100%</w:t>
      </w:r>
    </w:p>
    <w:p w14:paraId="06C89629">
      <w:pPr>
        <w:ind w:firstLine="480" w:firstLineChars="200"/>
      </w:pPr>
      <w:r>
        <w:t>式中：</w:t>
      </w:r>
      <w:r>
        <w:rPr>
          <w:bCs/>
          <w:i/>
        </w:rPr>
        <w:t>P</w:t>
      </w:r>
      <w:r>
        <w:rPr>
          <w:bCs/>
          <w:i/>
          <w:vertAlign w:val="subscript"/>
        </w:rPr>
        <w:t>i</w:t>
      </w:r>
      <w:r>
        <w:rPr>
          <w:bCs/>
        </w:rPr>
        <w:t>-第i个污染物的最大地面空气质量浓度占标率，%；</w:t>
      </w:r>
    </w:p>
    <w:p w14:paraId="58354A02">
      <w:pPr>
        <w:ind w:firstLine="1200" w:firstLineChars="500"/>
        <w:rPr>
          <w:bCs/>
        </w:rPr>
      </w:pPr>
      <w:r>
        <w:rPr>
          <w:bCs/>
          <w:i/>
        </w:rPr>
        <w:t>C</w:t>
      </w:r>
      <w:r>
        <w:rPr>
          <w:bCs/>
          <w:i/>
          <w:vertAlign w:val="subscript"/>
        </w:rPr>
        <w:t>i</w:t>
      </w:r>
      <w:r>
        <w:rPr>
          <w:bCs/>
        </w:rPr>
        <w:t>-采用估算模式计算出的第i个污染物的最大1h地面空气质量浓度，mg/m</w:t>
      </w:r>
      <w:r>
        <w:rPr>
          <w:bCs/>
          <w:vertAlign w:val="superscript"/>
        </w:rPr>
        <w:t>3</w:t>
      </w:r>
      <w:r>
        <w:rPr>
          <w:bCs/>
        </w:rPr>
        <w:t>；</w:t>
      </w:r>
    </w:p>
    <w:p w14:paraId="0F650187">
      <w:pPr>
        <w:ind w:firstLine="1200" w:firstLineChars="500"/>
      </w:pPr>
      <w:r>
        <w:rPr>
          <w:bCs/>
          <w:i/>
        </w:rPr>
        <w:t>C</w:t>
      </w:r>
      <w:r>
        <w:rPr>
          <w:bCs/>
          <w:i/>
          <w:vertAlign w:val="subscript"/>
        </w:rPr>
        <w:t>0i</w:t>
      </w:r>
      <w:r>
        <w:rPr>
          <w:bCs/>
        </w:rPr>
        <w:t>-</w:t>
      </w:r>
      <w:r>
        <w:t>第i个污染物的环境空气质量浓度标准，mg/m</w:t>
      </w:r>
      <w:r>
        <w:rPr>
          <w:vertAlign w:val="superscript"/>
        </w:rPr>
        <w:t>3</w:t>
      </w:r>
      <w:r>
        <w:t>。</w:t>
      </w:r>
    </w:p>
    <w:p w14:paraId="30F84081">
      <w:pPr>
        <w:ind w:firstLine="480" w:firstLineChars="200"/>
      </w:pPr>
      <w:r>
        <w:t>一般选用GB3095中1h平均质量浓度的二级浓度限值，如项目位于一类环境空气功能区，应选择相应的一级浓度限值；对该标准中未包含的污染物，使用5.2确定的各评价因子1h平均质量浓度限值。对仅有8h平均质量浓度限值、日平均质量浓度限值或年平均质量浓度限值的，可分别按2倍、3倍、6倍折算为1h平均质量浓度限值。</w:t>
      </w:r>
    </w:p>
    <w:p w14:paraId="3ECF7200">
      <w:pPr>
        <w:adjustRightInd w:val="0"/>
        <w:snapToGrid w:val="0"/>
        <w:ind w:firstLine="480" w:firstLineChars="200"/>
      </w:pPr>
      <w:r>
        <w:rPr>
          <w:rFonts w:hint="eastAsia"/>
        </w:rPr>
        <w:t>评价分级判据见下表。</w:t>
      </w:r>
    </w:p>
    <w:p w14:paraId="37553B5F">
      <w:pPr>
        <w:pStyle w:val="28"/>
        <w:rPr>
          <w:rFonts w:hint="eastAsia"/>
        </w:rPr>
      </w:pPr>
      <w:r>
        <w:rPr>
          <w:rFonts w:hint="eastAsia"/>
        </w:rPr>
        <w:t>表2.4-1  大气评价工作等级判别表</w:t>
      </w:r>
    </w:p>
    <w:tbl>
      <w:tblPr>
        <w:tblStyle w:val="36"/>
        <w:tblW w:w="5000"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2587"/>
        <w:gridCol w:w="6699"/>
      </w:tblGrid>
      <w:tr w14:paraId="115D1FE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1393" w:type="pct"/>
            <w:tcBorders>
              <w:top w:val="single" w:color="auto" w:sz="2" w:space="0"/>
              <w:left w:val="single" w:color="auto" w:sz="2" w:space="0"/>
              <w:bottom w:val="single" w:color="auto" w:sz="2" w:space="0"/>
              <w:right w:val="single" w:color="auto" w:sz="2" w:space="0"/>
            </w:tcBorders>
            <w:vAlign w:val="center"/>
          </w:tcPr>
          <w:p w14:paraId="5BD38F64">
            <w:pPr>
              <w:pStyle w:val="64"/>
            </w:pPr>
            <w:r>
              <w:rPr>
                <w:rFonts w:hint="eastAsia"/>
              </w:rPr>
              <w:t>评价工作等级</w:t>
            </w:r>
          </w:p>
        </w:tc>
        <w:tc>
          <w:tcPr>
            <w:tcW w:w="3607" w:type="pct"/>
            <w:tcBorders>
              <w:top w:val="single" w:color="auto" w:sz="2" w:space="0"/>
              <w:left w:val="single" w:color="auto" w:sz="2" w:space="0"/>
              <w:bottom w:val="single" w:color="auto" w:sz="2" w:space="0"/>
              <w:right w:val="single" w:color="auto" w:sz="2" w:space="0"/>
            </w:tcBorders>
            <w:vAlign w:val="center"/>
          </w:tcPr>
          <w:p w14:paraId="5E30CE09">
            <w:pPr>
              <w:pStyle w:val="64"/>
            </w:pPr>
            <w:r>
              <w:rPr>
                <w:rFonts w:hint="eastAsia"/>
              </w:rPr>
              <w:t>评价工作分级判据</w:t>
            </w:r>
          </w:p>
        </w:tc>
      </w:tr>
      <w:tr w14:paraId="18CF86C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1393" w:type="pct"/>
            <w:tcBorders>
              <w:top w:val="single" w:color="auto" w:sz="2" w:space="0"/>
              <w:left w:val="single" w:color="auto" w:sz="2" w:space="0"/>
              <w:bottom w:val="single" w:color="auto" w:sz="2" w:space="0"/>
              <w:right w:val="single" w:color="auto" w:sz="2" w:space="0"/>
            </w:tcBorders>
            <w:vAlign w:val="center"/>
          </w:tcPr>
          <w:p w14:paraId="3C9D2187">
            <w:pPr>
              <w:pStyle w:val="64"/>
            </w:pPr>
            <w:r>
              <w:rPr>
                <w:rFonts w:hint="eastAsia"/>
              </w:rPr>
              <w:t>一级</w:t>
            </w:r>
          </w:p>
        </w:tc>
        <w:tc>
          <w:tcPr>
            <w:tcW w:w="3607" w:type="pct"/>
            <w:tcBorders>
              <w:top w:val="single" w:color="auto" w:sz="2" w:space="0"/>
              <w:left w:val="single" w:color="auto" w:sz="2" w:space="0"/>
              <w:bottom w:val="single" w:color="auto" w:sz="2" w:space="0"/>
              <w:right w:val="single" w:color="auto" w:sz="2" w:space="0"/>
            </w:tcBorders>
            <w:vAlign w:val="center"/>
          </w:tcPr>
          <w:p w14:paraId="731C1E9E">
            <w:pPr>
              <w:pStyle w:val="64"/>
            </w:pPr>
            <w:r>
              <w:t>P</w:t>
            </w:r>
            <w:r>
              <w:rPr>
                <w:vertAlign w:val="subscript"/>
              </w:rPr>
              <w:t>max</w:t>
            </w:r>
            <w:r>
              <w:t>≥10%</w:t>
            </w:r>
          </w:p>
        </w:tc>
      </w:tr>
      <w:tr w14:paraId="297FDB1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1393" w:type="pct"/>
            <w:tcBorders>
              <w:top w:val="single" w:color="auto" w:sz="2" w:space="0"/>
              <w:left w:val="single" w:color="auto" w:sz="2" w:space="0"/>
              <w:bottom w:val="single" w:color="auto" w:sz="2" w:space="0"/>
              <w:right w:val="single" w:color="auto" w:sz="2" w:space="0"/>
            </w:tcBorders>
            <w:vAlign w:val="center"/>
          </w:tcPr>
          <w:p w14:paraId="6C72C2BB">
            <w:pPr>
              <w:pStyle w:val="64"/>
            </w:pPr>
            <w:r>
              <w:rPr>
                <w:rFonts w:hint="eastAsia"/>
              </w:rPr>
              <w:t>二级</w:t>
            </w:r>
          </w:p>
        </w:tc>
        <w:tc>
          <w:tcPr>
            <w:tcW w:w="3607" w:type="pct"/>
            <w:tcBorders>
              <w:top w:val="single" w:color="auto" w:sz="2" w:space="0"/>
              <w:left w:val="single" w:color="auto" w:sz="2" w:space="0"/>
              <w:bottom w:val="single" w:color="auto" w:sz="2" w:space="0"/>
              <w:right w:val="single" w:color="auto" w:sz="2" w:space="0"/>
            </w:tcBorders>
            <w:vAlign w:val="center"/>
          </w:tcPr>
          <w:p w14:paraId="09A5677D">
            <w:pPr>
              <w:pStyle w:val="64"/>
            </w:pPr>
            <w:r>
              <w:t>1%</w:t>
            </w:r>
            <w:r>
              <w:rPr>
                <w:rFonts w:hint="eastAsia" w:ascii="宋体" w:hAnsi="宋体" w:cs="宋体"/>
              </w:rPr>
              <w:t>≦</w:t>
            </w:r>
            <w:r>
              <w:t>P</w:t>
            </w:r>
            <w:r>
              <w:rPr>
                <w:vertAlign w:val="subscript"/>
              </w:rPr>
              <w:t>max</w:t>
            </w:r>
            <w:r>
              <w:t>&lt;10%</w:t>
            </w:r>
          </w:p>
        </w:tc>
      </w:tr>
      <w:tr w14:paraId="76C3D84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1393" w:type="pct"/>
            <w:tcBorders>
              <w:top w:val="single" w:color="auto" w:sz="2" w:space="0"/>
              <w:left w:val="single" w:color="auto" w:sz="2" w:space="0"/>
              <w:bottom w:val="single" w:color="auto" w:sz="2" w:space="0"/>
              <w:right w:val="single" w:color="auto" w:sz="2" w:space="0"/>
            </w:tcBorders>
            <w:vAlign w:val="center"/>
          </w:tcPr>
          <w:p w14:paraId="2904A912">
            <w:pPr>
              <w:pStyle w:val="64"/>
            </w:pPr>
            <w:r>
              <w:rPr>
                <w:rFonts w:hint="eastAsia"/>
              </w:rPr>
              <w:t>三级</w:t>
            </w:r>
          </w:p>
        </w:tc>
        <w:tc>
          <w:tcPr>
            <w:tcW w:w="3607" w:type="pct"/>
            <w:tcBorders>
              <w:top w:val="single" w:color="auto" w:sz="2" w:space="0"/>
              <w:left w:val="single" w:color="auto" w:sz="2" w:space="0"/>
              <w:bottom w:val="single" w:color="auto" w:sz="2" w:space="0"/>
              <w:right w:val="single" w:color="auto" w:sz="2" w:space="0"/>
            </w:tcBorders>
            <w:vAlign w:val="center"/>
          </w:tcPr>
          <w:p w14:paraId="32D6D55B">
            <w:pPr>
              <w:pStyle w:val="64"/>
            </w:pPr>
            <w:r>
              <w:t>P</w:t>
            </w:r>
            <w:r>
              <w:rPr>
                <w:vertAlign w:val="subscript"/>
              </w:rPr>
              <w:t>max</w:t>
            </w:r>
            <w:r>
              <w:t>&lt;1%</w:t>
            </w:r>
          </w:p>
        </w:tc>
      </w:tr>
    </w:tbl>
    <w:p w14:paraId="524CFBED">
      <w:pPr>
        <w:rPr>
          <w:rFonts w:cs="Times New Roman"/>
          <w:spacing w:val="-3"/>
        </w:rPr>
      </w:pPr>
    </w:p>
    <w:p w14:paraId="6E698EBC">
      <w:pPr>
        <w:ind w:firstLine="480" w:firstLineChars="200"/>
      </w:pPr>
      <w:r>
        <w:rPr>
          <w:rFonts w:hint="eastAsia"/>
        </w:rPr>
        <w:t>同一个项目有多个污染源</w:t>
      </w:r>
      <w:r>
        <w:t>(</w:t>
      </w:r>
      <w:r>
        <w:rPr>
          <w:rFonts w:hint="eastAsia"/>
        </w:rPr>
        <w:t>两个及以上</w:t>
      </w:r>
      <w:r>
        <w:t>)</w:t>
      </w:r>
      <w:r>
        <w:rPr>
          <w:rFonts w:hint="eastAsia"/>
        </w:rPr>
        <w:t>时，则按各污染源分别确定评价等级，并取评价等级最高者作为项目的评价等级。</w:t>
      </w:r>
    </w:p>
    <w:p w14:paraId="6295A1C1">
      <w:pPr>
        <w:ind w:firstLine="480" w:firstLineChars="200"/>
      </w:pPr>
      <w:r>
        <w:rPr>
          <w:rFonts w:hAnsi="宋体"/>
        </w:rPr>
        <w:t>②</w:t>
      </w:r>
      <w:r>
        <w:t>项目大气环境评价等级判断参数</w:t>
      </w:r>
    </w:p>
    <w:p w14:paraId="216B52D7">
      <w:pPr>
        <w:ind w:firstLine="480" w:firstLineChars="200"/>
      </w:pPr>
      <w:r>
        <w:t>项目估算模型参数选取见表</w:t>
      </w:r>
      <w:r>
        <w:rPr>
          <w:rFonts w:hint="eastAsia"/>
        </w:rPr>
        <w:t>2</w:t>
      </w:r>
      <w:r>
        <w:t>.4-2，主要大气污染源估算模型计算结果见表</w:t>
      </w:r>
      <w:r>
        <w:rPr>
          <w:rFonts w:hint="eastAsia"/>
        </w:rPr>
        <w:t>2</w:t>
      </w:r>
      <w:r>
        <w:t>.4-3。</w:t>
      </w:r>
    </w:p>
    <w:p w14:paraId="2D55C0E6">
      <w:pPr>
        <w:pStyle w:val="28"/>
        <w:rPr>
          <w:rFonts w:hint="eastAsia"/>
        </w:rPr>
      </w:pPr>
      <w:r>
        <w:rPr>
          <w:rFonts w:hint="eastAsia"/>
        </w:rPr>
        <w:t>表2.4-2  估算模型参数表</w:t>
      </w:r>
    </w:p>
    <w:tbl>
      <w:tblPr>
        <w:tblStyle w:val="36"/>
        <w:tblW w:w="5000"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108" w:type="dxa"/>
          <w:bottom w:w="0" w:type="dxa"/>
          <w:right w:w="108" w:type="dxa"/>
        </w:tblCellMar>
      </w:tblPr>
      <w:tblGrid>
        <w:gridCol w:w="1488"/>
        <w:gridCol w:w="4614"/>
        <w:gridCol w:w="2998"/>
      </w:tblGrid>
      <w:tr w14:paraId="46887E2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97" w:hRule="atLeast"/>
          <w:jc w:val="center"/>
        </w:trPr>
        <w:tc>
          <w:tcPr>
            <w:tcW w:w="3353" w:type="pct"/>
            <w:gridSpan w:val="2"/>
            <w:tcBorders>
              <w:top w:val="single" w:color="000000" w:sz="2" w:space="0"/>
              <w:left w:val="single" w:color="000000" w:sz="2" w:space="0"/>
              <w:bottom w:val="single" w:color="000000" w:sz="2" w:space="0"/>
              <w:right w:val="single" w:color="000000" w:sz="2" w:space="0"/>
            </w:tcBorders>
            <w:tcMar>
              <w:top w:w="15" w:type="dxa"/>
              <w:left w:w="15" w:type="dxa"/>
              <w:bottom w:w="15" w:type="dxa"/>
              <w:right w:w="15" w:type="dxa"/>
            </w:tcMar>
            <w:vAlign w:val="center"/>
          </w:tcPr>
          <w:p w14:paraId="4DD5F346">
            <w:pPr>
              <w:pStyle w:val="64"/>
            </w:pPr>
            <w:r>
              <w:t>选项</w:t>
            </w:r>
          </w:p>
        </w:tc>
        <w:tc>
          <w:tcPr>
            <w:tcW w:w="1647" w:type="pct"/>
            <w:tcBorders>
              <w:top w:val="single" w:color="000000" w:sz="2" w:space="0"/>
              <w:left w:val="single" w:color="000000" w:sz="2" w:space="0"/>
              <w:bottom w:val="single" w:color="000000" w:sz="2" w:space="0"/>
              <w:right w:val="single" w:color="000000" w:sz="2" w:space="0"/>
            </w:tcBorders>
            <w:tcMar>
              <w:top w:w="15" w:type="dxa"/>
              <w:left w:w="15" w:type="dxa"/>
              <w:bottom w:w="15" w:type="dxa"/>
              <w:right w:w="15" w:type="dxa"/>
            </w:tcMar>
            <w:vAlign w:val="center"/>
          </w:tcPr>
          <w:p w14:paraId="23E2955B">
            <w:pPr>
              <w:pStyle w:val="64"/>
            </w:pPr>
            <w:r>
              <w:t>参数</w:t>
            </w:r>
          </w:p>
        </w:tc>
      </w:tr>
      <w:tr w14:paraId="72C2ECE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97" w:hRule="atLeast"/>
          <w:jc w:val="center"/>
        </w:trPr>
        <w:tc>
          <w:tcPr>
            <w:tcW w:w="818" w:type="pct"/>
            <w:vMerge w:val="restart"/>
            <w:tcBorders>
              <w:top w:val="single" w:color="000000" w:sz="2" w:space="0"/>
              <w:left w:val="single" w:color="000000" w:sz="2" w:space="0"/>
              <w:bottom w:val="single" w:color="000000" w:sz="2" w:space="0"/>
              <w:right w:val="single" w:color="000000" w:sz="2" w:space="0"/>
            </w:tcBorders>
            <w:tcMar>
              <w:top w:w="15" w:type="dxa"/>
              <w:left w:w="15" w:type="dxa"/>
              <w:bottom w:w="15" w:type="dxa"/>
              <w:right w:w="15" w:type="dxa"/>
            </w:tcMar>
            <w:vAlign w:val="center"/>
          </w:tcPr>
          <w:p w14:paraId="7D5B890F">
            <w:pPr>
              <w:pStyle w:val="64"/>
            </w:pPr>
            <w:r>
              <w:t>城市/农村选项</w:t>
            </w:r>
          </w:p>
        </w:tc>
        <w:tc>
          <w:tcPr>
            <w:tcW w:w="2535" w:type="pct"/>
            <w:tcBorders>
              <w:top w:val="single" w:color="000000" w:sz="2" w:space="0"/>
              <w:left w:val="single" w:color="000000" w:sz="2" w:space="0"/>
              <w:bottom w:val="single" w:color="000000" w:sz="2" w:space="0"/>
              <w:right w:val="single" w:color="000000" w:sz="2" w:space="0"/>
            </w:tcBorders>
            <w:tcMar>
              <w:top w:w="15" w:type="dxa"/>
              <w:left w:w="15" w:type="dxa"/>
              <w:bottom w:w="15" w:type="dxa"/>
              <w:right w:w="15" w:type="dxa"/>
            </w:tcMar>
            <w:vAlign w:val="center"/>
          </w:tcPr>
          <w:p w14:paraId="3BA5F2D2">
            <w:pPr>
              <w:pStyle w:val="64"/>
            </w:pPr>
            <w:r>
              <w:t>城市/农村</w:t>
            </w:r>
          </w:p>
        </w:tc>
        <w:tc>
          <w:tcPr>
            <w:tcW w:w="1647" w:type="pct"/>
            <w:tcBorders>
              <w:top w:val="single" w:color="000000" w:sz="2" w:space="0"/>
              <w:left w:val="single" w:color="000000" w:sz="2" w:space="0"/>
              <w:bottom w:val="single" w:color="000000" w:sz="2" w:space="0"/>
              <w:right w:val="single" w:color="000000" w:sz="2" w:space="0"/>
            </w:tcBorders>
            <w:tcMar>
              <w:top w:w="15" w:type="dxa"/>
              <w:left w:w="15" w:type="dxa"/>
              <w:bottom w:w="15" w:type="dxa"/>
              <w:right w:w="15" w:type="dxa"/>
            </w:tcMar>
            <w:vAlign w:val="center"/>
          </w:tcPr>
          <w:p w14:paraId="68612B31">
            <w:pPr>
              <w:pStyle w:val="64"/>
            </w:pPr>
            <w:r>
              <w:t>城市</w:t>
            </w:r>
          </w:p>
        </w:tc>
      </w:tr>
      <w:tr w14:paraId="2AF6349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97" w:hRule="atLeast"/>
          <w:jc w:val="center"/>
        </w:trPr>
        <w:tc>
          <w:tcPr>
            <w:tcW w:w="818" w:type="pct"/>
            <w:vMerge w:val="continue"/>
            <w:tcBorders>
              <w:top w:val="single" w:color="000000" w:sz="2" w:space="0"/>
              <w:left w:val="single" w:color="000000" w:sz="2" w:space="0"/>
              <w:bottom w:val="single" w:color="000000" w:sz="2" w:space="0"/>
              <w:right w:val="single" w:color="000000" w:sz="2" w:space="0"/>
            </w:tcBorders>
            <w:vAlign w:val="center"/>
          </w:tcPr>
          <w:p w14:paraId="3B06A47F">
            <w:pPr>
              <w:pStyle w:val="64"/>
            </w:pPr>
          </w:p>
        </w:tc>
        <w:tc>
          <w:tcPr>
            <w:tcW w:w="2535" w:type="pct"/>
            <w:tcBorders>
              <w:top w:val="single" w:color="000000" w:sz="2" w:space="0"/>
              <w:left w:val="single" w:color="000000" w:sz="2" w:space="0"/>
              <w:bottom w:val="single" w:color="000000" w:sz="2" w:space="0"/>
              <w:right w:val="single" w:color="000000" w:sz="2" w:space="0"/>
            </w:tcBorders>
            <w:tcMar>
              <w:top w:w="15" w:type="dxa"/>
              <w:left w:w="15" w:type="dxa"/>
              <w:bottom w:w="15" w:type="dxa"/>
              <w:right w:w="15" w:type="dxa"/>
            </w:tcMar>
            <w:vAlign w:val="center"/>
          </w:tcPr>
          <w:p w14:paraId="08E16280">
            <w:pPr>
              <w:pStyle w:val="64"/>
            </w:pPr>
            <w:r>
              <w:t>人口数(城市选项时)</w:t>
            </w:r>
          </w:p>
        </w:tc>
        <w:tc>
          <w:tcPr>
            <w:tcW w:w="1647" w:type="pct"/>
            <w:tcBorders>
              <w:top w:val="single" w:color="000000" w:sz="2" w:space="0"/>
              <w:left w:val="single" w:color="000000" w:sz="2" w:space="0"/>
              <w:bottom w:val="single" w:color="000000" w:sz="2" w:space="0"/>
              <w:right w:val="single" w:color="000000" w:sz="2" w:space="0"/>
            </w:tcBorders>
            <w:tcMar>
              <w:top w:w="15" w:type="dxa"/>
              <w:left w:w="15" w:type="dxa"/>
              <w:bottom w:w="15" w:type="dxa"/>
              <w:right w:w="15" w:type="dxa"/>
            </w:tcMar>
            <w:vAlign w:val="center"/>
          </w:tcPr>
          <w:p w14:paraId="498C6B1E">
            <w:pPr>
              <w:pStyle w:val="64"/>
            </w:pPr>
            <w:r>
              <w:rPr>
                <w:rFonts w:hint="eastAsia"/>
              </w:rPr>
              <w:t>28.4</w:t>
            </w:r>
            <w:r>
              <w:t>万</w:t>
            </w:r>
          </w:p>
        </w:tc>
      </w:tr>
      <w:tr w14:paraId="4AC9D1C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97" w:hRule="atLeast"/>
          <w:jc w:val="center"/>
        </w:trPr>
        <w:tc>
          <w:tcPr>
            <w:tcW w:w="3353" w:type="pct"/>
            <w:gridSpan w:val="2"/>
            <w:tcBorders>
              <w:top w:val="single" w:color="000000" w:sz="2" w:space="0"/>
              <w:left w:val="single" w:color="000000" w:sz="2" w:space="0"/>
              <w:bottom w:val="single" w:color="000000" w:sz="2" w:space="0"/>
              <w:right w:val="single" w:color="000000" w:sz="2" w:space="0"/>
            </w:tcBorders>
            <w:tcMar>
              <w:top w:w="15" w:type="dxa"/>
              <w:left w:w="15" w:type="dxa"/>
              <w:bottom w:w="15" w:type="dxa"/>
              <w:right w:w="15" w:type="dxa"/>
            </w:tcMar>
            <w:vAlign w:val="center"/>
          </w:tcPr>
          <w:p w14:paraId="424C64C4">
            <w:pPr>
              <w:pStyle w:val="64"/>
              <w:rPr>
                <w:rFonts w:cs="Times New Roman"/>
              </w:rPr>
            </w:pPr>
            <w:r>
              <w:rPr>
                <w:rFonts w:cs="Times New Roman"/>
              </w:rPr>
              <w:t>最高环境温度/℃</w:t>
            </w:r>
          </w:p>
        </w:tc>
        <w:tc>
          <w:tcPr>
            <w:tcW w:w="1647" w:type="pct"/>
            <w:tcBorders>
              <w:top w:val="single" w:color="000000" w:sz="2" w:space="0"/>
              <w:left w:val="single" w:color="000000" w:sz="2" w:space="0"/>
              <w:bottom w:val="single" w:color="000000" w:sz="2" w:space="0"/>
              <w:right w:val="single" w:color="000000" w:sz="2" w:space="0"/>
            </w:tcBorders>
            <w:tcMar>
              <w:top w:w="15" w:type="dxa"/>
              <w:left w:w="15" w:type="dxa"/>
              <w:bottom w:w="15" w:type="dxa"/>
              <w:right w:w="15" w:type="dxa"/>
            </w:tcMar>
            <w:vAlign w:val="center"/>
          </w:tcPr>
          <w:p w14:paraId="07C279DD">
            <w:pPr>
              <w:pStyle w:val="64"/>
              <w:rPr>
                <w:rFonts w:cs="Times New Roman"/>
              </w:rPr>
            </w:pPr>
            <w:r>
              <w:rPr>
                <w:rFonts w:cs="Times New Roman"/>
              </w:rPr>
              <w:t>39.9</w:t>
            </w:r>
          </w:p>
        </w:tc>
      </w:tr>
      <w:tr w14:paraId="4AF1833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97" w:hRule="atLeast"/>
          <w:jc w:val="center"/>
        </w:trPr>
        <w:tc>
          <w:tcPr>
            <w:tcW w:w="3353" w:type="pct"/>
            <w:gridSpan w:val="2"/>
            <w:tcBorders>
              <w:top w:val="single" w:color="000000" w:sz="2" w:space="0"/>
              <w:left w:val="single" w:color="000000" w:sz="2" w:space="0"/>
              <w:bottom w:val="single" w:color="000000" w:sz="2" w:space="0"/>
              <w:right w:val="single" w:color="000000" w:sz="2" w:space="0"/>
            </w:tcBorders>
            <w:tcMar>
              <w:top w:w="15" w:type="dxa"/>
              <w:left w:w="15" w:type="dxa"/>
              <w:bottom w:w="15" w:type="dxa"/>
              <w:right w:w="15" w:type="dxa"/>
            </w:tcMar>
            <w:vAlign w:val="center"/>
          </w:tcPr>
          <w:p w14:paraId="3B818580">
            <w:pPr>
              <w:pStyle w:val="64"/>
              <w:rPr>
                <w:rFonts w:cs="Times New Roman"/>
              </w:rPr>
            </w:pPr>
            <w:r>
              <w:rPr>
                <w:rFonts w:cs="Times New Roman"/>
              </w:rPr>
              <w:t>最低环境温度/℃</w:t>
            </w:r>
          </w:p>
        </w:tc>
        <w:tc>
          <w:tcPr>
            <w:tcW w:w="1647" w:type="pct"/>
            <w:tcBorders>
              <w:top w:val="single" w:color="000000" w:sz="2" w:space="0"/>
              <w:left w:val="single" w:color="000000" w:sz="2" w:space="0"/>
              <w:bottom w:val="single" w:color="000000" w:sz="2" w:space="0"/>
              <w:right w:val="single" w:color="000000" w:sz="2" w:space="0"/>
            </w:tcBorders>
            <w:tcMar>
              <w:top w:w="15" w:type="dxa"/>
              <w:left w:w="15" w:type="dxa"/>
              <w:bottom w:w="15" w:type="dxa"/>
              <w:right w:w="15" w:type="dxa"/>
            </w:tcMar>
            <w:vAlign w:val="center"/>
          </w:tcPr>
          <w:p w14:paraId="72EB60E7">
            <w:pPr>
              <w:pStyle w:val="64"/>
              <w:rPr>
                <w:rFonts w:cs="Times New Roman"/>
              </w:rPr>
            </w:pPr>
            <w:r>
              <w:rPr>
                <w:rFonts w:cs="Times New Roman"/>
              </w:rPr>
              <w:t>-11.1</w:t>
            </w:r>
          </w:p>
        </w:tc>
      </w:tr>
      <w:tr w14:paraId="2D85A1E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97" w:hRule="atLeast"/>
          <w:jc w:val="center"/>
        </w:trPr>
        <w:tc>
          <w:tcPr>
            <w:tcW w:w="3353" w:type="pct"/>
            <w:gridSpan w:val="2"/>
            <w:tcBorders>
              <w:top w:val="single" w:color="000000" w:sz="2" w:space="0"/>
              <w:left w:val="single" w:color="000000" w:sz="2" w:space="0"/>
              <w:bottom w:val="single" w:color="000000" w:sz="2" w:space="0"/>
              <w:right w:val="single" w:color="000000" w:sz="2" w:space="0"/>
            </w:tcBorders>
            <w:tcMar>
              <w:top w:w="15" w:type="dxa"/>
              <w:left w:w="15" w:type="dxa"/>
              <w:bottom w:w="15" w:type="dxa"/>
              <w:right w:w="15" w:type="dxa"/>
            </w:tcMar>
            <w:vAlign w:val="center"/>
          </w:tcPr>
          <w:p w14:paraId="2E43B437">
            <w:pPr>
              <w:pStyle w:val="64"/>
              <w:rPr>
                <w:rFonts w:cs="Times New Roman"/>
              </w:rPr>
            </w:pPr>
            <w:r>
              <w:rPr>
                <w:rFonts w:cs="Times New Roman"/>
              </w:rPr>
              <w:t>土地利用类型</w:t>
            </w:r>
          </w:p>
        </w:tc>
        <w:tc>
          <w:tcPr>
            <w:tcW w:w="1647" w:type="pct"/>
            <w:tcBorders>
              <w:top w:val="single" w:color="000000" w:sz="2" w:space="0"/>
              <w:left w:val="single" w:color="000000" w:sz="2" w:space="0"/>
              <w:bottom w:val="single" w:color="000000" w:sz="2" w:space="0"/>
              <w:right w:val="single" w:color="000000" w:sz="2" w:space="0"/>
            </w:tcBorders>
            <w:tcMar>
              <w:top w:w="15" w:type="dxa"/>
              <w:left w:w="15" w:type="dxa"/>
              <w:bottom w:w="15" w:type="dxa"/>
              <w:right w:w="15" w:type="dxa"/>
            </w:tcMar>
            <w:vAlign w:val="center"/>
          </w:tcPr>
          <w:p w14:paraId="766576A5">
            <w:pPr>
              <w:pStyle w:val="64"/>
              <w:rPr>
                <w:rFonts w:cs="Times New Roman"/>
              </w:rPr>
            </w:pPr>
            <w:r>
              <w:rPr>
                <w:rFonts w:hint="eastAsia" w:cs="Times New Roman"/>
              </w:rPr>
              <w:t>建设用地</w:t>
            </w:r>
          </w:p>
        </w:tc>
      </w:tr>
      <w:tr w14:paraId="562C409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97" w:hRule="atLeast"/>
          <w:jc w:val="center"/>
        </w:trPr>
        <w:tc>
          <w:tcPr>
            <w:tcW w:w="3353" w:type="pct"/>
            <w:gridSpan w:val="2"/>
            <w:tcBorders>
              <w:top w:val="single" w:color="000000" w:sz="2" w:space="0"/>
              <w:left w:val="single" w:color="000000" w:sz="2" w:space="0"/>
              <w:bottom w:val="single" w:color="000000" w:sz="2" w:space="0"/>
              <w:right w:val="single" w:color="000000" w:sz="2" w:space="0"/>
            </w:tcBorders>
            <w:tcMar>
              <w:top w:w="15" w:type="dxa"/>
              <w:left w:w="15" w:type="dxa"/>
              <w:bottom w:w="15" w:type="dxa"/>
              <w:right w:w="15" w:type="dxa"/>
            </w:tcMar>
            <w:vAlign w:val="center"/>
          </w:tcPr>
          <w:p w14:paraId="7AA0445F">
            <w:pPr>
              <w:pStyle w:val="64"/>
              <w:rPr>
                <w:rFonts w:cs="Times New Roman"/>
              </w:rPr>
            </w:pPr>
            <w:r>
              <w:rPr>
                <w:rFonts w:cs="Times New Roman"/>
              </w:rPr>
              <w:t>区域湿度条件</w:t>
            </w:r>
          </w:p>
        </w:tc>
        <w:tc>
          <w:tcPr>
            <w:tcW w:w="1647" w:type="pct"/>
            <w:tcBorders>
              <w:top w:val="single" w:color="000000" w:sz="2" w:space="0"/>
              <w:left w:val="single" w:color="000000" w:sz="2" w:space="0"/>
              <w:bottom w:val="single" w:color="000000" w:sz="2" w:space="0"/>
              <w:right w:val="single" w:color="000000" w:sz="2" w:space="0"/>
            </w:tcBorders>
            <w:tcMar>
              <w:top w:w="15" w:type="dxa"/>
              <w:left w:w="15" w:type="dxa"/>
              <w:bottom w:w="15" w:type="dxa"/>
              <w:right w:w="15" w:type="dxa"/>
            </w:tcMar>
            <w:vAlign w:val="center"/>
          </w:tcPr>
          <w:p w14:paraId="716BF894">
            <w:pPr>
              <w:pStyle w:val="64"/>
              <w:rPr>
                <w:rFonts w:cs="Times New Roman"/>
              </w:rPr>
            </w:pPr>
            <w:r>
              <w:rPr>
                <w:rFonts w:cs="Times New Roman"/>
              </w:rPr>
              <w:t>中等湿度气候</w:t>
            </w:r>
          </w:p>
        </w:tc>
      </w:tr>
      <w:tr w14:paraId="6BB5B38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97" w:hRule="atLeast"/>
          <w:jc w:val="center"/>
        </w:trPr>
        <w:tc>
          <w:tcPr>
            <w:tcW w:w="818" w:type="pct"/>
            <w:vMerge w:val="restart"/>
            <w:tcBorders>
              <w:top w:val="single" w:color="000000" w:sz="2" w:space="0"/>
              <w:left w:val="single" w:color="000000" w:sz="2" w:space="0"/>
              <w:bottom w:val="single" w:color="000000" w:sz="2" w:space="0"/>
              <w:right w:val="single" w:color="000000" w:sz="2" w:space="0"/>
            </w:tcBorders>
            <w:tcMar>
              <w:top w:w="15" w:type="dxa"/>
              <w:left w:w="15" w:type="dxa"/>
              <w:bottom w:w="15" w:type="dxa"/>
              <w:right w:w="15" w:type="dxa"/>
            </w:tcMar>
            <w:vAlign w:val="center"/>
          </w:tcPr>
          <w:p w14:paraId="7AB61626">
            <w:pPr>
              <w:pStyle w:val="64"/>
              <w:rPr>
                <w:rFonts w:cs="Times New Roman"/>
              </w:rPr>
            </w:pPr>
            <w:r>
              <w:rPr>
                <w:rFonts w:cs="Times New Roman"/>
              </w:rPr>
              <w:t>是否考虑地形</w:t>
            </w:r>
          </w:p>
        </w:tc>
        <w:tc>
          <w:tcPr>
            <w:tcW w:w="2535" w:type="pct"/>
            <w:tcBorders>
              <w:top w:val="single" w:color="000000" w:sz="2" w:space="0"/>
              <w:left w:val="single" w:color="000000" w:sz="2" w:space="0"/>
              <w:bottom w:val="single" w:color="000000" w:sz="2" w:space="0"/>
              <w:right w:val="single" w:color="000000" w:sz="2" w:space="0"/>
            </w:tcBorders>
            <w:tcMar>
              <w:top w:w="15" w:type="dxa"/>
              <w:left w:w="15" w:type="dxa"/>
              <w:bottom w:w="15" w:type="dxa"/>
              <w:right w:w="15" w:type="dxa"/>
            </w:tcMar>
            <w:vAlign w:val="center"/>
          </w:tcPr>
          <w:p w14:paraId="367CAC56">
            <w:pPr>
              <w:pStyle w:val="64"/>
              <w:rPr>
                <w:rFonts w:cs="Times New Roman"/>
              </w:rPr>
            </w:pPr>
            <w:r>
              <w:rPr>
                <w:rFonts w:cs="Times New Roman"/>
              </w:rPr>
              <w:t>考虑地形</w:t>
            </w:r>
          </w:p>
        </w:tc>
        <w:tc>
          <w:tcPr>
            <w:tcW w:w="1647" w:type="pct"/>
            <w:tcBorders>
              <w:top w:val="single" w:color="000000" w:sz="2" w:space="0"/>
              <w:left w:val="single" w:color="000000" w:sz="2" w:space="0"/>
              <w:bottom w:val="single" w:color="000000" w:sz="2" w:space="0"/>
              <w:right w:val="single" w:color="000000" w:sz="2" w:space="0"/>
            </w:tcBorders>
            <w:tcMar>
              <w:top w:w="15" w:type="dxa"/>
              <w:left w:w="15" w:type="dxa"/>
              <w:bottom w:w="15" w:type="dxa"/>
              <w:right w:w="15" w:type="dxa"/>
            </w:tcMar>
            <w:vAlign w:val="center"/>
          </w:tcPr>
          <w:p w14:paraId="67EC34E2">
            <w:pPr>
              <w:pStyle w:val="64"/>
              <w:rPr>
                <w:rFonts w:cs="Times New Roman"/>
              </w:rPr>
            </w:pPr>
            <w:r>
              <w:rPr>
                <w:rFonts w:ascii="Segoe UI Symbol" w:hAnsi="Segoe UI Symbol" w:eastAsia="MS Mincho" w:cs="Segoe UI Symbol"/>
              </w:rPr>
              <w:t>☑</w:t>
            </w:r>
            <w:r>
              <w:rPr>
                <w:rFonts w:cs="Times New Roman"/>
              </w:rPr>
              <w:t>是   □否</w:t>
            </w:r>
          </w:p>
        </w:tc>
      </w:tr>
      <w:tr w14:paraId="4626009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97" w:hRule="atLeast"/>
          <w:jc w:val="center"/>
        </w:trPr>
        <w:tc>
          <w:tcPr>
            <w:tcW w:w="818" w:type="pct"/>
            <w:vMerge w:val="continue"/>
            <w:tcBorders>
              <w:top w:val="single" w:color="000000" w:sz="2" w:space="0"/>
              <w:left w:val="single" w:color="000000" w:sz="2" w:space="0"/>
              <w:bottom w:val="single" w:color="000000" w:sz="2" w:space="0"/>
              <w:right w:val="single" w:color="000000" w:sz="2" w:space="0"/>
            </w:tcBorders>
            <w:vAlign w:val="center"/>
          </w:tcPr>
          <w:p w14:paraId="34B5B57C">
            <w:pPr>
              <w:pStyle w:val="64"/>
              <w:rPr>
                <w:rFonts w:cs="Times New Roman"/>
              </w:rPr>
            </w:pPr>
          </w:p>
        </w:tc>
        <w:tc>
          <w:tcPr>
            <w:tcW w:w="2535" w:type="pct"/>
            <w:tcBorders>
              <w:top w:val="single" w:color="000000" w:sz="2" w:space="0"/>
              <w:left w:val="single" w:color="000000" w:sz="2" w:space="0"/>
              <w:bottom w:val="single" w:color="000000" w:sz="2" w:space="0"/>
              <w:right w:val="single" w:color="000000" w:sz="2" w:space="0"/>
            </w:tcBorders>
            <w:tcMar>
              <w:top w:w="15" w:type="dxa"/>
              <w:left w:w="15" w:type="dxa"/>
              <w:bottom w:w="15" w:type="dxa"/>
              <w:right w:w="15" w:type="dxa"/>
            </w:tcMar>
            <w:vAlign w:val="center"/>
          </w:tcPr>
          <w:p w14:paraId="3A0035BB">
            <w:pPr>
              <w:pStyle w:val="64"/>
              <w:rPr>
                <w:rFonts w:cs="Times New Roman"/>
              </w:rPr>
            </w:pPr>
            <w:r>
              <w:rPr>
                <w:rStyle w:val="79"/>
                <w:rFonts w:ascii="Times New Roman" w:hAnsi="Times New Roman" w:cs="Times New Roman"/>
                <w:color w:val="000000" w:themeColor="text1"/>
                <w14:textFill>
                  <w14:solidFill>
                    <w14:schemeClr w14:val="tx1"/>
                  </w14:solidFill>
                </w14:textFill>
              </w:rPr>
              <w:t>地形数据分辨率</w:t>
            </w:r>
            <w:r>
              <w:rPr>
                <w:rFonts w:cs="Times New Roman"/>
              </w:rPr>
              <w:t>/m</w:t>
            </w:r>
          </w:p>
        </w:tc>
        <w:tc>
          <w:tcPr>
            <w:tcW w:w="1647" w:type="pct"/>
            <w:tcBorders>
              <w:top w:val="single" w:color="000000" w:sz="2" w:space="0"/>
              <w:left w:val="single" w:color="000000" w:sz="2" w:space="0"/>
              <w:bottom w:val="single" w:color="000000" w:sz="2" w:space="0"/>
              <w:right w:val="single" w:color="000000" w:sz="2" w:space="0"/>
            </w:tcBorders>
            <w:tcMar>
              <w:top w:w="15" w:type="dxa"/>
              <w:left w:w="15" w:type="dxa"/>
              <w:bottom w:w="15" w:type="dxa"/>
              <w:right w:w="15" w:type="dxa"/>
            </w:tcMar>
            <w:vAlign w:val="center"/>
          </w:tcPr>
          <w:p w14:paraId="351A1F0D">
            <w:pPr>
              <w:pStyle w:val="64"/>
              <w:rPr>
                <w:rFonts w:cs="Times New Roman"/>
              </w:rPr>
            </w:pPr>
            <w:r>
              <w:rPr>
                <w:rFonts w:cs="Times New Roman"/>
              </w:rPr>
              <w:t>90</w:t>
            </w:r>
          </w:p>
        </w:tc>
      </w:tr>
      <w:tr w14:paraId="4201B17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97" w:hRule="atLeast"/>
          <w:jc w:val="center"/>
        </w:trPr>
        <w:tc>
          <w:tcPr>
            <w:tcW w:w="818" w:type="pct"/>
            <w:vMerge w:val="restart"/>
            <w:tcBorders>
              <w:top w:val="single" w:color="000000" w:sz="2" w:space="0"/>
              <w:left w:val="single" w:color="000000" w:sz="2" w:space="0"/>
              <w:bottom w:val="single" w:color="000000" w:sz="2" w:space="0"/>
              <w:right w:val="single" w:color="000000" w:sz="2" w:space="0"/>
            </w:tcBorders>
            <w:tcMar>
              <w:top w:w="15" w:type="dxa"/>
              <w:left w:w="15" w:type="dxa"/>
              <w:bottom w:w="15" w:type="dxa"/>
              <w:right w:w="15" w:type="dxa"/>
            </w:tcMar>
            <w:vAlign w:val="center"/>
          </w:tcPr>
          <w:p w14:paraId="3AF0F2DA">
            <w:pPr>
              <w:pStyle w:val="64"/>
              <w:rPr>
                <w:rFonts w:cs="Times New Roman"/>
              </w:rPr>
            </w:pPr>
            <w:r>
              <w:rPr>
                <w:rStyle w:val="79"/>
                <w:rFonts w:ascii="Times New Roman" w:hAnsi="Times New Roman" w:cs="Times New Roman"/>
                <w:color w:val="000000" w:themeColor="text1"/>
                <w14:textFill>
                  <w14:solidFill>
                    <w14:schemeClr w14:val="tx1"/>
                  </w14:solidFill>
                </w14:textFill>
              </w:rPr>
              <w:t>是否考虑海岸线熏烟</w:t>
            </w:r>
          </w:p>
        </w:tc>
        <w:tc>
          <w:tcPr>
            <w:tcW w:w="2535" w:type="pct"/>
            <w:tcBorders>
              <w:top w:val="single" w:color="000000" w:sz="2" w:space="0"/>
              <w:left w:val="single" w:color="000000" w:sz="2" w:space="0"/>
              <w:bottom w:val="single" w:color="000000" w:sz="2" w:space="0"/>
              <w:right w:val="single" w:color="000000" w:sz="2" w:space="0"/>
            </w:tcBorders>
            <w:tcMar>
              <w:top w:w="15" w:type="dxa"/>
              <w:left w:w="15" w:type="dxa"/>
              <w:bottom w:w="15" w:type="dxa"/>
              <w:right w:w="15" w:type="dxa"/>
            </w:tcMar>
            <w:vAlign w:val="center"/>
          </w:tcPr>
          <w:p w14:paraId="48A15ACE">
            <w:pPr>
              <w:pStyle w:val="64"/>
              <w:rPr>
                <w:rFonts w:cs="Times New Roman"/>
              </w:rPr>
            </w:pPr>
            <w:r>
              <w:rPr>
                <w:rStyle w:val="79"/>
                <w:rFonts w:ascii="Times New Roman" w:hAnsi="Times New Roman" w:cs="Times New Roman"/>
                <w:color w:val="000000" w:themeColor="text1"/>
                <w14:textFill>
                  <w14:solidFill>
                    <w14:schemeClr w14:val="tx1"/>
                  </w14:solidFill>
                </w14:textFill>
              </w:rPr>
              <w:t>考虑海岸线熏烟</w:t>
            </w:r>
          </w:p>
        </w:tc>
        <w:tc>
          <w:tcPr>
            <w:tcW w:w="1647" w:type="pct"/>
            <w:tcBorders>
              <w:top w:val="single" w:color="000000" w:sz="2" w:space="0"/>
              <w:left w:val="single" w:color="000000" w:sz="2" w:space="0"/>
              <w:bottom w:val="single" w:color="000000" w:sz="2" w:space="0"/>
              <w:right w:val="single" w:color="000000" w:sz="2" w:space="0"/>
            </w:tcBorders>
            <w:tcMar>
              <w:top w:w="15" w:type="dxa"/>
              <w:left w:w="15" w:type="dxa"/>
              <w:bottom w:w="15" w:type="dxa"/>
              <w:right w:w="15" w:type="dxa"/>
            </w:tcMar>
            <w:vAlign w:val="center"/>
          </w:tcPr>
          <w:p w14:paraId="712560DB">
            <w:pPr>
              <w:pStyle w:val="64"/>
              <w:rPr>
                <w:rFonts w:cs="Times New Roman"/>
              </w:rPr>
            </w:pPr>
            <w:r>
              <w:rPr>
                <w:rStyle w:val="79"/>
                <w:rFonts w:ascii="Times New Roman" w:hAnsi="Times New Roman" w:cs="Times New Roman"/>
                <w:color w:val="000000" w:themeColor="text1"/>
                <w14:textFill>
                  <w14:solidFill>
                    <w14:schemeClr w14:val="tx1"/>
                  </w14:solidFill>
                </w14:textFill>
              </w:rPr>
              <w:t>□是</w:t>
            </w:r>
            <w:r>
              <w:rPr>
                <w:rStyle w:val="79"/>
                <w:rFonts w:ascii="Segoe UI Symbol" w:hAnsi="Segoe UI Symbol" w:eastAsia="MS Mincho" w:cs="Segoe UI Symbol"/>
                <w:color w:val="000000" w:themeColor="text1"/>
                <w14:textFill>
                  <w14:solidFill>
                    <w14:schemeClr w14:val="tx1"/>
                  </w14:solidFill>
                </w14:textFill>
              </w:rPr>
              <w:t>☑</w:t>
            </w:r>
            <w:r>
              <w:rPr>
                <w:rStyle w:val="79"/>
                <w:rFonts w:ascii="Times New Roman" w:hAnsi="Times New Roman" w:cs="Times New Roman"/>
                <w:color w:val="000000" w:themeColor="text1"/>
                <w14:textFill>
                  <w14:solidFill>
                    <w14:schemeClr w14:val="tx1"/>
                  </w14:solidFill>
                </w14:textFill>
              </w:rPr>
              <w:t>否</w:t>
            </w:r>
          </w:p>
        </w:tc>
      </w:tr>
      <w:tr w14:paraId="7CE4D69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97" w:hRule="atLeast"/>
          <w:jc w:val="center"/>
        </w:trPr>
        <w:tc>
          <w:tcPr>
            <w:tcW w:w="818" w:type="pct"/>
            <w:vMerge w:val="continue"/>
            <w:tcBorders>
              <w:top w:val="single" w:color="000000" w:sz="2" w:space="0"/>
              <w:left w:val="single" w:color="000000" w:sz="2" w:space="0"/>
              <w:bottom w:val="single" w:color="000000" w:sz="2" w:space="0"/>
              <w:right w:val="single" w:color="000000" w:sz="2" w:space="0"/>
            </w:tcBorders>
            <w:vAlign w:val="center"/>
          </w:tcPr>
          <w:p w14:paraId="5601D81A">
            <w:pPr>
              <w:pStyle w:val="64"/>
              <w:rPr>
                <w:rFonts w:cs="Times New Roman"/>
              </w:rPr>
            </w:pPr>
          </w:p>
        </w:tc>
        <w:tc>
          <w:tcPr>
            <w:tcW w:w="2535" w:type="pct"/>
            <w:tcBorders>
              <w:top w:val="single" w:color="000000" w:sz="2" w:space="0"/>
              <w:left w:val="single" w:color="000000" w:sz="2" w:space="0"/>
              <w:bottom w:val="single" w:color="000000" w:sz="2" w:space="0"/>
              <w:right w:val="single" w:color="000000" w:sz="2" w:space="0"/>
            </w:tcBorders>
            <w:tcMar>
              <w:top w:w="15" w:type="dxa"/>
              <w:left w:w="15" w:type="dxa"/>
              <w:bottom w:w="15" w:type="dxa"/>
              <w:right w:w="15" w:type="dxa"/>
            </w:tcMar>
            <w:vAlign w:val="center"/>
          </w:tcPr>
          <w:p w14:paraId="1FCC4E4A">
            <w:pPr>
              <w:pStyle w:val="64"/>
              <w:rPr>
                <w:rFonts w:cs="Times New Roman"/>
              </w:rPr>
            </w:pPr>
            <w:r>
              <w:rPr>
                <w:rStyle w:val="79"/>
                <w:rFonts w:ascii="Times New Roman" w:hAnsi="Times New Roman" w:cs="Times New Roman"/>
                <w:color w:val="000000" w:themeColor="text1"/>
                <w14:textFill>
                  <w14:solidFill>
                    <w14:schemeClr w14:val="tx1"/>
                  </w14:solidFill>
                </w14:textFill>
              </w:rPr>
              <w:t>岸线距离</w:t>
            </w:r>
            <w:r>
              <w:rPr>
                <w:rFonts w:cs="Times New Roman"/>
              </w:rPr>
              <w:t>/km</w:t>
            </w:r>
          </w:p>
        </w:tc>
        <w:tc>
          <w:tcPr>
            <w:tcW w:w="1647" w:type="pct"/>
            <w:tcBorders>
              <w:top w:val="single" w:color="000000" w:sz="2" w:space="0"/>
              <w:left w:val="single" w:color="000000" w:sz="2" w:space="0"/>
              <w:bottom w:val="single" w:color="000000" w:sz="2" w:space="0"/>
              <w:right w:val="single" w:color="000000" w:sz="2" w:space="0"/>
            </w:tcBorders>
            <w:tcMar>
              <w:top w:w="15" w:type="dxa"/>
              <w:left w:w="15" w:type="dxa"/>
              <w:bottom w:w="15" w:type="dxa"/>
              <w:right w:w="15" w:type="dxa"/>
            </w:tcMar>
            <w:vAlign w:val="center"/>
          </w:tcPr>
          <w:p w14:paraId="7BE4357C">
            <w:pPr>
              <w:pStyle w:val="64"/>
              <w:rPr>
                <w:rFonts w:cs="Times New Roman"/>
              </w:rPr>
            </w:pPr>
            <w:r>
              <w:rPr>
                <w:rFonts w:cs="Times New Roman"/>
              </w:rPr>
              <w:t>/</w:t>
            </w:r>
          </w:p>
        </w:tc>
      </w:tr>
      <w:tr w14:paraId="20C8778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97" w:hRule="atLeast"/>
          <w:jc w:val="center"/>
        </w:trPr>
        <w:tc>
          <w:tcPr>
            <w:tcW w:w="818" w:type="pct"/>
            <w:vMerge w:val="continue"/>
            <w:tcBorders>
              <w:top w:val="single" w:color="000000" w:sz="2" w:space="0"/>
              <w:left w:val="single" w:color="000000" w:sz="2" w:space="0"/>
              <w:bottom w:val="single" w:color="000000" w:sz="2" w:space="0"/>
              <w:right w:val="single" w:color="000000" w:sz="2" w:space="0"/>
            </w:tcBorders>
            <w:vAlign w:val="center"/>
          </w:tcPr>
          <w:p w14:paraId="720A8646">
            <w:pPr>
              <w:pStyle w:val="64"/>
              <w:rPr>
                <w:rFonts w:cs="Times New Roman"/>
              </w:rPr>
            </w:pPr>
          </w:p>
        </w:tc>
        <w:tc>
          <w:tcPr>
            <w:tcW w:w="2535" w:type="pct"/>
            <w:tcBorders>
              <w:top w:val="single" w:color="000000" w:sz="2" w:space="0"/>
              <w:left w:val="single" w:color="000000" w:sz="2" w:space="0"/>
              <w:bottom w:val="single" w:color="000000" w:sz="2" w:space="0"/>
              <w:right w:val="single" w:color="000000" w:sz="2" w:space="0"/>
            </w:tcBorders>
            <w:tcMar>
              <w:top w:w="15" w:type="dxa"/>
              <w:left w:w="15" w:type="dxa"/>
              <w:bottom w:w="15" w:type="dxa"/>
              <w:right w:w="15" w:type="dxa"/>
            </w:tcMar>
            <w:vAlign w:val="center"/>
          </w:tcPr>
          <w:p w14:paraId="18CE16A8">
            <w:pPr>
              <w:pStyle w:val="64"/>
              <w:rPr>
                <w:rFonts w:cs="Times New Roman"/>
              </w:rPr>
            </w:pPr>
            <w:r>
              <w:rPr>
                <w:rStyle w:val="79"/>
                <w:rFonts w:ascii="Times New Roman" w:hAnsi="Times New Roman" w:cs="Times New Roman"/>
                <w:color w:val="000000" w:themeColor="text1"/>
                <w14:textFill>
                  <w14:solidFill>
                    <w14:schemeClr w14:val="tx1"/>
                  </w14:solidFill>
                </w14:textFill>
              </w:rPr>
              <w:t>岸线方向</w:t>
            </w:r>
            <w:r>
              <w:rPr>
                <w:rFonts w:cs="Times New Roman"/>
              </w:rPr>
              <w:t>/°</w:t>
            </w:r>
          </w:p>
        </w:tc>
        <w:tc>
          <w:tcPr>
            <w:tcW w:w="1647" w:type="pct"/>
            <w:tcBorders>
              <w:top w:val="single" w:color="000000" w:sz="2" w:space="0"/>
              <w:left w:val="single" w:color="000000" w:sz="2" w:space="0"/>
              <w:bottom w:val="single" w:color="000000" w:sz="2" w:space="0"/>
              <w:right w:val="single" w:color="000000" w:sz="2" w:space="0"/>
            </w:tcBorders>
            <w:tcMar>
              <w:top w:w="15" w:type="dxa"/>
              <w:left w:w="15" w:type="dxa"/>
              <w:bottom w:w="15" w:type="dxa"/>
              <w:right w:w="15" w:type="dxa"/>
            </w:tcMar>
            <w:vAlign w:val="center"/>
          </w:tcPr>
          <w:p w14:paraId="3547DBD0">
            <w:pPr>
              <w:pStyle w:val="64"/>
              <w:rPr>
                <w:rFonts w:cs="Times New Roman"/>
              </w:rPr>
            </w:pPr>
            <w:r>
              <w:rPr>
                <w:rFonts w:cs="Times New Roman"/>
              </w:rPr>
              <w:t>/</w:t>
            </w:r>
          </w:p>
        </w:tc>
      </w:tr>
    </w:tbl>
    <w:p w14:paraId="459F56E1">
      <w:pPr>
        <w:rPr>
          <w:rFonts w:cs="Times New Roman"/>
          <w:spacing w:val="-3"/>
        </w:rPr>
      </w:pPr>
    </w:p>
    <w:p w14:paraId="0CD4DCD8">
      <w:pPr>
        <w:pStyle w:val="28"/>
        <w:rPr>
          <w:rFonts w:hint="eastAsia"/>
        </w:rPr>
      </w:pPr>
      <w:r>
        <w:rPr>
          <w:rFonts w:hint="eastAsia"/>
        </w:rPr>
        <w:t>表2.4-3  项目主要污染物P</w:t>
      </w:r>
      <w:r>
        <w:rPr>
          <w:rFonts w:hint="eastAsia"/>
          <w:vertAlign w:val="subscript"/>
        </w:rPr>
        <w:t>max</w:t>
      </w:r>
      <w:r>
        <w:rPr>
          <w:rFonts w:hint="eastAsia"/>
        </w:rPr>
        <w:t>、D</w:t>
      </w:r>
      <w:r>
        <w:rPr>
          <w:rFonts w:hint="eastAsia"/>
          <w:vertAlign w:val="subscript"/>
        </w:rPr>
        <w:t>10%</w:t>
      </w:r>
      <w:r>
        <w:rPr>
          <w:rFonts w:hint="eastAsia"/>
        </w:rPr>
        <w:t>的计算结果</w:t>
      </w:r>
    </w:p>
    <w:tbl>
      <w:tblPr>
        <w:tblStyle w:val="36"/>
        <w:tblW w:w="5000"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108" w:type="dxa"/>
          <w:bottom w:w="0" w:type="dxa"/>
          <w:right w:w="108" w:type="dxa"/>
        </w:tblCellMar>
      </w:tblPr>
      <w:tblGrid>
        <w:gridCol w:w="1301"/>
        <w:gridCol w:w="1455"/>
        <w:gridCol w:w="1412"/>
        <w:gridCol w:w="1347"/>
        <w:gridCol w:w="1163"/>
        <w:gridCol w:w="869"/>
        <w:gridCol w:w="873"/>
        <w:gridCol w:w="866"/>
      </w:tblGrid>
      <w:tr w14:paraId="29E8405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20" w:hRule="atLeast"/>
          <w:jc w:val="center"/>
        </w:trPr>
        <w:tc>
          <w:tcPr>
            <w:tcW w:w="701" w:type="pct"/>
            <w:tcBorders>
              <w:top w:val="single" w:color="000000" w:sz="2" w:space="0"/>
              <w:left w:val="single" w:color="auto" w:sz="4" w:space="0"/>
              <w:bottom w:val="single" w:color="000000" w:sz="2" w:space="0"/>
              <w:right w:val="single" w:color="000000" w:sz="2" w:space="0"/>
            </w:tcBorders>
            <w:vAlign w:val="center"/>
          </w:tcPr>
          <w:p w14:paraId="5D28FB8C">
            <w:pPr>
              <w:pStyle w:val="64"/>
              <w:wordWrap w:val="0"/>
              <w:rPr>
                <w:rFonts w:cs="Times New Roman"/>
                <w:szCs w:val="21"/>
              </w:rPr>
            </w:pPr>
            <w:r>
              <w:rPr>
                <w:rFonts w:cs="Times New Roman"/>
                <w:szCs w:val="21"/>
              </w:rPr>
              <w:t>污染源</w:t>
            </w:r>
          </w:p>
        </w:tc>
        <w:tc>
          <w:tcPr>
            <w:tcW w:w="783" w:type="pct"/>
            <w:tcBorders>
              <w:top w:val="single" w:color="000000" w:sz="2" w:space="0"/>
              <w:left w:val="single" w:color="auto" w:sz="4" w:space="0"/>
              <w:bottom w:val="single" w:color="000000" w:sz="2" w:space="0"/>
              <w:right w:val="single" w:color="000000" w:sz="2" w:space="0"/>
            </w:tcBorders>
            <w:vAlign w:val="center"/>
          </w:tcPr>
          <w:p w14:paraId="084702BA">
            <w:pPr>
              <w:pStyle w:val="64"/>
              <w:wordWrap w:val="0"/>
              <w:rPr>
                <w:rFonts w:cs="Times New Roman"/>
                <w:szCs w:val="21"/>
              </w:rPr>
            </w:pPr>
            <w:r>
              <w:rPr>
                <w:rFonts w:cs="Times New Roman"/>
                <w:szCs w:val="21"/>
              </w:rPr>
              <w:t>污染物</w:t>
            </w:r>
          </w:p>
        </w:tc>
        <w:tc>
          <w:tcPr>
            <w:tcW w:w="760" w:type="pct"/>
            <w:tcBorders>
              <w:top w:val="single" w:color="000000" w:sz="2" w:space="0"/>
              <w:left w:val="single" w:color="auto" w:sz="4" w:space="0"/>
              <w:bottom w:val="single" w:color="000000" w:sz="2" w:space="0"/>
              <w:right w:val="single" w:color="000000" w:sz="2" w:space="0"/>
            </w:tcBorders>
            <w:vAlign w:val="center"/>
          </w:tcPr>
          <w:p w14:paraId="27405D62">
            <w:pPr>
              <w:pStyle w:val="64"/>
              <w:wordWrap w:val="0"/>
              <w:rPr>
                <w:rFonts w:cs="Times New Roman"/>
                <w:szCs w:val="21"/>
              </w:rPr>
            </w:pPr>
            <w:r>
              <w:rPr>
                <w:rFonts w:cs="Times New Roman"/>
                <w:szCs w:val="21"/>
              </w:rPr>
              <w:t>最大落地浓度(μg/m</w:t>
            </w:r>
            <w:r>
              <w:rPr>
                <w:rFonts w:cs="Times New Roman"/>
                <w:szCs w:val="21"/>
                <w:vertAlign w:val="superscript"/>
              </w:rPr>
              <w:t>3</w:t>
            </w:r>
            <w:r>
              <w:rPr>
                <w:rFonts w:cs="Times New Roman"/>
                <w:szCs w:val="21"/>
              </w:rPr>
              <w:t>)</w:t>
            </w:r>
          </w:p>
        </w:tc>
        <w:tc>
          <w:tcPr>
            <w:tcW w:w="725" w:type="pct"/>
            <w:vAlign w:val="center"/>
          </w:tcPr>
          <w:p w14:paraId="6B4B3AD6">
            <w:pPr>
              <w:pStyle w:val="64"/>
              <w:wordWrap w:val="0"/>
              <w:rPr>
                <w:rFonts w:cs="Times New Roman"/>
                <w:szCs w:val="21"/>
              </w:rPr>
            </w:pPr>
            <w:r>
              <w:rPr>
                <w:rFonts w:cs="Times New Roman"/>
                <w:szCs w:val="21"/>
              </w:rPr>
              <w:t>最大落地浓度位置(m)</w:t>
            </w:r>
          </w:p>
        </w:tc>
        <w:tc>
          <w:tcPr>
            <w:tcW w:w="626" w:type="pct"/>
            <w:vAlign w:val="center"/>
          </w:tcPr>
          <w:p w14:paraId="401D1376">
            <w:pPr>
              <w:pStyle w:val="64"/>
              <w:wordWrap w:val="0"/>
              <w:rPr>
                <w:rFonts w:cs="Times New Roman"/>
                <w:szCs w:val="21"/>
              </w:rPr>
            </w:pPr>
            <w:r>
              <w:rPr>
                <w:rFonts w:cs="Times New Roman"/>
                <w:szCs w:val="21"/>
              </w:rPr>
              <w:t>评价标准(μg/m</w:t>
            </w:r>
            <w:r>
              <w:rPr>
                <w:rFonts w:cs="Times New Roman"/>
                <w:szCs w:val="21"/>
                <w:vertAlign w:val="superscript"/>
              </w:rPr>
              <w:t>3</w:t>
            </w:r>
            <w:r>
              <w:rPr>
                <w:rFonts w:cs="Times New Roman"/>
                <w:szCs w:val="21"/>
              </w:rPr>
              <w:t>)</w:t>
            </w:r>
          </w:p>
        </w:tc>
        <w:tc>
          <w:tcPr>
            <w:tcW w:w="468" w:type="pct"/>
            <w:tcBorders>
              <w:top w:val="single" w:color="000000" w:sz="2" w:space="0"/>
              <w:left w:val="single" w:color="000000" w:sz="2" w:space="0"/>
              <w:bottom w:val="single" w:color="000000" w:sz="2" w:space="0"/>
              <w:right w:val="single" w:color="auto" w:sz="4" w:space="0"/>
            </w:tcBorders>
            <w:tcMar>
              <w:top w:w="15" w:type="dxa"/>
              <w:left w:w="15" w:type="dxa"/>
              <w:bottom w:w="15" w:type="dxa"/>
              <w:right w:w="15" w:type="dxa"/>
            </w:tcMar>
            <w:vAlign w:val="center"/>
          </w:tcPr>
          <w:p w14:paraId="3680691D">
            <w:pPr>
              <w:pStyle w:val="64"/>
              <w:wordWrap w:val="0"/>
              <w:rPr>
                <w:rFonts w:cs="Times New Roman"/>
                <w:szCs w:val="21"/>
              </w:rPr>
            </w:pPr>
            <w:r>
              <w:rPr>
                <w:rFonts w:hint="eastAsia" w:cs="Times New Roman"/>
                <w:szCs w:val="21"/>
              </w:rPr>
              <w:t>占标率(</w:t>
            </w:r>
            <w:r>
              <w:rPr>
                <w:rFonts w:cs="Times New Roman"/>
                <w:szCs w:val="21"/>
              </w:rPr>
              <w:t>%</w:t>
            </w:r>
            <w:r>
              <w:rPr>
                <w:rFonts w:hint="eastAsia" w:cs="Times New Roman"/>
                <w:szCs w:val="21"/>
              </w:rPr>
              <w:t>)</w:t>
            </w:r>
          </w:p>
        </w:tc>
        <w:tc>
          <w:tcPr>
            <w:tcW w:w="470" w:type="pct"/>
            <w:tcBorders>
              <w:top w:val="single" w:color="000000" w:sz="2" w:space="0"/>
              <w:left w:val="single" w:color="auto" w:sz="4" w:space="0"/>
              <w:bottom w:val="single" w:color="000000" w:sz="2" w:space="0"/>
              <w:right w:val="single" w:color="000000" w:sz="2" w:space="0"/>
            </w:tcBorders>
            <w:vAlign w:val="center"/>
          </w:tcPr>
          <w:p w14:paraId="774D4FCE">
            <w:pPr>
              <w:pStyle w:val="64"/>
              <w:wordWrap w:val="0"/>
              <w:rPr>
                <w:rFonts w:cs="Times New Roman"/>
                <w:szCs w:val="21"/>
              </w:rPr>
            </w:pPr>
            <w:r>
              <w:rPr>
                <w:rFonts w:cs="Times New Roman"/>
                <w:szCs w:val="21"/>
              </w:rPr>
              <w:t>D</w:t>
            </w:r>
            <w:r>
              <w:rPr>
                <w:rFonts w:cs="Times New Roman"/>
                <w:szCs w:val="21"/>
                <w:vertAlign w:val="subscript"/>
              </w:rPr>
              <w:t>10%</w:t>
            </w:r>
            <w:r>
              <w:rPr>
                <w:rFonts w:hint="eastAsia" w:cs="Times New Roman"/>
                <w:szCs w:val="21"/>
              </w:rPr>
              <w:t>(</w:t>
            </w:r>
            <w:r>
              <w:rPr>
                <w:rFonts w:cs="Times New Roman"/>
                <w:szCs w:val="21"/>
              </w:rPr>
              <w:t>m</w:t>
            </w:r>
            <w:r>
              <w:rPr>
                <w:rFonts w:hint="eastAsia" w:cs="Times New Roman"/>
                <w:szCs w:val="21"/>
              </w:rPr>
              <w:t>)</w:t>
            </w:r>
          </w:p>
        </w:tc>
        <w:tc>
          <w:tcPr>
            <w:tcW w:w="466" w:type="pct"/>
            <w:vAlign w:val="center"/>
          </w:tcPr>
          <w:p w14:paraId="6BFB7C9B">
            <w:pPr>
              <w:pStyle w:val="64"/>
              <w:wordWrap w:val="0"/>
              <w:rPr>
                <w:rFonts w:cs="Times New Roman"/>
                <w:szCs w:val="21"/>
              </w:rPr>
            </w:pPr>
            <w:r>
              <w:rPr>
                <w:rFonts w:cs="Times New Roman"/>
                <w:szCs w:val="21"/>
              </w:rPr>
              <w:t>评价等级</w:t>
            </w:r>
          </w:p>
        </w:tc>
      </w:tr>
      <w:tr w14:paraId="3F3CF17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471" w:hRule="atLeast"/>
          <w:jc w:val="center"/>
        </w:trPr>
        <w:tc>
          <w:tcPr>
            <w:tcW w:w="701" w:type="pct"/>
            <w:vMerge w:val="restart"/>
            <w:tcBorders>
              <w:top w:val="single" w:color="000000" w:sz="2" w:space="0"/>
              <w:left w:val="single" w:color="auto" w:sz="4" w:space="0"/>
              <w:right w:val="single" w:color="000000" w:sz="2" w:space="0"/>
            </w:tcBorders>
            <w:vAlign w:val="center"/>
          </w:tcPr>
          <w:p w14:paraId="4DFA2BF1">
            <w:pPr>
              <w:pStyle w:val="64"/>
              <w:wordWrap w:val="0"/>
              <w:jc w:val="both"/>
              <w:rPr>
                <w:rFonts w:cs="Times New Roman"/>
                <w:szCs w:val="21"/>
              </w:rPr>
            </w:pPr>
            <w:r>
              <w:rPr>
                <w:rFonts w:cs="Times New Roman"/>
                <w:szCs w:val="21"/>
              </w:rPr>
              <w:t>东区</w:t>
            </w:r>
            <w:r>
              <w:rPr>
                <w:rFonts w:hint="eastAsia" w:cs="Times New Roman"/>
                <w:szCs w:val="21"/>
              </w:rPr>
              <w:t>2</w:t>
            </w:r>
            <w:r>
              <w:rPr>
                <w:rFonts w:cs="Times New Roman"/>
                <w:szCs w:val="21"/>
              </w:rPr>
              <w:t>#RTO废气排放口(DA023)</w:t>
            </w:r>
          </w:p>
        </w:tc>
        <w:tc>
          <w:tcPr>
            <w:tcW w:w="783" w:type="pct"/>
            <w:tcBorders>
              <w:top w:val="single" w:color="000000" w:sz="2" w:space="0"/>
              <w:left w:val="single" w:color="auto" w:sz="4" w:space="0"/>
              <w:bottom w:val="single" w:color="000000" w:sz="2" w:space="0"/>
              <w:right w:val="single" w:color="000000" w:sz="2" w:space="0"/>
            </w:tcBorders>
            <w:vAlign w:val="center"/>
          </w:tcPr>
          <w:p w14:paraId="11749592">
            <w:pPr>
              <w:pStyle w:val="64"/>
              <w:wordWrap w:val="0"/>
              <w:rPr>
                <w:rFonts w:cs="Times New Roman"/>
                <w:szCs w:val="21"/>
              </w:rPr>
            </w:pPr>
            <w:r>
              <w:rPr>
                <w:rFonts w:cs="Times New Roman"/>
                <w:szCs w:val="21"/>
              </w:rPr>
              <w:t>酚类</w:t>
            </w:r>
          </w:p>
        </w:tc>
        <w:tc>
          <w:tcPr>
            <w:tcW w:w="760" w:type="pct"/>
            <w:tcBorders>
              <w:top w:val="single" w:color="000000" w:sz="2" w:space="0"/>
              <w:left w:val="single" w:color="auto" w:sz="4" w:space="0"/>
              <w:bottom w:val="single" w:color="000000" w:sz="2" w:space="0"/>
              <w:right w:val="single" w:color="000000" w:sz="2" w:space="0"/>
            </w:tcBorders>
            <w:vAlign w:val="center"/>
          </w:tcPr>
          <w:p w14:paraId="409AAD6C">
            <w:pPr>
              <w:pStyle w:val="64"/>
              <w:wordWrap w:val="0"/>
              <w:rPr>
                <w:rFonts w:cs="Times New Roman"/>
                <w:szCs w:val="21"/>
              </w:rPr>
            </w:pPr>
            <w:r>
              <w:rPr>
                <w:rFonts w:hint="eastAsia" w:cs="Times New Roman"/>
                <w:szCs w:val="21"/>
              </w:rPr>
              <w:t>0.46</w:t>
            </w:r>
          </w:p>
        </w:tc>
        <w:tc>
          <w:tcPr>
            <w:tcW w:w="725" w:type="pct"/>
            <w:vMerge w:val="restart"/>
            <w:vAlign w:val="center"/>
          </w:tcPr>
          <w:p w14:paraId="08FBE899">
            <w:pPr>
              <w:pStyle w:val="64"/>
              <w:wordWrap w:val="0"/>
              <w:rPr>
                <w:rFonts w:cs="Times New Roman"/>
                <w:szCs w:val="21"/>
              </w:rPr>
            </w:pPr>
            <w:r>
              <w:rPr>
                <w:rFonts w:hint="eastAsia" w:cs="Times New Roman"/>
                <w:szCs w:val="21"/>
              </w:rPr>
              <w:t>26</w:t>
            </w:r>
          </w:p>
        </w:tc>
        <w:tc>
          <w:tcPr>
            <w:tcW w:w="626" w:type="pct"/>
            <w:vAlign w:val="center"/>
          </w:tcPr>
          <w:p w14:paraId="4316D953">
            <w:pPr>
              <w:pStyle w:val="64"/>
              <w:wordWrap w:val="0"/>
              <w:rPr>
                <w:rFonts w:cs="Times New Roman"/>
                <w:szCs w:val="21"/>
              </w:rPr>
            </w:pPr>
            <w:r>
              <w:rPr>
                <w:rFonts w:hint="eastAsia" w:cs="Times New Roman"/>
                <w:szCs w:val="21"/>
              </w:rPr>
              <w:t>20</w:t>
            </w:r>
          </w:p>
        </w:tc>
        <w:tc>
          <w:tcPr>
            <w:tcW w:w="468" w:type="pct"/>
            <w:tcBorders>
              <w:top w:val="single" w:color="000000" w:sz="2" w:space="0"/>
              <w:left w:val="single" w:color="000000" w:sz="2" w:space="0"/>
              <w:bottom w:val="single" w:color="000000" w:sz="2" w:space="0"/>
              <w:right w:val="single" w:color="auto" w:sz="4" w:space="0"/>
            </w:tcBorders>
            <w:tcMar>
              <w:top w:w="15" w:type="dxa"/>
              <w:left w:w="15" w:type="dxa"/>
              <w:bottom w:w="15" w:type="dxa"/>
              <w:right w:w="15" w:type="dxa"/>
            </w:tcMar>
            <w:vAlign w:val="center"/>
          </w:tcPr>
          <w:p w14:paraId="5E9C1147">
            <w:pPr>
              <w:pStyle w:val="64"/>
              <w:wordWrap w:val="0"/>
              <w:rPr>
                <w:rFonts w:cs="Times New Roman"/>
                <w:szCs w:val="21"/>
              </w:rPr>
            </w:pPr>
            <w:r>
              <w:rPr>
                <w:rFonts w:hint="eastAsia" w:cs="Times New Roman"/>
                <w:szCs w:val="21"/>
              </w:rPr>
              <w:t>2.30</w:t>
            </w:r>
          </w:p>
        </w:tc>
        <w:tc>
          <w:tcPr>
            <w:tcW w:w="470" w:type="pct"/>
            <w:tcBorders>
              <w:top w:val="single" w:color="000000" w:sz="2" w:space="0"/>
              <w:left w:val="single" w:color="auto" w:sz="4" w:space="0"/>
              <w:bottom w:val="single" w:color="000000" w:sz="2" w:space="0"/>
              <w:right w:val="single" w:color="000000" w:sz="2" w:space="0"/>
            </w:tcBorders>
            <w:vAlign w:val="center"/>
          </w:tcPr>
          <w:p w14:paraId="244FBF9D">
            <w:pPr>
              <w:pStyle w:val="64"/>
              <w:wordWrap w:val="0"/>
              <w:rPr>
                <w:rFonts w:cs="Times New Roman"/>
                <w:szCs w:val="21"/>
              </w:rPr>
            </w:pPr>
            <w:r>
              <w:rPr>
                <w:rFonts w:hint="eastAsia" w:cs="Times New Roman"/>
                <w:szCs w:val="21"/>
              </w:rPr>
              <w:t>/</w:t>
            </w:r>
          </w:p>
        </w:tc>
        <w:tc>
          <w:tcPr>
            <w:tcW w:w="466" w:type="pct"/>
            <w:vAlign w:val="center"/>
          </w:tcPr>
          <w:p w14:paraId="2276B650">
            <w:pPr>
              <w:pStyle w:val="64"/>
              <w:wordWrap w:val="0"/>
              <w:rPr>
                <w:rFonts w:cs="Times New Roman"/>
                <w:szCs w:val="21"/>
              </w:rPr>
            </w:pPr>
            <w:r>
              <w:rPr>
                <w:rFonts w:hint="eastAsia" w:cs="Times New Roman"/>
                <w:szCs w:val="21"/>
              </w:rPr>
              <w:t>二级</w:t>
            </w:r>
          </w:p>
        </w:tc>
      </w:tr>
      <w:tr w14:paraId="70F9539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472" w:hRule="atLeast"/>
          <w:jc w:val="center"/>
        </w:trPr>
        <w:tc>
          <w:tcPr>
            <w:tcW w:w="701" w:type="pct"/>
            <w:vMerge w:val="continue"/>
            <w:tcBorders>
              <w:left w:val="single" w:color="auto" w:sz="4" w:space="0"/>
              <w:right w:val="single" w:color="000000" w:sz="2" w:space="0"/>
            </w:tcBorders>
            <w:vAlign w:val="center"/>
          </w:tcPr>
          <w:p w14:paraId="2007D98B">
            <w:pPr>
              <w:pStyle w:val="64"/>
              <w:wordWrap w:val="0"/>
              <w:rPr>
                <w:rFonts w:cs="Times New Roman"/>
                <w:szCs w:val="21"/>
              </w:rPr>
            </w:pPr>
          </w:p>
        </w:tc>
        <w:tc>
          <w:tcPr>
            <w:tcW w:w="783" w:type="pct"/>
            <w:tcBorders>
              <w:top w:val="single" w:color="000000" w:sz="2" w:space="0"/>
              <w:left w:val="single" w:color="auto" w:sz="4" w:space="0"/>
              <w:bottom w:val="single" w:color="000000" w:sz="2" w:space="0"/>
              <w:right w:val="single" w:color="000000" w:sz="2" w:space="0"/>
            </w:tcBorders>
            <w:vAlign w:val="center"/>
          </w:tcPr>
          <w:p w14:paraId="68315A46">
            <w:pPr>
              <w:pStyle w:val="64"/>
              <w:wordWrap w:val="0"/>
              <w:rPr>
                <w:rFonts w:cs="Times New Roman"/>
                <w:szCs w:val="21"/>
              </w:rPr>
            </w:pPr>
            <w:r>
              <w:rPr>
                <w:rFonts w:cs="Times New Roman"/>
                <w:szCs w:val="21"/>
              </w:rPr>
              <w:t>非甲烷总烃</w:t>
            </w:r>
          </w:p>
        </w:tc>
        <w:tc>
          <w:tcPr>
            <w:tcW w:w="760" w:type="pct"/>
            <w:tcBorders>
              <w:top w:val="single" w:color="000000" w:sz="2" w:space="0"/>
              <w:left w:val="single" w:color="auto" w:sz="4" w:space="0"/>
              <w:bottom w:val="single" w:color="000000" w:sz="2" w:space="0"/>
              <w:right w:val="single" w:color="000000" w:sz="2" w:space="0"/>
            </w:tcBorders>
            <w:vAlign w:val="center"/>
          </w:tcPr>
          <w:p w14:paraId="486112C9">
            <w:pPr>
              <w:pStyle w:val="64"/>
              <w:wordWrap w:val="0"/>
              <w:rPr>
                <w:rFonts w:cs="Times New Roman"/>
                <w:szCs w:val="21"/>
              </w:rPr>
            </w:pPr>
            <w:r>
              <w:rPr>
                <w:rFonts w:hint="eastAsia" w:cs="Times New Roman"/>
                <w:szCs w:val="21"/>
              </w:rPr>
              <w:t>0.41</w:t>
            </w:r>
          </w:p>
        </w:tc>
        <w:tc>
          <w:tcPr>
            <w:tcW w:w="725" w:type="pct"/>
            <w:vMerge w:val="continue"/>
            <w:vAlign w:val="center"/>
          </w:tcPr>
          <w:p w14:paraId="4F1A7D50">
            <w:pPr>
              <w:pStyle w:val="64"/>
              <w:wordWrap w:val="0"/>
              <w:rPr>
                <w:rFonts w:cs="Times New Roman"/>
                <w:szCs w:val="21"/>
              </w:rPr>
            </w:pPr>
          </w:p>
        </w:tc>
        <w:tc>
          <w:tcPr>
            <w:tcW w:w="626" w:type="pct"/>
            <w:vAlign w:val="center"/>
          </w:tcPr>
          <w:p w14:paraId="46464D2A">
            <w:pPr>
              <w:pStyle w:val="64"/>
              <w:wordWrap w:val="0"/>
              <w:rPr>
                <w:rFonts w:cs="Times New Roman"/>
                <w:szCs w:val="21"/>
              </w:rPr>
            </w:pPr>
            <w:r>
              <w:rPr>
                <w:rFonts w:hint="eastAsia" w:cs="Times New Roman"/>
                <w:szCs w:val="21"/>
              </w:rPr>
              <w:t>2000</w:t>
            </w:r>
          </w:p>
        </w:tc>
        <w:tc>
          <w:tcPr>
            <w:tcW w:w="468" w:type="pct"/>
            <w:tcBorders>
              <w:top w:val="single" w:color="000000" w:sz="2" w:space="0"/>
              <w:left w:val="single" w:color="000000" w:sz="2" w:space="0"/>
              <w:bottom w:val="single" w:color="000000" w:sz="2" w:space="0"/>
              <w:right w:val="single" w:color="auto" w:sz="4" w:space="0"/>
            </w:tcBorders>
            <w:tcMar>
              <w:top w:w="15" w:type="dxa"/>
              <w:left w:w="15" w:type="dxa"/>
              <w:bottom w:w="15" w:type="dxa"/>
              <w:right w:w="15" w:type="dxa"/>
            </w:tcMar>
            <w:vAlign w:val="center"/>
          </w:tcPr>
          <w:p w14:paraId="120B1BB4">
            <w:pPr>
              <w:pStyle w:val="64"/>
              <w:wordWrap w:val="0"/>
              <w:rPr>
                <w:rFonts w:cs="Times New Roman"/>
                <w:szCs w:val="21"/>
              </w:rPr>
            </w:pPr>
            <w:r>
              <w:rPr>
                <w:rFonts w:hint="eastAsia" w:cs="Times New Roman"/>
                <w:szCs w:val="21"/>
              </w:rPr>
              <w:t>0.02</w:t>
            </w:r>
          </w:p>
        </w:tc>
        <w:tc>
          <w:tcPr>
            <w:tcW w:w="470" w:type="pct"/>
            <w:tcBorders>
              <w:top w:val="single" w:color="000000" w:sz="2" w:space="0"/>
              <w:left w:val="single" w:color="auto" w:sz="4" w:space="0"/>
              <w:bottom w:val="single" w:color="000000" w:sz="2" w:space="0"/>
              <w:right w:val="single" w:color="000000" w:sz="2" w:space="0"/>
            </w:tcBorders>
            <w:vAlign w:val="center"/>
          </w:tcPr>
          <w:p w14:paraId="4F327AE4">
            <w:pPr>
              <w:pStyle w:val="64"/>
              <w:wordWrap w:val="0"/>
              <w:rPr>
                <w:rFonts w:cs="Times New Roman"/>
                <w:szCs w:val="21"/>
              </w:rPr>
            </w:pPr>
            <w:r>
              <w:rPr>
                <w:rFonts w:hint="eastAsia" w:cs="Times New Roman"/>
                <w:szCs w:val="21"/>
              </w:rPr>
              <w:t>/</w:t>
            </w:r>
          </w:p>
        </w:tc>
        <w:tc>
          <w:tcPr>
            <w:tcW w:w="466" w:type="pct"/>
            <w:vAlign w:val="center"/>
          </w:tcPr>
          <w:p w14:paraId="5EA16700">
            <w:pPr>
              <w:pStyle w:val="64"/>
              <w:wordWrap w:val="0"/>
              <w:rPr>
                <w:rFonts w:cs="Times New Roman"/>
                <w:szCs w:val="21"/>
              </w:rPr>
            </w:pPr>
            <w:r>
              <w:rPr>
                <w:rFonts w:hint="eastAsia" w:cs="Times New Roman"/>
                <w:szCs w:val="21"/>
              </w:rPr>
              <w:t>三级</w:t>
            </w:r>
          </w:p>
        </w:tc>
      </w:tr>
      <w:tr w14:paraId="4232262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20" w:hRule="atLeast"/>
          <w:jc w:val="center"/>
        </w:trPr>
        <w:tc>
          <w:tcPr>
            <w:tcW w:w="701" w:type="pct"/>
            <w:vMerge w:val="restart"/>
            <w:tcBorders>
              <w:top w:val="single" w:color="000000" w:sz="2" w:space="0"/>
              <w:left w:val="single" w:color="auto" w:sz="4" w:space="0"/>
              <w:right w:val="single" w:color="000000" w:sz="2" w:space="0"/>
            </w:tcBorders>
            <w:vAlign w:val="center"/>
          </w:tcPr>
          <w:p w14:paraId="2809044D">
            <w:pPr>
              <w:pStyle w:val="64"/>
              <w:wordWrap w:val="0"/>
              <w:rPr>
                <w:rFonts w:cs="Times New Roman"/>
                <w:szCs w:val="21"/>
              </w:rPr>
            </w:pPr>
            <w:r>
              <w:rPr>
                <w:rFonts w:cs="Times New Roman"/>
                <w:szCs w:val="21"/>
              </w:rPr>
              <w:t>生产装置区无组织</w:t>
            </w:r>
          </w:p>
        </w:tc>
        <w:tc>
          <w:tcPr>
            <w:tcW w:w="783" w:type="pct"/>
            <w:tcBorders>
              <w:top w:val="single" w:color="000000" w:sz="2" w:space="0"/>
              <w:left w:val="single" w:color="auto" w:sz="4" w:space="0"/>
              <w:bottom w:val="single" w:color="000000" w:sz="2" w:space="0"/>
              <w:right w:val="single" w:color="000000" w:sz="2" w:space="0"/>
            </w:tcBorders>
            <w:vAlign w:val="center"/>
          </w:tcPr>
          <w:p w14:paraId="7CF6D137">
            <w:pPr>
              <w:pStyle w:val="64"/>
              <w:wordWrap w:val="0"/>
              <w:rPr>
                <w:rFonts w:cs="Times New Roman"/>
                <w:szCs w:val="21"/>
              </w:rPr>
            </w:pPr>
            <w:r>
              <w:rPr>
                <w:rFonts w:cs="Times New Roman"/>
                <w:szCs w:val="21"/>
              </w:rPr>
              <w:t>酚类</w:t>
            </w:r>
          </w:p>
        </w:tc>
        <w:tc>
          <w:tcPr>
            <w:tcW w:w="760" w:type="pct"/>
            <w:tcBorders>
              <w:top w:val="single" w:color="000000" w:sz="2" w:space="0"/>
              <w:left w:val="single" w:color="auto" w:sz="4" w:space="0"/>
              <w:bottom w:val="single" w:color="000000" w:sz="2" w:space="0"/>
              <w:right w:val="single" w:color="000000" w:sz="2" w:space="0"/>
            </w:tcBorders>
            <w:vAlign w:val="center"/>
          </w:tcPr>
          <w:p w14:paraId="23C5239E">
            <w:pPr>
              <w:pStyle w:val="64"/>
              <w:wordWrap w:val="0"/>
              <w:rPr>
                <w:rFonts w:cs="Times New Roman"/>
                <w:szCs w:val="21"/>
              </w:rPr>
            </w:pPr>
            <w:r>
              <w:rPr>
                <w:rFonts w:hint="eastAsia" w:cs="Times New Roman"/>
                <w:szCs w:val="21"/>
              </w:rPr>
              <w:t>7.53</w:t>
            </w:r>
          </w:p>
        </w:tc>
        <w:tc>
          <w:tcPr>
            <w:tcW w:w="725" w:type="pct"/>
            <w:vMerge w:val="restart"/>
            <w:vAlign w:val="center"/>
          </w:tcPr>
          <w:p w14:paraId="5CF428F5">
            <w:pPr>
              <w:pStyle w:val="64"/>
              <w:wordWrap w:val="0"/>
              <w:rPr>
                <w:rFonts w:cs="Times New Roman"/>
                <w:szCs w:val="21"/>
              </w:rPr>
            </w:pPr>
            <w:r>
              <w:rPr>
                <w:rFonts w:hint="eastAsia" w:cs="Times New Roman"/>
                <w:szCs w:val="21"/>
              </w:rPr>
              <w:t>63</w:t>
            </w:r>
          </w:p>
        </w:tc>
        <w:tc>
          <w:tcPr>
            <w:tcW w:w="626" w:type="pct"/>
            <w:vAlign w:val="center"/>
          </w:tcPr>
          <w:p w14:paraId="1DD42090">
            <w:pPr>
              <w:pStyle w:val="64"/>
              <w:wordWrap w:val="0"/>
              <w:rPr>
                <w:rFonts w:cs="Times New Roman"/>
                <w:szCs w:val="21"/>
              </w:rPr>
            </w:pPr>
            <w:r>
              <w:rPr>
                <w:rFonts w:hint="eastAsia" w:cs="Times New Roman"/>
                <w:szCs w:val="21"/>
              </w:rPr>
              <w:t>20</w:t>
            </w:r>
          </w:p>
        </w:tc>
        <w:tc>
          <w:tcPr>
            <w:tcW w:w="468" w:type="pct"/>
            <w:tcBorders>
              <w:top w:val="single" w:color="000000" w:sz="2" w:space="0"/>
              <w:left w:val="single" w:color="000000" w:sz="2" w:space="0"/>
              <w:bottom w:val="single" w:color="000000" w:sz="2" w:space="0"/>
              <w:right w:val="single" w:color="auto" w:sz="4" w:space="0"/>
            </w:tcBorders>
            <w:tcMar>
              <w:top w:w="15" w:type="dxa"/>
              <w:left w:w="15" w:type="dxa"/>
              <w:bottom w:w="15" w:type="dxa"/>
              <w:right w:w="15" w:type="dxa"/>
            </w:tcMar>
            <w:vAlign w:val="center"/>
          </w:tcPr>
          <w:p w14:paraId="6DF1FAD1">
            <w:pPr>
              <w:pStyle w:val="64"/>
              <w:wordWrap w:val="0"/>
              <w:rPr>
                <w:rFonts w:cs="Times New Roman"/>
                <w:szCs w:val="21"/>
              </w:rPr>
            </w:pPr>
            <w:r>
              <w:rPr>
                <w:rFonts w:hint="eastAsia" w:cs="Times New Roman"/>
                <w:szCs w:val="21"/>
              </w:rPr>
              <w:t>37.66</w:t>
            </w:r>
          </w:p>
        </w:tc>
        <w:tc>
          <w:tcPr>
            <w:tcW w:w="470" w:type="pct"/>
            <w:tcBorders>
              <w:top w:val="single" w:color="000000" w:sz="2" w:space="0"/>
              <w:left w:val="single" w:color="auto" w:sz="4" w:space="0"/>
              <w:bottom w:val="single" w:color="000000" w:sz="2" w:space="0"/>
              <w:right w:val="single" w:color="000000" w:sz="2" w:space="0"/>
            </w:tcBorders>
            <w:vAlign w:val="center"/>
          </w:tcPr>
          <w:p w14:paraId="77302134">
            <w:pPr>
              <w:pStyle w:val="64"/>
              <w:wordWrap w:val="0"/>
              <w:rPr>
                <w:rFonts w:cs="Times New Roman"/>
                <w:szCs w:val="21"/>
              </w:rPr>
            </w:pPr>
            <w:r>
              <w:rPr>
                <w:rFonts w:hint="eastAsia" w:cs="Times New Roman"/>
                <w:szCs w:val="21"/>
              </w:rPr>
              <w:t>150</w:t>
            </w:r>
          </w:p>
        </w:tc>
        <w:tc>
          <w:tcPr>
            <w:tcW w:w="466" w:type="pct"/>
            <w:vAlign w:val="center"/>
          </w:tcPr>
          <w:p w14:paraId="0C76BCB5">
            <w:pPr>
              <w:pStyle w:val="64"/>
              <w:wordWrap w:val="0"/>
              <w:rPr>
                <w:rFonts w:cs="Times New Roman"/>
                <w:szCs w:val="21"/>
              </w:rPr>
            </w:pPr>
            <w:r>
              <w:rPr>
                <w:rFonts w:hint="eastAsia" w:cs="Times New Roman"/>
                <w:szCs w:val="21"/>
              </w:rPr>
              <w:t>一级</w:t>
            </w:r>
          </w:p>
        </w:tc>
      </w:tr>
      <w:tr w14:paraId="1389EF9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20" w:hRule="atLeast"/>
          <w:jc w:val="center"/>
        </w:trPr>
        <w:tc>
          <w:tcPr>
            <w:tcW w:w="701" w:type="pct"/>
            <w:vMerge w:val="continue"/>
            <w:tcBorders>
              <w:left w:val="single" w:color="auto" w:sz="4" w:space="0"/>
              <w:right w:val="single" w:color="000000" w:sz="2" w:space="0"/>
            </w:tcBorders>
            <w:vAlign w:val="center"/>
          </w:tcPr>
          <w:p w14:paraId="18ED6036">
            <w:pPr>
              <w:pStyle w:val="64"/>
              <w:wordWrap w:val="0"/>
              <w:rPr>
                <w:rFonts w:cs="Times New Roman"/>
                <w:szCs w:val="21"/>
              </w:rPr>
            </w:pPr>
          </w:p>
        </w:tc>
        <w:tc>
          <w:tcPr>
            <w:tcW w:w="783" w:type="pct"/>
            <w:tcBorders>
              <w:top w:val="single" w:color="000000" w:sz="2" w:space="0"/>
              <w:left w:val="single" w:color="auto" w:sz="4" w:space="0"/>
              <w:bottom w:val="single" w:color="000000" w:sz="2" w:space="0"/>
              <w:right w:val="single" w:color="000000" w:sz="2" w:space="0"/>
            </w:tcBorders>
            <w:vAlign w:val="center"/>
          </w:tcPr>
          <w:p w14:paraId="6590AF23">
            <w:pPr>
              <w:pStyle w:val="64"/>
              <w:wordWrap w:val="0"/>
              <w:rPr>
                <w:rFonts w:cs="Times New Roman"/>
                <w:szCs w:val="21"/>
              </w:rPr>
            </w:pPr>
            <w:r>
              <w:rPr>
                <w:rFonts w:cs="Times New Roman"/>
                <w:szCs w:val="21"/>
              </w:rPr>
              <w:t>非甲烷总烃</w:t>
            </w:r>
          </w:p>
        </w:tc>
        <w:tc>
          <w:tcPr>
            <w:tcW w:w="760" w:type="pct"/>
            <w:tcBorders>
              <w:top w:val="single" w:color="000000" w:sz="2" w:space="0"/>
              <w:left w:val="single" w:color="auto" w:sz="4" w:space="0"/>
              <w:bottom w:val="single" w:color="000000" w:sz="2" w:space="0"/>
              <w:right w:val="single" w:color="000000" w:sz="2" w:space="0"/>
            </w:tcBorders>
            <w:vAlign w:val="center"/>
          </w:tcPr>
          <w:p w14:paraId="7A9BC267">
            <w:pPr>
              <w:pStyle w:val="64"/>
              <w:wordWrap w:val="0"/>
              <w:rPr>
                <w:rFonts w:cs="Times New Roman"/>
                <w:szCs w:val="21"/>
              </w:rPr>
            </w:pPr>
            <w:r>
              <w:rPr>
                <w:rFonts w:hint="eastAsia" w:cs="Times New Roman"/>
                <w:szCs w:val="21"/>
              </w:rPr>
              <w:t>21.44</w:t>
            </w:r>
          </w:p>
        </w:tc>
        <w:tc>
          <w:tcPr>
            <w:tcW w:w="725" w:type="pct"/>
            <w:vMerge w:val="continue"/>
            <w:vAlign w:val="center"/>
          </w:tcPr>
          <w:p w14:paraId="447DF0D0">
            <w:pPr>
              <w:pStyle w:val="64"/>
              <w:wordWrap w:val="0"/>
              <w:rPr>
                <w:rFonts w:cs="Times New Roman"/>
                <w:szCs w:val="21"/>
              </w:rPr>
            </w:pPr>
          </w:p>
        </w:tc>
        <w:tc>
          <w:tcPr>
            <w:tcW w:w="626" w:type="pct"/>
            <w:vAlign w:val="center"/>
          </w:tcPr>
          <w:p w14:paraId="2E8C3E18">
            <w:pPr>
              <w:pStyle w:val="64"/>
              <w:wordWrap w:val="0"/>
              <w:rPr>
                <w:rFonts w:cs="Times New Roman"/>
                <w:szCs w:val="21"/>
              </w:rPr>
            </w:pPr>
            <w:r>
              <w:rPr>
                <w:rFonts w:hint="eastAsia" w:cs="Times New Roman"/>
                <w:szCs w:val="21"/>
              </w:rPr>
              <w:t>2000</w:t>
            </w:r>
          </w:p>
        </w:tc>
        <w:tc>
          <w:tcPr>
            <w:tcW w:w="468" w:type="pct"/>
            <w:tcBorders>
              <w:top w:val="single" w:color="000000" w:sz="2" w:space="0"/>
              <w:left w:val="single" w:color="000000" w:sz="2" w:space="0"/>
              <w:bottom w:val="single" w:color="000000" w:sz="2" w:space="0"/>
              <w:right w:val="single" w:color="auto" w:sz="4" w:space="0"/>
            </w:tcBorders>
            <w:tcMar>
              <w:top w:w="15" w:type="dxa"/>
              <w:left w:w="15" w:type="dxa"/>
              <w:bottom w:w="15" w:type="dxa"/>
              <w:right w:w="15" w:type="dxa"/>
            </w:tcMar>
            <w:vAlign w:val="center"/>
          </w:tcPr>
          <w:p w14:paraId="5536F316">
            <w:pPr>
              <w:pStyle w:val="64"/>
              <w:wordWrap w:val="0"/>
              <w:rPr>
                <w:rFonts w:cs="Times New Roman"/>
                <w:szCs w:val="21"/>
              </w:rPr>
            </w:pPr>
            <w:r>
              <w:rPr>
                <w:rFonts w:hint="eastAsia" w:cs="Times New Roman"/>
                <w:szCs w:val="21"/>
              </w:rPr>
              <w:t>1.07</w:t>
            </w:r>
          </w:p>
        </w:tc>
        <w:tc>
          <w:tcPr>
            <w:tcW w:w="470" w:type="pct"/>
            <w:tcBorders>
              <w:top w:val="single" w:color="000000" w:sz="2" w:space="0"/>
              <w:left w:val="single" w:color="auto" w:sz="4" w:space="0"/>
              <w:bottom w:val="single" w:color="000000" w:sz="2" w:space="0"/>
              <w:right w:val="single" w:color="000000" w:sz="2" w:space="0"/>
            </w:tcBorders>
            <w:vAlign w:val="center"/>
          </w:tcPr>
          <w:p w14:paraId="38188110">
            <w:pPr>
              <w:pStyle w:val="64"/>
              <w:wordWrap w:val="0"/>
              <w:rPr>
                <w:rFonts w:cs="Times New Roman"/>
                <w:szCs w:val="21"/>
              </w:rPr>
            </w:pPr>
            <w:r>
              <w:rPr>
                <w:rFonts w:cs="Times New Roman"/>
                <w:szCs w:val="21"/>
              </w:rPr>
              <w:t>/</w:t>
            </w:r>
          </w:p>
        </w:tc>
        <w:tc>
          <w:tcPr>
            <w:tcW w:w="466" w:type="pct"/>
            <w:vAlign w:val="center"/>
          </w:tcPr>
          <w:p w14:paraId="1F1C1623">
            <w:pPr>
              <w:pStyle w:val="64"/>
              <w:wordWrap w:val="0"/>
              <w:rPr>
                <w:rFonts w:cs="Times New Roman"/>
                <w:szCs w:val="21"/>
              </w:rPr>
            </w:pPr>
            <w:r>
              <w:rPr>
                <w:rFonts w:hint="eastAsia" w:cs="Times New Roman"/>
                <w:szCs w:val="21"/>
              </w:rPr>
              <w:t>二级</w:t>
            </w:r>
          </w:p>
        </w:tc>
      </w:tr>
      <w:tr w14:paraId="601250C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20" w:hRule="atLeast"/>
          <w:jc w:val="center"/>
        </w:trPr>
        <w:tc>
          <w:tcPr>
            <w:tcW w:w="701" w:type="pct"/>
            <w:vMerge w:val="restart"/>
            <w:tcBorders>
              <w:left w:val="single" w:color="auto" w:sz="4" w:space="0"/>
              <w:right w:val="single" w:color="000000" w:sz="2" w:space="0"/>
            </w:tcBorders>
            <w:vAlign w:val="center"/>
          </w:tcPr>
          <w:p w14:paraId="2DB95A82">
            <w:pPr>
              <w:pStyle w:val="64"/>
              <w:wordWrap w:val="0"/>
              <w:rPr>
                <w:rFonts w:cs="Times New Roman"/>
                <w:szCs w:val="21"/>
              </w:rPr>
            </w:pPr>
            <w:r>
              <w:rPr>
                <w:rFonts w:hint="eastAsia" w:cs="Times New Roman"/>
                <w:szCs w:val="21"/>
              </w:rPr>
              <w:t>罐区</w:t>
            </w:r>
            <w:r>
              <w:rPr>
                <w:rFonts w:cs="Times New Roman"/>
                <w:szCs w:val="21"/>
              </w:rPr>
              <w:t>无组织</w:t>
            </w:r>
          </w:p>
        </w:tc>
        <w:tc>
          <w:tcPr>
            <w:tcW w:w="783" w:type="pct"/>
            <w:tcBorders>
              <w:top w:val="single" w:color="000000" w:sz="2" w:space="0"/>
              <w:left w:val="single" w:color="auto" w:sz="4" w:space="0"/>
              <w:bottom w:val="single" w:color="000000" w:sz="2" w:space="0"/>
              <w:right w:val="single" w:color="000000" w:sz="2" w:space="0"/>
            </w:tcBorders>
            <w:vAlign w:val="center"/>
          </w:tcPr>
          <w:p w14:paraId="3AD20139">
            <w:pPr>
              <w:pStyle w:val="64"/>
              <w:wordWrap w:val="0"/>
              <w:rPr>
                <w:rFonts w:cs="Times New Roman"/>
                <w:szCs w:val="21"/>
              </w:rPr>
            </w:pPr>
            <w:r>
              <w:rPr>
                <w:rFonts w:cs="Times New Roman"/>
                <w:szCs w:val="21"/>
              </w:rPr>
              <w:t>酚类</w:t>
            </w:r>
          </w:p>
        </w:tc>
        <w:tc>
          <w:tcPr>
            <w:tcW w:w="760" w:type="pct"/>
            <w:tcBorders>
              <w:top w:val="single" w:color="000000" w:sz="2" w:space="0"/>
              <w:left w:val="single" w:color="auto" w:sz="4" w:space="0"/>
              <w:bottom w:val="single" w:color="000000" w:sz="2" w:space="0"/>
              <w:right w:val="single" w:color="000000" w:sz="2" w:space="0"/>
            </w:tcBorders>
            <w:vAlign w:val="center"/>
          </w:tcPr>
          <w:p w14:paraId="2585B2F0">
            <w:pPr>
              <w:pStyle w:val="64"/>
              <w:wordWrap w:val="0"/>
              <w:rPr>
                <w:rFonts w:cs="Times New Roman"/>
                <w:szCs w:val="21"/>
              </w:rPr>
            </w:pPr>
            <w:r>
              <w:rPr>
                <w:rFonts w:hint="eastAsia" w:cs="Times New Roman"/>
                <w:szCs w:val="21"/>
              </w:rPr>
              <w:t>0.64</w:t>
            </w:r>
          </w:p>
        </w:tc>
        <w:tc>
          <w:tcPr>
            <w:tcW w:w="725" w:type="pct"/>
            <w:vMerge w:val="restart"/>
            <w:vAlign w:val="center"/>
          </w:tcPr>
          <w:p w14:paraId="152E62C1">
            <w:pPr>
              <w:pStyle w:val="64"/>
              <w:wordWrap w:val="0"/>
              <w:rPr>
                <w:rFonts w:cs="Times New Roman"/>
                <w:szCs w:val="21"/>
              </w:rPr>
            </w:pPr>
            <w:r>
              <w:rPr>
                <w:rFonts w:hint="eastAsia" w:cs="Times New Roman"/>
                <w:szCs w:val="21"/>
              </w:rPr>
              <w:t>102</w:t>
            </w:r>
          </w:p>
        </w:tc>
        <w:tc>
          <w:tcPr>
            <w:tcW w:w="626" w:type="pct"/>
            <w:vAlign w:val="center"/>
          </w:tcPr>
          <w:p w14:paraId="2F8F371E">
            <w:pPr>
              <w:pStyle w:val="64"/>
              <w:wordWrap w:val="0"/>
              <w:rPr>
                <w:rFonts w:cs="Times New Roman"/>
                <w:szCs w:val="21"/>
              </w:rPr>
            </w:pPr>
            <w:r>
              <w:rPr>
                <w:rFonts w:hint="eastAsia" w:cs="Times New Roman"/>
                <w:szCs w:val="21"/>
              </w:rPr>
              <w:t>20</w:t>
            </w:r>
          </w:p>
        </w:tc>
        <w:tc>
          <w:tcPr>
            <w:tcW w:w="468" w:type="pct"/>
            <w:tcBorders>
              <w:top w:val="single" w:color="000000" w:sz="2" w:space="0"/>
              <w:left w:val="single" w:color="000000" w:sz="2" w:space="0"/>
              <w:bottom w:val="single" w:color="000000" w:sz="2" w:space="0"/>
              <w:right w:val="single" w:color="auto" w:sz="4" w:space="0"/>
            </w:tcBorders>
            <w:tcMar>
              <w:top w:w="15" w:type="dxa"/>
              <w:left w:w="15" w:type="dxa"/>
              <w:bottom w:w="15" w:type="dxa"/>
              <w:right w:w="15" w:type="dxa"/>
            </w:tcMar>
            <w:vAlign w:val="center"/>
          </w:tcPr>
          <w:p w14:paraId="24424BCC">
            <w:pPr>
              <w:pStyle w:val="64"/>
              <w:wordWrap w:val="0"/>
              <w:rPr>
                <w:rFonts w:cs="Times New Roman"/>
                <w:szCs w:val="21"/>
              </w:rPr>
            </w:pPr>
            <w:r>
              <w:rPr>
                <w:rFonts w:hint="eastAsia" w:cs="Times New Roman"/>
                <w:szCs w:val="21"/>
              </w:rPr>
              <w:t>3.22</w:t>
            </w:r>
          </w:p>
        </w:tc>
        <w:tc>
          <w:tcPr>
            <w:tcW w:w="470" w:type="pct"/>
            <w:tcBorders>
              <w:top w:val="single" w:color="000000" w:sz="2" w:space="0"/>
              <w:left w:val="single" w:color="auto" w:sz="4" w:space="0"/>
              <w:bottom w:val="single" w:color="000000" w:sz="2" w:space="0"/>
              <w:right w:val="single" w:color="000000" w:sz="2" w:space="0"/>
            </w:tcBorders>
            <w:vAlign w:val="center"/>
          </w:tcPr>
          <w:p w14:paraId="1E62990B">
            <w:pPr>
              <w:pStyle w:val="64"/>
              <w:wordWrap w:val="0"/>
              <w:rPr>
                <w:rFonts w:cs="Times New Roman"/>
                <w:szCs w:val="21"/>
              </w:rPr>
            </w:pPr>
            <w:r>
              <w:rPr>
                <w:rFonts w:hint="eastAsia" w:cs="Times New Roman"/>
                <w:szCs w:val="21"/>
              </w:rPr>
              <w:t>/</w:t>
            </w:r>
          </w:p>
        </w:tc>
        <w:tc>
          <w:tcPr>
            <w:tcW w:w="466" w:type="pct"/>
            <w:vAlign w:val="center"/>
          </w:tcPr>
          <w:p w14:paraId="4795FCDC">
            <w:pPr>
              <w:pStyle w:val="64"/>
              <w:wordWrap w:val="0"/>
              <w:rPr>
                <w:rFonts w:cs="Times New Roman"/>
                <w:szCs w:val="21"/>
              </w:rPr>
            </w:pPr>
            <w:r>
              <w:rPr>
                <w:rFonts w:hint="eastAsia" w:cs="Times New Roman"/>
                <w:szCs w:val="21"/>
              </w:rPr>
              <w:t>二级</w:t>
            </w:r>
          </w:p>
        </w:tc>
      </w:tr>
      <w:tr w14:paraId="07D9B6A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20" w:hRule="atLeast"/>
          <w:jc w:val="center"/>
        </w:trPr>
        <w:tc>
          <w:tcPr>
            <w:tcW w:w="701" w:type="pct"/>
            <w:vMerge w:val="continue"/>
            <w:tcBorders>
              <w:left w:val="single" w:color="auto" w:sz="4" w:space="0"/>
              <w:right w:val="single" w:color="000000" w:sz="2" w:space="0"/>
            </w:tcBorders>
            <w:vAlign w:val="center"/>
          </w:tcPr>
          <w:p w14:paraId="39B289E3">
            <w:pPr>
              <w:pStyle w:val="64"/>
              <w:wordWrap w:val="0"/>
              <w:rPr>
                <w:rFonts w:cs="Times New Roman"/>
                <w:szCs w:val="21"/>
              </w:rPr>
            </w:pPr>
          </w:p>
        </w:tc>
        <w:tc>
          <w:tcPr>
            <w:tcW w:w="783" w:type="pct"/>
            <w:tcBorders>
              <w:top w:val="single" w:color="000000" w:sz="2" w:space="0"/>
              <w:left w:val="single" w:color="auto" w:sz="4" w:space="0"/>
              <w:bottom w:val="single" w:color="000000" w:sz="2" w:space="0"/>
              <w:right w:val="single" w:color="000000" w:sz="2" w:space="0"/>
            </w:tcBorders>
            <w:vAlign w:val="center"/>
          </w:tcPr>
          <w:p w14:paraId="116092E6">
            <w:pPr>
              <w:pStyle w:val="64"/>
              <w:wordWrap w:val="0"/>
              <w:rPr>
                <w:rFonts w:cs="Times New Roman"/>
                <w:szCs w:val="21"/>
              </w:rPr>
            </w:pPr>
            <w:r>
              <w:rPr>
                <w:rFonts w:cs="Times New Roman"/>
                <w:szCs w:val="21"/>
              </w:rPr>
              <w:t>非甲烷总烃</w:t>
            </w:r>
          </w:p>
        </w:tc>
        <w:tc>
          <w:tcPr>
            <w:tcW w:w="760" w:type="pct"/>
            <w:tcBorders>
              <w:top w:val="single" w:color="000000" w:sz="2" w:space="0"/>
              <w:left w:val="single" w:color="auto" w:sz="4" w:space="0"/>
              <w:bottom w:val="single" w:color="000000" w:sz="2" w:space="0"/>
              <w:right w:val="single" w:color="000000" w:sz="2" w:space="0"/>
            </w:tcBorders>
            <w:vAlign w:val="center"/>
          </w:tcPr>
          <w:p w14:paraId="40F03555">
            <w:pPr>
              <w:pStyle w:val="64"/>
              <w:wordWrap w:val="0"/>
              <w:rPr>
                <w:rFonts w:cs="Times New Roman"/>
                <w:szCs w:val="21"/>
              </w:rPr>
            </w:pPr>
            <w:r>
              <w:rPr>
                <w:rFonts w:hint="eastAsia" w:cs="Times New Roman"/>
                <w:szCs w:val="21"/>
              </w:rPr>
              <w:t>0.86</w:t>
            </w:r>
          </w:p>
        </w:tc>
        <w:tc>
          <w:tcPr>
            <w:tcW w:w="725" w:type="pct"/>
            <w:vMerge w:val="continue"/>
            <w:vAlign w:val="center"/>
          </w:tcPr>
          <w:p w14:paraId="5A3AC50F">
            <w:pPr>
              <w:pStyle w:val="64"/>
              <w:wordWrap w:val="0"/>
              <w:rPr>
                <w:rFonts w:cs="Times New Roman"/>
                <w:szCs w:val="21"/>
              </w:rPr>
            </w:pPr>
          </w:p>
        </w:tc>
        <w:tc>
          <w:tcPr>
            <w:tcW w:w="626" w:type="pct"/>
            <w:vAlign w:val="center"/>
          </w:tcPr>
          <w:p w14:paraId="1BA6BFB8">
            <w:pPr>
              <w:pStyle w:val="64"/>
              <w:wordWrap w:val="0"/>
              <w:rPr>
                <w:rFonts w:cs="Times New Roman"/>
                <w:szCs w:val="21"/>
              </w:rPr>
            </w:pPr>
            <w:r>
              <w:rPr>
                <w:rFonts w:hint="eastAsia" w:cs="Times New Roman"/>
                <w:szCs w:val="21"/>
              </w:rPr>
              <w:t>2000</w:t>
            </w:r>
          </w:p>
        </w:tc>
        <w:tc>
          <w:tcPr>
            <w:tcW w:w="468" w:type="pct"/>
            <w:tcBorders>
              <w:top w:val="single" w:color="000000" w:sz="2" w:space="0"/>
              <w:left w:val="single" w:color="000000" w:sz="2" w:space="0"/>
              <w:bottom w:val="single" w:color="000000" w:sz="2" w:space="0"/>
              <w:right w:val="single" w:color="auto" w:sz="4" w:space="0"/>
            </w:tcBorders>
            <w:tcMar>
              <w:top w:w="15" w:type="dxa"/>
              <w:left w:w="15" w:type="dxa"/>
              <w:bottom w:w="15" w:type="dxa"/>
              <w:right w:w="15" w:type="dxa"/>
            </w:tcMar>
            <w:vAlign w:val="center"/>
          </w:tcPr>
          <w:p w14:paraId="6715C591">
            <w:pPr>
              <w:pStyle w:val="64"/>
              <w:wordWrap w:val="0"/>
              <w:rPr>
                <w:rFonts w:cs="Times New Roman"/>
                <w:szCs w:val="21"/>
              </w:rPr>
            </w:pPr>
            <w:r>
              <w:rPr>
                <w:rFonts w:hint="eastAsia" w:cs="Times New Roman"/>
                <w:szCs w:val="21"/>
              </w:rPr>
              <w:t>0.04</w:t>
            </w:r>
          </w:p>
        </w:tc>
        <w:tc>
          <w:tcPr>
            <w:tcW w:w="470" w:type="pct"/>
            <w:tcBorders>
              <w:top w:val="single" w:color="000000" w:sz="2" w:space="0"/>
              <w:left w:val="single" w:color="auto" w:sz="4" w:space="0"/>
              <w:bottom w:val="single" w:color="000000" w:sz="2" w:space="0"/>
              <w:right w:val="single" w:color="000000" w:sz="2" w:space="0"/>
            </w:tcBorders>
            <w:vAlign w:val="center"/>
          </w:tcPr>
          <w:p w14:paraId="49492FB4">
            <w:pPr>
              <w:pStyle w:val="64"/>
              <w:wordWrap w:val="0"/>
              <w:rPr>
                <w:rFonts w:cs="Times New Roman"/>
                <w:szCs w:val="21"/>
              </w:rPr>
            </w:pPr>
            <w:r>
              <w:rPr>
                <w:rFonts w:hint="eastAsia" w:cs="Times New Roman"/>
                <w:szCs w:val="21"/>
              </w:rPr>
              <w:t>/</w:t>
            </w:r>
          </w:p>
        </w:tc>
        <w:tc>
          <w:tcPr>
            <w:tcW w:w="466" w:type="pct"/>
            <w:vAlign w:val="center"/>
          </w:tcPr>
          <w:p w14:paraId="17B7F90A">
            <w:pPr>
              <w:pStyle w:val="64"/>
              <w:wordWrap w:val="0"/>
              <w:rPr>
                <w:rFonts w:cs="Times New Roman"/>
                <w:szCs w:val="21"/>
              </w:rPr>
            </w:pPr>
            <w:r>
              <w:rPr>
                <w:rFonts w:hint="eastAsia" w:cs="Times New Roman"/>
                <w:szCs w:val="21"/>
              </w:rPr>
              <w:t>三级</w:t>
            </w:r>
          </w:p>
        </w:tc>
      </w:tr>
      <w:tr w14:paraId="75FAFE9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20" w:hRule="atLeast"/>
          <w:jc w:val="center"/>
        </w:trPr>
        <w:tc>
          <w:tcPr>
            <w:tcW w:w="701" w:type="pct"/>
            <w:vMerge w:val="continue"/>
            <w:tcBorders>
              <w:left w:val="single" w:color="auto" w:sz="4" w:space="0"/>
              <w:right w:val="single" w:color="000000" w:sz="2" w:space="0"/>
            </w:tcBorders>
            <w:vAlign w:val="center"/>
          </w:tcPr>
          <w:p w14:paraId="4640B2C1">
            <w:pPr>
              <w:pStyle w:val="64"/>
              <w:wordWrap w:val="0"/>
              <w:rPr>
                <w:rFonts w:cs="Times New Roman"/>
                <w:szCs w:val="21"/>
              </w:rPr>
            </w:pPr>
          </w:p>
        </w:tc>
        <w:tc>
          <w:tcPr>
            <w:tcW w:w="783" w:type="pct"/>
            <w:tcBorders>
              <w:top w:val="single" w:color="000000" w:sz="2" w:space="0"/>
              <w:left w:val="single" w:color="auto" w:sz="4" w:space="0"/>
              <w:bottom w:val="single" w:color="000000" w:sz="2" w:space="0"/>
              <w:right w:val="single" w:color="000000" w:sz="2" w:space="0"/>
            </w:tcBorders>
            <w:vAlign w:val="center"/>
          </w:tcPr>
          <w:p w14:paraId="3B1675A6">
            <w:pPr>
              <w:pStyle w:val="64"/>
              <w:wordWrap w:val="0"/>
              <w:rPr>
                <w:rFonts w:cs="Times New Roman"/>
                <w:szCs w:val="21"/>
              </w:rPr>
            </w:pPr>
            <w:r>
              <w:rPr>
                <w:rFonts w:cs="Times New Roman"/>
                <w:szCs w:val="21"/>
              </w:rPr>
              <w:t>硫酸雾</w:t>
            </w:r>
          </w:p>
        </w:tc>
        <w:tc>
          <w:tcPr>
            <w:tcW w:w="760" w:type="pct"/>
            <w:tcBorders>
              <w:top w:val="single" w:color="000000" w:sz="2" w:space="0"/>
              <w:left w:val="single" w:color="auto" w:sz="4" w:space="0"/>
              <w:bottom w:val="single" w:color="000000" w:sz="2" w:space="0"/>
              <w:right w:val="single" w:color="000000" w:sz="2" w:space="0"/>
            </w:tcBorders>
            <w:vAlign w:val="center"/>
          </w:tcPr>
          <w:p w14:paraId="67AC2B7B">
            <w:pPr>
              <w:pStyle w:val="64"/>
              <w:wordWrap w:val="0"/>
              <w:rPr>
                <w:rFonts w:cs="Times New Roman"/>
                <w:szCs w:val="21"/>
              </w:rPr>
            </w:pPr>
            <w:r>
              <w:rPr>
                <w:rFonts w:hint="eastAsia" w:cs="Times New Roman"/>
                <w:szCs w:val="21"/>
              </w:rPr>
              <w:t>1.54</w:t>
            </w:r>
          </w:p>
        </w:tc>
        <w:tc>
          <w:tcPr>
            <w:tcW w:w="725" w:type="pct"/>
            <w:vMerge w:val="continue"/>
            <w:vAlign w:val="center"/>
          </w:tcPr>
          <w:p w14:paraId="530D0724">
            <w:pPr>
              <w:pStyle w:val="64"/>
              <w:wordWrap w:val="0"/>
              <w:rPr>
                <w:rFonts w:cs="Times New Roman"/>
                <w:szCs w:val="21"/>
              </w:rPr>
            </w:pPr>
          </w:p>
        </w:tc>
        <w:tc>
          <w:tcPr>
            <w:tcW w:w="626" w:type="pct"/>
            <w:vAlign w:val="center"/>
          </w:tcPr>
          <w:p w14:paraId="35D7DAC7">
            <w:pPr>
              <w:pStyle w:val="64"/>
              <w:wordWrap w:val="0"/>
              <w:rPr>
                <w:rFonts w:cs="Times New Roman"/>
                <w:szCs w:val="21"/>
              </w:rPr>
            </w:pPr>
            <w:r>
              <w:rPr>
                <w:rFonts w:hint="eastAsia" w:cs="Times New Roman"/>
                <w:szCs w:val="21"/>
              </w:rPr>
              <w:t>300</w:t>
            </w:r>
          </w:p>
        </w:tc>
        <w:tc>
          <w:tcPr>
            <w:tcW w:w="468" w:type="pct"/>
            <w:tcBorders>
              <w:top w:val="single" w:color="000000" w:sz="2" w:space="0"/>
              <w:left w:val="single" w:color="000000" w:sz="2" w:space="0"/>
              <w:bottom w:val="single" w:color="000000" w:sz="2" w:space="0"/>
              <w:right w:val="single" w:color="auto" w:sz="4" w:space="0"/>
            </w:tcBorders>
            <w:tcMar>
              <w:top w:w="15" w:type="dxa"/>
              <w:left w:w="15" w:type="dxa"/>
              <w:bottom w:w="15" w:type="dxa"/>
              <w:right w:w="15" w:type="dxa"/>
            </w:tcMar>
            <w:vAlign w:val="center"/>
          </w:tcPr>
          <w:p w14:paraId="34F0D0F2">
            <w:pPr>
              <w:pStyle w:val="64"/>
              <w:wordWrap w:val="0"/>
              <w:rPr>
                <w:rFonts w:cs="Times New Roman"/>
                <w:szCs w:val="21"/>
              </w:rPr>
            </w:pPr>
            <w:r>
              <w:rPr>
                <w:rFonts w:hint="eastAsia" w:cs="Times New Roman"/>
                <w:szCs w:val="21"/>
              </w:rPr>
              <w:t>0.51</w:t>
            </w:r>
          </w:p>
        </w:tc>
        <w:tc>
          <w:tcPr>
            <w:tcW w:w="470" w:type="pct"/>
            <w:tcBorders>
              <w:top w:val="single" w:color="000000" w:sz="2" w:space="0"/>
              <w:left w:val="single" w:color="auto" w:sz="4" w:space="0"/>
              <w:bottom w:val="single" w:color="000000" w:sz="2" w:space="0"/>
              <w:right w:val="single" w:color="000000" w:sz="2" w:space="0"/>
            </w:tcBorders>
            <w:vAlign w:val="center"/>
          </w:tcPr>
          <w:p w14:paraId="158CA6CA">
            <w:pPr>
              <w:pStyle w:val="64"/>
              <w:wordWrap w:val="0"/>
              <w:rPr>
                <w:rFonts w:cs="Times New Roman"/>
                <w:szCs w:val="21"/>
              </w:rPr>
            </w:pPr>
            <w:r>
              <w:rPr>
                <w:rFonts w:hint="eastAsia" w:cs="Times New Roman"/>
                <w:szCs w:val="21"/>
              </w:rPr>
              <w:t>/</w:t>
            </w:r>
          </w:p>
        </w:tc>
        <w:tc>
          <w:tcPr>
            <w:tcW w:w="466" w:type="pct"/>
            <w:vAlign w:val="center"/>
          </w:tcPr>
          <w:p w14:paraId="4FE742D0">
            <w:pPr>
              <w:pStyle w:val="64"/>
              <w:wordWrap w:val="0"/>
              <w:rPr>
                <w:rFonts w:cs="Times New Roman"/>
                <w:szCs w:val="21"/>
              </w:rPr>
            </w:pPr>
            <w:r>
              <w:rPr>
                <w:rFonts w:hint="eastAsia" w:cs="Times New Roman"/>
                <w:szCs w:val="21"/>
              </w:rPr>
              <w:t>三级</w:t>
            </w:r>
          </w:p>
        </w:tc>
      </w:tr>
    </w:tbl>
    <w:p w14:paraId="39054583">
      <w:pPr>
        <w:rPr>
          <w:rFonts w:cs="Times New Roman"/>
          <w:spacing w:val="-3"/>
        </w:rPr>
      </w:pPr>
    </w:p>
    <w:p w14:paraId="1A489306">
      <w:pPr>
        <w:ind w:firstLine="480" w:firstLineChars="200"/>
        <w:rPr>
          <w:szCs w:val="25"/>
        </w:rPr>
      </w:pPr>
      <w:r>
        <w:rPr>
          <w:rFonts w:hint="eastAsia"/>
        </w:rPr>
        <w:t>由表2.4-3可知，本项目最大占标率污染源为生产装置区无组织排放的酚类，</w:t>
      </w:r>
      <w:r>
        <w:t>P</w:t>
      </w:r>
      <w:r>
        <w:rPr>
          <w:vertAlign w:val="subscript"/>
        </w:rPr>
        <w:t>max</w:t>
      </w:r>
      <w:r>
        <w:t>=</w:t>
      </w:r>
      <w:r>
        <w:rPr>
          <w:rFonts w:hint="eastAsia"/>
        </w:rPr>
        <w:t>37.66</w:t>
      </w:r>
      <w:r>
        <w:t>%</w:t>
      </w:r>
      <w:r>
        <w:rPr>
          <w:rFonts w:hint="eastAsia"/>
        </w:rPr>
        <w:t>，</w:t>
      </w:r>
      <w:r>
        <w:t>根据《环境影响评价技术导则大气环境(HJ2.2-2018)》，本项目大气评价等级为一级评价</w:t>
      </w:r>
      <w:r>
        <w:rPr>
          <w:szCs w:val="25"/>
        </w:rPr>
        <w:t>。</w:t>
      </w:r>
    </w:p>
    <w:p w14:paraId="6D3D1E40">
      <w:pPr>
        <w:ind w:firstLine="480" w:firstLineChars="200"/>
      </w:pPr>
      <w:r>
        <w:rPr>
          <w:rFonts w:hint="eastAsia"/>
        </w:rPr>
        <w:t>按照《大气环境影响评价技术导则 大气环境》(HJ2.2-2018)中推荐的AERSCREEN模式进行计算，生产装置区无组织排放酚类的D10%最远，约150m，确定项目大气环境影响评价范围为以项目厂址为中心区域，边长5km的矩形区域。</w:t>
      </w:r>
    </w:p>
    <w:p w14:paraId="5CBE6B9E">
      <w:pPr>
        <w:ind w:firstLine="480" w:firstLineChars="200"/>
      </w:pPr>
      <w:r>
        <w:rPr>
          <w:rFonts w:hint="eastAsia"/>
        </w:rPr>
        <w:t>(2)地表水环境评价等级</w:t>
      </w:r>
    </w:p>
    <w:p w14:paraId="10337BAC">
      <w:pPr>
        <w:ind w:firstLine="480" w:firstLineChars="200"/>
        <w:rPr>
          <w:snapToGrid w:val="0"/>
          <w:kern w:val="0"/>
        </w:rPr>
      </w:pPr>
      <w:r>
        <w:rPr>
          <w:snapToGrid w:val="0"/>
          <w:kern w:val="0"/>
        </w:rPr>
        <w:t>根据《环境影响评价技术导则地表水环境》(HJ2.3-2018)，本项目属于水污染影响型建设项目，根据排放方式和废水排放量划分评价等级。</w:t>
      </w:r>
    </w:p>
    <w:p w14:paraId="221C1ED9">
      <w:pPr>
        <w:ind w:firstLine="480" w:firstLineChars="200"/>
        <w:rPr>
          <w:snapToGrid w:val="0"/>
          <w:kern w:val="0"/>
        </w:rPr>
      </w:pPr>
      <w:r>
        <w:rPr>
          <w:snapToGrid w:val="0"/>
          <w:kern w:val="0"/>
        </w:rPr>
        <w:t>本项目废水</w:t>
      </w:r>
      <w:r>
        <w:rPr>
          <w:rFonts w:hint="eastAsia"/>
          <w:snapToGrid w:val="0"/>
          <w:kern w:val="0"/>
        </w:rPr>
        <w:t>依托厂区现有</w:t>
      </w:r>
      <w:r>
        <w:rPr>
          <w:snapToGrid w:val="0"/>
          <w:kern w:val="0"/>
        </w:rPr>
        <w:t>污水处理站处理后排入蚌埠第三污水处理有限公司沫河口工业园污水处理厂</w:t>
      </w:r>
      <w:r>
        <w:rPr>
          <w:rFonts w:hint="eastAsia"/>
          <w:snapToGrid w:val="0"/>
          <w:kern w:val="0"/>
        </w:rPr>
        <w:t>三期</w:t>
      </w:r>
      <w:r>
        <w:rPr>
          <w:snapToGrid w:val="0"/>
          <w:kern w:val="0"/>
        </w:rPr>
        <w:t>集中处理，排放方式为间接排放，根据《环境影响评价技术导则地表水环境》(HJ2.3-2018)评价等级划分要求，间接排放建设项目评价等级为三级B。</w:t>
      </w:r>
    </w:p>
    <w:p w14:paraId="2BD82880">
      <w:pPr>
        <w:ind w:firstLine="480" w:firstLineChars="200"/>
        <w:rPr>
          <w:snapToGrid w:val="0"/>
          <w:kern w:val="0"/>
        </w:rPr>
      </w:pPr>
      <w:r>
        <w:rPr>
          <w:rFonts w:hint="eastAsia"/>
          <w:snapToGrid w:val="0"/>
          <w:kern w:val="0"/>
        </w:rPr>
        <w:t>(3)地下水评价等级</w:t>
      </w:r>
    </w:p>
    <w:p w14:paraId="1E967CC9">
      <w:pPr>
        <w:ind w:firstLine="480" w:firstLineChars="200"/>
        <w:rPr>
          <w:snapToGrid w:val="0"/>
          <w:kern w:val="0"/>
        </w:rPr>
      </w:pPr>
      <w:r>
        <w:rPr>
          <w:rFonts w:hint="eastAsia"/>
          <w:snapToGrid w:val="0"/>
          <w:kern w:val="0"/>
        </w:rPr>
        <w:t>a、建设项目分类</w:t>
      </w:r>
    </w:p>
    <w:p w14:paraId="0E3DED09">
      <w:pPr>
        <w:ind w:firstLine="480" w:firstLineChars="200"/>
        <w:rPr>
          <w:snapToGrid w:val="0"/>
          <w:kern w:val="0"/>
        </w:rPr>
      </w:pPr>
      <w:r>
        <w:rPr>
          <w:rFonts w:hint="eastAsia"/>
          <w:snapToGrid w:val="0"/>
          <w:kern w:val="0"/>
        </w:rPr>
        <w:t>本项目为化工类项目，对照</w:t>
      </w:r>
      <w:r>
        <w:rPr>
          <w:snapToGrid w:val="0"/>
          <w:kern w:val="0"/>
        </w:rPr>
        <w:t>《环境影响评价技术导则地下水环境》</w:t>
      </w:r>
      <w:r>
        <w:rPr>
          <w:rFonts w:hint="eastAsia"/>
          <w:snapToGrid w:val="0"/>
          <w:kern w:val="0"/>
        </w:rPr>
        <w:t>(HJ610-2016)中“附录A地下水环境影响评价行业分类表”本项目属于地下水环境影响评价项目类别中</w:t>
      </w:r>
      <w:r>
        <w:rPr>
          <w:rFonts w:cs="Times New Roman"/>
          <w:snapToGrid w:val="0"/>
          <w:kern w:val="0"/>
        </w:rPr>
        <w:t>的Ⅰ类项目</w:t>
      </w:r>
      <w:r>
        <w:rPr>
          <w:rFonts w:hint="eastAsia"/>
          <w:snapToGrid w:val="0"/>
          <w:kern w:val="0"/>
        </w:rPr>
        <w:t>。</w:t>
      </w:r>
    </w:p>
    <w:p w14:paraId="78BB26B7">
      <w:pPr>
        <w:ind w:firstLine="480" w:firstLineChars="200"/>
        <w:rPr>
          <w:snapToGrid w:val="0"/>
          <w:kern w:val="0"/>
        </w:rPr>
      </w:pPr>
      <w:r>
        <w:rPr>
          <w:rFonts w:hint="eastAsia"/>
          <w:snapToGrid w:val="0"/>
          <w:kern w:val="0"/>
        </w:rPr>
        <w:t>b、建设项目等级划分</w:t>
      </w:r>
    </w:p>
    <w:p w14:paraId="3EC94061">
      <w:pPr>
        <w:ind w:firstLine="480" w:firstLineChars="200"/>
        <w:rPr>
          <w:snapToGrid w:val="0"/>
          <w:kern w:val="0"/>
        </w:rPr>
      </w:pPr>
      <w:r>
        <w:rPr>
          <w:rFonts w:hint="eastAsia"/>
          <w:snapToGrid w:val="0"/>
          <w:kern w:val="0"/>
        </w:rPr>
        <w:t>拟建项目所在</w:t>
      </w:r>
      <w:r>
        <w:rPr>
          <w:snapToGrid w:val="0"/>
          <w:kern w:val="0"/>
        </w:rPr>
        <w:t>区域无集中式饮用水源地，不属于水源地保护区和准保护区，</w:t>
      </w:r>
      <w:r>
        <w:rPr>
          <w:rFonts w:hint="eastAsia"/>
          <w:snapToGrid w:val="0"/>
          <w:kern w:val="0"/>
        </w:rPr>
        <w:t>地下水不用作饮用水源，因此项目地下水环境敏感程度为“不敏感”。</w:t>
      </w:r>
    </w:p>
    <w:p w14:paraId="49B7937E">
      <w:pPr>
        <w:ind w:firstLine="480" w:firstLineChars="200"/>
        <w:rPr>
          <w:snapToGrid w:val="0"/>
          <w:kern w:val="0"/>
        </w:rPr>
      </w:pPr>
      <w:r>
        <w:rPr>
          <w:rFonts w:hint="eastAsia"/>
          <w:snapToGrid w:val="0"/>
          <w:kern w:val="0"/>
        </w:rPr>
        <w:t>根据</w:t>
      </w:r>
      <w:r>
        <w:rPr>
          <w:snapToGrid w:val="0"/>
          <w:kern w:val="0"/>
        </w:rPr>
        <w:t>《环境影响评价技术导则 地下水环境》</w:t>
      </w:r>
      <w:r>
        <w:rPr>
          <w:rFonts w:hint="eastAsia"/>
          <w:snapToGrid w:val="0"/>
          <w:kern w:val="0"/>
        </w:rPr>
        <w:t>(HJ610-2016)</w:t>
      </w:r>
      <w:r>
        <w:rPr>
          <w:snapToGrid w:val="0"/>
          <w:kern w:val="0"/>
        </w:rPr>
        <w:t>中建设项目地下水环境影响评价工作等级划分依据，确定本项目</w:t>
      </w:r>
      <w:r>
        <w:rPr>
          <w:rFonts w:hint="eastAsia"/>
          <w:snapToGrid w:val="0"/>
          <w:kern w:val="0"/>
        </w:rPr>
        <w:t>地下水环境影响</w:t>
      </w:r>
      <w:r>
        <w:rPr>
          <w:snapToGrid w:val="0"/>
          <w:kern w:val="0"/>
        </w:rPr>
        <w:t>评价工作等级为</w:t>
      </w:r>
      <w:r>
        <w:rPr>
          <w:rFonts w:hint="eastAsia"/>
          <w:snapToGrid w:val="0"/>
          <w:kern w:val="0"/>
        </w:rPr>
        <w:t>二</w:t>
      </w:r>
      <w:r>
        <w:rPr>
          <w:snapToGrid w:val="0"/>
          <w:kern w:val="0"/>
        </w:rPr>
        <w:t>级，评价工作等级划分依据详见表</w:t>
      </w:r>
      <w:r>
        <w:rPr>
          <w:rFonts w:hint="eastAsia"/>
          <w:snapToGrid w:val="0"/>
          <w:kern w:val="0"/>
        </w:rPr>
        <w:t>2.4</w:t>
      </w:r>
      <w:r>
        <w:rPr>
          <w:snapToGrid w:val="0"/>
          <w:kern w:val="0"/>
        </w:rPr>
        <w:t>-</w:t>
      </w:r>
      <w:r>
        <w:rPr>
          <w:rFonts w:hint="eastAsia"/>
          <w:snapToGrid w:val="0"/>
          <w:kern w:val="0"/>
        </w:rPr>
        <w:t>4</w:t>
      </w:r>
      <w:r>
        <w:rPr>
          <w:snapToGrid w:val="0"/>
          <w:kern w:val="0"/>
        </w:rPr>
        <w:t>。</w:t>
      </w:r>
    </w:p>
    <w:p w14:paraId="22A222D7">
      <w:pPr>
        <w:pStyle w:val="28"/>
        <w:rPr>
          <w:rFonts w:hint="eastAsia"/>
        </w:rPr>
      </w:pPr>
      <w:r>
        <w:rPr>
          <w:rFonts w:hint="eastAsia"/>
        </w:rPr>
        <w:t>表2.4-4  本项目评价工作等级划分依据表</w:t>
      </w:r>
    </w:p>
    <w:tbl>
      <w:tblPr>
        <w:tblStyle w:val="36"/>
        <w:tblW w:w="0" w:type="auto"/>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2265"/>
        <w:gridCol w:w="2265"/>
        <w:gridCol w:w="2265"/>
        <w:gridCol w:w="2265"/>
      </w:tblGrid>
      <w:tr w14:paraId="52973A0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2265" w:type="dxa"/>
            <w:tcBorders>
              <w:tl2br w:val="single" w:color="auto" w:sz="4" w:space="0"/>
            </w:tcBorders>
          </w:tcPr>
          <w:p w14:paraId="411F5252">
            <w:pPr>
              <w:pStyle w:val="64"/>
              <w:jc w:val="right"/>
            </w:pPr>
            <w:r>
              <w:rPr>
                <w:rFonts w:hint="eastAsia"/>
              </w:rPr>
              <w:t>项目类别</w:t>
            </w:r>
          </w:p>
          <w:p w14:paraId="69A5E0D0">
            <w:pPr>
              <w:pStyle w:val="64"/>
              <w:jc w:val="left"/>
            </w:pPr>
            <w:r>
              <w:rPr>
                <w:rFonts w:hint="eastAsia"/>
              </w:rPr>
              <w:t>环境敏感程度</w:t>
            </w:r>
          </w:p>
        </w:tc>
        <w:tc>
          <w:tcPr>
            <w:tcW w:w="2265" w:type="dxa"/>
            <w:vAlign w:val="center"/>
          </w:tcPr>
          <w:p w14:paraId="1BAE8147">
            <w:pPr>
              <w:pStyle w:val="64"/>
              <w:rPr>
                <w:rFonts w:cs="Times New Roman"/>
              </w:rPr>
            </w:pPr>
            <w:r>
              <w:rPr>
                <w:rFonts w:cs="Times New Roman"/>
              </w:rPr>
              <w:t>Ⅰ类项目</w:t>
            </w:r>
          </w:p>
        </w:tc>
        <w:tc>
          <w:tcPr>
            <w:tcW w:w="2265" w:type="dxa"/>
            <w:vAlign w:val="center"/>
          </w:tcPr>
          <w:p w14:paraId="10A241FC">
            <w:pPr>
              <w:pStyle w:val="64"/>
              <w:rPr>
                <w:rFonts w:cs="Times New Roman"/>
              </w:rPr>
            </w:pPr>
            <w:r>
              <w:rPr>
                <w:rFonts w:cs="Times New Roman"/>
              </w:rPr>
              <w:t>Ⅱ类项目</w:t>
            </w:r>
          </w:p>
        </w:tc>
        <w:tc>
          <w:tcPr>
            <w:tcW w:w="2265" w:type="dxa"/>
            <w:vAlign w:val="center"/>
          </w:tcPr>
          <w:p w14:paraId="3BCA1512">
            <w:pPr>
              <w:pStyle w:val="64"/>
              <w:rPr>
                <w:rFonts w:cs="Times New Roman"/>
              </w:rPr>
            </w:pPr>
            <w:r>
              <w:rPr>
                <w:rFonts w:cs="Times New Roman"/>
              </w:rPr>
              <w:t>Ⅲ类项目</w:t>
            </w:r>
          </w:p>
        </w:tc>
      </w:tr>
      <w:tr w14:paraId="1D145EF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2265" w:type="dxa"/>
            <w:vAlign w:val="center"/>
          </w:tcPr>
          <w:p w14:paraId="0E9A7E0F">
            <w:pPr>
              <w:pStyle w:val="64"/>
            </w:pPr>
            <w:r>
              <w:rPr>
                <w:rFonts w:hint="eastAsia"/>
              </w:rPr>
              <w:t>敏感</w:t>
            </w:r>
          </w:p>
        </w:tc>
        <w:tc>
          <w:tcPr>
            <w:tcW w:w="2265" w:type="dxa"/>
            <w:vAlign w:val="center"/>
          </w:tcPr>
          <w:p w14:paraId="57E2B28E">
            <w:pPr>
              <w:pStyle w:val="64"/>
            </w:pPr>
            <w:r>
              <w:rPr>
                <w:rFonts w:hint="eastAsia"/>
              </w:rPr>
              <w:t>一</w:t>
            </w:r>
          </w:p>
        </w:tc>
        <w:tc>
          <w:tcPr>
            <w:tcW w:w="2265" w:type="dxa"/>
            <w:vAlign w:val="center"/>
          </w:tcPr>
          <w:p w14:paraId="2EE8D8C3">
            <w:pPr>
              <w:pStyle w:val="64"/>
            </w:pPr>
            <w:r>
              <w:rPr>
                <w:rFonts w:hint="eastAsia"/>
              </w:rPr>
              <w:t>一</w:t>
            </w:r>
          </w:p>
        </w:tc>
        <w:tc>
          <w:tcPr>
            <w:tcW w:w="2265" w:type="dxa"/>
            <w:vAlign w:val="center"/>
          </w:tcPr>
          <w:p w14:paraId="35D08F40">
            <w:pPr>
              <w:pStyle w:val="64"/>
            </w:pPr>
            <w:r>
              <w:rPr>
                <w:rFonts w:hint="eastAsia"/>
              </w:rPr>
              <w:t>二</w:t>
            </w:r>
          </w:p>
        </w:tc>
      </w:tr>
      <w:tr w14:paraId="6635BCA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2265" w:type="dxa"/>
            <w:vAlign w:val="center"/>
          </w:tcPr>
          <w:p w14:paraId="318D20D3">
            <w:pPr>
              <w:pStyle w:val="64"/>
            </w:pPr>
            <w:r>
              <w:rPr>
                <w:rFonts w:hint="eastAsia"/>
              </w:rPr>
              <w:t>较敏感</w:t>
            </w:r>
          </w:p>
        </w:tc>
        <w:tc>
          <w:tcPr>
            <w:tcW w:w="2265" w:type="dxa"/>
            <w:vAlign w:val="center"/>
          </w:tcPr>
          <w:p w14:paraId="0E30FD5F">
            <w:pPr>
              <w:pStyle w:val="64"/>
            </w:pPr>
            <w:r>
              <w:rPr>
                <w:rFonts w:hint="eastAsia"/>
              </w:rPr>
              <w:t>一</w:t>
            </w:r>
          </w:p>
        </w:tc>
        <w:tc>
          <w:tcPr>
            <w:tcW w:w="2265" w:type="dxa"/>
            <w:vAlign w:val="center"/>
          </w:tcPr>
          <w:p w14:paraId="0874DA44">
            <w:pPr>
              <w:pStyle w:val="64"/>
            </w:pPr>
            <w:r>
              <w:rPr>
                <w:rFonts w:hint="eastAsia"/>
              </w:rPr>
              <w:t>二</w:t>
            </w:r>
          </w:p>
        </w:tc>
        <w:tc>
          <w:tcPr>
            <w:tcW w:w="2265" w:type="dxa"/>
            <w:vAlign w:val="center"/>
          </w:tcPr>
          <w:p w14:paraId="05E61163">
            <w:pPr>
              <w:pStyle w:val="64"/>
            </w:pPr>
            <w:r>
              <w:rPr>
                <w:rFonts w:hint="eastAsia"/>
              </w:rPr>
              <w:t>三</w:t>
            </w:r>
          </w:p>
        </w:tc>
      </w:tr>
      <w:tr w14:paraId="1A0688D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2265" w:type="dxa"/>
            <w:vAlign w:val="center"/>
          </w:tcPr>
          <w:p w14:paraId="369373FD">
            <w:pPr>
              <w:pStyle w:val="64"/>
            </w:pPr>
            <w:r>
              <w:rPr>
                <w:rFonts w:hint="eastAsia"/>
              </w:rPr>
              <w:t>不敏感</w:t>
            </w:r>
          </w:p>
        </w:tc>
        <w:tc>
          <w:tcPr>
            <w:tcW w:w="2265" w:type="dxa"/>
            <w:shd w:val="clear" w:color="auto" w:fill="D8D8D8" w:themeFill="background1" w:themeFillShade="D9"/>
            <w:vAlign w:val="center"/>
          </w:tcPr>
          <w:p w14:paraId="51D58D85">
            <w:pPr>
              <w:pStyle w:val="64"/>
            </w:pPr>
            <w:r>
              <w:rPr>
                <w:rFonts w:hint="eastAsia"/>
              </w:rPr>
              <w:t>二</w:t>
            </w:r>
          </w:p>
        </w:tc>
        <w:tc>
          <w:tcPr>
            <w:tcW w:w="2265" w:type="dxa"/>
            <w:vAlign w:val="center"/>
          </w:tcPr>
          <w:p w14:paraId="08A314A4">
            <w:pPr>
              <w:pStyle w:val="64"/>
            </w:pPr>
            <w:r>
              <w:rPr>
                <w:rFonts w:hint="eastAsia"/>
              </w:rPr>
              <w:t>三</w:t>
            </w:r>
          </w:p>
        </w:tc>
        <w:tc>
          <w:tcPr>
            <w:tcW w:w="2265" w:type="dxa"/>
            <w:vAlign w:val="center"/>
          </w:tcPr>
          <w:p w14:paraId="735B8B93">
            <w:pPr>
              <w:pStyle w:val="64"/>
            </w:pPr>
            <w:r>
              <w:rPr>
                <w:rFonts w:hint="eastAsia"/>
              </w:rPr>
              <w:t>三</w:t>
            </w:r>
          </w:p>
        </w:tc>
      </w:tr>
    </w:tbl>
    <w:p w14:paraId="07BCF62E">
      <w:pPr>
        <w:rPr>
          <w:rFonts w:cs="Times New Roman"/>
          <w:spacing w:val="-3"/>
        </w:rPr>
      </w:pPr>
    </w:p>
    <w:p w14:paraId="773CF429">
      <w:pPr>
        <w:ind w:firstLine="480" w:firstLineChars="200"/>
        <w:rPr>
          <w:snapToGrid w:val="0"/>
          <w:kern w:val="0"/>
        </w:rPr>
      </w:pPr>
      <w:r>
        <w:rPr>
          <w:rFonts w:hint="eastAsia"/>
          <w:snapToGrid w:val="0"/>
          <w:kern w:val="0"/>
        </w:rPr>
        <w:t>(4)声环境评价等级</w:t>
      </w:r>
    </w:p>
    <w:p w14:paraId="786FC499">
      <w:pPr>
        <w:spacing w:line="360" w:lineRule="auto"/>
        <w:ind w:firstLine="424" w:firstLineChars="177"/>
      </w:pPr>
      <w:r>
        <w:rPr>
          <w:rFonts w:hint="eastAsia"/>
        </w:rPr>
        <w:t>技改</w:t>
      </w:r>
      <w:r>
        <w:t>项目位于</w:t>
      </w:r>
      <w:r>
        <w:rPr>
          <w:kern w:val="0"/>
        </w:rPr>
        <w:t>蚌埠精细化工高新技术产业基地</w:t>
      </w:r>
      <w:r>
        <w:t>，区域声环境执行《声环境质量标准》(GB3096-2008)中3类标准，且项目周边</w:t>
      </w:r>
      <w:r>
        <w:rPr>
          <w:rFonts w:hint="eastAsia"/>
        </w:rPr>
        <w:t>2</w:t>
      </w:r>
      <w:r>
        <w:t>00</w:t>
      </w:r>
      <w:r>
        <w:rPr>
          <w:rFonts w:hint="eastAsia"/>
        </w:rPr>
        <w:t>m范围</w:t>
      </w:r>
      <w:r>
        <w:t>内无声环境敏感目标，根据《环境影响评价技术导则</w:t>
      </w:r>
      <w:r>
        <w:rPr>
          <w:rFonts w:hint="eastAsia"/>
        </w:rPr>
        <w:t xml:space="preserve"> </w:t>
      </w:r>
      <w:r>
        <w:t>声环境》(HJ2.4-20</w:t>
      </w:r>
      <w:r>
        <w:rPr>
          <w:rFonts w:hint="eastAsia"/>
        </w:rPr>
        <w:t>21</w:t>
      </w:r>
      <w:r>
        <w:t>)中关于噪声评价等级的划分原则，确定声环境影响评价等级为三级。</w:t>
      </w:r>
    </w:p>
    <w:p w14:paraId="72D61D96">
      <w:pPr>
        <w:ind w:firstLine="480" w:firstLineChars="200"/>
      </w:pPr>
      <w:r>
        <w:rPr>
          <w:rFonts w:hint="eastAsia"/>
        </w:rPr>
        <w:t>(5)环境风险评价等级</w:t>
      </w:r>
    </w:p>
    <w:p w14:paraId="1B39F503">
      <w:pPr>
        <w:ind w:firstLine="480" w:firstLineChars="200"/>
        <w:rPr>
          <w:rFonts w:cs="Times New Roman"/>
        </w:rPr>
      </w:pPr>
      <w:r>
        <w:rPr>
          <w:rFonts w:cs="Times New Roman"/>
        </w:rPr>
        <w:t>环境风险评价工作等级划分为一级、二级、三级。根据建设项目涉及的物质及工艺系统危险性和所在地的环境敏感性确定环境风险潜势，按照表</w:t>
      </w:r>
      <w:r>
        <w:rPr>
          <w:rFonts w:hint="eastAsia" w:cs="Times New Roman"/>
        </w:rPr>
        <w:t>2</w:t>
      </w:r>
      <w:r>
        <w:rPr>
          <w:rFonts w:cs="Times New Roman"/>
        </w:rPr>
        <w:t>.4-5确定评价工作等级。风险潜势为Ⅳ及以上，进行一级评价；</w:t>
      </w:r>
      <w:bookmarkStart w:id="28" w:name="_Hlk53688780"/>
      <w:r>
        <w:rPr>
          <w:rFonts w:cs="Times New Roman"/>
        </w:rPr>
        <w:t>风险潜势为Ⅲ</w:t>
      </w:r>
      <w:bookmarkEnd w:id="28"/>
      <w:r>
        <w:rPr>
          <w:rFonts w:cs="Times New Roman"/>
        </w:rPr>
        <w:t>，进行二级评价；风险潜势为Ⅱ，进行三级评价；风险潜势为Ⅰ，可开展简单分析。</w:t>
      </w:r>
    </w:p>
    <w:p w14:paraId="19792EC3">
      <w:pPr>
        <w:pStyle w:val="28"/>
        <w:wordWrap/>
        <w:rPr>
          <w:rFonts w:hint="eastAsia"/>
        </w:rPr>
      </w:pPr>
      <w:r>
        <w:rPr>
          <w:rFonts w:hint="eastAsia"/>
        </w:rPr>
        <w:t>表2.4-5  评价工作等级划分</w:t>
      </w:r>
    </w:p>
    <w:tbl>
      <w:tblPr>
        <w:tblStyle w:val="3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49"/>
        <w:gridCol w:w="1885"/>
        <w:gridCol w:w="1850"/>
        <w:gridCol w:w="1850"/>
        <w:gridCol w:w="1852"/>
      </w:tblGrid>
      <w:tr w14:paraId="5AEAC4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trPr>
        <w:tc>
          <w:tcPr>
            <w:tcW w:w="996" w:type="pct"/>
            <w:tcBorders>
              <w:top w:val="single" w:color="auto" w:sz="4" w:space="0"/>
              <w:left w:val="single" w:color="auto" w:sz="4" w:space="0"/>
              <w:bottom w:val="single" w:color="auto" w:sz="4" w:space="0"/>
              <w:right w:val="single" w:color="auto" w:sz="4" w:space="0"/>
            </w:tcBorders>
            <w:vAlign w:val="center"/>
          </w:tcPr>
          <w:p w14:paraId="5903AAEE">
            <w:pPr>
              <w:pStyle w:val="64"/>
              <w:rPr>
                <w:rFonts w:cs="Times New Roman"/>
              </w:rPr>
            </w:pPr>
            <w:r>
              <w:rPr>
                <w:rFonts w:cs="Times New Roman"/>
              </w:rPr>
              <w:t>环境风险潜势</w:t>
            </w:r>
          </w:p>
        </w:tc>
        <w:tc>
          <w:tcPr>
            <w:tcW w:w="1015" w:type="pct"/>
            <w:tcBorders>
              <w:top w:val="single" w:color="auto" w:sz="4" w:space="0"/>
              <w:left w:val="single" w:color="auto" w:sz="4" w:space="0"/>
              <w:bottom w:val="single" w:color="auto" w:sz="4" w:space="0"/>
              <w:right w:val="single" w:color="auto" w:sz="4" w:space="0"/>
            </w:tcBorders>
            <w:vAlign w:val="center"/>
          </w:tcPr>
          <w:p w14:paraId="7CC16039">
            <w:pPr>
              <w:pStyle w:val="64"/>
              <w:rPr>
                <w:rFonts w:cs="Times New Roman"/>
              </w:rPr>
            </w:pPr>
            <w:r>
              <w:rPr>
                <w:rFonts w:cs="Times New Roman"/>
              </w:rPr>
              <w:t>Ⅳ、Ⅳ</w:t>
            </w:r>
            <w:r>
              <w:rPr>
                <w:rFonts w:cs="Times New Roman"/>
                <w:vertAlign w:val="superscript"/>
              </w:rPr>
              <w:t>+</w:t>
            </w:r>
          </w:p>
        </w:tc>
        <w:tc>
          <w:tcPr>
            <w:tcW w:w="996" w:type="pct"/>
            <w:tcBorders>
              <w:top w:val="single" w:color="auto" w:sz="4" w:space="0"/>
              <w:left w:val="single" w:color="auto" w:sz="4" w:space="0"/>
              <w:bottom w:val="single" w:color="auto" w:sz="4" w:space="0"/>
              <w:right w:val="single" w:color="auto" w:sz="4" w:space="0"/>
            </w:tcBorders>
            <w:vAlign w:val="center"/>
          </w:tcPr>
          <w:p w14:paraId="21955CE6">
            <w:pPr>
              <w:pStyle w:val="64"/>
              <w:rPr>
                <w:rFonts w:cs="Times New Roman"/>
              </w:rPr>
            </w:pPr>
            <w:r>
              <w:rPr>
                <w:rFonts w:cs="Times New Roman"/>
              </w:rPr>
              <w:t>Ⅲ</w:t>
            </w:r>
          </w:p>
        </w:tc>
        <w:tc>
          <w:tcPr>
            <w:tcW w:w="996" w:type="pct"/>
            <w:tcBorders>
              <w:top w:val="single" w:color="auto" w:sz="4" w:space="0"/>
              <w:left w:val="single" w:color="auto" w:sz="4" w:space="0"/>
              <w:bottom w:val="single" w:color="auto" w:sz="4" w:space="0"/>
              <w:right w:val="single" w:color="auto" w:sz="4" w:space="0"/>
            </w:tcBorders>
            <w:vAlign w:val="center"/>
          </w:tcPr>
          <w:p w14:paraId="7A19B67F">
            <w:pPr>
              <w:pStyle w:val="64"/>
              <w:rPr>
                <w:rFonts w:cs="Times New Roman"/>
              </w:rPr>
            </w:pPr>
            <w:r>
              <w:rPr>
                <w:rFonts w:cs="Times New Roman"/>
              </w:rPr>
              <w:t>Ⅱ</w:t>
            </w:r>
          </w:p>
        </w:tc>
        <w:tc>
          <w:tcPr>
            <w:tcW w:w="997" w:type="pct"/>
            <w:tcBorders>
              <w:top w:val="single" w:color="auto" w:sz="4" w:space="0"/>
              <w:left w:val="single" w:color="auto" w:sz="4" w:space="0"/>
              <w:bottom w:val="single" w:color="auto" w:sz="4" w:space="0"/>
              <w:right w:val="single" w:color="auto" w:sz="4" w:space="0"/>
            </w:tcBorders>
            <w:vAlign w:val="center"/>
          </w:tcPr>
          <w:p w14:paraId="477B2943">
            <w:pPr>
              <w:pStyle w:val="64"/>
              <w:rPr>
                <w:rFonts w:cs="Times New Roman"/>
              </w:rPr>
            </w:pPr>
            <w:r>
              <w:rPr>
                <w:rFonts w:cs="Times New Roman"/>
              </w:rPr>
              <w:t>Ⅰ</w:t>
            </w:r>
          </w:p>
        </w:tc>
      </w:tr>
      <w:tr w14:paraId="297EBD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96" w:type="pct"/>
            <w:tcBorders>
              <w:top w:val="single" w:color="auto" w:sz="4" w:space="0"/>
              <w:left w:val="single" w:color="auto" w:sz="4" w:space="0"/>
              <w:bottom w:val="single" w:color="auto" w:sz="4" w:space="0"/>
              <w:right w:val="single" w:color="auto" w:sz="4" w:space="0"/>
            </w:tcBorders>
            <w:vAlign w:val="center"/>
          </w:tcPr>
          <w:p w14:paraId="7B7CC3A8">
            <w:pPr>
              <w:pStyle w:val="64"/>
              <w:rPr>
                <w:rFonts w:cs="Times New Roman"/>
              </w:rPr>
            </w:pPr>
            <w:r>
              <w:rPr>
                <w:rFonts w:cs="Times New Roman"/>
              </w:rPr>
              <w:t>评价工作等级</w:t>
            </w:r>
          </w:p>
        </w:tc>
        <w:tc>
          <w:tcPr>
            <w:tcW w:w="1015" w:type="pct"/>
            <w:tcBorders>
              <w:top w:val="single" w:color="auto" w:sz="4" w:space="0"/>
              <w:left w:val="single" w:color="auto" w:sz="4" w:space="0"/>
              <w:bottom w:val="single" w:color="auto" w:sz="4" w:space="0"/>
              <w:right w:val="single" w:color="auto" w:sz="4" w:space="0"/>
            </w:tcBorders>
            <w:vAlign w:val="center"/>
          </w:tcPr>
          <w:p w14:paraId="7C6AFEFC">
            <w:pPr>
              <w:pStyle w:val="64"/>
              <w:rPr>
                <w:rFonts w:cs="Times New Roman"/>
              </w:rPr>
            </w:pPr>
            <w:r>
              <w:rPr>
                <w:rFonts w:cs="Times New Roman"/>
              </w:rPr>
              <w:t>一</w:t>
            </w:r>
          </w:p>
        </w:tc>
        <w:tc>
          <w:tcPr>
            <w:tcW w:w="996" w:type="pct"/>
            <w:tcBorders>
              <w:top w:val="single" w:color="auto" w:sz="4" w:space="0"/>
              <w:left w:val="single" w:color="auto" w:sz="4" w:space="0"/>
              <w:bottom w:val="single" w:color="auto" w:sz="4" w:space="0"/>
              <w:right w:val="single" w:color="auto" w:sz="4" w:space="0"/>
            </w:tcBorders>
            <w:vAlign w:val="center"/>
          </w:tcPr>
          <w:p w14:paraId="2FC50C99">
            <w:pPr>
              <w:pStyle w:val="64"/>
              <w:rPr>
                <w:rFonts w:cs="Times New Roman"/>
              </w:rPr>
            </w:pPr>
            <w:r>
              <w:rPr>
                <w:rFonts w:cs="Times New Roman"/>
              </w:rPr>
              <w:t>二</w:t>
            </w:r>
          </w:p>
        </w:tc>
        <w:tc>
          <w:tcPr>
            <w:tcW w:w="996" w:type="pct"/>
            <w:tcBorders>
              <w:top w:val="single" w:color="auto" w:sz="4" w:space="0"/>
              <w:left w:val="single" w:color="auto" w:sz="4" w:space="0"/>
              <w:bottom w:val="single" w:color="auto" w:sz="4" w:space="0"/>
              <w:right w:val="single" w:color="auto" w:sz="4" w:space="0"/>
            </w:tcBorders>
            <w:vAlign w:val="center"/>
          </w:tcPr>
          <w:p w14:paraId="35811795">
            <w:pPr>
              <w:pStyle w:val="64"/>
              <w:rPr>
                <w:rFonts w:cs="Times New Roman"/>
              </w:rPr>
            </w:pPr>
            <w:r>
              <w:rPr>
                <w:rFonts w:cs="Times New Roman"/>
              </w:rPr>
              <w:t>三</w:t>
            </w:r>
          </w:p>
        </w:tc>
        <w:tc>
          <w:tcPr>
            <w:tcW w:w="997" w:type="pct"/>
            <w:tcBorders>
              <w:top w:val="single" w:color="auto" w:sz="4" w:space="0"/>
              <w:left w:val="single" w:color="auto" w:sz="4" w:space="0"/>
              <w:bottom w:val="single" w:color="auto" w:sz="4" w:space="0"/>
              <w:right w:val="single" w:color="auto" w:sz="4" w:space="0"/>
            </w:tcBorders>
            <w:vAlign w:val="center"/>
          </w:tcPr>
          <w:p w14:paraId="34728C57">
            <w:pPr>
              <w:pStyle w:val="64"/>
              <w:rPr>
                <w:rFonts w:cs="Times New Roman"/>
              </w:rPr>
            </w:pPr>
            <w:r>
              <w:rPr>
                <w:rFonts w:cs="Times New Roman"/>
              </w:rPr>
              <w:t>简单分析</w:t>
            </w:r>
            <w:r>
              <w:rPr>
                <w:rFonts w:cs="Times New Roman"/>
                <w:vertAlign w:val="superscript"/>
              </w:rPr>
              <w:t>a</w:t>
            </w:r>
          </w:p>
        </w:tc>
      </w:tr>
      <w:tr w14:paraId="703DC1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000" w:type="pct"/>
            <w:gridSpan w:val="5"/>
            <w:tcBorders>
              <w:top w:val="single" w:color="auto" w:sz="4" w:space="0"/>
              <w:left w:val="single" w:color="auto" w:sz="4" w:space="0"/>
              <w:bottom w:val="single" w:color="auto" w:sz="4" w:space="0"/>
              <w:right w:val="single" w:color="auto" w:sz="4" w:space="0"/>
            </w:tcBorders>
            <w:vAlign w:val="center"/>
          </w:tcPr>
          <w:p w14:paraId="7E49CCAB">
            <w:pPr>
              <w:pStyle w:val="64"/>
              <w:jc w:val="both"/>
              <w:rPr>
                <w:rFonts w:cs="Times New Roman"/>
              </w:rPr>
            </w:pPr>
            <w:r>
              <w:rPr>
                <w:rFonts w:cs="Times New Roman"/>
                <w:vertAlign w:val="superscript"/>
              </w:rPr>
              <w:t>a</w:t>
            </w:r>
            <w:r>
              <w:rPr>
                <w:rFonts w:cs="Times New Roman"/>
              </w:rPr>
              <w:t>：是相当于详细评价工作内容而言，在描述危险物质、环境影响途径、环境危害后果、风险防范措施等方面给出定性说明。</w:t>
            </w:r>
          </w:p>
        </w:tc>
      </w:tr>
    </w:tbl>
    <w:p w14:paraId="0C37C4DA">
      <w:pPr>
        <w:rPr>
          <w:rFonts w:cs="Times New Roman"/>
          <w:spacing w:val="-3"/>
        </w:rPr>
      </w:pPr>
    </w:p>
    <w:p w14:paraId="52878555">
      <w:pPr>
        <w:ind w:firstLine="424" w:firstLineChars="177"/>
      </w:pPr>
      <w:r>
        <w:rPr>
          <w:rFonts w:hint="eastAsia"/>
        </w:rPr>
        <w:t>根据项目环境风险潜势划分，项目大气、地表水环境风险评价等级为一级，地下水环境风险评价等级为二级，因此，项目环境风险评价等级为一级。</w:t>
      </w:r>
    </w:p>
    <w:p w14:paraId="3412F92D">
      <w:pPr>
        <w:ind w:firstLine="480" w:firstLineChars="200"/>
        <w:rPr>
          <w:snapToGrid w:val="0"/>
          <w:kern w:val="0"/>
        </w:rPr>
      </w:pPr>
      <w:r>
        <w:rPr>
          <w:rFonts w:hint="eastAsia"/>
          <w:snapToGrid w:val="0"/>
          <w:kern w:val="0"/>
        </w:rPr>
        <w:t>(6)土壤环境评价等级</w:t>
      </w:r>
    </w:p>
    <w:p w14:paraId="56EE1162">
      <w:pPr>
        <w:ind w:firstLine="424" w:firstLineChars="177"/>
      </w:pPr>
      <w:r>
        <w:t>1</w:t>
      </w:r>
      <w:r>
        <w:rPr>
          <w:rFonts w:hint="eastAsia"/>
        </w:rPr>
        <w:t>)占地规模</w:t>
      </w:r>
    </w:p>
    <w:p w14:paraId="061DB4DF">
      <w:pPr>
        <w:ind w:firstLine="424" w:firstLineChars="177"/>
      </w:pPr>
      <w:r>
        <w:rPr>
          <w:rFonts w:hint="eastAsia"/>
        </w:rPr>
        <w:t>拟建项目位于海华科技集团现有东厂区用地范围内，现有项目占地面积为</w:t>
      </w:r>
      <w:r>
        <w:t>33335</w:t>
      </w:r>
      <w:r>
        <w:rPr>
          <w:rFonts w:hint="eastAsia"/>
        </w:rPr>
        <w:t>m</w:t>
      </w:r>
      <w:r>
        <w:rPr>
          <w:rFonts w:hint="eastAsia"/>
          <w:vertAlign w:val="superscript"/>
        </w:rPr>
        <w:t>2</w:t>
      </w:r>
      <w:r>
        <w:rPr>
          <w:rFonts w:hint="eastAsia"/>
        </w:rPr>
        <w:t>，占地规模为小型(小于</w:t>
      </w:r>
      <w:r>
        <w:t>5hm</w:t>
      </w:r>
      <w:r>
        <w:rPr>
          <w:vertAlign w:val="superscript"/>
        </w:rPr>
        <w:t>2</w:t>
      </w:r>
      <w:r>
        <w:rPr>
          <w:rFonts w:hint="eastAsia"/>
        </w:rPr>
        <w:t>)。</w:t>
      </w:r>
    </w:p>
    <w:p w14:paraId="3CB08170">
      <w:pPr>
        <w:ind w:firstLine="424" w:firstLineChars="177"/>
      </w:pPr>
      <w:r>
        <w:t>2</w:t>
      </w:r>
      <w:r>
        <w:rPr>
          <w:rFonts w:hint="eastAsia"/>
        </w:rPr>
        <w:t>)土壤环境敏感程度</w:t>
      </w:r>
    </w:p>
    <w:p w14:paraId="5A6288E4">
      <w:pPr>
        <w:ind w:firstLine="424" w:firstLineChars="177"/>
      </w:pPr>
      <w:r>
        <w:rPr>
          <w:rFonts w:hint="eastAsia"/>
        </w:rPr>
        <w:t>项目位于蚌埠沫河口工业园区，项目用地东侧约180m存在耕地，土壤环境敏感程度为敏感。</w:t>
      </w:r>
    </w:p>
    <w:p w14:paraId="112A7F8D">
      <w:pPr>
        <w:pStyle w:val="28"/>
        <w:rPr>
          <w:rFonts w:hint="eastAsia"/>
        </w:rPr>
      </w:pPr>
      <w:r>
        <w:rPr>
          <w:rFonts w:hint="eastAsia"/>
        </w:rPr>
        <w:t>表2.4-6  污染影响型敏感程度分级表</w:t>
      </w:r>
    </w:p>
    <w:tbl>
      <w:tblPr>
        <w:tblStyle w:val="36"/>
        <w:tblW w:w="0" w:type="auto"/>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1866"/>
        <w:gridCol w:w="7420"/>
      </w:tblGrid>
      <w:tr w14:paraId="24F6E60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337" w:hRule="atLeast"/>
        </w:trPr>
        <w:tc>
          <w:tcPr>
            <w:tcW w:w="1866" w:type="dxa"/>
            <w:tcBorders>
              <w:top w:val="single" w:color="000000" w:sz="4" w:space="0"/>
              <w:left w:val="single" w:color="000000" w:sz="4" w:space="0"/>
              <w:bottom w:val="single" w:color="000000" w:sz="4" w:space="0"/>
              <w:right w:val="single" w:color="000000" w:sz="4" w:space="0"/>
            </w:tcBorders>
            <w:vAlign w:val="center"/>
          </w:tcPr>
          <w:p w14:paraId="266C0D34">
            <w:pPr>
              <w:pStyle w:val="64"/>
            </w:pPr>
            <w:r>
              <w:rPr>
                <w:rFonts w:hint="eastAsia"/>
              </w:rPr>
              <w:t>敏感程度</w:t>
            </w:r>
          </w:p>
        </w:tc>
        <w:tc>
          <w:tcPr>
            <w:tcW w:w="7420" w:type="dxa"/>
            <w:tcBorders>
              <w:top w:val="single" w:color="000000" w:sz="4" w:space="0"/>
              <w:left w:val="single" w:color="000000" w:sz="4" w:space="0"/>
              <w:bottom w:val="single" w:color="000000" w:sz="4" w:space="0"/>
              <w:right w:val="single" w:color="000000" w:sz="4" w:space="0"/>
            </w:tcBorders>
            <w:vAlign w:val="center"/>
          </w:tcPr>
          <w:p w14:paraId="1A435A96">
            <w:pPr>
              <w:pStyle w:val="64"/>
            </w:pPr>
            <w:r>
              <w:rPr>
                <w:rFonts w:hint="eastAsia"/>
              </w:rPr>
              <w:t>判别依据</w:t>
            </w:r>
          </w:p>
        </w:tc>
      </w:tr>
      <w:tr w14:paraId="3286BBD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00" w:hRule="atLeast"/>
        </w:trPr>
        <w:tc>
          <w:tcPr>
            <w:tcW w:w="1866" w:type="dxa"/>
            <w:tcBorders>
              <w:top w:val="single" w:color="000000" w:sz="4" w:space="0"/>
              <w:left w:val="single" w:color="000000" w:sz="4" w:space="0"/>
              <w:bottom w:val="single" w:color="000000" w:sz="4" w:space="0"/>
              <w:right w:val="single" w:color="000000" w:sz="4" w:space="0"/>
            </w:tcBorders>
            <w:vAlign w:val="center"/>
          </w:tcPr>
          <w:p w14:paraId="2EE3D44B">
            <w:pPr>
              <w:pStyle w:val="64"/>
            </w:pPr>
            <w:r>
              <w:rPr>
                <w:rFonts w:hint="eastAsia"/>
              </w:rPr>
              <w:t>敏感</w:t>
            </w:r>
          </w:p>
        </w:tc>
        <w:tc>
          <w:tcPr>
            <w:tcW w:w="7420" w:type="dxa"/>
            <w:tcBorders>
              <w:top w:val="single" w:color="000000" w:sz="4" w:space="0"/>
              <w:left w:val="single" w:color="000000" w:sz="4" w:space="0"/>
              <w:bottom w:val="single" w:color="000000" w:sz="4" w:space="0"/>
              <w:right w:val="single" w:color="000000" w:sz="4" w:space="0"/>
            </w:tcBorders>
            <w:vAlign w:val="center"/>
          </w:tcPr>
          <w:p w14:paraId="7553FFBC">
            <w:pPr>
              <w:pStyle w:val="64"/>
            </w:pPr>
            <w:r>
              <w:rPr>
                <w:rFonts w:hint="eastAsia"/>
              </w:rPr>
              <w:t>建设项目周边存在耕地、园地、牧草地、饮用水水源地或居民区、学校、医院、疗养院、养老院等土壤环境敏感目标的</w:t>
            </w:r>
          </w:p>
        </w:tc>
      </w:tr>
      <w:tr w14:paraId="39979DD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00" w:hRule="atLeast"/>
        </w:trPr>
        <w:tc>
          <w:tcPr>
            <w:tcW w:w="1866" w:type="dxa"/>
            <w:tcBorders>
              <w:top w:val="single" w:color="000000" w:sz="4" w:space="0"/>
              <w:left w:val="single" w:color="000000" w:sz="4" w:space="0"/>
              <w:bottom w:val="single" w:color="000000" w:sz="4" w:space="0"/>
              <w:right w:val="single" w:color="000000" w:sz="4" w:space="0"/>
            </w:tcBorders>
            <w:vAlign w:val="center"/>
          </w:tcPr>
          <w:p w14:paraId="75E21521">
            <w:pPr>
              <w:pStyle w:val="64"/>
            </w:pPr>
            <w:r>
              <w:rPr>
                <w:rFonts w:hint="eastAsia"/>
              </w:rPr>
              <w:t>较敏感</w:t>
            </w:r>
          </w:p>
        </w:tc>
        <w:tc>
          <w:tcPr>
            <w:tcW w:w="7420" w:type="dxa"/>
            <w:tcBorders>
              <w:top w:val="single" w:color="000000" w:sz="4" w:space="0"/>
              <w:left w:val="single" w:color="000000" w:sz="4" w:space="0"/>
              <w:bottom w:val="single" w:color="000000" w:sz="4" w:space="0"/>
              <w:right w:val="single" w:color="000000" w:sz="4" w:space="0"/>
            </w:tcBorders>
            <w:vAlign w:val="center"/>
          </w:tcPr>
          <w:p w14:paraId="7D5178E3">
            <w:pPr>
              <w:pStyle w:val="64"/>
            </w:pPr>
            <w:r>
              <w:rPr>
                <w:rFonts w:hint="eastAsia"/>
              </w:rPr>
              <w:t>建设项目周边存在其他土壤环境敏感目标的</w:t>
            </w:r>
          </w:p>
        </w:tc>
      </w:tr>
      <w:tr w14:paraId="3085501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00" w:hRule="atLeast"/>
        </w:trPr>
        <w:tc>
          <w:tcPr>
            <w:tcW w:w="1866" w:type="dxa"/>
            <w:tcBorders>
              <w:top w:val="single" w:color="000000" w:sz="4" w:space="0"/>
              <w:left w:val="single" w:color="000000" w:sz="4" w:space="0"/>
              <w:bottom w:val="single" w:color="000000" w:sz="4" w:space="0"/>
              <w:right w:val="single" w:color="000000" w:sz="4" w:space="0"/>
            </w:tcBorders>
            <w:vAlign w:val="center"/>
          </w:tcPr>
          <w:p w14:paraId="08901BCD">
            <w:pPr>
              <w:pStyle w:val="64"/>
            </w:pPr>
            <w:r>
              <w:rPr>
                <w:rFonts w:hint="eastAsia"/>
              </w:rPr>
              <w:t>不敏感</w:t>
            </w:r>
          </w:p>
        </w:tc>
        <w:tc>
          <w:tcPr>
            <w:tcW w:w="7420" w:type="dxa"/>
            <w:tcBorders>
              <w:top w:val="single" w:color="000000" w:sz="4" w:space="0"/>
              <w:left w:val="single" w:color="000000" w:sz="4" w:space="0"/>
              <w:bottom w:val="single" w:color="000000" w:sz="4" w:space="0"/>
              <w:right w:val="single" w:color="000000" w:sz="4" w:space="0"/>
            </w:tcBorders>
            <w:vAlign w:val="center"/>
          </w:tcPr>
          <w:p w14:paraId="1B874C42">
            <w:pPr>
              <w:pStyle w:val="64"/>
            </w:pPr>
            <w:r>
              <w:rPr>
                <w:rFonts w:hint="eastAsia"/>
              </w:rPr>
              <w:t>其他情况</w:t>
            </w:r>
          </w:p>
        </w:tc>
      </w:tr>
    </w:tbl>
    <w:p w14:paraId="055DC96A">
      <w:pPr>
        <w:rPr>
          <w:rFonts w:cs="Times New Roman"/>
          <w:spacing w:val="-3"/>
        </w:rPr>
      </w:pPr>
    </w:p>
    <w:p w14:paraId="7A04992F">
      <w:pPr>
        <w:spacing w:line="360" w:lineRule="auto"/>
        <w:ind w:firstLine="424" w:firstLineChars="177"/>
      </w:pPr>
      <w:r>
        <w:t>3</w:t>
      </w:r>
      <w:r>
        <w:rPr>
          <w:rFonts w:hint="eastAsia"/>
        </w:rPr>
        <w:t>)评价工作等级</w:t>
      </w:r>
    </w:p>
    <w:p w14:paraId="1D758A53">
      <w:pPr>
        <w:spacing w:line="360" w:lineRule="auto"/>
        <w:ind w:firstLine="424" w:firstLineChars="177"/>
      </w:pPr>
      <w:r>
        <w:rPr>
          <w:rFonts w:hint="eastAsia"/>
        </w:rPr>
        <w:t>根据《环境影响评价技术导则</w:t>
      </w:r>
      <w:r>
        <w:t xml:space="preserve"> </w:t>
      </w:r>
      <w:r>
        <w:rPr>
          <w:rFonts w:hint="eastAsia"/>
        </w:rPr>
        <w:t>土壤环境》(</w:t>
      </w:r>
      <w:r>
        <w:t>HJ964-2018</w:t>
      </w:r>
      <w:r>
        <w:rPr>
          <w:rFonts w:hint="eastAsia"/>
        </w:rPr>
        <w:t>)，本项目</w:t>
      </w:r>
      <w:r>
        <w:rPr>
          <w:rFonts w:cs="Times New Roman"/>
        </w:rPr>
        <w:t>为I类项</w:t>
      </w:r>
      <w:r>
        <w:t>目</w:t>
      </w:r>
      <w:r>
        <w:rPr>
          <w:rFonts w:hint="eastAsia"/>
        </w:rPr>
        <w:t>，对照工作等级划分表，本项目土壤环境影响评价工作等级为一级。</w:t>
      </w:r>
    </w:p>
    <w:p w14:paraId="41485B82">
      <w:pPr>
        <w:spacing w:line="360" w:lineRule="auto"/>
        <w:ind w:firstLine="424" w:firstLineChars="177"/>
      </w:pPr>
    </w:p>
    <w:p w14:paraId="0FEB5D66">
      <w:pPr>
        <w:spacing w:line="360" w:lineRule="auto"/>
        <w:ind w:firstLine="424" w:firstLineChars="177"/>
      </w:pPr>
    </w:p>
    <w:p w14:paraId="536ADD5B">
      <w:pPr>
        <w:pStyle w:val="28"/>
        <w:rPr>
          <w:rFonts w:hint="eastAsia"/>
        </w:rPr>
      </w:pPr>
      <w:r>
        <w:rPr>
          <w:rFonts w:hint="eastAsia"/>
        </w:rPr>
        <w:t>表2.4-7  污染影响型评价工作等级划分表</w:t>
      </w:r>
    </w:p>
    <w:tbl>
      <w:tblPr>
        <w:tblStyle w:val="36"/>
        <w:tblW w:w="5000" w:type="pct"/>
        <w:tblInd w:w="0" w:type="dxa"/>
        <w:tblLayout w:type="autofit"/>
        <w:tblCellMar>
          <w:top w:w="0" w:type="dxa"/>
          <w:left w:w="108" w:type="dxa"/>
          <w:bottom w:w="0" w:type="dxa"/>
          <w:right w:w="108" w:type="dxa"/>
        </w:tblCellMar>
      </w:tblPr>
      <w:tblGrid>
        <w:gridCol w:w="3171"/>
        <w:gridCol w:w="679"/>
        <w:gridCol w:w="680"/>
        <w:gridCol w:w="680"/>
        <w:gridCol w:w="680"/>
        <w:gridCol w:w="680"/>
        <w:gridCol w:w="680"/>
        <w:gridCol w:w="680"/>
        <w:gridCol w:w="680"/>
        <w:gridCol w:w="676"/>
      </w:tblGrid>
      <w:tr w14:paraId="6E20271B">
        <w:tblPrEx>
          <w:tblCellMar>
            <w:top w:w="0" w:type="dxa"/>
            <w:left w:w="108" w:type="dxa"/>
            <w:bottom w:w="0" w:type="dxa"/>
            <w:right w:w="108" w:type="dxa"/>
          </w:tblCellMar>
        </w:tblPrEx>
        <w:trPr>
          <w:trHeight w:val="487" w:hRule="atLeast"/>
        </w:trPr>
        <w:tc>
          <w:tcPr>
            <w:tcW w:w="1708" w:type="pct"/>
            <w:vMerge w:val="restart"/>
            <w:tcBorders>
              <w:top w:val="single" w:color="auto" w:sz="4" w:space="0"/>
              <w:left w:val="single" w:color="auto" w:sz="4" w:space="0"/>
              <w:bottom w:val="single" w:color="auto" w:sz="4" w:space="0"/>
              <w:right w:val="single" w:color="auto" w:sz="4" w:space="0"/>
            </w:tcBorders>
            <w:vAlign w:val="center"/>
          </w:tcPr>
          <w:p w14:paraId="45BADAF4">
            <w:pPr>
              <w:spacing w:line="240" w:lineRule="auto"/>
              <w:jc w:val="right"/>
              <w:rPr>
                <w:rFonts w:cs="Times New Roman"/>
                <w:sz w:val="21"/>
                <w:szCs w:val="21"/>
              </w:rPr>
            </w:pPr>
            <w:r>
              <w:rPr>
                <w:rFonts w:cs="Times New Roman"/>
                <w:sz w:val="21"/>
                <w:szCs w:val="21"/>
              </w:rPr>
              <w:t>占地规模</w:t>
            </w:r>
          </w:p>
          <w:p w14:paraId="2C6E95E3">
            <w:pPr>
              <w:spacing w:line="240" w:lineRule="auto"/>
              <w:jc w:val="center"/>
              <w:rPr>
                <w:rFonts w:cs="Times New Roman"/>
                <w:sz w:val="21"/>
                <w:szCs w:val="21"/>
              </w:rPr>
            </w:pPr>
            <w:r>
              <w:rPr>
                <w:rFonts w:cs="Times New Roman"/>
                <w:sz w:val="21"/>
                <w:szCs w:val="21"/>
              </w:rPr>
              <w:t>评价等级</w:t>
            </w:r>
          </w:p>
          <w:p w14:paraId="2978F7BD">
            <w:pPr>
              <w:spacing w:line="240" w:lineRule="auto"/>
              <w:jc w:val="left"/>
              <w:rPr>
                <w:rFonts w:cs="Times New Roman"/>
                <w:sz w:val="21"/>
                <w:szCs w:val="21"/>
              </w:rPr>
            </w:pPr>
            <w:r>
              <w:rPr>
                <w:rFonts w:cs="Times New Roman"/>
                <w:sz w:val="21"/>
                <w:szCs w:val="21"/>
              </w:rPr>
              <w:t>敏感程度</w:t>
            </w:r>
          </w:p>
        </w:tc>
        <w:tc>
          <w:tcPr>
            <w:tcW w:w="1097" w:type="pct"/>
            <w:gridSpan w:val="3"/>
            <w:tcBorders>
              <w:top w:val="single" w:color="auto" w:sz="4" w:space="0"/>
              <w:left w:val="nil"/>
              <w:bottom w:val="single" w:color="auto" w:sz="4" w:space="0"/>
              <w:right w:val="single" w:color="auto" w:sz="4" w:space="0"/>
            </w:tcBorders>
            <w:vAlign w:val="center"/>
          </w:tcPr>
          <w:p w14:paraId="20C4D212">
            <w:pPr>
              <w:spacing w:line="240" w:lineRule="auto"/>
              <w:jc w:val="center"/>
              <w:rPr>
                <w:rFonts w:cs="Times New Roman"/>
                <w:sz w:val="21"/>
                <w:szCs w:val="21"/>
              </w:rPr>
            </w:pPr>
            <w:r>
              <w:rPr>
                <w:rFonts w:cs="Times New Roman"/>
                <w:sz w:val="21"/>
                <w:szCs w:val="21"/>
              </w:rPr>
              <w:t>Ⅰ类</w:t>
            </w:r>
          </w:p>
        </w:tc>
        <w:tc>
          <w:tcPr>
            <w:tcW w:w="1098" w:type="pct"/>
            <w:gridSpan w:val="3"/>
            <w:tcBorders>
              <w:top w:val="single" w:color="auto" w:sz="4" w:space="0"/>
              <w:left w:val="single" w:color="auto" w:sz="4" w:space="0"/>
              <w:bottom w:val="single" w:color="auto" w:sz="4" w:space="0"/>
              <w:right w:val="single" w:color="auto" w:sz="4" w:space="0"/>
            </w:tcBorders>
            <w:vAlign w:val="center"/>
          </w:tcPr>
          <w:p w14:paraId="39BBD029">
            <w:pPr>
              <w:spacing w:line="240" w:lineRule="auto"/>
              <w:jc w:val="center"/>
              <w:rPr>
                <w:rFonts w:cs="Times New Roman"/>
                <w:sz w:val="21"/>
                <w:szCs w:val="21"/>
              </w:rPr>
            </w:pPr>
            <w:r>
              <w:rPr>
                <w:rFonts w:cs="Times New Roman"/>
                <w:sz w:val="21"/>
                <w:szCs w:val="21"/>
              </w:rPr>
              <w:t>Ⅱ类</w:t>
            </w:r>
          </w:p>
        </w:tc>
        <w:tc>
          <w:tcPr>
            <w:tcW w:w="1098" w:type="pct"/>
            <w:gridSpan w:val="3"/>
            <w:tcBorders>
              <w:top w:val="single" w:color="auto" w:sz="4" w:space="0"/>
              <w:left w:val="single" w:color="auto" w:sz="4" w:space="0"/>
              <w:bottom w:val="single" w:color="auto" w:sz="4" w:space="0"/>
              <w:right w:val="single" w:color="auto" w:sz="4" w:space="0"/>
            </w:tcBorders>
            <w:vAlign w:val="center"/>
          </w:tcPr>
          <w:p w14:paraId="752D83A4">
            <w:pPr>
              <w:spacing w:line="240" w:lineRule="auto"/>
              <w:jc w:val="center"/>
              <w:rPr>
                <w:rFonts w:cs="Times New Roman"/>
                <w:sz w:val="21"/>
                <w:szCs w:val="21"/>
              </w:rPr>
            </w:pPr>
            <w:r>
              <w:rPr>
                <w:rFonts w:cs="Times New Roman"/>
                <w:sz w:val="21"/>
                <w:szCs w:val="21"/>
              </w:rPr>
              <w:t>Ⅲ类</w:t>
            </w:r>
          </w:p>
        </w:tc>
      </w:tr>
      <w:tr w14:paraId="1AE34F6A">
        <w:tblPrEx>
          <w:tblCellMar>
            <w:top w:w="0" w:type="dxa"/>
            <w:left w:w="108" w:type="dxa"/>
            <w:bottom w:w="0" w:type="dxa"/>
            <w:right w:w="108" w:type="dxa"/>
          </w:tblCellMar>
        </w:tblPrEx>
        <w:trPr>
          <w:trHeight w:val="487" w:hRule="atLeast"/>
        </w:trPr>
        <w:tc>
          <w:tcPr>
            <w:tcW w:w="0" w:type="auto"/>
            <w:vMerge w:val="continue"/>
            <w:tcBorders>
              <w:top w:val="single" w:color="auto" w:sz="4" w:space="0"/>
              <w:left w:val="single" w:color="auto" w:sz="4" w:space="0"/>
              <w:bottom w:val="single" w:color="auto" w:sz="4" w:space="0"/>
              <w:right w:val="single" w:color="auto" w:sz="4" w:space="0"/>
            </w:tcBorders>
            <w:vAlign w:val="center"/>
          </w:tcPr>
          <w:p w14:paraId="628932D0">
            <w:pPr>
              <w:spacing w:line="240" w:lineRule="auto"/>
              <w:jc w:val="center"/>
              <w:rPr>
                <w:rFonts w:cs="Times New Roman"/>
                <w:sz w:val="21"/>
                <w:szCs w:val="21"/>
              </w:rPr>
            </w:pPr>
          </w:p>
        </w:tc>
        <w:tc>
          <w:tcPr>
            <w:tcW w:w="366" w:type="pct"/>
            <w:tcBorders>
              <w:top w:val="single" w:color="auto" w:sz="4" w:space="0"/>
              <w:left w:val="nil"/>
              <w:bottom w:val="single" w:color="auto" w:sz="4" w:space="0"/>
              <w:right w:val="single" w:color="auto" w:sz="4" w:space="0"/>
            </w:tcBorders>
            <w:vAlign w:val="center"/>
          </w:tcPr>
          <w:p w14:paraId="446F4714">
            <w:pPr>
              <w:spacing w:line="240" w:lineRule="auto"/>
              <w:jc w:val="center"/>
              <w:rPr>
                <w:rFonts w:cs="Times New Roman"/>
                <w:sz w:val="21"/>
                <w:szCs w:val="21"/>
              </w:rPr>
            </w:pPr>
            <w:r>
              <w:rPr>
                <w:rFonts w:cs="Times New Roman"/>
                <w:sz w:val="21"/>
                <w:szCs w:val="21"/>
              </w:rPr>
              <w:t>大</w:t>
            </w:r>
          </w:p>
        </w:tc>
        <w:tc>
          <w:tcPr>
            <w:tcW w:w="366" w:type="pct"/>
            <w:tcBorders>
              <w:top w:val="single" w:color="auto" w:sz="4" w:space="0"/>
              <w:left w:val="single" w:color="auto" w:sz="4" w:space="0"/>
              <w:bottom w:val="single" w:color="auto" w:sz="4" w:space="0"/>
              <w:right w:val="single" w:color="auto" w:sz="4" w:space="0"/>
            </w:tcBorders>
            <w:vAlign w:val="center"/>
          </w:tcPr>
          <w:p w14:paraId="7C06AB38">
            <w:pPr>
              <w:spacing w:line="240" w:lineRule="auto"/>
              <w:jc w:val="center"/>
              <w:rPr>
                <w:rFonts w:cs="Times New Roman"/>
                <w:sz w:val="21"/>
                <w:szCs w:val="21"/>
              </w:rPr>
            </w:pPr>
            <w:r>
              <w:rPr>
                <w:rFonts w:cs="Times New Roman"/>
                <w:sz w:val="21"/>
                <w:szCs w:val="21"/>
              </w:rPr>
              <w:t>中</w:t>
            </w:r>
          </w:p>
        </w:tc>
        <w:tc>
          <w:tcPr>
            <w:tcW w:w="366" w:type="pct"/>
            <w:tcBorders>
              <w:top w:val="single" w:color="auto" w:sz="4" w:space="0"/>
              <w:left w:val="single" w:color="auto" w:sz="4" w:space="0"/>
              <w:bottom w:val="single" w:color="auto" w:sz="4" w:space="0"/>
              <w:right w:val="single" w:color="auto" w:sz="4" w:space="0"/>
            </w:tcBorders>
            <w:vAlign w:val="center"/>
          </w:tcPr>
          <w:p w14:paraId="26E38532">
            <w:pPr>
              <w:spacing w:line="240" w:lineRule="auto"/>
              <w:jc w:val="center"/>
              <w:rPr>
                <w:rFonts w:cs="Times New Roman"/>
                <w:sz w:val="21"/>
                <w:szCs w:val="21"/>
              </w:rPr>
            </w:pPr>
            <w:r>
              <w:rPr>
                <w:rFonts w:cs="Times New Roman"/>
                <w:sz w:val="21"/>
                <w:szCs w:val="21"/>
              </w:rPr>
              <w:t>小</w:t>
            </w:r>
          </w:p>
        </w:tc>
        <w:tc>
          <w:tcPr>
            <w:tcW w:w="366" w:type="pct"/>
            <w:tcBorders>
              <w:top w:val="single" w:color="auto" w:sz="4" w:space="0"/>
              <w:left w:val="single" w:color="auto" w:sz="4" w:space="0"/>
              <w:bottom w:val="single" w:color="auto" w:sz="4" w:space="0"/>
              <w:right w:val="single" w:color="auto" w:sz="4" w:space="0"/>
            </w:tcBorders>
            <w:vAlign w:val="center"/>
          </w:tcPr>
          <w:p w14:paraId="0179A0C4">
            <w:pPr>
              <w:spacing w:line="240" w:lineRule="auto"/>
              <w:jc w:val="center"/>
              <w:rPr>
                <w:rFonts w:cs="Times New Roman"/>
                <w:sz w:val="21"/>
                <w:szCs w:val="21"/>
              </w:rPr>
            </w:pPr>
            <w:r>
              <w:rPr>
                <w:rFonts w:cs="Times New Roman"/>
                <w:sz w:val="21"/>
                <w:szCs w:val="21"/>
              </w:rPr>
              <w:t>大</w:t>
            </w:r>
          </w:p>
        </w:tc>
        <w:tc>
          <w:tcPr>
            <w:tcW w:w="366" w:type="pct"/>
            <w:tcBorders>
              <w:top w:val="single" w:color="auto" w:sz="4" w:space="0"/>
              <w:left w:val="single" w:color="auto" w:sz="4" w:space="0"/>
              <w:bottom w:val="single" w:color="auto" w:sz="4" w:space="0"/>
              <w:right w:val="single" w:color="auto" w:sz="4" w:space="0"/>
            </w:tcBorders>
            <w:vAlign w:val="center"/>
          </w:tcPr>
          <w:p w14:paraId="32192B43">
            <w:pPr>
              <w:spacing w:line="240" w:lineRule="auto"/>
              <w:jc w:val="center"/>
              <w:rPr>
                <w:rFonts w:cs="Times New Roman"/>
                <w:sz w:val="21"/>
                <w:szCs w:val="21"/>
              </w:rPr>
            </w:pPr>
            <w:r>
              <w:rPr>
                <w:rFonts w:cs="Times New Roman"/>
                <w:sz w:val="21"/>
                <w:szCs w:val="21"/>
              </w:rPr>
              <w:t>中</w:t>
            </w:r>
          </w:p>
        </w:tc>
        <w:tc>
          <w:tcPr>
            <w:tcW w:w="366" w:type="pct"/>
            <w:tcBorders>
              <w:top w:val="single" w:color="auto" w:sz="4" w:space="0"/>
              <w:left w:val="single" w:color="auto" w:sz="4" w:space="0"/>
              <w:bottom w:val="single" w:color="auto" w:sz="4" w:space="0"/>
              <w:right w:val="single" w:color="auto" w:sz="4" w:space="0"/>
            </w:tcBorders>
            <w:vAlign w:val="center"/>
          </w:tcPr>
          <w:p w14:paraId="0A9D7BB1">
            <w:pPr>
              <w:spacing w:line="240" w:lineRule="auto"/>
              <w:jc w:val="center"/>
              <w:rPr>
                <w:rFonts w:cs="Times New Roman"/>
                <w:sz w:val="21"/>
                <w:szCs w:val="21"/>
              </w:rPr>
            </w:pPr>
            <w:r>
              <w:rPr>
                <w:rFonts w:cs="Times New Roman"/>
                <w:sz w:val="21"/>
                <w:szCs w:val="21"/>
              </w:rPr>
              <w:t>小</w:t>
            </w:r>
          </w:p>
        </w:tc>
        <w:tc>
          <w:tcPr>
            <w:tcW w:w="366" w:type="pct"/>
            <w:tcBorders>
              <w:top w:val="single" w:color="auto" w:sz="4" w:space="0"/>
              <w:left w:val="single" w:color="auto" w:sz="4" w:space="0"/>
              <w:bottom w:val="single" w:color="auto" w:sz="4" w:space="0"/>
              <w:right w:val="single" w:color="auto" w:sz="4" w:space="0"/>
            </w:tcBorders>
            <w:vAlign w:val="center"/>
          </w:tcPr>
          <w:p w14:paraId="569EE5D1">
            <w:pPr>
              <w:spacing w:line="240" w:lineRule="auto"/>
              <w:jc w:val="center"/>
              <w:rPr>
                <w:rFonts w:cs="Times New Roman"/>
                <w:sz w:val="21"/>
                <w:szCs w:val="21"/>
              </w:rPr>
            </w:pPr>
            <w:r>
              <w:rPr>
                <w:rFonts w:cs="Times New Roman"/>
                <w:sz w:val="21"/>
                <w:szCs w:val="21"/>
              </w:rPr>
              <w:t>大</w:t>
            </w:r>
          </w:p>
        </w:tc>
        <w:tc>
          <w:tcPr>
            <w:tcW w:w="366" w:type="pct"/>
            <w:tcBorders>
              <w:top w:val="single" w:color="auto" w:sz="4" w:space="0"/>
              <w:left w:val="single" w:color="auto" w:sz="4" w:space="0"/>
              <w:bottom w:val="single" w:color="auto" w:sz="4" w:space="0"/>
              <w:right w:val="single" w:color="auto" w:sz="4" w:space="0"/>
            </w:tcBorders>
            <w:vAlign w:val="center"/>
          </w:tcPr>
          <w:p w14:paraId="28E36113">
            <w:pPr>
              <w:spacing w:line="240" w:lineRule="auto"/>
              <w:jc w:val="center"/>
              <w:rPr>
                <w:rFonts w:cs="Times New Roman"/>
                <w:sz w:val="21"/>
                <w:szCs w:val="21"/>
              </w:rPr>
            </w:pPr>
            <w:r>
              <w:rPr>
                <w:rFonts w:cs="Times New Roman"/>
                <w:sz w:val="21"/>
                <w:szCs w:val="21"/>
              </w:rPr>
              <w:t>中</w:t>
            </w:r>
          </w:p>
        </w:tc>
        <w:tc>
          <w:tcPr>
            <w:tcW w:w="366" w:type="pct"/>
            <w:tcBorders>
              <w:top w:val="single" w:color="auto" w:sz="4" w:space="0"/>
              <w:left w:val="single" w:color="auto" w:sz="4" w:space="0"/>
              <w:bottom w:val="single" w:color="auto" w:sz="4" w:space="0"/>
              <w:right w:val="single" w:color="auto" w:sz="4" w:space="0"/>
            </w:tcBorders>
            <w:vAlign w:val="center"/>
          </w:tcPr>
          <w:p w14:paraId="360FE57A">
            <w:pPr>
              <w:spacing w:line="240" w:lineRule="auto"/>
              <w:jc w:val="center"/>
              <w:rPr>
                <w:rFonts w:cs="Times New Roman"/>
                <w:sz w:val="21"/>
                <w:szCs w:val="21"/>
              </w:rPr>
            </w:pPr>
            <w:r>
              <w:rPr>
                <w:rFonts w:cs="Times New Roman"/>
                <w:sz w:val="21"/>
                <w:szCs w:val="21"/>
              </w:rPr>
              <w:t>小</w:t>
            </w:r>
          </w:p>
        </w:tc>
      </w:tr>
      <w:tr w14:paraId="182BC8C9">
        <w:tblPrEx>
          <w:tblCellMar>
            <w:top w:w="0" w:type="dxa"/>
            <w:left w:w="108" w:type="dxa"/>
            <w:bottom w:w="0" w:type="dxa"/>
            <w:right w:w="108" w:type="dxa"/>
          </w:tblCellMar>
        </w:tblPrEx>
        <w:tc>
          <w:tcPr>
            <w:tcW w:w="1708" w:type="pct"/>
            <w:tcBorders>
              <w:top w:val="single" w:color="auto" w:sz="4" w:space="0"/>
              <w:left w:val="single" w:color="auto" w:sz="4" w:space="0"/>
              <w:bottom w:val="single" w:color="auto" w:sz="4" w:space="0"/>
              <w:right w:val="single" w:color="auto" w:sz="4" w:space="0"/>
            </w:tcBorders>
            <w:vAlign w:val="center"/>
          </w:tcPr>
          <w:p w14:paraId="1D6A6409">
            <w:pPr>
              <w:spacing w:line="240" w:lineRule="auto"/>
              <w:jc w:val="center"/>
              <w:rPr>
                <w:rFonts w:cs="Times New Roman"/>
                <w:sz w:val="21"/>
                <w:szCs w:val="21"/>
              </w:rPr>
            </w:pPr>
            <w:r>
              <w:rPr>
                <w:rFonts w:cs="Times New Roman"/>
                <w:sz w:val="21"/>
                <w:szCs w:val="21"/>
              </w:rPr>
              <w:t>敏感</w:t>
            </w:r>
          </w:p>
        </w:tc>
        <w:tc>
          <w:tcPr>
            <w:tcW w:w="366" w:type="pct"/>
            <w:tcBorders>
              <w:top w:val="single" w:color="auto" w:sz="4" w:space="0"/>
              <w:left w:val="single" w:color="auto" w:sz="4" w:space="0"/>
              <w:bottom w:val="single" w:color="auto" w:sz="4" w:space="0"/>
              <w:right w:val="single" w:color="auto" w:sz="4" w:space="0"/>
            </w:tcBorders>
            <w:vAlign w:val="center"/>
          </w:tcPr>
          <w:p w14:paraId="158C6E89">
            <w:pPr>
              <w:spacing w:line="240" w:lineRule="auto"/>
              <w:jc w:val="center"/>
              <w:rPr>
                <w:rFonts w:cs="Times New Roman"/>
                <w:sz w:val="21"/>
                <w:szCs w:val="21"/>
              </w:rPr>
            </w:pPr>
            <w:r>
              <w:rPr>
                <w:rFonts w:cs="Times New Roman"/>
                <w:sz w:val="21"/>
                <w:szCs w:val="21"/>
              </w:rPr>
              <w:t>一级</w:t>
            </w:r>
          </w:p>
        </w:tc>
        <w:tc>
          <w:tcPr>
            <w:tcW w:w="366" w:type="pct"/>
            <w:tcBorders>
              <w:top w:val="single" w:color="auto" w:sz="4" w:space="0"/>
              <w:left w:val="single" w:color="auto" w:sz="4" w:space="0"/>
              <w:bottom w:val="single" w:color="auto" w:sz="4" w:space="0"/>
              <w:right w:val="single" w:color="auto" w:sz="4" w:space="0"/>
            </w:tcBorders>
            <w:vAlign w:val="center"/>
          </w:tcPr>
          <w:p w14:paraId="47793943">
            <w:pPr>
              <w:spacing w:line="240" w:lineRule="auto"/>
              <w:jc w:val="center"/>
              <w:rPr>
                <w:rFonts w:cs="Times New Roman"/>
                <w:sz w:val="21"/>
                <w:szCs w:val="21"/>
              </w:rPr>
            </w:pPr>
            <w:r>
              <w:rPr>
                <w:rFonts w:cs="Times New Roman"/>
                <w:sz w:val="21"/>
                <w:szCs w:val="21"/>
              </w:rPr>
              <w:t>一级</w:t>
            </w:r>
          </w:p>
        </w:tc>
        <w:tc>
          <w:tcPr>
            <w:tcW w:w="366" w:type="pct"/>
            <w:tcBorders>
              <w:top w:val="single" w:color="auto" w:sz="4" w:space="0"/>
              <w:left w:val="single" w:color="auto" w:sz="4" w:space="0"/>
              <w:bottom w:val="single" w:color="auto" w:sz="4" w:space="0"/>
              <w:right w:val="single" w:color="auto" w:sz="4" w:space="0"/>
            </w:tcBorders>
            <w:shd w:val="clear" w:color="auto" w:fill="D8D8D8" w:themeFill="background1" w:themeFillShade="D9"/>
            <w:vAlign w:val="center"/>
          </w:tcPr>
          <w:p w14:paraId="1096A1B9">
            <w:pPr>
              <w:spacing w:line="240" w:lineRule="auto"/>
              <w:jc w:val="center"/>
              <w:rPr>
                <w:rFonts w:cs="Times New Roman"/>
                <w:sz w:val="21"/>
                <w:szCs w:val="21"/>
              </w:rPr>
            </w:pPr>
            <w:r>
              <w:rPr>
                <w:rFonts w:cs="Times New Roman"/>
                <w:sz w:val="21"/>
                <w:szCs w:val="21"/>
              </w:rPr>
              <w:t>一级</w:t>
            </w:r>
          </w:p>
        </w:tc>
        <w:tc>
          <w:tcPr>
            <w:tcW w:w="366" w:type="pct"/>
            <w:tcBorders>
              <w:top w:val="single" w:color="auto" w:sz="4" w:space="0"/>
              <w:left w:val="single" w:color="auto" w:sz="4" w:space="0"/>
              <w:bottom w:val="single" w:color="auto" w:sz="4" w:space="0"/>
              <w:right w:val="single" w:color="auto" w:sz="4" w:space="0"/>
            </w:tcBorders>
            <w:vAlign w:val="center"/>
          </w:tcPr>
          <w:p w14:paraId="7DC6FCA3">
            <w:pPr>
              <w:spacing w:line="240" w:lineRule="auto"/>
              <w:jc w:val="center"/>
              <w:rPr>
                <w:rFonts w:cs="Times New Roman"/>
                <w:sz w:val="21"/>
                <w:szCs w:val="21"/>
              </w:rPr>
            </w:pPr>
            <w:r>
              <w:rPr>
                <w:rFonts w:cs="Times New Roman"/>
                <w:sz w:val="21"/>
                <w:szCs w:val="21"/>
              </w:rPr>
              <w:t>二级</w:t>
            </w:r>
          </w:p>
        </w:tc>
        <w:tc>
          <w:tcPr>
            <w:tcW w:w="366" w:type="pct"/>
            <w:tcBorders>
              <w:top w:val="single" w:color="auto" w:sz="4" w:space="0"/>
              <w:left w:val="single" w:color="auto" w:sz="4" w:space="0"/>
              <w:bottom w:val="single" w:color="auto" w:sz="4" w:space="0"/>
              <w:right w:val="single" w:color="auto" w:sz="4" w:space="0"/>
            </w:tcBorders>
            <w:vAlign w:val="center"/>
          </w:tcPr>
          <w:p w14:paraId="55D6EF87">
            <w:pPr>
              <w:spacing w:line="240" w:lineRule="auto"/>
              <w:jc w:val="center"/>
              <w:rPr>
                <w:rFonts w:cs="Times New Roman"/>
                <w:sz w:val="21"/>
                <w:szCs w:val="21"/>
              </w:rPr>
            </w:pPr>
            <w:r>
              <w:rPr>
                <w:rFonts w:cs="Times New Roman"/>
                <w:sz w:val="21"/>
                <w:szCs w:val="21"/>
              </w:rPr>
              <w:t>二级</w:t>
            </w:r>
          </w:p>
        </w:tc>
        <w:tc>
          <w:tcPr>
            <w:tcW w:w="366" w:type="pct"/>
            <w:tcBorders>
              <w:top w:val="single" w:color="auto" w:sz="4" w:space="0"/>
              <w:left w:val="single" w:color="auto" w:sz="4" w:space="0"/>
              <w:bottom w:val="single" w:color="auto" w:sz="4" w:space="0"/>
              <w:right w:val="single" w:color="auto" w:sz="4" w:space="0"/>
            </w:tcBorders>
            <w:vAlign w:val="center"/>
          </w:tcPr>
          <w:p w14:paraId="31AFE0B1">
            <w:pPr>
              <w:spacing w:line="240" w:lineRule="auto"/>
              <w:jc w:val="center"/>
              <w:rPr>
                <w:rFonts w:cs="Times New Roman"/>
                <w:sz w:val="21"/>
                <w:szCs w:val="21"/>
              </w:rPr>
            </w:pPr>
            <w:r>
              <w:rPr>
                <w:rFonts w:cs="Times New Roman"/>
                <w:sz w:val="21"/>
                <w:szCs w:val="21"/>
              </w:rPr>
              <w:t>二级</w:t>
            </w:r>
          </w:p>
        </w:tc>
        <w:tc>
          <w:tcPr>
            <w:tcW w:w="366" w:type="pct"/>
            <w:tcBorders>
              <w:top w:val="single" w:color="auto" w:sz="4" w:space="0"/>
              <w:left w:val="single" w:color="auto" w:sz="4" w:space="0"/>
              <w:bottom w:val="single" w:color="auto" w:sz="4" w:space="0"/>
              <w:right w:val="single" w:color="auto" w:sz="4" w:space="0"/>
            </w:tcBorders>
            <w:vAlign w:val="center"/>
          </w:tcPr>
          <w:p w14:paraId="434BA730">
            <w:pPr>
              <w:spacing w:line="240" w:lineRule="auto"/>
              <w:jc w:val="center"/>
              <w:rPr>
                <w:rFonts w:cs="Times New Roman"/>
                <w:sz w:val="21"/>
                <w:szCs w:val="21"/>
              </w:rPr>
            </w:pPr>
            <w:r>
              <w:rPr>
                <w:rFonts w:cs="Times New Roman"/>
                <w:sz w:val="21"/>
                <w:szCs w:val="21"/>
              </w:rPr>
              <w:t>三级</w:t>
            </w:r>
          </w:p>
        </w:tc>
        <w:tc>
          <w:tcPr>
            <w:tcW w:w="366" w:type="pct"/>
            <w:tcBorders>
              <w:top w:val="single" w:color="auto" w:sz="4" w:space="0"/>
              <w:left w:val="single" w:color="auto" w:sz="4" w:space="0"/>
              <w:bottom w:val="single" w:color="auto" w:sz="4" w:space="0"/>
              <w:right w:val="single" w:color="auto" w:sz="4" w:space="0"/>
            </w:tcBorders>
            <w:vAlign w:val="center"/>
          </w:tcPr>
          <w:p w14:paraId="4859C1D1">
            <w:pPr>
              <w:spacing w:line="240" w:lineRule="auto"/>
              <w:jc w:val="center"/>
              <w:rPr>
                <w:rFonts w:cs="Times New Roman"/>
                <w:sz w:val="21"/>
                <w:szCs w:val="21"/>
              </w:rPr>
            </w:pPr>
            <w:r>
              <w:rPr>
                <w:rFonts w:cs="Times New Roman"/>
                <w:sz w:val="21"/>
                <w:szCs w:val="21"/>
              </w:rPr>
              <w:t>三级</w:t>
            </w:r>
          </w:p>
        </w:tc>
        <w:tc>
          <w:tcPr>
            <w:tcW w:w="366" w:type="pct"/>
            <w:tcBorders>
              <w:top w:val="single" w:color="auto" w:sz="4" w:space="0"/>
              <w:left w:val="single" w:color="auto" w:sz="4" w:space="0"/>
              <w:bottom w:val="single" w:color="auto" w:sz="4" w:space="0"/>
              <w:right w:val="single" w:color="auto" w:sz="4" w:space="0"/>
            </w:tcBorders>
            <w:vAlign w:val="center"/>
          </w:tcPr>
          <w:p w14:paraId="366D3F8D">
            <w:pPr>
              <w:spacing w:line="240" w:lineRule="auto"/>
              <w:jc w:val="center"/>
              <w:rPr>
                <w:rFonts w:cs="Times New Roman"/>
                <w:sz w:val="21"/>
                <w:szCs w:val="21"/>
              </w:rPr>
            </w:pPr>
            <w:r>
              <w:rPr>
                <w:rFonts w:cs="Times New Roman"/>
                <w:sz w:val="21"/>
                <w:szCs w:val="21"/>
              </w:rPr>
              <w:t>三级</w:t>
            </w:r>
          </w:p>
        </w:tc>
      </w:tr>
      <w:tr w14:paraId="538B6B72">
        <w:tblPrEx>
          <w:tblCellMar>
            <w:top w:w="0" w:type="dxa"/>
            <w:left w:w="108" w:type="dxa"/>
            <w:bottom w:w="0" w:type="dxa"/>
            <w:right w:w="108" w:type="dxa"/>
          </w:tblCellMar>
        </w:tblPrEx>
        <w:tc>
          <w:tcPr>
            <w:tcW w:w="1708" w:type="pct"/>
            <w:tcBorders>
              <w:top w:val="single" w:color="auto" w:sz="4" w:space="0"/>
              <w:left w:val="single" w:color="auto" w:sz="4" w:space="0"/>
              <w:bottom w:val="single" w:color="auto" w:sz="4" w:space="0"/>
              <w:right w:val="single" w:color="auto" w:sz="4" w:space="0"/>
            </w:tcBorders>
            <w:vAlign w:val="center"/>
          </w:tcPr>
          <w:p w14:paraId="62C28236">
            <w:pPr>
              <w:spacing w:line="240" w:lineRule="auto"/>
              <w:jc w:val="center"/>
              <w:rPr>
                <w:rFonts w:cs="Times New Roman"/>
                <w:sz w:val="21"/>
                <w:szCs w:val="21"/>
              </w:rPr>
            </w:pPr>
            <w:r>
              <w:rPr>
                <w:rFonts w:cs="Times New Roman"/>
                <w:sz w:val="21"/>
                <w:szCs w:val="21"/>
              </w:rPr>
              <w:t>较敏感</w:t>
            </w:r>
          </w:p>
        </w:tc>
        <w:tc>
          <w:tcPr>
            <w:tcW w:w="366" w:type="pct"/>
            <w:tcBorders>
              <w:top w:val="single" w:color="auto" w:sz="4" w:space="0"/>
              <w:left w:val="single" w:color="auto" w:sz="4" w:space="0"/>
              <w:bottom w:val="single" w:color="auto" w:sz="4" w:space="0"/>
              <w:right w:val="single" w:color="auto" w:sz="4" w:space="0"/>
            </w:tcBorders>
            <w:vAlign w:val="center"/>
          </w:tcPr>
          <w:p w14:paraId="5B0A3E7D">
            <w:pPr>
              <w:spacing w:line="240" w:lineRule="auto"/>
              <w:jc w:val="center"/>
              <w:rPr>
                <w:rFonts w:cs="Times New Roman"/>
                <w:sz w:val="21"/>
                <w:szCs w:val="21"/>
              </w:rPr>
            </w:pPr>
            <w:r>
              <w:rPr>
                <w:rFonts w:cs="Times New Roman"/>
                <w:sz w:val="21"/>
                <w:szCs w:val="21"/>
              </w:rPr>
              <w:t>一级</w:t>
            </w:r>
          </w:p>
        </w:tc>
        <w:tc>
          <w:tcPr>
            <w:tcW w:w="366" w:type="pct"/>
            <w:tcBorders>
              <w:top w:val="single" w:color="auto" w:sz="4" w:space="0"/>
              <w:left w:val="single" w:color="auto" w:sz="4" w:space="0"/>
              <w:bottom w:val="single" w:color="auto" w:sz="4" w:space="0"/>
              <w:right w:val="single" w:color="auto" w:sz="4" w:space="0"/>
            </w:tcBorders>
            <w:vAlign w:val="center"/>
          </w:tcPr>
          <w:p w14:paraId="330C1854">
            <w:pPr>
              <w:spacing w:line="240" w:lineRule="auto"/>
              <w:jc w:val="center"/>
              <w:rPr>
                <w:rFonts w:cs="Times New Roman"/>
                <w:sz w:val="21"/>
                <w:szCs w:val="21"/>
              </w:rPr>
            </w:pPr>
            <w:r>
              <w:rPr>
                <w:rFonts w:cs="Times New Roman"/>
                <w:sz w:val="21"/>
                <w:szCs w:val="21"/>
              </w:rPr>
              <w:t>一级</w:t>
            </w:r>
          </w:p>
        </w:tc>
        <w:tc>
          <w:tcPr>
            <w:tcW w:w="366" w:type="pct"/>
            <w:tcBorders>
              <w:top w:val="single" w:color="auto" w:sz="4" w:space="0"/>
              <w:left w:val="single" w:color="auto" w:sz="4" w:space="0"/>
              <w:bottom w:val="single" w:color="auto" w:sz="4" w:space="0"/>
              <w:right w:val="single" w:color="auto" w:sz="4" w:space="0"/>
            </w:tcBorders>
            <w:vAlign w:val="center"/>
          </w:tcPr>
          <w:p w14:paraId="720E1CF6">
            <w:pPr>
              <w:spacing w:line="240" w:lineRule="auto"/>
              <w:jc w:val="center"/>
              <w:rPr>
                <w:rFonts w:cs="Times New Roman"/>
                <w:sz w:val="21"/>
                <w:szCs w:val="21"/>
              </w:rPr>
            </w:pPr>
            <w:r>
              <w:rPr>
                <w:rFonts w:cs="Times New Roman"/>
                <w:sz w:val="21"/>
                <w:szCs w:val="21"/>
              </w:rPr>
              <w:t>二级</w:t>
            </w:r>
          </w:p>
        </w:tc>
        <w:tc>
          <w:tcPr>
            <w:tcW w:w="366" w:type="pct"/>
            <w:tcBorders>
              <w:top w:val="single" w:color="auto" w:sz="4" w:space="0"/>
              <w:left w:val="single" w:color="auto" w:sz="4" w:space="0"/>
              <w:bottom w:val="single" w:color="auto" w:sz="4" w:space="0"/>
              <w:right w:val="single" w:color="auto" w:sz="4" w:space="0"/>
            </w:tcBorders>
            <w:vAlign w:val="center"/>
          </w:tcPr>
          <w:p w14:paraId="227A1064">
            <w:pPr>
              <w:spacing w:line="240" w:lineRule="auto"/>
              <w:jc w:val="center"/>
              <w:rPr>
                <w:rFonts w:cs="Times New Roman"/>
                <w:sz w:val="21"/>
                <w:szCs w:val="21"/>
              </w:rPr>
            </w:pPr>
            <w:r>
              <w:rPr>
                <w:rFonts w:cs="Times New Roman"/>
                <w:sz w:val="21"/>
                <w:szCs w:val="21"/>
              </w:rPr>
              <w:t>二级</w:t>
            </w:r>
          </w:p>
        </w:tc>
        <w:tc>
          <w:tcPr>
            <w:tcW w:w="366" w:type="pct"/>
            <w:tcBorders>
              <w:top w:val="single" w:color="auto" w:sz="4" w:space="0"/>
              <w:left w:val="single" w:color="auto" w:sz="4" w:space="0"/>
              <w:bottom w:val="single" w:color="auto" w:sz="4" w:space="0"/>
              <w:right w:val="single" w:color="auto" w:sz="4" w:space="0"/>
            </w:tcBorders>
            <w:vAlign w:val="center"/>
          </w:tcPr>
          <w:p w14:paraId="3FD38C18">
            <w:pPr>
              <w:spacing w:line="240" w:lineRule="auto"/>
              <w:jc w:val="center"/>
              <w:rPr>
                <w:rFonts w:cs="Times New Roman"/>
                <w:sz w:val="21"/>
                <w:szCs w:val="21"/>
              </w:rPr>
            </w:pPr>
            <w:r>
              <w:rPr>
                <w:rFonts w:cs="Times New Roman"/>
                <w:sz w:val="21"/>
                <w:szCs w:val="21"/>
              </w:rPr>
              <w:t>二级</w:t>
            </w:r>
          </w:p>
        </w:tc>
        <w:tc>
          <w:tcPr>
            <w:tcW w:w="366" w:type="pct"/>
            <w:tcBorders>
              <w:top w:val="single" w:color="auto" w:sz="4" w:space="0"/>
              <w:left w:val="single" w:color="auto" w:sz="4" w:space="0"/>
              <w:bottom w:val="single" w:color="auto" w:sz="4" w:space="0"/>
              <w:right w:val="single" w:color="auto" w:sz="4" w:space="0"/>
            </w:tcBorders>
            <w:vAlign w:val="center"/>
          </w:tcPr>
          <w:p w14:paraId="31B23E4D">
            <w:pPr>
              <w:spacing w:line="240" w:lineRule="auto"/>
              <w:jc w:val="center"/>
              <w:rPr>
                <w:rFonts w:cs="Times New Roman"/>
                <w:sz w:val="21"/>
                <w:szCs w:val="21"/>
              </w:rPr>
            </w:pPr>
            <w:r>
              <w:rPr>
                <w:rFonts w:cs="Times New Roman"/>
                <w:sz w:val="21"/>
                <w:szCs w:val="21"/>
              </w:rPr>
              <w:t>三级</w:t>
            </w:r>
          </w:p>
        </w:tc>
        <w:tc>
          <w:tcPr>
            <w:tcW w:w="366" w:type="pct"/>
            <w:tcBorders>
              <w:top w:val="single" w:color="auto" w:sz="4" w:space="0"/>
              <w:left w:val="single" w:color="auto" w:sz="4" w:space="0"/>
              <w:bottom w:val="single" w:color="auto" w:sz="4" w:space="0"/>
              <w:right w:val="single" w:color="auto" w:sz="4" w:space="0"/>
            </w:tcBorders>
            <w:vAlign w:val="center"/>
          </w:tcPr>
          <w:p w14:paraId="1E0CD1B0">
            <w:pPr>
              <w:spacing w:line="240" w:lineRule="auto"/>
              <w:jc w:val="center"/>
              <w:rPr>
                <w:rFonts w:cs="Times New Roman"/>
                <w:sz w:val="21"/>
                <w:szCs w:val="21"/>
              </w:rPr>
            </w:pPr>
            <w:r>
              <w:rPr>
                <w:rFonts w:cs="Times New Roman"/>
                <w:sz w:val="21"/>
                <w:szCs w:val="21"/>
              </w:rPr>
              <w:t>三级</w:t>
            </w:r>
          </w:p>
        </w:tc>
        <w:tc>
          <w:tcPr>
            <w:tcW w:w="366" w:type="pct"/>
            <w:tcBorders>
              <w:top w:val="single" w:color="auto" w:sz="4" w:space="0"/>
              <w:left w:val="single" w:color="auto" w:sz="4" w:space="0"/>
              <w:bottom w:val="single" w:color="auto" w:sz="4" w:space="0"/>
              <w:right w:val="single" w:color="auto" w:sz="4" w:space="0"/>
            </w:tcBorders>
            <w:vAlign w:val="center"/>
          </w:tcPr>
          <w:p w14:paraId="6CD50BE0">
            <w:pPr>
              <w:spacing w:line="240" w:lineRule="auto"/>
              <w:jc w:val="center"/>
              <w:rPr>
                <w:rFonts w:cs="Times New Roman"/>
                <w:sz w:val="21"/>
                <w:szCs w:val="21"/>
              </w:rPr>
            </w:pPr>
            <w:r>
              <w:rPr>
                <w:rFonts w:cs="Times New Roman"/>
                <w:sz w:val="21"/>
                <w:szCs w:val="21"/>
              </w:rPr>
              <w:t>三级</w:t>
            </w:r>
          </w:p>
        </w:tc>
        <w:tc>
          <w:tcPr>
            <w:tcW w:w="366" w:type="pct"/>
            <w:tcBorders>
              <w:top w:val="single" w:color="auto" w:sz="4" w:space="0"/>
              <w:left w:val="single" w:color="auto" w:sz="4" w:space="0"/>
              <w:bottom w:val="single" w:color="auto" w:sz="4" w:space="0"/>
              <w:right w:val="single" w:color="auto" w:sz="4" w:space="0"/>
            </w:tcBorders>
            <w:vAlign w:val="center"/>
          </w:tcPr>
          <w:p w14:paraId="44358065">
            <w:pPr>
              <w:spacing w:line="240" w:lineRule="auto"/>
              <w:jc w:val="center"/>
              <w:rPr>
                <w:rFonts w:cs="Times New Roman"/>
                <w:sz w:val="21"/>
                <w:szCs w:val="21"/>
              </w:rPr>
            </w:pPr>
            <w:r>
              <w:rPr>
                <w:rFonts w:cs="Times New Roman"/>
                <w:sz w:val="21"/>
                <w:szCs w:val="21"/>
              </w:rPr>
              <w:t>—</w:t>
            </w:r>
          </w:p>
        </w:tc>
      </w:tr>
      <w:tr w14:paraId="349A6890">
        <w:tblPrEx>
          <w:tblCellMar>
            <w:top w:w="0" w:type="dxa"/>
            <w:left w:w="108" w:type="dxa"/>
            <w:bottom w:w="0" w:type="dxa"/>
            <w:right w:w="108" w:type="dxa"/>
          </w:tblCellMar>
        </w:tblPrEx>
        <w:tc>
          <w:tcPr>
            <w:tcW w:w="1708" w:type="pct"/>
            <w:tcBorders>
              <w:top w:val="single" w:color="auto" w:sz="4" w:space="0"/>
              <w:left w:val="single" w:color="auto" w:sz="4" w:space="0"/>
              <w:bottom w:val="single" w:color="auto" w:sz="4" w:space="0"/>
              <w:right w:val="single" w:color="auto" w:sz="4" w:space="0"/>
            </w:tcBorders>
            <w:vAlign w:val="center"/>
          </w:tcPr>
          <w:p w14:paraId="26A5DC91">
            <w:pPr>
              <w:spacing w:line="240" w:lineRule="auto"/>
              <w:jc w:val="center"/>
              <w:rPr>
                <w:rFonts w:cs="Times New Roman"/>
                <w:sz w:val="21"/>
                <w:szCs w:val="21"/>
              </w:rPr>
            </w:pPr>
            <w:r>
              <w:rPr>
                <w:rFonts w:cs="Times New Roman"/>
                <w:sz w:val="21"/>
                <w:szCs w:val="21"/>
              </w:rPr>
              <w:t>不敏感</w:t>
            </w:r>
          </w:p>
        </w:tc>
        <w:tc>
          <w:tcPr>
            <w:tcW w:w="366" w:type="pct"/>
            <w:tcBorders>
              <w:top w:val="single" w:color="auto" w:sz="4" w:space="0"/>
              <w:left w:val="single" w:color="auto" w:sz="4" w:space="0"/>
              <w:bottom w:val="single" w:color="auto" w:sz="4" w:space="0"/>
              <w:right w:val="single" w:color="auto" w:sz="4" w:space="0"/>
            </w:tcBorders>
            <w:vAlign w:val="center"/>
          </w:tcPr>
          <w:p w14:paraId="440B6C95">
            <w:pPr>
              <w:spacing w:line="240" w:lineRule="auto"/>
              <w:jc w:val="center"/>
              <w:rPr>
                <w:rFonts w:cs="Times New Roman"/>
                <w:sz w:val="21"/>
                <w:szCs w:val="21"/>
              </w:rPr>
            </w:pPr>
            <w:r>
              <w:rPr>
                <w:rFonts w:cs="Times New Roman"/>
                <w:sz w:val="21"/>
                <w:szCs w:val="21"/>
              </w:rPr>
              <w:t>一级</w:t>
            </w:r>
          </w:p>
        </w:tc>
        <w:tc>
          <w:tcPr>
            <w:tcW w:w="366" w:type="pct"/>
            <w:tcBorders>
              <w:top w:val="single" w:color="auto" w:sz="4" w:space="0"/>
              <w:left w:val="single" w:color="auto" w:sz="4" w:space="0"/>
              <w:bottom w:val="single" w:color="auto" w:sz="4" w:space="0"/>
              <w:right w:val="single" w:color="auto" w:sz="4" w:space="0"/>
            </w:tcBorders>
            <w:vAlign w:val="center"/>
          </w:tcPr>
          <w:p w14:paraId="05517C08">
            <w:pPr>
              <w:spacing w:line="240" w:lineRule="auto"/>
              <w:jc w:val="center"/>
              <w:rPr>
                <w:rFonts w:cs="Times New Roman"/>
                <w:sz w:val="21"/>
                <w:szCs w:val="21"/>
              </w:rPr>
            </w:pPr>
            <w:r>
              <w:rPr>
                <w:rFonts w:cs="Times New Roman"/>
                <w:sz w:val="21"/>
                <w:szCs w:val="21"/>
              </w:rPr>
              <w:t>二级</w:t>
            </w:r>
          </w:p>
        </w:tc>
        <w:tc>
          <w:tcPr>
            <w:tcW w:w="366" w:type="pct"/>
            <w:tcBorders>
              <w:top w:val="single" w:color="auto" w:sz="4" w:space="0"/>
              <w:left w:val="single" w:color="auto" w:sz="4" w:space="0"/>
              <w:bottom w:val="single" w:color="auto" w:sz="4" w:space="0"/>
              <w:right w:val="single" w:color="auto" w:sz="4" w:space="0"/>
            </w:tcBorders>
            <w:vAlign w:val="center"/>
          </w:tcPr>
          <w:p w14:paraId="220FE19A">
            <w:pPr>
              <w:spacing w:line="240" w:lineRule="auto"/>
              <w:jc w:val="center"/>
              <w:rPr>
                <w:rFonts w:cs="Times New Roman"/>
                <w:sz w:val="21"/>
                <w:szCs w:val="21"/>
              </w:rPr>
            </w:pPr>
            <w:r>
              <w:rPr>
                <w:rFonts w:cs="Times New Roman"/>
                <w:sz w:val="21"/>
                <w:szCs w:val="21"/>
              </w:rPr>
              <w:t>二级</w:t>
            </w:r>
          </w:p>
        </w:tc>
        <w:tc>
          <w:tcPr>
            <w:tcW w:w="366" w:type="pct"/>
            <w:tcBorders>
              <w:top w:val="single" w:color="auto" w:sz="4" w:space="0"/>
              <w:left w:val="single" w:color="auto" w:sz="4" w:space="0"/>
              <w:bottom w:val="single" w:color="auto" w:sz="4" w:space="0"/>
              <w:right w:val="single" w:color="auto" w:sz="4" w:space="0"/>
            </w:tcBorders>
            <w:vAlign w:val="center"/>
          </w:tcPr>
          <w:p w14:paraId="564E883E">
            <w:pPr>
              <w:spacing w:line="240" w:lineRule="auto"/>
              <w:jc w:val="center"/>
              <w:rPr>
                <w:rFonts w:cs="Times New Roman"/>
                <w:sz w:val="21"/>
                <w:szCs w:val="21"/>
              </w:rPr>
            </w:pPr>
            <w:r>
              <w:rPr>
                <w:rFonts w:cs="Times New Roman"/>
                <w:sz w:val="21"/>
                <w:szCs w:val="21"/>
              </w:rPr>
              <w:t>二级</w:t>
            </w:r>
          </w:p>
        </w:tc>
        <w:tc>
          <w:tcPr>
            <w:tcW w:w="366" w:type="pct"/>
            <w:tcBorders>
              <w:top w:val="single" w:color="auto" w:sz="4" w:space="0"/>
              <w:left w:val="single" w:color="auto" w:sz="4" w:space="0"/>
              <w:bottom w:val="single" w:color="auto" w:sz="4" w:space="0"/>
              <w:right w:val="single" w:color="auto" w:sz="4" w:space="0"/>
            </w:tcBorders>
            <w:vAlign w:val="center"/>
          </w:tcPr>
          <w:p w14:paraId="1DCD8E50">
            <w:pPr>
              <w:spacing w:line="240" w:lineRule="auto"/>
              <w:jc w:val="center"/>
              <w:rPr>
                <w:rFonts w:cs="Times New Roman"/>
                <w:sz w:val="21"/>
                <w:szCs w:val="21"/>
              </w:rPr>
            </w:pPr>
            <w:r>
              <w:rPr>
                <w:rFonts w:cs="Times New Roman"/>
                <w:sz w:val="21"/>
                <w:szCs w:val="21"/>
              </w:rPr>
              <w:t>二级</w:t>
            </w:r>
          </w:p>
        </w:tc>
        <w:tc>
          <w:tcPr>
            <w:tcW w:w="366" w:type="pct"/>
            <w:tcBorders>
              <w:top w:val="single" w:color="auto" w:sz="4" w:space="0"/>
              <w:left w:val="single" w:color="auto" w:sz="4" w:space="0"/>
              <w:bottom w:val="single" w:color="auto" w:sz="4" w:space="0"/>
              <w:right w:val="single" w:color="auto" w:sz="4" w:space="0"/>
            </w:tcBorders>
            <w:vAlign w:val="center"/>
          </w:tcPr>
          <w:p w14:paraId="71D95A18">
            <w:pPr>
              <w:spacing w:line="240" w:lineRule="auto"/>
              <w:jc w:val="center"/>
              <w:rPr>
                <w:rFonts w:cs="Times New Roman"/>
                <w:sz w:val="21"/>
                <w:szCs w:val="21"/>
              </w:rPr>
            </w:pPr>
            <w:r>
              <w:rPr>
                <w:rFonts w:cs="Times New Roman"/>
                <w:sz w:val="21"/>
                <w:szCs w:val="21"/>
              </w:rPr>
              <w:t>三级</w:t>
            </w:r>
          </w:p>
        </w:tc>
        <w:tc>
          <w:tcPr>
            <w:tcW w:w="366" w:type="pct"/>
            <w:tcBorders>
              <w:top w:val="single" w:color="auto" w:sz="4" w:space="0"/>
              <w:left w:val="single" w:color="auto" w:sz="4" w:space="0"/>
              <w:bottom w:val="single" w:color="auto" w:sz="4" w:space="0"/>
              <w:right w:val="single" w:color="auto" w:sz="4" w:space="0"/>
            </w:tcBorders>
            <w:vAlign w:val="center"/>
          </w:tcPr>
          <w:p w14:paraId="3A622C0D">
            <w:pPr>
              <w:spacing w:line="240" w:lineRule="auto"/>
              <w:jc w:val="center"/>
              <w:rPr>
                <w:rFonts w:cs="Times New Roman"/>
                <w:sz w:val="21"/>
                <w:szCs w:val="21"/>
              </w:rPr>
            </w:pPr>
            <w:r>
              <w:rPr>
                <w:rFonts w:cs="Times New Roman"/>
                <w:sz w:val="21"/>
                <w:szCs w:val="21"/>
              </w:rPr>
              <w:t>三级</w:t>
            </w:r>
          </w:p>
        </w:tc>
        <w:tc>
          <w:tcPr>
            <w:tcW w:w="366" w:type="pct"/>
            <w:tcBorders>
              <w:top w:val="single" w:color="auto" w:sz="4" w:space="0"/>
              <w:left w:val="single" w:color="auto" w:sz="4" w:space="0"/>
              <w:bottom w:val="single" w:color="auto" w:sz="4" w:space="0"/>
              <w:right w:val="single" w:color="auto" w:sz="4" w:space="0"/>
            </w:tcBorders>
            <w:vAlign w:val="center"/>
          </w:tcPr>
          <w:p w14:paraId="6340C6C3">
            <w:pPr>
              <w:spacing w:line="240" w:lineRule="auto"/>
              <w:jc w:val="center"/>
              <w:rPr>
                <w:rFonts w:cs="Times New Roman"/>
                <w:sz w:val="21"/>
                <w:szCs w:val="21"/>
              </w:rPr>
            </w:pPr>
            <w:r>
              <w:rPr>
                <w:rFonts w:cs="Times New Roman"/>
                <w:sz w:val="21"/>
                <w:szCs w:val="21"/>
              </w:rPr>
              <w:t>—</w:t>
            </w:r>
          </w:p>
        </w:tc>
        <w:tc>
          <w:tcPr>
            <w:tcW w:w="366" w:type="pct"/>
            <w:tcBorders>
              <w:top w:val="single" w:color="auto" w:sz="4" w:space="0"/>
              <w:left w:val="single" w:color="auto" w:sz="4" w:space="0"/>
              <w:bottom w:val="single" w:color="auto" w:sz="4" w:space="0"/>
              <w:right w:val="single" w:color="auto" w:sz="4" w:space="0"/>
            </w:tcBorders>
            <w:vAlign w:val="center"/>
          </w:tcPr>
          <w:p w14:paraId="47161117">
            <w:pPr>
              <w:spacing w:line="240" w:lineRule="auto"/>
              <w:jc w:val="center"/>
              <w:rPr>
                <w:rFonts w:cs="Times New Roman"/>
                <w:sz w:val="21"/>
                <w:szCs w:val="21"/>
              </w:rPr>
            </w:pPr>
            <w:r>
              <w:rPr>
                <w:rFonts w:cs="Times New Roman"/>
                <w:sz w:val="21"/>
                <w:szCs w:val="21"/>
              </w:rPr>
              <w:t>—</w:t>
            </w:r>
          </w:p>
        </w:tc>
      </w:tr>
      <w:tr w14:paraId="73D5CB67">
        <w:tblPrEx>
          <w:tblCellMar>
            <w:top w:w="0" w:type="dxa"/>
            <w:left w:w="108" w:type="dxa"/>
            <w:bottom w:w="0" w:type="dxa"/>
            <w:right w:w="108" w:type="dxa"/>
          </w:tblCellMar>
        </w:tblPrEx>
        <w:tc>
          <w:tcPr>
            <w:tcW w:w="5000" w:type="pct"/>
            <w:gridSpan w:val="10"/>
            <w:tcBorders>
              <w:top w:val="single" w:color="auto" w:sz="4" w:space="0"/>
              <w:left w:val="single" w:color="auto" w:sz="4" w:space="0"/>
              <w:bottom w:val="single" w:color="auto" w:sz="4" w:space="0"/>
              <w:right w:val="single" w:color="auto" w:sz="4" w:space="0"/>
            </w:tcBorders>
            <w:vAlign w:val="center"/>
          </w:tcPr>
          <w:p w14:paraId="22AA218C">
            <w:pPr>
              <w:spacing w:line="240" w:lineRule="auto"/>
              <w:jc w:val="center"/>
              <w:rPr>
                <w:rFonts w:cs="Times New Roman"/>
                <w:sz w:val="21"/>
                <w:szCs w:val="21"/>
              </w:rPr>
            </w:pPr>
            <w:r>
              <w:rPr>
                <w:rFonts w:cs="Times New Roman"/>
                <w:sz w:val="21"/>
                <w:szCs w:val="21"/>
              </w:rPr>
              <w:t>注：“—”表示可不开展土壤环境影响评价工作。</w:t>
            </w:r>
          </w:p>
        </w:tc>
      </w:tr>
    </w:tbl>
    <w:p w14:paraId="6BE91C8F">
      <w:pPr>
        <w:rPr>
          <w:rFonts w:cs="Times New Roman"/>
          <w:spacing w:val="-3"/>
        </w:rPr>
      </w:pPr>
    </w:p>
    <w:p w14:paraId="68F99AC0">
      <w:pPr>
        <w:pStyle w:val="4"/>
        <w:rPr>
          <w:rFonts w:hint="eastAsia"/>
        </w:rPr>
      </w:pPr>
      <w:bookmarkStart w:id="29" w:name="_Toc221056326"/>
      <w:r>
        <w:rPr>
          <w:rFonts w:hint="eastAsia"/>
        </w:rPr>
        <w:t>2.4.2评价范围</w:t>
      </w:r>
      <w:bookmarkEnd w:id="29"/>
    </w:p>
    <w:p w14:paraId="4AB29AE1">
      <w:pPr>
        <w:ind w:firstLine="468" w:firstLineChars="200"/>
        <w:rPr>
          <w:rFonts w:cs="Times New Roman"/>
          <w:spacing w:val="-3"/>
        </w:rPr>
      </w:pPr>
      <w:r>
        <w:rPr>
          <w:rFonts w:hint="eastAsia" w:cs="Times New Roman"/>
          <w:spacing w:val="-3"/>
        </w:rPr>
        <w:t>各环境要素评价范围确定见表2.4-8。</w:t>
      </w:r>
    </w:p>
    <w:p w14:paraId="40EC8F7E">
      <w:pPr>
        <w:pStyle w:val="28"/>
        <w:rPr>
          <w:rFonts w:hint="eastAsia"/>
        </w:rPr>
      </w:pPr>
      <w:r>
        <w:rPr>
          <w:rFonts w:hint="eastAsia"/>
        </w:rPr>
        <w:t>表2.4-8  主要环境要素的评价范围</w:t>
      </w:r>
    </w:p>
    <w:tbl>
      <w:tblPr>
        <w:tblStyle w:val="36"/>
        <w:tblW w:w="9345" w:type="dxa"/>
        <w:tblInd w:w="0" w:type="dxa"/>
        <w:tblLayout w:type="fixed"/>
        <w:tblCellMar>
          <w:top w:w="0" w:type="dxa"/>
          <w:left w:w="108" w:type="dxa"/>
          <w:bottom w:w="0" w:type="dxa"/>
          <w:right w:w="108" w:type="dxa"/>
        </w:tblCellMar>
      </w:tblPr>
      <w:tblGrid>
        <w:gridCol w:w="1980"/>
        <w:gridCol w:w="7365"/>
      </w:tblGrid>
      <w:tr w14:paraId="50F93DBB">
        <w:tblPrEx>
          <w:tblCellMar>
            <w:top w:w="0" w:type="dxa"/>
            <w:left w:w="108" w:type="dxa"/>
            <w:bottom w:w="0" w:type="dxa"/>
            <w:right w:w="108" w:type="dxa"/>
          </w:tblCellMar>
        </w:tblPrEx>
        <w:trPr>
          <w:trHeight w:val="308" w:hRule="atLeast"/>
        </w:trPr>
        <w:tc>
          <w:tcPr>
            <w:tcW w:w="1980" w:type="dxa"/>
            <w:tcBorders>
              <w:top w:val="single" w:color="000000" w:sz="4" w:space="0"/>
              <w:left w:val="single" w:color="000000" w:sz="4" w:space="0"/>
              <w:bottom w:val="single" w:color="000000" w:sz="4" w:space="0"/>
              <w:right w:val="single" w:color="000000" w:sz="4" w:space="0"/>
            </w:tcBorders>
            <w:vAlign w:val="center"/>
          </w:tcPr>
          <w:p w14:paraId="4E49A1E0">
            <w:pPr>
              <w:pStyle w:val="64"/>
            </w:pPr>
            <w:r>
              <w:t>环境要素</w:t>
            </w:r>
          </w:p>
        </w:tc>
        <w:tc>
          <w:tcPr>
            <w:tcW w:w="7365" w:type="dxa"/>
            <w:tcBorders>
              <w:top w:val="single" w:color="000000" w:sz="4" w:space="0"/>
              <w:left w:val="single" w:color="000000" w:sz="4" w:space="0"/>
              <w:bottom w:val="single" w:color="000000" w:sz="4" w:space="0"/>
              <w:right w:val="single" w:color="000000" w:sz="4" w:space="0"/>
            </w:tcBorders>
            <w:vAlign w:val="center"/>
          </w:tcPr>
          <w:p w14:paraId="79D3E4B0">
            <w:pPr>
              <w:pStyle w:val="64"/>
            </w:pPr>
            <w:r>
              <w:t>评价范围</w:t>
            </w:r>
          </w:p>
        </w:tc>
      </w:tr>
      <w:tr w14:paraId="59E1E426">
        <w:tblPrEx>
          <w:tblCellMar>
            <w:top w:w="0" w:type="dxa"/>
            <w:left w:w="108" w:type="dxa"/>
            <w:bottom w:w="0" w:type="dxa"/>
            <w:right w:w="108" w:type="dxa"/>
          </w:tblCellMar>
        </w:tblPrEx>
        <w:trPr>
          <w:trHeight w:val="308" w:hRule="atLeast"/>
        </w:trPr>
        <w:tc>
          <w:tcPr>
            <w:tcW w:w="1980" w:type="dxa"/>
            <w:tcBorders>
              <w:top w:val="single" w:color="000000" w:sz="4" w:space="0"/>
              <w:left w:val="single" w:color="000000" w:sz="4" w:space="0"/>
              <w:bottom w:val="single" w:color="000000" w:sz="4" w:space="0"/>
              <w:right w:val="single" w:color="000000" w:sz="4" w:space="0"/>
            </w:tcBorders>
            <w:vAlign w:val="center"/>
          </w:tcPr>
          <w:p w14:paraId="04C20A46">
            <w:pPr>
              <w:pStyle w:val="64"/>
            </w:pPr>
            <w:r>
              <w:t>环境空气</w:t>
            </w:r>
          </w:p>
        </w:tc>
        <w:tc>
          <w:tcPr>
            <w:tcW w:w="7365" w:type="dxa"/>
            <w:tcBorders>
              <w:top w:val="single" w:color="000000" w:sz="4" w:space="0"/>
              <w:left w:val="single" w:color="000000" w:sz="4" w:space="0"/>
              <w:bottom w:val="single" w:color="000000" w:sz="4" w:space="0"/>
              <w:right w:val="single" w:color="000000" w:sz="4" w:space="0"/>
            </w:tcBorders>
            <w:vAlign w:val="center"/>
          </w:tcPr>
          <w:p w14:paraId="2310E304">
            <w:pPr>
              <w:pStyle w:val="64"/>
            </w:pPr>
            <w:r>
              <w:t>以建设项目厂区为中心，边长为5km的</w:t>
            </w:r>
            <w:r>
              <w:rPr>
                <w:rFonts w:hint="eastAsia"/>
              </w:rPr>
              <w:t>矩形区域</w:t>
            </w:r>
          </w:p>
        </w:tc>
      </w:tr>
      <w:tr w14:paraId="2800B671">
        <w:tblPrEx>
          <w:tblCellMar>
            <w:top w:w="0" w:type="dxa"/>
            <w:left w:w="108" w:type="dxa"/>
            <w:bottom w:w="0" w:type="dxa"/>
            <w:right w:w="108" w:type="dxa"/>
          </w:tblCellMar>
        </w:tblPrEx>
        <w:trPr>
          <w:trHeight w:val="308" w:hRule="atLeast"/>
        </w:trPr>
        <w:tc>
          <w:tcPr>
            <w:tcW w:w="1980" w:type="dxa"/>
            <w:tcBorders>
              <w:top w:val="single" w:color="000000" w:sz="4" w:space="0"/>
              <w:left w:val="single" w:color="000000" w:sz="4" w:space="0"/>
              <w:bottom w:val="single" w:color="000000" w:sz="4" w:space="0"/>
              <w:right w:val="single" w:color="000000" w:sz="4" w:space="0"/>
            </w:tcBorders>
            <w:vAlign w:val="center"/>
          </w:tcPr>
          <w:p w14:paraId="49FA5B86">
            <w:pPr>
              <w:pStyle w:val="64"/>
            </w:pPr>
            <w:r>
              <w:t>地表水</w:t>
            </w:r>
          </w:p>
        </w:tc>
        <w:tc>
          <w:tcPr>
            <w:tcW w:w="7365" w:type="dxa"/>
            <w:tcBorders>
              <w:top w:val="single" w:color="000000" w:sz="4" w:space="0"/>
              <w:left w:val="single" w:color="000000" w:sz="4" w:space="0"/>
              <w:bottom w:val="single" w:color="000000" w:sz="4" w:space="0"/>
              <w:right w:val="single" w:color="000000" w:sz="4" w:space="0"/>
            </w:tcBorders>
            <w:vAlign w:val="center"/>
          </w:tcPr>
          <w:p w14:paraId="2495F5BA">
            <w:pPr>
              <w:pStyle w:val="64"/>
            </w:pPr>
            <w:r>
              <w:t>沫河口污水处理厂入淮河排污口上游500米至下游5000米淮河段</w:t>
            </w:r>
          </w:p>
        </w:tc>
      </w:tr>
      <w:tr w14:paraId="11914CE8">
        <w:tblPrEx>
          <w:tblCellMar>
            <w:top w:w="0" w:type="dxa"/>
            <w:left w:w="108" w:type="dxa"/>
            <w:bottom w:w="0" w:type="dxa"/>
            <w:right w:w="108" w:type="dxa"/>
          </w:tblCellMar>
        </w:tblPrEx>
        <w:trPr>
          <w:trHeight w:val="67" w:hRule="atLeast"/>
        </w:trPr>
        <w:tc>
          <w:tcPr>
            <w:tcW w:w="1980" w:type="dxa"/>
            <w:tcBorders>
              <w:top w:val="single" w:color="000000" w:sz="4" w:space="0"/>
              <w:left w:val="single" w:color="000000" w:sz="4" w:space="0"/>
              <w:bottom w:val="single" w:color="000000" w:sz="4" w:space="0"/>
              <w:right w:val="single" w:color="000000" w:sz="4" w:space="0"/>
            </w:tcBorders>
            <w:vAlign w:val="center"/>
          </w:tcPr>
          <w:p w14:paraId="3E63C6AC">
            <w:pPr>
              <w:pStyle w:val="64"/>
            </w:pPr>
            <w:r>
              <w:t>声环境</w:t>
            </w:r>
          </w:p>
        </w:tc>
        <w:tc>
          <w:tcPr>
            <w:tcW w:w="7365" w:type="dxa"/>
            <w:tcBorders>
              <w:top w:val="single" w:color="000000" w:sz="4" w:space="0"/>
              <w:left w:val="single" w:color="000000" w:sz="4" w:space="0"/>
              <w:bottom w:val="single" w:color="000000" w:sz="4" w:space="0"/>
              <w:right w:val="single" w:color="000000" w:sz="4" w:space="0"/>
            </w:tcBorders>
            <w:vAlign w:val="center"/>
          </w:tcPr>
          <w:p w14:paraId="14C9821D">
            <w:pPr>
              <w:pStyle w:val="64"/>
            </w:pPr>
            <w:r>
              <w:t>厂界外</w:t>
            </w:r>
            <w:r>
              <w:rPr>
                <w:rFonts w:hint="eastAsia"/>
              </w:rPr>
              <w:t>200</w:t>
            </w:r>
            <w:r>
              <w:t>m</w:t>
            </w:r>
            <w:r>
              <w:rPr>
                <w:rFonts w:hint="eastAsia"/>
              </w:rPr>
              <w:t>范围</w:t>
            </w:r>
          </w:p>
        </w:tc>
      </w:tr>
      <w:tr w14:paraId="349BC450">
        <w:tblPrEx>
          <w:tblCellMar>
            <w:top w:w="0" w:type="dxa"/>
            <w:left w:w="108" w:type="dxa"/>
            <w:bottom w:w="0" w:type="dxa"/>
            <w:right w:w="108" w:type="dxa"/>
          </w:tblCellMar>
        </w:tblPrEx>
        <w:trPr>
          <w:trHeight w:val="58" w:hRule="atLeast"/>
        </w:trPr>
        <w:tc>
          <w:tcPr>
            <w:tcW w:w="1980" w:type="dxa"/>
            <w:tcBorders>
              <w:top w:val="single" w:color="000000" w:sz="4" w:space="0"/>
              <w:left w:val="single" w:color="000000" w:sz="4" w:space="0"/>
              <w:bottom w:val="single" w:color="000000" w:sz="4" w:space="0"/>
              <w:right w:val="single" w:color="000000" w:sz="4" w:space="0"/>
            </w:tcBorders>
            <w:vAlign w:val="center"/>
          </w:tcPr>
          <w:p w14:paraId="0E4026DE">
            <w:pPr>
              <w:pStyle w:val="64"/>
            </w:pPr>
            <w:r>
              <w:t>地下水环境</w:t>
            </w:r>
          </w:p>
        </w:tc>
        <w:tc>
          <w:tcPr>
            <w:tcW w:w="7365" w:type="dxa"/>
            <w:tcBorders>
              <w:top w:val="single" w:color="000000" w:sz="4" w:space="0"/>
              <w:left w:val="single" w:color="000000" w:sz="4" w:space="0"/>
              <w:bottom w:val="single" w:color="000000" w:sz="4" w:space="0"/>
              <w:right w:val="single" w:color="000000" w:sz="4" w:space="0"/>
            </w:tcBorders>
            <w:vAlign w:val="center"/>
          </w:tcPr>
          <w:p w14:paraId="4E1FCA2B">
            <w:pPr>
              <w:pStyle w:val="64"/>
            </w:pPr>
            <w:r>
              <w:t>项目所在区域</w:t>
            </w:r>
            <w:r>
              <w:rPr>
                <w:rFonts w:hint="eastAsia"/>
              </w:rPr>
              <w:t>20k</w:t>
            </w:r>
            <w:r>
              <w:t>m</w:t>
            </w:r>
            <w:r>
              <w:rPr>
                <w:vertAlign w:val="superscript"/>
              </w:rPr>
              <w:t>2</w:t>
            </w:r>
            <w:r>
              <w:t>范围浅层地下水</w:t>
            </w:r>
          </w:p>
        </w:tc>
      </w:tr>
      <w:tr w14:paraId="02E7E9B7">
        <w:tblPrEx>
          <w:tblCellMar>
            <w:top w:w="0" w:type="dxa"/>
            <w:left w:w="108" w:type="dxa"/>
            <w:bottom w:w="0" w:type="dxa"/>
            <w:right w:w="108" w:type="dxa"/>
          </w:tblCellMar>
        </w:tblPrEx>
        <w:trPr>
          <w:trHeight w:val="58" w:hRule="atLeast"/>
        </w:trPr>
        <w:tc>
          <w:tcPr>
            <w:tcW w:w="1980" w:type="dxa"/>
            <w:tcBorders>
              <w:top w:val="single" w:color="000000" w:sz="4" w:space="0"/>
              <w:left w:val="single" w:color="000000" w:sz="4" w:space="0"/>
              <w:bottom w:val="single" w:color="000000" w:sz="4" w:space="0"/>
              <w:right w:val="single" w:color="000000" w:sz="4" w:space="0"/>
            </w:tcBorders>
            <w:vAlign w:val="center"/>
          </w:tcPr>
          <w:p w14:paraId="56C71218">
            <w:pPr>
              <w:pStyle w:val="64"/>
            </w:pPr>
            <w:r>
              <w:t>环境风险</w:t>
            </w:r>
          </w:p>
        </w:tc>
        <w:tc>
          <w:tcPr>
            <w:tcW w:w="7365" w:type="dxa"/>
            <w:tcBorders>
              <w:top w:val="single" w:color="000000" w:sz="4" w:space="0"/>
              <w:left w:val="single" w:color="000000" w:sz="4" w:space="0"/>
              <w:bottom w:val="single" w:color="000000" w:sz="4" w:space="0"/>
              <w:right w:val="single" w:color="000000" w:sz="4" w:space="0"/>
            </w:tcBorders>
            <w:vAlign w:val="center"/>
          </w:tcPr>
          <w:p w14:paraId="2E0E052D">
            <w:pPr>
              <w:spacing w:line="240" w:lineRule="auto"/>
              <w:jc w:val="center"/>
              <w:rPr>
                <w:sz w:val="21"/>
                <w:szCs w:val="21"/>
              </w:rPr>
            </w:pPr>
            <w:r>
              <w:rPr>
                <w:sz w:val="21"/>
                <w:szCs w:val="21"/>
              </w:rPr>
              <w:t>大气环境风险评价范围：距项目边界</w:t>
            </w:r>
            <w:r>
              <w:rPr>
                <w:rFonts w:hint="eastAsia"/>
                <w:sz w:val="21"/>
                <w:szCs w:val="21"/>
              </w:rPr>
              <w:t>5</w:t>
            </w:r>
            <w:r>
              <w:rPr>
                <w:sz w:val="21"/>
                <w:szCs w:val="21"/>
              </w:rPr>
              <w:t>km</w:t>
            </w:r>
          </w:p>
          <w:p w14:paraId="6AE95CBF">
            <w:pPr>
              <w:spacing w:line="240" w:lineRule="auto"/>
              <w:jc w:val="center"/>
              <w:rPr>
                <w:sz w:val="21"/>
                <w:szCs w:val="21"/>
              </w:rPr>
            </w:pPr>
            <w:r>
              <w:rPr>
                <w:sz w:val="21"/>
                <w:szCs w:val="21"/>
              </w:rPr>
              <w:t>地表水环境风险评价范围：同地表水评价范围</w:t>
            </w:r>
          </w:p>
          <w:p w14:paraId="1597FD95">
            <w:pPr>
              <w:pStyle w:val="64"/>
            </w:pPr>
            <w:r>
              <w:rPr>
                <w:szCs w:val="21"/>
              </w:rPr>
              <w:t>地下水环境风险评价范围：</w:t>
            </w:r>
            <w:r>
              <w:rPr>
                <w:rFonts w:hint="eastAsia"/>
                <w:szCs w:val="21"/>
              </w:rPr>
              <w:t>同地下水评价范围</w:t>
            </w:r>
          </w:p>
        </w:tc>
      </w:tr>
      <w:tr w14:paraId="7D024AF9">
        <w:tblPrEx>
          <w:tblCellMar>
            <w:top w:w="0" w:type="dxa"/>
            <w:left w:w="108" w:type="dxa"/>
            <w:bottom w:w="0" w:type="dxa"/>
            <w:right w:w="108" w:type="dxa"/>
          </w:tblCellMar>
        </w:tblPrEx>
        <w:trPr>
          <w:trHeight w:val="58" w:hRule="atLeast"/>
        </w:trPr>
        <w:tc>
          <w:tcPr>
            <w:tcW w:w="1980" w:type="dxa"/>
            <w:tcBorders>
              <w:top w:val="single" w:color="000000" w:sz="4" w:space="0"/>
              <w:left w:val="single" w:color="000000" w:sz="4" w:space="0"/>
              <w:bottom w:val="single" w:color="000000" w:sz="4" w:space="0"/>
              <w:right w:val="single" w:color="000000" w:sz="4" w:space="0"/>
            </w:tcBorders>
            <w:vAlign w:val="center"/>
          </w:tcPr>
          <w:p w14:paraId="15FDC7E2">
            <w:pPr>
              <w:pStyle w:val="64"/>
            </w:pPr>
            <w:r>
              <w:t>土壤环境</w:t>
            </w:r>
          </w:p>
        </w:tc>
        <w:tc>
          <w:tcPr>
            <w:tcW w:w="7365" w:type="dxa"/>
            <w:tcBorders>
              <w:top w:val="single" w:color="000000" w:sz="4" w:space="0"/>
              <w:left w:val="single" w:color="000000" w:sz="4" w:space="0"/>
              <w:bottom w:val="single" w:color="000000" w:sz="4" w:space="0"/>
              <w:right w:val="single" w:color="000000" w:sz="4" w:space="0"/>
            </w:tcBorders>
            <w:vAlign w:val="center"/>
          </w:tcPr>
          <w:p w14:paraId="43E9D7A2">
            <w:pPr>
              <w:pStyle w:val="64"/>
            </w:pPr>
            <w:r>
              <w:t>占地范围内及厂区外</w:t>
            </w:r>
            <w:r>
              <w:rPr>
                <w:rFonts w:hint="eastAsia"/>
              </w:rPr>
              <w:t>10</w:t>
            </w:r>
            <w:r>
              <w:t>00m范围</w:t>
            </w:r>
          </w:p>
        </w:tc>
      </w:tr>
    </w:tbl>
    <w:p w14:paraId="5C032C97">
      <w:pPr>
        <w:rPr>
          <w:rFonts w:cs="Times New Roman"/>
          <w:spacing w:val="-3"/>
        </w:rPr>
      </w:pPr>
    </w:p>
    <w:p w14:paraId="00D279B2">
      <w:pPr>
        <w:pStyle w:val="3"/>
        <w:spacing w:before="326"/>
        <w:rPr>
          <w:rFonts w:hint="eastAsia"/>
        </w:rPr>
      </w:pPr>
      <w:bookmarkStart w:id="30" w:name="_Toc221056327"/>
      <w:r>
        <w:rPr>
          <w:rFonts w:hint="eastAsia"/>
        </w:rPr>
        <w:t>2.5评价标准</w:t>
      </w:r>
      <w:bookmarkEnd w:id="30"/>
    </w:p>
    <w:p w14:paraId="2593572A">
      <w:pPr>
        <w:pStyle w:val="4"/>
        <w:rPr>
          <w:rFonts w:hint="eastAsia"/>
        </w:rPr>
      </w:pPr>
      <w:bookmarkStart w:id="31" w:name="_Toc221056328"/>
      <w:r>
        <w:rPr>
          <w:rFonts w:hint="eastAsia"/>
        </w:rPr>
        <w:t>2</w:t>
      </w:r>
      <w:r>
        <w:t>.</w:t>
      </w:r>
      <w:r>
        <w:rPr>
          <w:rFonts w:hint="eastAsia"/>
        </w:rPr>
        <w:t>5</w:t>
      </w:r>
      <w:r>
        <w:t>.</w:t>
      </w:r>
      <w:r>
        <w:rPr>
          <w:rFonts w:hint="eastAsia"/>
        </w:rPr>
        <w:t>1环境质量标准</w:t>
      </w:r>
      <w:bookmarkEnd w:id="31"/>
    </w:p>
    <w:p w14:paraId="2083B443">
      <w:pPr>
        <w:ind w:firstLine="480" w:firstLineChars="200"/>
      </w:pPr>
      <w:r>
        <w:rPr>
          <w:rFonts w:hint="eastAsia"/>
        </w:rPr>
        <w:t>(1)环境空气</w:t>
      </w:r>
    </w:p>
    <w:p w14:paraId="77A730B0">
      <w:pPr>
        <w:ind w:firstLine="480" w:firstLineChars="200"/>
      </w:pPr>
      <w:r>
        <w:t>本项目SO</w:t>
      </w:r>
      <w:r>
        <w:rPr>
          <w:vertAlign w:val="subscript"/>
        </w:rPr>
        <w:t>2</w:t>
      </w:r>
      <w:r>
        <w:rPr>
          <w:rFonts w:hint="eastAsia"/>
        </w:rPr>
        <w:t>、</w:t>
      </w:r>
      <w:r>
        <w:t>NO</w:t>
      </w:r>
      <w:r>
        <w:rPr>
          <w:vertAlign w:val="subscript"/>
        </w:rPr>
        <w:t>2</w:t>
      </w:r>
      <w:r>
        <w:rPr>
          <w:rFonts w:hint="eastAsia"/>
        </w:rPr>
        <w:t>、</w:t>
      </w:r>
      <w:r>
        <w:t>PM</w:t>
      </w:r>
      <w:r>
        <w:rPr>
          <w:vertAlign w:val="subscript"/>
        </w:rPr>
        <w:t>10</w:t>
      </w:r>
      <w:r>
        <w:rPr>
          <w:rFonts w:hint="eastAsia"/>
        </w:rPr>
        <w:t>、</w:t>
      </w:r>
      <w:r>
        <w:t>PM</w:t>
      </w:r>
      <w:r>
        <w:rPr>
          <w:vertAlign w:val="subscript"/>
        </w:rPr>
        <w:t>2.5</w:t>
      </w:r>
      <w:r>
        <w:rPr>
          <w:rFonts w:hint="eastAsia"/>
        </w:rPr>
        <w:t>、</w:t>
      </w:r>
      <w:r>
        <w:t>CO</w:t>
      </w:r>
      <w:r>
        <w:rPr>
          <w:rFonts w:hint="eastAsia"/>
        </w:rPr>
        <w:t>、</w:t>
      </w:r>
      <w:r>
        <w:t>O</w:t>
      </w:r>
      <w:r>
        <w:rPr>
          <w:vertAlign w:val="subscript"/>
        </w:rPr>
        <w:t>3</w:t>
      </w:r>
      <w:r>
        <w:t>执行《环境空气质量标准》(GB3095-2012)中二级标准</w:t>
      </w:r>
      <w:r>
        <w:rPr>
          <w:rFonts w:hint="eastAsia"/>
        </w:rPr>
        <w:t>；</w:t>
      </w:r>
      <w:bookmarkStart w:id="32" w:name="_Hlk48040290"/>
      <w:r>
        <w:rPr>
          <w:rFonts w:hint="eastAsia"/>
        </w:rPr>
        <w:t>硫酸参照执行《环境影响评价技术导则 大气环境》(HJ2.2-2018)附录D中标准值</w:t>
      </w:r>
      <w:bookmarkEnd w:id="32"/>
      <w:r>
        <w:rPr>
          <w:rFonts w:hint="eastAsia"/>
        </w:rPr>
        <w:t>；酚类、非甲烷总烃参照执行</w:t>
      </w:r>
      <w:r>
        <w:t>《</w:t>
      </w:r>
      <w:r>
        <w:rPr>
          <w:rFonts w:hint="eastAsia"/>
        </w:rPr>
        <w:t>大气污染物综合排放标准</w:t>
      </w:r>
      <w:r>
        <w:t>》(</w:t>
      </w:r>
      <w:r>
        <w:rPr>
          <w:rFonts w:hint="eastAsia"/>
        </w:rPr>
        <w:t>GB16297-1996</w:t>
      </w:r>
      <w:r>
        <w:t>)</w:t>
      </w:r>
      <w:r>
        <w:rPr>
          <w:rFonts w:hint="eastAsia"/>
        </w:rPr>
        <w:t>详解中规定的标准值。</w:t>
      </w:r>
      <w:r>
        <w:t>本项目执行质量标准详见表</w:t>
      </w:r>
      <w:r>
        <w:rPr>
          <w:rFonts w:hint="eastAsia"/>
        </w:rPr>
        <w:t>2</w:t>
      </w:r>
      <w:r>
        <w:t>.5-1。</w:t>
      </w:r>
    </w:p>
    <w:p w14:paraId="6403B6ED">
      <w:pPr>
        <w:pStyle w:val="28"/>
        <w:rPr>
          <w:rFonts w:hint="eastAsia"/>
        </w:rPr>
      </w:pPr>
      <w:r>
        <w:t>表</w:t>
      </w:r>
      <w:r>
        <w:rPr>
          <w:rFonts w:hint="eastAsia"/>
        </w:rPr>
        <w:t>2</w:t>
      </w:r>
      <w:r>
        <w:t>.5-1  环境空气质量标准</w:t>
      </w:r>
    </w:p>
    <w:tbl>
      <w:tblPr>
        <w:tblStyle w:val="36"/>
        <w:tblW w:w="5000" w:type="pct"/>
        <w:tblInd w:w="0" w:type="dxa"/>
        <w:tblLayout w:type="autofit"/>
        <w:tblCellMar>
          <w:top w:w="0" w:type="dxa"/>
          <w:left w:w="108" w:type="dxa"/>
          <w:bottom w:w="0" w:type="dxa"/>
          <w:right w:w="108" w:type="dxa"/>
        </w:tblCellMar>
      </w:tblPr>
      <w:tblGrid>
        <w:gridCol w:w="1525"/>
        <w:gridCol w:w="2026"/>
        <w:gridCol w:w="1092"/>
        <w:gridCol w:w="875"/>
        <w:gridCol w:w="3768"/>
      </w:tblGrid>
      <w:tr w14:paraId="7FD66C24">
        <w:tblPrEx>
          <w:tblCellMar>
            <w:top w:w="0" w:type="dxa"/>
            <w:left w:w="108" w:type="dxa"/>
            <w:bottom w:w="0" w:type="dxa"/>
            <w:right w:w="108" w:type="dxa"/>
          </w:tblCellMar>
        </w:tblPrEx>
        <w:trPr>
          <w:trHeight w:val="312" w:hRule="atLeast"/>
          <w:tblHeader/>
        </w:trPr>
        <w:tc>
          <w:tcPr>
            <w:tcW w:w="821" w:type="pct"/>
            <w:tcBorders>
              <w:top w:val="single" w:color="000000" w:sz="8" w:space="0"/>
              <w:left w:val="single" w:color="000000" w:sz="8" w:space="0"/>
              <w:bottom w:val="single" w:color="000000" w:sz="8" w:space="0"/>
              <w:right w:val="single" w:color="000000" w:sz="8" w:space="0"/>
            </w:tcBorders>
            <w:vAlign w:val="center"/>
          </w:tcPr>
          <w:p w14:paraId="7D8D8261">
            <w:pPr>
              <w:pStyle w:val="64"/>
            </w:pPr>
            <w:r>
              <w:t>污染因子</w:t>
            </w:r>
          </w:p>
        </w:tc>
        <w:tc>
          <w:tcPr>
            <w:tcW w:w="1091" w:type="pct"/>
            <w:tcBorders>
              <w:top w:val="single" w:color="000000" w:sz="8" w:space="0"/>
              <w:left w:val="single" w:color="000000" w:sz="8" w:space="0"/>
              <w:bottom w:val="single" w:color="000000" w:sz="8" w:space="0"/>
              <w:right w:val="single" w:color="000000" w:sz="8" w:space="0"/>
            </w:tcBorders>
            <w:vAlign w:val="center"/>
          </w:tcPr>
          <w:p w14:paraId="38CFACBD">
            <w:pPr>
              <w:pStyle w:val="64"/>
            </w:pPr>
            <w:r>
              <w:t>取值时间</w:t>
            </w:r>
          </w:p>
        </w:tc>
        <w:tc>
          <w:tcPr>
            <w:tcW w:w="588" w:type="pct"/>
            <w:tcBorders>
              <w:top w:val="single" w:color="000000" w:sz="8" w:space="0"/>
              <w:left w:val="single" w:color="000000" w:sz="8" w:space="0"/>
              <w:bottom w:val="single" w:color="000000" w:sz="8" w:space="0"/>
              <w:right w:val="single" w:color="auto" w:sz="4" w:space="0"/>
            </w:tcBorders>
            <w:vAlign w:val="center"/>
          </w:tcPr>
          <w:p w14:paraId="12229EE9">
            <w:pPr>
              <w:pStyle w:val="64"/>
            </w:pPr>
            <w:r>
              <w:t>浓度限值</w:t>
            </w:r>
          </w:p>
        </w:tc>
        <w:tc>
          <w:tcPr>
            <w:tcW w:w="471" w:type="pct"/>
            <w:tcBorders>
              <w:top w:val="single" w:color="000000" w:sz="8" w:space="0"/>
              <w:left w:val="single" w:color="auto" w:sz="4" w:space="0"/>
              <w:bottom w:val="single" w:color="000000" w:sz="8" w:space="0"/>
              <w:right w:val="single" w:color="000000" w:sz="8" w:space="0"/>
            </w:tcBorders>
            <w:vAlign w:val="center"/>
          </w:tcPr>
          <w:p w14:paraId="553718B9">
            <w:pPr>
              <w:pStyle w:val="64"/>
            </w:pPr>
            <w:r>
              <w:t>单位</w:t>
            </w:r>
          </w:p>
        </w:tc>
        <w:tc>
          <w:tcPr>
            <w:tcW w:w="2029" w:type="pct"/>
            <w:tcBorders>
              <w:top w:val="single" w:color="000000" w:sz="8" w:space="0"/>
              <w:left w:val="single" w:color="000000" w:sz="8" w:space="0"/>
              <w:bottom w:val="single" w:color="000000" w:sz="8" w:space="0"/>
              <w:right w:val="single" w:color="000000" w:sz="8" w:space="0"/>
            </w:tcBorders>
            <w:vAlign w:val="center"/>
          </w:tcPr>
          <w:p w14:paraId="3DBC675F">
            <w:pPr>
              <w:pStyle w:val="64"/>
            </w:pPr>
            <w:r>
              <w:t>标准名称</w:t>
            </w:r>
          </w:p>
        </w:tc>
      </w:tr>
      <w:tr w14:paraId="2FDE097A">
        <w:tblPrEx>
          <w:tblCellMar>
            <w:top w:w="0" w:type="dxa"/>
            <w:left w:w="108" w:type="dxa"/>
            <w:bottom w:w="0" w:type="dxa"/>
            <w:right w:w="108" w:type="dxa"/>
          </w:tblCellMar>
        </w:tblPrEx>
        <w:trPr>
          <w:trHeight w:val="139" w:hRule="atLeast"/>
        </w:trPr>
        <w:tc>
          <w:tcPr>
            <w:tcW w:w="821" w:type="pct"/>
            <w:vMerge w:val="restart"/>
            <w:tcBorders>
              <w:top w:val="single" w:color="000000" w:sz="8" w:space="0"/>
              <w:left w:val="single" w:color="000000" w:sz="8" w:space="0"/>
              <w:bottom w:val="single" w:color="000000" w:sz="8" w:space="0"/>
              <w:right w:val="single" w:color="000000" w:sz="8" w:space="0"/>
            </w:tcBorders>
            <w:vAlign w:val="center"/>
          </w:tcPr>
          <w:p w14:paraId="5FFFAFF7">
            <w:pPr>
              <w:pStyle w:val="64"/>
            </w:pPr>
            <w:r>
              <w:t>SO</w:t>
            </w:r>
            <w:r>
              <w:rPr>
                <w:vertAlign w:val="subscript"/>
              </w:rPr>
              <w:t>2</w:t>
            </w:r>
          </w:p>
        </w:tc>
        <w:tc>
          <w:tcPr>
            <w:tcW w:w="1091" w:type="pct"/>
            <w:tcBorders>
              <w:top w:val="single" w:color="000000" w:sz="8" w:space="0"/>
              <w:left w:val="single" w:color="000000" w:sz="8" w:space="0"/>
              <w:bottom w:val="single" w:color="000000" w:sz="8" w:space="0"/>
              <w:right w:val="single" w:color="000000" w:sz="8" w:space="0"/>
            </w:tcBorders>
            <w:vAlign w:val="center"/>
          </w:tcPr>
          <w:p w14:paraId="6F0E7F8D">
            <w:pPr>
              <w:pStyle w:val="64"/>
            </w:pPr>
            <w:r>
              <w:t>1小时平均</w:t>
            </w:r>
          </w:p>
        </w:tc>
        <w:tc>
          <w:tcPr>
            <w:tcW w:w="588" w:type="pct"/>
            <w:tcBorders>
              <w:top w:val="single" w:color="000000" w:sz="8" w:space="0"/>
              <w:left w:val="single" w:color="000000" w:sz="8" w:space="0"/>
              <w:bottom w:val="single" w:color="000000" w:sz="8" w:space="0"/>
              <w:right w:val="single" w:color="auto" w:sz="4" w:space="0"/>
            </w:tcBorders>
            <w:vAlign w:val="center"/>
          </w:tcPr>
          <w:p w14:paraId="1A4048D9">
            <w:pPr>
              <w:pStyle w:val="64"/>
            </w:pPr>
            <w:r>
              <w:t>500</w:t>
            </w:r>
          </w:p>
        </w:tc>
        <w:tc>
          <w:tcPr>
            <w:tcW w:w="471" w:type="pct"/>
            <w:vMerge w:val="restart"/>
            <w:tcBorders>
              <w:top w:val="single" w:color="000000" w:sz="8" w:space="0"/>
              <w:left w:val="single" w:color="auto" w:sz="4" w:space="0"/>
              <w:right w:val="single" w:color="000000" w:sz="8" w:space="0"/>
            </w:tcBorders>
            <w:vAlign w:val="center"/>
          </w:tcPr>
          <w:p w14:paraId="2F3773CA">
            <w:pPr>
              <w:pStyle w:val="64"/>
            </w:pPr>
            <w:r>
              <w:t>ug/m</w:t>
            </w:r>
            <w:r>
              <w:rPr>
                <w:vertAlign w:val="superscript"/>
              </w:rPr>
              <w:t>3</w:t>
            </w:r>
          </w:p>
        </w:tc>
        <w:tc>
          <w:tcPr>
            <w:tcW w:w="2029" w:type="pct"/>
            <w:vMerge w:val="restart"/>
            <w:tcBorders>
              <w:top w:val="single" w:color="000000" w:sz="8" w:space="0"/>
              <w:left w:val="single" w:color="000000" w:sz="8" w:space="0"/>
              <w:right w:val="single" w:color="000000" w:sz="8" w:space="0"/>
            </w:tcBorders>
            <w:vAlign w:val="center"/>
          </w:tcPr>
          <w:p w14:paraId="7D61E6BE">
            <w:pPr>
              <w:pStyle w:val="64"/>
            </w:pPr>
            <w:r>
              <w:t>《环境空气质量标准》(GB3095-2012)</w:t>
            </w:r>
          </w:p>
        </w:tc>
      </w:tr>
      <w:tr w14:paraId="6C57A473">
        <w:tblPrEx>
          <w:tblCellMar>
            <w:top w:w="0" w:type="dxa"/>
            <w:left w:w="108" w:type="dxa"/>
            <w:bottom w:w="0" w:type="dxa"/>
            <w:right w:w="108" w:type="dxa"/>
          </w:tblCellMar>
        </w:tblPrEx>
        <w:trPr>
          <w:trHeight w:val="172" w:hRule="atLeast"/>
        </w:trPr>
        <w:tc>
          <w:tcPr>
            <w:tcW w:w="821" w:type="pct"/>
            <w:vMerge w:val="continue"/>
            <w:tcBorders>
              <w:top w:val="single" w:color="000000" w:sz="8" w:space="0"/>
              <w:left w:val="single" w:color="000000" w:sz="8" w:space="0"/>
              <w:bottom w:val="single" w:color="000000" w:sz="8" w:space="0"/>
              <w:right w:val="single" w:color="000000" w:sz="8" w:space="0"/>
            </w:tcBorders>
            <w:vAlign w:val="center"/>
          </w:tcPr>
          <w:p w14:paraId="741E49EF">
            <w:pPr>
              <w:pStyle w:val="64"/>
            </w:pPr>
          </w:p>
        </w:tc>
        <w:tc>
          <w:tcPr>
            <w:tcW w:w="1091" w:type="pct"/>
            <w:tcBorders>
              <w:top w:val="single" w:color="000000" w:sz="8" w:space="0"/>
              <w:left w:val="single" w:color="000000" w:sz="8" w:space="0"/>
              <w:bottom w:val="single" w:color="000000" w:sz="8" w:space="0"/>
              <w:right w:val="single" w:color="000000" w:sz="8" w:space="0"/>
            </w:tcBorders>
            <w:vAlign w:val="center"/>
          </w:tcPr>
          <w:p w14:paraId="49075401">
            <w:pPr>
              <w:pStyle w:val="64"/>
            </w:pPr>
            <w:r>
              <w:t>24小时平均</w:t>
            </w:r>
          </w:p>
        </w:tc>
        <w:tc>
          <w:tcPr>
            <w:tcW w:w="588" w:type="pct"/>
            <w:tcBorders>
              <w:top w:val="single" w:color="000000" w:sz="8" w:space="0"/>
              <w:left w:val="single" w:color="000000" w:sz="8" w:space="0"/>
              <w:bottom w:val="single" w:color="000000" w:sz="8" w:space="0"/>
              <w:right w:val="single" w:color="auto" w:sz="4" w:space="0"/>
            </w:tcBorders>
            <w:vAlign w:val="center"/>
          </w:tcPr>
          <w:p w14:paraId="392E7FB5">
            <w:pPr>
              <w:pStyle w:val="64"/>
            </w:pPr>
            <w:r>
              <w:t>150</w:t>
            </w:r>
          </w:p>
        </w:tc>
        <w:tc>
          <w:tcPr>
            <w:tcW w:w="471" w:type="pct"/>
            <w:vMerge w:val="continue"/>
            <w:tcBorders>
              <w:left w:val="single" w:color="auto" w:sz="4" w:space="0"/>
              <w:right w:val="single" w:color="000000" w:sz="8" w:space="0"/>
            </w:tcBorders>
            <w:vAlign w:val="center"/>
          </w:tcPr>
          <w:p w14:paraId="47E61852">
            <w:pPr>
              <w:pStyle w:val="64"/>
            </w:pPr>
          </w:p>
        </w:tc>
        <w:tc>
          <w:tcPr>
            <w:tcW w:w="2029" w:type="pct"/>
            <w:vMerge w:val="continue"/>
            <w:tcBorders>
              <w:left w:val="single" w:color="000000" w:sz="8" w:space="0"/>
              <w:right w:val="single" w:color="000000" w:sz="8" w:space="0"/>
            </w:tcBorders>
            <w:vAlign w:val="center"/>
          </w:tcPr>
          <w:p w14:paraId="613FEC43">
            <w:pPr>
              <w:pStyle w:val="64"/>
            </w:pPr>
          </w:p>
        </w:tc>
      </w:tr>
      <w:tr w14:paraId="43F8FD1D">
        <w:tblPrEx>
          <w:tblCellMar>
            <w:top w:w="0" w:type="dxa"/>
            <w:left w:w="108" w:type="dxa"/>
            <w:bottom w:w="0" w:type="dxa"/>
            <w:right w:w="108" w:type="dxa"/>
          </w:tblCellMar>
        </w:tblPrEx>
        <w:trPr>
          <w:trHeight w:val="189" w:hRule="atLeast"/>
        </w:trPr>
        <w:tc>
          <w:tcPr>
            <w:tcW w:w="821" w:type="pct"/>
            <w:vMerge w:val="continue"/>
            <w:tcBorders>
              <w:top w:val="single" w:color="000000" w:sz="8" w:space="0"/>
              <w:left w:val="single" w:color="000000" w:sz="8" w:space="0"/>
              <w:bottom w:val="single" w:color="000000" w:sz="8" w:space="0"/>
              <w:right w:val="single" w:color="000000" w:sz="8" w:space="0"/>
            </w:tcBorders>
            <w:vAlign w:val="center"/>
          </w:tcPr>
          <w:p w14:paraId="794CAF02">
            <w:pPr>
              <w:pStyle w:val="64"/>
            </w:pPr>
          </w:p>
        </w:tc>
        <w:tc>
          <w:tcPr>
            <w:tcW w:w="1091" w:type="pct"/>
            <w:tcBorders>
              <w:top w:val="single" w:color="000000" w:sz="8" w:space="0"/>
              <w:left w:val="single" w:color="000000" w:sz="8" w:space="0"/>
              <w:bottom w:val="single" w:color="000000" w:sz="8" w:space="0"/>
              <w:right w:val="single" w:color="000000" w:sz="8" w:space="0"/>
            </w:tcBorders>
            <w:vAlign w:val="center"/>
          </w:tcPr>
          <w:p w14:paraId="0DE2DAD6">
            <w:pPr>
              <w:pStyle w:val="64"/>
            </w:pPr>
            <w:r>
              <w:t>年平均</w:t>
            </w:r>
          </w:p>
        </w:tc>
        <w:tc>
          <w:tcPr>
            <w:tcW w:w="588" w:type="pct"/>
            <w:tcBorders>
              <w:top w:val="single" w:color="000000" w:sz="8" w:space="0"/>
              <w:left w:val="single" w:color="000000" w:sz="8" w:space="0"/>
              <w:bottom w:val="single" w:color="000000" w:sz="8" w:space="0"/>
              <w:right w:val="single" w:color="auto" w:sz="4" w:space="0"/>
            </w:tcBorders>
            <w:vAlign w:val="center"/>
          </w:tcPr>
          <w:p w14:paraId="52F20800">
            <w:pPr>
              <w:pStyle w:val="64"/>
            </w:pPr>
            <w:r>
              <w:t>60</w:t>
            </w:r>
          </w:p>
        </w:tc>
        <w:tc>
          <w:tcPr>
            <w:tcW w:w="471" w:type="pct"/>
            <w:vMerge w:val="continue"/>
            <w:tcBorders>
              <w:left w:val="single" w:color="auto" w:sz="4" w:space="0"/>
              <w:right w:val="single" w:color="000000" w:sz="8" w:space="0"/>
            </w:tcBorders>
            <w:vAlign w:val="center"/>
          </w:tcPr>
          <w:p w14:paraId="2A29D40C">
            <w:pPr>
              <w:pStyle w:val="64"/>
            </w:pPr>
          </w:p>
        </w:tc>
        <w:tc>
          <w:tcPr>
            <w:tcW w:w="2029" w:type="pct"/>
            <w:vMerge w:val="continue"/>
            <w:tcBorders>
              <w:left w:val="single" w:color="000000" w:sz="8" w:space="0"/>
              <w:right w:val="single" w:color="000000" w:sz="8" w:space="0"/>
            </w:tcBorders>
            <w:vAlign w:val="center"/>
          </w:tcPr>
          <w:p w14:paraId="21B8A75A">
            <w:pPr>
              <w:pStyle w:val="64"/>
            </w:pPr>
          </w:p>
        </w:tc>
      </w:tr>
      <w:tr w14:paraId="290E9F67">
        <w:tblPrEx>
          <w:tblCellMar>
            <w:top w:w="0" w:type="dxa"/>
            <w:left w:w="108" w:type="dxa"/>
            <w:bottom w:w="0" w:type="dxa"/>
            <w:right w:w="108" w:type="dxa"/>
          </w:tblCellMar>
        </w:tblPrEx>
        <w:trPr>
          <w:trHeight w:val="80" w:hRule="atLeast"/>
        </w:trPr>
        <w:tc>
          <w:tcPr>
            <w:tcW w:w="821" w:type="pct"/>
            <w:vMerge w:val="restart"/>
            <w:tcBorders>
              <w:top w:val="single" w:color="000000" w:sz="8" w:space="0"/>
              <w:left w:val="single" w:color="000000" w:sz="8" w:space="0"/>
              <w:bottom w:val="single" w:color="000000" w:sz="8" w:space="0"/>
              <w:right w:val="single" w:color="000000" w:sz="8" w:space="0"/>
            </w:tcBorders>
            <w:vAlign w:val="center"/>
          </w:tcPr>
          <w:p w14:paraId="42131E12">
            <w:pPr>
              <w:pStyle w:val="64"/>
            </w:pPr>
            <w:r>
              <w:t>NO</w:t>
            </w:r>
            <w:r>
              <w:rPr>
                <w:vertAlign w:val="subscript"/>
              </w:rPr>
              <w:t>2</w:t>
            </w:r>
          </w:p>
        </w:tc>
        <w:tc>
          <w:tcPr>
            <w:tcW w:w="1091" w:type="pct"/>
            <w:tcBorders>
              <w:top w:val="single" w:color="000000" w:sz="8" w:space="0"/>
              <w:left w:val="single" w:color="000000" w:sz="8" w:space="0"/>
              <w:bottom w:val="single" w:color="000000" w:sz="8" w:space="0"/>
              <w:right w:val="single" w:color="000000" w:sz="8" w:space="0"/>
            </w:tcBorders>
            <w:vAlign w:val="center"/>
          </w:tcPr>
          <w:p w14:paraId="72757EE3">
            <w:pPr>
              <w:pStyle w:val="64"/>
            </w:pPr>
            <w:r>
              <w:t>1小时平均</w:t>
            </w:r>
          </w:p>
        </w:tc>
        <w:tc>
          <w:tcPr>
            <w:tcW w:w="588" w:type="pct"/>
            <w:tcBorders>
              <w:top w:val="single" w:color="000000" w:sz="8" w:space="0"/>
              <w:left w:val="single" w:color="000000" w:sz="8" w:space="0"/>
              <w:bottom w:val="single" w:color="000000" w:sz="8" w:space="0"/>
              <w:right w:val="single" w:color="auto" w:sz="4" w:space="0"/>
            </w:tcBorders>
            <w:vAlign w:val="center"/>
          </w:tcPr>
          <w:p w14:paraId="2091CF51">
            <w:pPr>
              <w:pStyle w:val="64"/>
            </w:pPr>
            <w:r>
              <w:t>200</w:t>
            </w:r>
          </w:p>
        </w:tc>
        <w:tc>
          <w:tcPr>
            <w:tcW w:w="471" w:type="pct"/>
            <w:vMerge w:val="continue"/>
            <w:tcBorders>
              <w:left w:val="single" w:color="auto" w:sz="4" w:space="0"/>
              <w:right w:val="single" w:color="000000" w:sz="8" w:space="0"/>
            </w:tcBorders>
            <w:vAlign w:val="center"/>
          </w:tcPr>
          <w:p w14:paraId="14CB0BDA">
            <w:pPr>
              <w:pStyle w:val="64"/>
            </w:pPr>
          </w:p>
        </w:tc>
        <w:tc>
          <w:tcPr>
            <w:tcW w:w="2029" w:type="pct"/>
            <w:vMerge w:val="continue"/>
            <w:tcBorders>
              <w:left w:val="single" w:color="000000" w:sz="8" w:space="0"/>
              <w:right w:val="single" w:color="000000" w:sz="8" w:space="0"/>
            </w:tcBorders>
            <w:vAlign w:val="center"/>
          </w:tcPr>
          <w:p w14:paraId="4C92713A">
            <w:pPr>
              <w:pStyle w:val="64"/>
            </w:pPr>
          </w:p>
        </w:tc>
      </w:tr>
      <w:tr w14:paraId="35D81D51">
        <w:trPr>
          <w:trHeight w:val="111" w:hRule="atLeast"/>
        </w:trPr>
        <w:tc>
          <w:tcPr>
            <w:tcW w:w="821" w:type="pct"/>
            <w:vMerge w:val="continue"/>
            <w:tcBorders>
              <w:top w:val="single" w:color="000000" w:sz="8" w:space="0"/>
              <w:left w:val="single" w:color="000000" w:sz="8" w:space="0"/>
              <w:bottom w:val="single" w:color="000000" w:sz="8" w:space="0"/>
              <w:right w:val="single" w:color="000000" w:sz="8" w:space="0"/>
            </w:tcBorders>
            <w:vAlign w:val="center"/>
          </w:tcPr>
          <w:p w14:paraId="31060A63">
            <w:pPr>
              <w:pStyle w:val="64"/>
            </w:pPr>
          </w:p>
        </w:tc>
        <w:tc>
          <w:tcPr>
            <w:tcW w:w="1091" w:type="pct"/>
            <w:tcBorders>
              <w:top w:val="single" w:color="000000" w:sz="8" w:space="0"/>
              <w:left w:val="single" w:color="000000" w:sz="8" w:space="0"/>
              <w:bottom w:val="single" w:color="000000" w:sz="8" w:space="0"/>
              <w:right w:val="single" w:color="000000" w:sz="8" w:space="0"/>
            </w:tcBorders>
            <w:vAlign w:val="center"/>
          </w:tcPr>
          <w:p w14:paraId="4FC934E2">
            <w:pPr>
              <w:pStyle w:val="64"/>
            </w:pPr>
            <w:r>
              <w:t>24小时平均</w:t>
            </w:r>
          </w:p>
        </w:tc>
        <w:tc>
          <w:tcPr>
            <w:tcW w:w="588" w:type="pct"/>
            <w:tcBorders>
              <w:top w:val="single" w:color="000000" w:sz="8" w:space="0"/>
              <w:left w:val="single" w:color="000000" w:sz="8" w:space="0"/>
              <w:bottom w:val="single" w:color="000000" w:sz="8" w:space="0"/>
              <w:right w:val="single" w:color="auto" w:sz="4" w:space="0"/>
            </w:tcBorders>
            <w:vAlign w:val="center"/>
          </w:tcPr>
          <w:p w14:paraId="74FE8F6D">
            <w:pPr>
              <w:pStyle w:val="64"/>
            </w:pPr>
            <w:r>
              <w:t>80</w:t>
            </w:r>
          </w:p>
        </w:tc>
        <w:tc>
          <w:tcPr>
            <w:tcW w:w="471" w:type="pct"/>
            <w:vMerge w:val="continue"/>
            <w:tcBorders>
              <w:left w:val="single" w:color="auto" w:sz="4" w:space="0"/>
              <w:right w:val="single" w:color="000000" w:sz="8" w:space="0"/>
            </w:tcBorders>
            <w:vAlign w:val="center"/>
          </w:tcPr>
          <w:p w14:paraId="64D133D1">
            <w:pPr>
              <w:pStyle w:val="64"/>
            </w:pPr>
          </w:p>
        </w:tc>
        <w:tc>
          <w:tcPr>
            <w:tcW w:w="2029" w:type="pct"/>
            <w:vMerge w:val="continue"/>
            <w:tcBorders>
              <w:left w:val="single" w:color="000000" w:sz="8" w:space="0"/>
              <w:right w:val="single" w:color="000000" w:sz="8" w:space="0"/>
            </w:tcBorders>
            <w:vAlign w:val="center"/>
          </w:tcPr>
          <w:p w14:paraId="48BDD66E">
            <w:pPr>
              <w:pStyle w:val="64"/>
            </w:pPr>
          </w:p>
        </w:tc>
      </w:tr>
      <w:tr w14:paraId="32CFDAE2">
        <w:tblPrEx>
          <w:tblCellMar>
            <w:top w:w="0" w:type="dxa"/>
            <w:left w:w="108" w:type="dxa"/>
            <w:bottom w:w="0" w:type="dxa"/>
            <w:right w:w="108" w:type="dxa"/>
          </w:tblCellMar>
        </w:tblPrEx>
        <w:trPr>
          <w:trHeight w:val="157" w:hRule="atLeast"/>
        </w:trPr>
        <w:tc>
          <w:tcPr>
            <w:tcW w:w="821" w:type="pct"/>
            <w:vMerge w:val="continue"/>
            <w:tcBorders>
              <w:top w:val="single" w:color="000000" w:sz="8" w:space="0"/>
              <w:left w:val="single" w:color="000000" w:sz="8" w:space="0"/>
              <w:bottom w:val="single" w:color="000000" w:sz="8" w:space="0"/>
              <w:right w:val="single" w:color="000000" w:sz="8" w:space="0"/>
            </w:tcBorders>
            <w:vAlign w:val="center"/>
          </w:tcPr>
          <w:p w14:paraId="3EE980B8">
            <w:pPr>
              <w:pStyle w:val="64"/>
            </w:pPr>
          </w:p>
        </w:tc>
        <w:tc>
          <w:tcPr>
            <w:tcW w:w="1091" w:type="pct"/>
            <w:tcBorders>
              <w:top w:val="single" w:color="000000" w:sz="8" w:space="0"/>
              <w:left w:val="single" w:color="000000" w:sz="8" w:space="0"/>
              <w:bottom w:val="single" w:color="000000" w:sz="8" w:space="0"/>
              <w:right w:val="single" w:color="000000" w:sz="8" w:space="0"/>
            </w:tcBorders>
            <w:vAlign w:val="center"/>
          </w:tcPr>
          <w:p w14:paraId="1EFBF9F3">
            <w:pPr>
              <w:pStyle w:val="64"/>
            </w:pPr>
            <w:r>
              <w:t>年平均</w:t>
            </w:r>
          </w:p>
        </w:tc>
        <w:tc>
          <w:tcPr>
            <w:tcW w:w="588" w:type="pct"/>
            <w:tcBorders>
              <w:top w:val="single" w:color="000000" w:sz="8" w:space="0"/>
              <w:left w:val="single" w:color="000000" w:sz="8" w:space="0"/>
              <w:bottom w:val="single" w:color="000000" w:sz="8" w:space="0"/>
              <w:right w:val="single" w:color="auto" w:sz="4" w:space="0"/>
            </w:tcBorders>
            <w:vAlign w:val="center"/>
          </w:tcPr>
          <w:p w14:paraId="43B0905B">
            <w:pPr>
              <w:pStyle w:val="64"/>
            </w:pPr>
            <w:r>
              <w:t>40</w:t>
            </w:r>
          </w:p>
        </w:tc>
        <w:tc>
          <w:tcPr>
            <w:tcW w:w="471" w:type="pct"/>
            <w:vMerge w:val="continue"/>
            <w:tcBorders>
              <w:left w:val="single" w:color="auto" w:sz="4" w:space="0"/>
              <w:right w:val="single" w:color="000000" w:sz="8" w:space="0"/>
            </w:tcBorders>
            <w:vAlign w:val="center"/>
          </w:tcPr>
          <w:p w14:paraId="679ECBEC">
            <w:pPr>
              <w:pStyle w:val="64"/>
            </w:pPr>
          </w:p>
        </w:tc>
        <w:tc>
          <w:tcPr>
            <w:tcW w:w="2029" w:type="pct"/>
            <w:vMerge w:val="continue"/>
            <w:tcBorders>
              <w:left w:val="single" w:color="000000" w:sz="8" w:space="0"/>
              <w:right w:val="single" w:color="000000" w:sz="8" w:space="0"/>
            </w:tcBorders>
            <w:vAlign w:val="center"/>
          </w:tcPr>
          <w:p w14:paraId="520206E8">
            <w:pPr>
              <w:pStyle w:val="64"/>
            </w:pPr>
          </w:p>
        </w:tc>
      </w:tr>
      <w:tr w14:paraId="75A2A61B">
        <w:tblPrEx>
          <w:tblCellMar>
            <w:top w:w="0" w:type="dxa"/>
            <w:left w:w="108" w:type="dxa"/>
            <w:bottom w:w="0" w:type="dxa"/>
            <w:right w:w="108" w:type="dxa"/>
          </w:tblCellMar>
        </w:tblPrEx>
        <w:trPr>
          <w:trHeight w:val="65" w:hRule="atLeast"/>
        </w:trPr>
        <w:tc>
          <w:tcPr>
            <w:tcW w:w="821" w:type="pct"/>
            <w:vMerge w:val="restart"/>
            <w:tcBorders>
              <w:top w:val="single" w:color="000000" w:sz="8" w:space="0"/>
              <w:left w:val="single" w:color="000000" w:sz="8" w:space="0"/>
              <w:right w:val="single" w:color="000000" w:sz="8" w:space="0"/>
            </w:tcBorders>
            <w:vAlign w:val="center"/>
          </w:tcPr>
          <w:p w14:paraId="6B0CD974">
            <w:pPr>
              <w:pStyle w:val="64"/>
            </w:pPr>
            <w:r>
              <w:t>PM</w:t>
            </w:r>
            <w:r>
              <w:rPr>
                <w:vertAlign w:val="subscript"/>
              </w:rPr>
              <w:t>10</w:t>
            </w:r>
          </w:p>
        </w:tc>
        <w:tc>
          <w:tcPr>
            <w:tcW w:w="1091" w:type="pct"/>
            <w:tcBorders>
              <w:top w:val="single" w:color="000000" w:sz="8" w:space="0"/>
              <w:left w:val="single" w:color="000000" w:sz="8" w:space="0"/>
              <w:bottom w:val="single" w:color="000000" w:sz="8" w:space="0"/>
              <w:right w:val="single" w:color="000000" w:sz="8" w:space="0"/>
            </w:tcBorders>
            <w:vAlign w:val="center"/>
          </w:tcPr>
          <w:p w14:paraId="66FF30AC">
            <w:pPr>
              <w:pStyle w:val="64"/>
            </w:pPr>
            <w:r>
              <w:t>24小时平均</w:t>
            </w:r>
          </w:p>
        </w:tc>
        <w:tc>
          <w:tcPr>
            <w:tcW w:w="588" w:type="pct"/>
            <w:tcBorders>
              <w:top w:val="single" w:color="000000" w:sz="8" w:space="0"/>
              <w:left w:val="single" w:color="000000" w:sz="8" w:space="0"/>
              <w:bottom w:val="single" w:color="000000" w:sz="8" w:space="0"/>
              <w:right w:val="single" w:color="auto" w:sz="4" w:space="0"/>
            </w:tcBorders>
            <w:vAlign w:val="center"/>
          </w:tcPr>
          <w:p w14:paraId="66FB284C">
            <w:pPr>
              <w:pStyle w:val="64"/>
            </w:pPr>
            <w:r>
              <w:rPr>
                <w:rFonts w:hint="eastAsia"/>
              </w:rPr>
              <w:t>150</w:t>
            </w:r>
          </w:p>
        </w:tc>
        <w:tc>
          <w:tcPr>
            <w:tcW w:w="471" w:type="pct"/>
            <w:vMerge w:val="continue"/>
            <w:tcBorders>
              <w:left w:val="single" w:color="auto" w:sz="4" w:space="0"/>
              <w:right w:val="single" w:color="000000" w:sz="8" w:space="0"/>
            </w:tcBorders>
            <w:vAlign w:val="center"/>
          </w:tcPr>
          <w:p w14:paraId="4C45E871">
            <w:pPr>
              <w:pStyle w:val="64"/>
            </w:pPr>
          </w:p>
        </w:tc>
        <w:tc>
          <w:tcPr>
            <w:tcW w:w="2029" w:type="pct"/>
            <w:vMerge w:val="continue"/>
            <w:tcBorders>
              <w:left w:val="single" w:color="000000" w:sz="8" w:space="0"/>
              <w:right w:val="single" w:color="000000" w:sz="8" w:space="0"/>
            </w:tcBorders>
            <w:vAlign w:val="center"/>
          </w:tcPr>
          <w:p w14:paraId="30F3020E">
            <w:pPr>
              <w:pStyle w:val="64"/>
            </w:pPr>
          </w:p>
        </w:tc>
      </w:tr>
      <w:tr w14:paraId="51E454FB">
        <w:tblPrEx>
          <w:tblCellMar>
            <w:top w:w="0" w:type="dxa"/>
            <w:left w:w="108" w:type="dxa"/>
            <w:bottom w:w="0" w:type="dxa"/>
            <w:right w:w="108" w:type="dxa"/>
          </w:tblCellMar>
        </w:tblPrEx>
        <w:trPr>
          <w:trHeight w:val="65" w:hRule="atLeast"/>
        </w:trPr>
        <w:tc>
          <w:tcPr>
            <w:tcW w:w="821" w:type="pct"/>
            <w:vMerge w:val="continue"/>
            <w:tcBorders>
              <w:left w:val="single" w:color="000000" w:sz="8" w:space="0"/>
              <w:bottom w:val="single" w:color="000000" w:sz="8" w:space="0"/>
              <w:right w:val="single" w:color="000000" w:sz="8" w:space="0"/>
            </w:tcBorders>
            <w:vAlign w:val="center"/>
          </w:tcPr>
          <w:p w14:paraId="7BCB3D89">
            <w:pPr>
              <w:pStyle w:val="64"/>
            </w:pPr>
          </w:p>
        </w:tc>
        <w:tc>
          <w:tcPr>
            <w:tcW w:w="1091" w:type="pct"/>
            <w:tcBorders>
              <w:top w:val="single" w:color="000000" w:sz="8" w:space="0"/>
              <w:left w:val="single" w:color="000000" w:sz="8" w:space="0"/>
              <w:bottom w:val="single" w:color="000000" w:sz="8" w:space="0"/>
              <w:right w:val="single" w:color="000000" w:sz="8" w:space="0"/>
            </w:tcBorders>
            <w:vAlign w:val="center"/>
          </w:tcPr>
          <w:p w14:paraId="3F04A7FB">
            <w:pPr>
              <w:pStyle w:val="64"/>
            </w:pPr>
            <w:r>
              <w:t>年平均</w:t>
            </w:r>
          </w:p>
        </w:tc>
        <w:tc>
          <w:tcPr>
            <w:tcW w:w="588" w:type="pct"/>
            <w:tcBorders>
              <w:top w:val="single" w:color="000000" w:sz="8" w:space="0"/>
              <w:left w:val="single" w:color="000000" w:sz="8" w:space="0"/>
              <w:bottom w:val="single" w:color="000000" w:sz="8" w:space="0"/>
              <w:right w:val="single" w:color="auto" w:sz="4" w:space="0"/>
            </w:tcBorders>
            <w:vAlign w:val="center"/>
          </w:tcPr>
          <w:p w14:paraId="30AD21B9">
            <w:pPr>
              <w:pStyle w:val="64"/>
            </w:pPr>
            <w:r>
              <w:t>70</w:t>
            </w:r>
          </w:p>
        </w:tc>
        <w:tc>
          <w:tcPr>
            <w:tcW w:w="471" w:type="pct"/>
            <w:vMerge w:val="continue"/>
            <w:tcBorders>
              <w:left w:val="single" w:color="auto" w:sz="4" w:space="0"/>
              <w:right w:val="single" w:color="000000" w:sz="8" w:space="0"/>
            </w:tcBorders>
            <w:vAlign w:val="center"/>
          </w:tcPr>
          <w:p w14:paraId="7CF3925E">
            <w:pPr>
              <w:pStyle w:val="64"/>
            </w:pPr>
          </w:p>
        </w:tc>
        <w:tc>
          <w:tcPr>
            <w:tcW w:w="2029" w:type="pct"/>
            <w:vMerge w:val="continue"/>
            <w:tcBorders>
              <w:left w:val="single" w:color="000000" w:sz="8" w:space="0"/>
              <w:right w:val="single" w:color="000000" w:sz="8" w:space="0"/>
            </w:tcBorders>
            <w:vAlign w:val="center"/>
          </w:tcPr>
          <w:p w14:paraId="27430A06">
            <w:pPr>
              <w:pStyle w:val="64"/>
            </w:pPr>
          </w:p>
        </w:tc>
      </w:tr>
      <w:tr w14:paraId="7B430FDB">
        <w:trPr>
          <w:trHeight w:val="65" w:hRule="atLeast"/>
        </w:trPr>
        <w:tc>
          <w:tcPr>
            <w:tcW w:w="821" w:type="pct"/>
            <w:vMerge w:val="restart"/>
            <w:tcBorders>
              <w:left w:val="single" w:color="000000" w:sz="8" w:space="0"/>
              <w:right w:val="single" w:color="000000" w:sz="8" w:space="0"/>
            </w:tcBorders>
            <w:vAlign w:val="center"/>
          </w:tcPr>
          <w:p w14:paraId="3F9D01FE">
            <w:pPr>
              <w:pStyle w:val="64"/>
            </w:pPr>
            <w:r>
              <w:t>PM</w:t>
            </w:r>
            <w:r>
              <w:rPr>
                <w:vertAlign w:val="subscript"/>
              </w:rPr>
              <w:t>2.5</w:t>
            </w:r>
          </w:p>
        </w:tc>
        <w:tc>
          <w:tcPr>
            <w:tcW w:w="1091" w:type="pct"/>
            <w:tcBorders>
              <w:top w:val="single" w:color="000000" w:sz="8" w:space="0"/>
              <w:left w:val="single" w:color="000000" w:sz="8" w:space="0"/>
              <w:bottom w:val="single" w:color="000000" w:sz="8" w:space="0"/>
              <w:right w:val="single" w:color="000000" w:sz="8" w:space="0"/>
            </w:tcBorders>
            <w:vAlign w:val="center"/>
          </w:tcPr>
          <w:p w14:paraId="05623AD4">
            <w:pPr>
              <w:pStyle w:val="64"/>
            </w:pPr>
            <w:r>
              <w:rPr>
                <w:rFonts w:hint="eastAsia"/>
              </w:rPr>
              <w:t>年平均</w:t>
            </w:r>
          </w:p>
        </w:tc>
        <w:tc>
          <w:tcPr>
            <w:tcW w:w="588" w:type="pct"/>
            <w:tcBorders>
              <w:top w:val="single" w:color="000000" w:sz="8" w:space="0"/>
              <w:left w:val="single" w:color="000000" w:sz="8" w:space="0"/>
              <w:bottom w:val="single" w:color="000000" w:sz="8" w:space="0"/>
              <w:right w:val="single" w:color="auto" w:sz="4" w:space="0"/>
            </w:tcBorders>
            <w:vAlign w:val="center"/>
          </w:tcPr>
          <w:p w14:paraId="24778A6B">
            <w:pPr>
              <w:pStyle w:val="64"/>
            </w:pPr>
            <w:r>
              <w:t>35</w:t>
            </w:r>
          </w:p>
        </w:tc>
        <w:tc>
          <w:tcPr>
            <w:tcW w:w="471" w:type="pct"/>
            <w:vMerge w:val="continue"/>
            <w:tcBorders>
              <w:left w:val="single" w:color="auto" w:sz="4" w:space="0"/>
              <w:right w:val="single" w:color="000000" w:sz="8" w:space="0"/>
            </w:tcBorders>
            <w:vAlign w:val="center"/>
          </w:tcPr>
          <w:p w14:paraId="1905F594">
            <w:pPr>
              <w:pStyle w:val="64"/>
            </w:pPr>
          </w:p>
        </w:tc>
        <w:tc>
          <w:tcPr>
            <w:tcW w:w="2029" w:type="pct"/>
            <w:vMerge w:val="continue"/>
            <w:tcBorders>
              <w:left w:val="single" w:color="000000" w:sz="8" w:space="0"/>
              <w:right w:val="single" w:color="000000" w:sz="8" w:space="0"/>
            </w:tcBorders>
            <w:vAlign w:val="center"/>
          </w:tcPr>
          <w:p w14:paraId="14AAE5EA">
            <w:pPr>
              <w:pStyle w:val="64"/>
            </w:pPr>
          </w:p>
        </w:tc>
      </w:tr>
      <w:tr w14:paraId="4007A676">
        <w:tblPrEx>
          <w:tblCellMar>
            <w:top w:w="0" w:type="dxa"/>
            <w:left w:w="108" w:type="dxa"/>
            <w:bottom w:w="0" w:type="dxa"/>
            <w:right w:w="108" w:type="dxa"/>
          </w:tblCellMar>
        </w:tblPrEx>
        <w:trPr>
          <w:trHeight w:val="65" w:hRule="atLeast"/>
        </w:trPr>
        <w:tc>
          <w:tcPr>
            <w:tcW w:w="821" w:type="pct"/>
            <w:vMerge w:val="continue"/>
            <w:tcBorders>
              <w:left w:val="single" w:color="000000" w:sz="8" w:space="0"/>
              <w:bottom w:val="single" w:color="000000" w:sz="8" w:space="0"/>
              <w:right w:val="single" w:color="000000" w:sz="8" w:space="0"/>
            </w:tcBorders>
            <w:vAlign w:val="center"/>
          </w:tcPr>
          <w:p w14:paraId="56C43A32">
            <w:pPr>
              <w:pStyle w:val="64"/>
            </w:pPr>
          </w:p>
        </w:tc>
        <w:tc>
          <w:tcPr>
            <w:tcW w:w="1091" w:type="pct"/>
            <w:tcBorders>
              <w:top w:val="single" w:color="000000" w:sz="8" w:space="0"/>
              <w:left w:val="single" w:color="000000" w:sz="8" w:space="0"/>
              <w:bottom w:val="single" w:color="000000" w:sz="8" w:space="0"/>
              <w:right w:val="single" w:color="000000" w:sz="8" w:space="0"/>
            </w:tcBorders>
            <w:vAlign w:val="center"/>
          </w:tcPr>
          <w:p w14:paraId="40F970E6">
            <w:pPr>
              <w:pStyle w:val="64"/>
            </w:pPr>
            <w:r>
              <w:t>24</w:t>
            </w:r>
            <w:r>
              <w:rPr>
                <w:rFonts w:hint="eastAsia"/>
              </w:rPr>
              <w:t>小时平均</w:t>
            </w:r>
          </w:p>
        </w:tc>
        <w:tc>
          <w:tcPr>
            <w:tcW w:w="588" w:type="pct"/>
            <w:tcBorders>
              <w:top w:val="single" w:color="000000" w:sz="8" w:space="0"/>
              <w:left w:val="single" w:color="000000" w:sz="8" w:space="0"/>
              <w:bottom w:val="single" w:color="000000" w:sz="8" w:space="0"/>
              <w:right w:val="single" w:color="auto" w:sz="4" w:space="0"/>
            </w:tcBorders>
            <w:vAlign w:val="center"/>
          </w:tcPr>
          <w:p w14:paraId="3C6CEE23">
            <w:pPr>
              <w:pStyle w:val="64"/>
            </w:pPr>
            <w:r>
              <w:t>75</w:t>
            </w:r>
          </w:p>
        </w:tc>
        <w:tc>
          <w:tcPr>
            <w:tcW w:w="471" w:type="pct"/>
            <w:vMerge w:val="continue"/>
            <w:tcBorders>
              <w:left w:val="single" w:color="auto" w:sz="4" w:space="0"/>
              <w:right w:val="single" w:color="000000" w:sz="8" w:space="0"/>
            </w:tcBorders>
            <w:vAlign w:val="center"/>
          </w:tcPr>
          <w:p w14:paraId="39F8929A">
            <w:pPr>
              <w:pStyle w:val="64"/>
            </w:pPr>
          </w:p>
        </w:tc>
        <w:tc>
          <w:tcPr>
            <w:tcW w:w="2029" w:type="pct"/>
            <w:vMerge w:val="continue"/>
            <w:tcBorders>
              <w:left w:val="single" w:color="000000" w:sz="8" w:space="0"/>
              <w:right w:val="single" w:color="000000" w:sz="8" w:space="0"/>
            </w:tcBorders>
            <w:vAlign w:val="center"/>
          </w:tcPr>
          <w:p w14:paraId="101CE847">
            <w:pPr>
              <w:pStyle w:val="64"/>
            </w:pPr>
          </w:p>
        </w:tc>
      </w:tr>
      <w:tr w14:paraId="68AFFE28">
        <w:tblPrEx>
          <w:tblCellMar>
            <w:top w:w="0" w:type="dxa"/>
            <w:left w:w="108" w:type="dxa"/>
            <w:bottom w:w="0" w:type="dxa"/>
            <w:right w:w="108" w:type="dxa"/>
          </w:tblCellMar>
        </w:tblPrEx>
        <w:trPr>
          <w:trHeight w:val="65" w:hRule="atLeast"/>
        </w:trPr>
        <w:tc>
          <w:tcPr>
            <w:tcW w:w="821" w:type="pct"/>
            <w:vMerge w:val="restart"/>
            <w:tcBorders>
              <w:left w:val="single" w:color="000000" w:sz="8" w:space="0"/>
              <w:right w:val="single" w:color="000000" w:sz="8" w:space="0"/>
            </w:tcBorders>
            <w:vAlign w:val="center"/>
          </w:tcPr>
          <w:p w14:paraId="0089DF54">
            <w:pPr>
              <w:pStyle w:val="64"/>
            </w:pPr>
            <w:r>
              <w:t>O</w:t>
            </w:r>
            <w:r>
              <w:rPr>
                <w:vertAlign w:val="subscript"/>
              </w:rPr>
              <w:t>3</w:t>
            </w:r>
          </w:p>
        </w:tc>
        <w:tc>
          <w:tcPr>
            <w:tcW w:w="1091" w:type="pct"/>
            <w:tcBorders>
              <w:top w:val="single" w:color="000000" w:sz="8" w:space="0"/>
              <w:left w:val="single" w:color="000000" w:sz="8" w:space="0"/>
              <w:bottom w:val="single" w:color="000000" w:sz="8" w:space="0"/>
              <w:right w:val="single" w:color="000000" w:sz="8" w:space="0"/>
            </w:tcBorders>
            <w:vAlign w:val="center"/>
          </w:tcPr>
          <w:p w14:paraId="4449408E">
            <w:pPr>
              <w:pStyle w:val="64"/>
            </w:pPr>
            <w:r>
              <w:rPr>
                <w:rFonts w:hint="eastAsia"/>
              </w:rPr>
              <w:t>日最大</w:t>
            </w:r>
            <w:r>
              <w:t>8</w:t>
            </w:r>
            <w:r>
              <w:rPr>
                <w:rFonts w:hint="eastAsia"/>
              </w:rPr>
              <w:t>小时平均</w:t>
            </w:r>
          </w:p>
        </w:tc>
        <w:tc>
          <w:tcPr>
            <w:tcW w:w="588" w:type="pct"/>
            <w:tcBorders>
              <w:top w:val="single" w:color="000000" w:sz="8" w:space="0"/>
              <w:left w:val="single" w:color="000000" w:sz="8" w:space="0"/>
              <w:bottom w:val="single" w:color="000000" w:sz="8" w:space="0"/>
              <w:right w:val="single" w:color="auto" w:sz="4" w:space="0"/>
            </w:tcBorders>
            <w:vAlign w:val="center"/>
          </w:tcPr>
          <w:p w14:paraId="493E536A">
            <w:pPr>
              <w:pStyle w:val="64"/>
            </w:pPr>
            <w:r>
              <w:t>160</w:t>
            </w:r>
          </w:p>
        </w:tc>
        <w:tc>
          <w:tcPr>
            <w:tcW w:w="471" w:type="pct"/>
            <w:vMerge w:val="continue"/>
            <w:tcBorders>
              <w:left w:val="single" w:color="auto" w:sz="4" w:space="0"/>
              <w:right w:val="single" w:color="000000" w:sz="8" w:space="0"/>
            </w:tcBorders>
            <w:vAlign w:val="center"/>
          </w:tcPr>
          <w:p w14:paraId="7712E7EA">
            <w:pPr>
              <w:pStyle w:val="64"/>
            </w:pPr>
          </w:p>
        </w:tc>
        <w:tc>
          <w:tcPr>
            <w:tcW w:w="2029" w:type="pct"/>
            <w:vMerge w:val="continue"/>
            <w:tcBorders>
              <w:left w:val="single" w:color="000000" w:sz="8" w:space="0"/>
              <w:right w:val="single" w:color="000000" w:sz="8" w:space="0"/>
            </w:tcBorders>
            <w:vAlign w:val="center"/>
          </w:tcPr>
          <w:p w14:paraId="2B57F71E">
            <w:pPr>
              <w:pStyle w:val="64"/>
            </w:pPr>
          </w:p>
        </w:tc>
      </w:tr>
      <w:tr w14:paraId="5AE75938">
        <w:trPr>
          <w:trHeight w:val="65" w:hRule="atLeast"/>
        </w:trPr>
        <w:tc>
          <w:tcPr>
            <w:tcW w:w="821" w:type="pct"/>
            <w:vMerge w:val="continue"/>
            <w:tcBorders>
              <w:left w:val="single" w:color="000000" w:sz="8" w:space="0"/>
              <w:bottom w:val="single" w:color="000000" w:sz="8" w:space="0"/>
              <w:right w:val="single" w:color="000000" w:sz="8" w:space="0"/>
            </w:tcBorders>
            <w:vAlign w:val="center"/>
          </w:tcPr>
          <w:p w14:paraId="42B63094">
            <w:pPr>
              <w:pStyle w:val="64"/>
            </w:pPr>
          </w:p>
        </w:tc>
        <w:tc>
          <w:tcPr>
            <w:tcW w:w="1091" w:type="pct"/>
            <w:tcBorders>
              <w:top w:val="single" w:color="000000" w:sz="8" w:space="0"/>
              <w:left w:val="single" w:color="000000" w:sz="8" w:space="0"/>
              <w:bottom w:val="single" w:color="000000" w:sz="8" w:space="0"/>
              <w:right w:val="single" w:color="000000" w:sz="8" w:space="0"/>
            </w:tcBorders>
            <w:vAlign w:val="center"/>
          </w:tcPr>
          <w:p w14:paraId="627274C1">
            <w:pPr>
              <w:pStyle w:val="64"/>
            </w:pPr>
            <w:r>
              <w:t>1</w:t>
            </w:r>
            <w:r>
              <w:rPr>
                <w:rFonts w:hint="eastAsia"/>
              </w:rPr>
              <w:t>小时平均</w:t>
            </w:r>
          </w:p>
        </w:tc>
        <w:tc>
          <w:tcPr>
            <w:tcW w:w="588" w:type="pct"/>
            <w:tcBorders>
              <w:top w:val="single" w:color="000000" w:sz="8" w:space="0"/>
              <w:left w:val="single" w:color="000000" w:sz="8" w:space="0"/>
              <w:bottom w:val="single" w:color="auto" w:sz="4" w:space="0"/>
              <w:right w:val="single" w:color="auto" w:sz="4" w:space="0"/>
            </w:tcBorders>
            <w:vAlign w:val="center"/>
          </w:tcPr>
          <w:p w14:paraId="5BF60BE5">
            <w:pPr>
              <w:pStyle w:val="64"/>
            </w:pPr>
            <w:r>
              <w:t>200</w:t>
            </w:r>
          </w:p>
        </w:tc>
        <w:tc>
          <w:tcPr>
            <w:tcW w:w="471" w:type="pct"/>
            <w:vMerge w:val="continue"/>
            <w:tcBorders>
              <w:left w:val="single" w:color="auto" w:sz="4" w:space="0"/>
              <w:bottom w:val="single" w:color="auto" w:sz="4" w:space="0"/>
              <w:right w:val="single" w:color="000000" w:sz="8" w:space="0"/>
            </w:tcBorders>
            <w:vAlign w:val="center"/>
          </w:tcPr>
          <w:p w14:paraId="09332CBB">
            <w:pPr>
              <w:pStyle w:val="64"/>
            </w:pPr>
          </w:p>
        </w:tc>
        <w:tc>
          <w:tcPr>
            <w:tcW w:w="2029" w:type="pct"/>
            <w:vMerge w:val="continue"/>
            <w:tcBorders>
              <w:left w:val="single" w:color="000000" w:sz="8" w:space="0"/>
              <w:right w:val="single" w:color="000000" w:sz="8" w:space="0"/>
            </w:tcBorders>
            <w:vAlign w:val="center"/>
          </w:tcPr>
          <w:p w14:paraId="0B47C1ED">
            <w:pPr>
              <w:pStyle w:val="64"/>
            </w:pPr>
          </w:p>
        </w:tc>
      </w:tr>
      <w:tr w14:paraId="67D39461">
        <w:tblPrEx>
          <w:tblCellMar>
            <w:top w:w="0" w:type="dxa"/>
            <w:left w:w="108" w:type="dxa"/>
            <w:bottom w:w="0" w:type="dxa"/>
            <w:right w:w="108" w:type="dxa"/>
          </w:tblCellMar>
        </w:tblPrEx>
        <w:trPr>
          <w:trHeight w:val="65" w:hRule="atLeast"/>
        </w:trPr>
        <w:tc>
          <w:tcPr>
            <w:tcW w:w="821" w:type="pct"/>
            <w:vMerge w:val="restart"/>
            <w:tcBorders>
              <w:left w:val="single" w:color="000000" w:sz="8" w:space="0"/>
              <w:right w:val="single" w:color="000000" w:sz="8" w:space="0"/>
            </w:tcBorders>
            <w:vAlign w:val="center"/>
          </w:tcPr>
          <w:p w14:paraId="7856950E">
            <w:pPr>
              <w:pStyle w:val="64"/>
            </w:pPr>
            <w:r>
              <w:t>CO</w:t>
            </w:r>
          </w:p>
        </w:tc>
        <w:tc>
          <w:tcPr>
            <w:tcW w:w="1091" w:type="pct"/>
            <w:tcBorders>
              <w:top w:val="single" w:color="000000" w:sz="8" w:space="0"/>
              <w:left w:val="single" w:color="000000" w:sz="8" w:space="0"/>
              <w:bottom w:val="single" w:color="000000" w:sz="8" w:space="0"/>
              <w:right w:val="single" w:color="000000" w:sz="8" w:space="0"/>
            </w:tcBorders>
            <w:vAlign w:val="center"/>
          </w:tcPr>
          <w:p w14:paraId="2CA12084">
            <w:pPr>
              <w:pStyle w:val="64"/>
            </w:pPr>
            <w:r>
              <w:t>24</w:t>
            </w:r>
            <w:r>
              <w:rPr>
                <w:rFonts w:hint="eastAsia"/>
              </w:rPr>
              <w:t>小时平均</w:t>
            </w:r>
          </w:p>
        </w:tc>
        <w:tc>
          <w:tcPr>
            <w:tcW w:w="588" w:type="pct"/>
            <w:tcBorders>
              <w:top w:val="single" w:color="000000" w:sz="8" w:space="0"/>
              <w:left w:val="single" w:color="000000" w:sz="8" w:space="0"/>
              <w:bottom w:val="single" w:color="000000" w:sz="8" w:space="0"/>
              <w:right w:val="single" w:color="auto" w:sz="4" w:space="0"/>
            </w:tcBorders>
            <w:vAlign w:val="center"/>
          </w:tcPr>
          <w:p w14:paraId="3C69271E">
            <w:pPr>
              <w:pStyle w:val="64"/>
            </w:pPr>
            <w:r>
              <w:t>4</w:t>
            </w:r>
          </w:p>
        </w:tc>
        <w:tc>
          <w:tcPr>
            <w:tcW w:w="471" w:type="pct"/>
            <w:vMerge w:val="restart"/>
            <w:tcBorders>
              <w:left w:val="single" w:color="auto" w:sz="4" w:space="0"/>
              <w:right w:val="single" w:color="000000" w:sz="8" w:space="0"/>
            </w:tcBorders>
            <w:vAlign w:val="center"/>
          </w:tcPr>
          <w:p w14:paraId="290E8876">
            <w:pPr>
              <w:pStyle w:val="64"/>
            </w:pPr>
            <w:r>
              <w:t>mg/m</w:t>
            </w:r>
            <w:r>
              <w:rPr>
                <w:vertAlign w:val="superscript"/>
              </w:rPr>
              <w:t>3</w:t>
            </w:r>
          </w:p>
        </w:tc>
        <w:tc>
          <w:tcPr>
            <w:tcW w:w="2029" w:type="pct"/>
            <w:vMerge w:val="continue"/>
            <w:tcBorders>
              <w:left w:val="single" w:color="000000" w:sz="8" w:space="0"/>
              <w:right w:val="single" w:color="000000" w:sz="8" w:space="0"/>
            </w:tcBorders>
            <w:vAlign w:val="center"/>
          </w:tcPr>
          <w:p w14:paraId="2D95D330">
            <w:pPr>
              <w:pStyle w:val="64"/>
            </w:pPr>
          </w:p>
        </w:tc>
      </w:tr>
      <w:tr w14:paraId="2DE4A38D">
        <w:tblPrEx>
          <w:tblCellMar>
            <w:top w:w="0" w:type="dxa"/>
            <w:left w:w="108" w:type="dxa"/>
            <w:bottom w:w="0" w:type="dxa"/>
            <w:right w:w="108" w:type="dxa"/>
          </w:tblCellMar>
        </w:tblPrEx>
        <w:trPr>
          <w:trHeight w:val="65" w:hRule="atLeast"/>
        </w:trPr>
        <w:tc>
          <w:tcPr>
            <w:tcW w:w="821" w:type="pct"/>
            <w:vMerge w:val="continue"/>
            <w:tcBorders>
              <w:left w:val="single" w:color="000000" w:sz="8" w:space="0"/>
              <w:bottom w:val="single" w:color="000000" w:sz="8" w:space="0"/>
              <w:right w:val="single" w:color="000000" w:sz="8" w:space="0"/>
            </w:tcBorders>
            <w:vAlign w:val="center"/>
          </w:tcPr>
          <w:p w14:paraId="3AF03311">
            <w:pPr>
              <w:pStyle w:val="64"/>
            </w:pPr>
          </w:p>
        </w:tc>
        <w:tc>
          <w:tcPr>
            <w:tcW w:w="1091" w:type="pct"/>
            <w:tcBorders>
              <w:top w:val="single" w:color="000000" w:sz="8" w:space="0"/>
              <w:left w:val="single" w:color="000000" w:sz="8" w:space="0"/>
              <w:bottom w:val="single" w:color="000000" w:sz="8" w:space="0"/>
              <w:right w:val="single" w:color="000000" w:sz="8" w:space="0"/>
            </w:tcBorders>
            <w:vAlign w:val="center"/>
          </w:tcPr>
          <w:p w14:paraId="2BE3E73F">
            <w:pPr>
              <w:pStyle w:val="64"/>
            </w:pPr>
            <w:r>
              <w:t>1</w:t>
            </w:r>
            <w:r>
              <w:rPr>
                <w:rFonts w:hint="eastAsia"/>
              </w:rPr>
              <w:t>小时平均</w:t>
            </w:r>
          </w:p>
        </w:tc>
        <w:tc>
          <w:tcPr>
            <w:tcW w:w="588" w:type="pct"/>
            <w:tcBorders>
              <w:top w:val="single" w:color="000000" w:sz="8" w:space="0"/>
              <w:left w:val="single" w:color="000000" w:sz="8" w:space="0"/>
              <w:bottom w:val="single" w:color="000000" w:sz="8" w:space="0"/>
              <w:right w:val="single" w:color="auto" w:sz="4" w:space="0"/>
            </w:tcBorders>
            <w:vAlign w:val="center"/>
          </w:tcPr>
          <w:p w14:paraId="612B2E15">
            <w:pPr>
              <w:pStyle w:val="64"/>
            </w:pPr>
            <w:r>
              <w:t>10</w:t>
            </w:r>
          </w:p>
        </w:tc>
        <w:tc>
          <w:tcPr>
            <w:tcW w:w="471" w:type="pct"/>
            <w:vMerge w:val="continue"/>
            <w:tcBorders>
              <w:left w:val="single" w:color="auto" w:sz="4" w:space="0"/>
              <w:right w:val="single" w:color="000000" w:sz="8" w:space="0"/>
            </w:tcBorders>
            <w:vAlign w:val="center"/>
          </w:tcPr>
          <w:p w14:paraId="5093BF6F">
            <w:pPr>
              <w:pStyle w:val="64"/>
            </w:pPr>
          </w:p>
        </w:tc>
        <w:tc>
          <w:tcPr>
            <w:tcW w:w="2029" w:type="pct"/>
            <w:vMerge w:val="continue"/>
            <w:tcBorders>
              <w:left w:val="single" w:color="000000" w:sz="8" w:space="0"/>
              <w:bottom w:val="single" w:color="000000" w:sz="8" w:space="0"/>
              <w:right w:val="single" w:color="000000" w:sz="8" w:space="0"/>
            </w:tcBorders>
            <w:vAlign w:val="center"/>
          </w:tcPr>
          <w:p w14:paraId="4F23DD11">
            <w:pPr>
              <w:pStyle w:val="64"/>
            </w:pPr>
          </w:p>
        </w:tc>
      </w:tr>
      <w:tr w14:paraId="714EF1E4">
        <w:tblPrEx>
          <w:tblCellMar>
            <w:top w:w="0" w:type="dxa"/>
            <w:left w:w="108" w:type="dxa"/>
            <w:bottom w:w="0" w:type="dxa"/>
            <w:right w:w="108" w:type="dxa"/>
          </w:tblCellMar>
        </w:tblPrEx>
        <w:trPr>
          <w:trHeight w:val="20" w:hRule="atLeast"/>
        </w:trPr>
        <w:tc>
          <w:tcPr>
            <w:tcW w:w="821" w:type="pct"/>
            <w:vMerge w:val="restart"/>
            <w:tcBorders>
              <w:top w:val="single" w:color="000000" w:sz="8" w:space="0"/>
              <w:left w:val="single" w:color="000000" w:sz="8" w:space="0"/>
              <w:right w:val="single" w:color="000000" w:sz="8" w:space="0"/>
            </w:tcBorders>
            <w:vAlign w:val="center"/>
          </w:tcPr>
          <w:p w14:paraId="376331EA">
            <w:pPr>
              <w:pStyle w:val="64"/>
            </w:pPr>
            <w:r>
              <w:rPr>
                <w:rFonts w:hint="eastAsia"/>
              </w:rPr>
              <w:t>硫酸</w:t>
            </w:r>
          </w:p>
        </w:tc>
        <w:tc>
          <w:tcPr>
            <w:tcW w:w="1091" w:type="pct"/>
            <w:tcBorders>
              <w:top w:val="single" w:color="000000" w:sz="8" w:space="0"/>
              <w:left w:val="single" w:color="000000" w:sz="8" w:space="0"/>
              <w:right w:val="single" w:color="000000" w:sz="8" w:space="0"/>
            </w:tcBorders>
            <w:vAlign w:val="center"/>
          </w:tcPr>
          <w:p w14:paraId="737EA1BD">
            <w:pPr>
              <w:pStyle w:val="64"/>
            </w:pPr>
            <w:r>
              <w:t>1</w:t>
            </w:r>
            <w:r>
              <w:rPr>
                <w:rFonts w:hint="eastAsia"/>
              </w:rPr>
              <w:t>小时平均</w:t>
            </w:r>
          </w:p>
        </w:tc>
        <w:tc>
          <w:tcPr>
            <w:tcW w:w="588" w:type="pct"/>
            <w:tcBorders>
              <w:top w:val="single" w:color="000000" w:sz="8" w:space="0"/>
              <w:left w:val="single" w:color="000000" w:sz="8" w:space="0"/>
              <w:right w:val="single" w:color="auto" w:sz="4" w:space="0"/>
            </w:tcBorders>
            <w:vAlign w:val="center"/>
          </w:tcPr>
          <w:p w14:paraId="5C0FD7A7">
            <w:pPr>
              <w:pStyle w:val="64"/>
            </w:pPr>
            <w:r>
              <w:rPr>
                <w:rFonts w:hint="eastAsia"/>
              </w:rPr>
              <w:t>300</w:t>
            </w:r>
          </w:p>
        </w:tc>
        <w:tc>
          <w:tcPr>
            <w:tcW w:w="471" w:type="pct"/>
            <w:tcBorders>
              <w:top w:val="single" w:color="000000" w:sz="8" w:space="0"/>
              <w:left w:val="single" w:color="auto" w:sz="4" w:space="0"/>
              <w:right w:val="single" w:color="000000" w:sz="8" w:space="0"/>
            </w:tcBorders>
            <w:vAlign w:val="center"/>
          </w:tcPr>
          <w:p w14:paraId="66D11594">
            <w:pPr>
              <w:pStyle w:val="64"/>
            </w:pPr>
            <w:r>
              <w:t>ug/m</w:t>
            </w:r>
            <w:r>
              <w:rPr>
                <w:vertAlign w:val="superscript"/>
              </w:rPr>
              <w:t>3</w:t>
            </w:r>
          </w:p>
        </w:tc>
        <w:tc>
          <w:tcPr>
            <w:tcW w:w="2029" w:type="pct"/>
            <w:vMerge w:val="restart"/>
            <w:tcBorders>
              <w:top w:val="single" w:color="000000" w:sz="8" w:space="0"/>
              <w:left w:val="single" w:color="000000" w:sz="8" w:space="0"/>
              <w:right w:val="single" w:color="000000" w:sz="8" w:space="0"/>
            </w:tcBorders>
            <w:vAlign w:val="center"/>
          </w:tcPr>
          <w:p w14:paraId="7E35CEE4">
            <w:pPr>
              <w:pStyle w:val="64"/>
            </w:pPr>
            <w:r>
              <w:rPr>
                <w:rFonts w:hint="eastAsia"/>
              </w:rPr>
              <w:t>《环境影响评价技术导则 大气环境》(HJ2.2-2018)附录D</w:t>
            </w:r>
          </w:p>
        </w:tc>
      </w:tr>
      <w:tr w14:paraId="0A7C6D4F">
        <w:tblPrEx>
          <w:tblCellMar>
            <w:top w:w="0" w:type="dxa"/>
            <w:left w:w="108" w:type="dxa"/>
            <w:bottom w:w="0" w:type="dxa"/>
            <w:right w:w="108" w:type="dxa"/>
          </w:tblCellMar>
        </w:tblPrEx>
        <w:trPr>
          <w:trHeight w:val="20" w:hRule="atLeast"/>
        </w:trPr>
        <w:tc>
          <w:tcPr>
            <w:tcW w:w="821" w:type="pct"/>
            <w:vMerge w:val="continue"/>
            <w:tcBorders>
              <w:left w:val="single" w:color="000000" w:sz="8" w:space="0"/>
              <w:bottom w:val="single" w:color="000000" w:sz="8" w:space="0"/>
              <w:right w:val="single" w:color="000000" w:sz="8" w:space="0"/>
            </w:tcBorders>
            <w:vAlign w:val="center"/>
          </w:tcPr>
          <w:p w14:paraId="7CA2BBC6">
            <w:pPr>
              <w:pStyle w:val="64"/>
            </w:pPr>
          </w:p>
        </w:tc>
        <w:tc>
          <w:tcPr>
            <w:tcW w:w="1091" w:type="pct"/>
            <w:tcBorders>
              <w:top w:val="single" w:color="000000" w:sz="8" w:space="0"/>
              <w:left w:val="single" w:color="000000" w:sz="8" w:space="0"/>
              <w:bottom w:val="single" w:color="000000" w:sz="8" w:space="0"/>
              <w:right w:val="single" w:color="000000" w:sz="8" w:space="0"/>
            </w:tcBorders>
            <w:vAlign w:val="center"/>
          </w:tcPr>
          <w:p w14:paraId="0A0A9631">
            <w:pPr>
              <w:pStyle w:val="64"/>
            </w:pPr>
            <w:r>
              <w:t>24</w:t>
            </w:r>
            <w:r>
              <w:rPr>
                <w:rFonts w:hint="eastAsia"/>
              </w:rPr>
              <w:t>小时平均</w:t>
            </w:r>
          </w:p>
        </w:tc>
        <w:tc>
          <w:tcPr>
            <w:tcW w:w="588" w:type="pct"/>
            <w:tcBorders>
              <w:top w:val="single" w:color="000000" w:sz="8" w:space="0"/>
              <w:left w:val="single" w:color="000000" w:sz="8" w:space="0"/>
              <w:bottom w:val="single" w:color="000000" w:sz="8" w:space="0"/>
              <w:right w:val="single" w:color="auto" w:sz="4" w:space="0"/>
            </w:tcBorders>
            <w:vAlign w:val="center"/>
          </w:tcPr>
          <w:p w14:paraId="533081A2">
            <w:pPr>
              <w:pStyle w:val="64"/>
            </w:pPr>
            <w:r>
              <w:rPr>
                <w:rFonts w:hint="eastAsia"/>
              </w:rPr>
              <w:t>100</w:t>
            </w:r>
          </w:p>
        </w:tc>
        <w:tc>
          <w:tcPr>
            <w:tcW w:w="471" w:type="pct"/>
            <w:tcBorders>
              <w:top w:val="single" w:color="000000" w:sz="8" w:space="0"/>
              <w:left w:val="single" w:color="auto" w:sz="4" w:space="0"/>
              <w:bottom w:val="single" w:color="auto" w:sz="4" w:space="0"/>
              <w:right w:val="single" w:color="000000" w:sz="8" w:space="0"/>
            </w:tcBorders>
            <w:vAlign w:val="center"/>
          </w:tcPr>
          <w:p w14:paraId="06EA07A9">
            <w:pPr>
              <w:pStyle w:val="64"/>
            </w:pPr>
            <w:r>
              <w:t>ug/m</w:t>
            </w:r>
            <w:r>
              <w:rPr>
                <w:vertAlign w:val="superscript"/>
              </w:rPr>
              <w:t>3</w:t>
            </w:r>
          </w:p>
        </w:tc>
        <w:tc>
          <w:tcPr>
            <w:tcW w:w="2029" w:type="pct"/>
            <w:vMerge w:val="continue"/>
            <w:tcBorders>
              <w:left w:val="single" w:color="000000" w:sz="8" w:space="0"/>
              <w:bottom w:val="single" w:color="auto" w:sz="4" w:space="0"/>
              <w:right w:val="single" w:color="000000" w:sz="8" w:space="0"/>
            </w:tcBorders>
            <w:vAlign w:val="center"/>
          </w:tcPr>
          <w:p w14:paraId="5B348FC5">
            <w:pPr>
              <w:pStyle w:val="64"/>
            </w:pPr>
          </w:p>
        </w:tc>
      </w:tr>
      <w:tr w14:paraId="027F8427">
        <w:tblPrEx>
          <w:tblCellMar>
            <w:top w:w="0" w:type="dxa"/>
            <w:left w:w="108" w:type="dxa"/>
            <w:bottom w:w="0" w:type="dxa"/>
            <w:right w:w="108" w:type="dxa"/>
          </w:tblCellMar>
        </w:tblPrEx>
        <w:trPr>
          <w:trHeight w:val="312" w:hRule="atLeast"/>
        </w:trPr>
        <w:tc>
          <w:tcPr>
            <w:tcW w:w="821" w:type="pct"/>
            <w:tcBorders>
              <w:top w:val="single" w:color="000000" w:sz="8" w:space="0"/>
              <w:left w:val="single" w:color="000000" w:sz="8" w:space="0"/>
              <w:bottom w:val="single" w:color="000000" w:sz="8" w:space="0"/>
              <w:right w:val="single" w:color="000000" w:sz="8" w:space="0"/>
            </w:tcBorders>
            <w:vAlign w:val="center"/>
          </w:tcPr>
          <w:p w14:paraId="627A2306">
            <w:pPr>
              <w:pStyle w:val="64"/>
            </w:pPr>
            <w:r>
              <w:rPr>
                <w:rFonts w:hint="eastAsia"/>
              </w:rPr>
              <w:t>酚类</w:t>
            </w:r>
          </w:p>
        </w:tc>
        <w:tc>
          <w:tcPr>
            <w:tcW w:w="1091" w:type="pct"/>
            <w:tcBorders>
              <w:top w:val="single" w:color="000000" w:sz="8" w:space="0"/>
              <w:left w:val="single" w:color="000000" w:sz="8" w:space="0"/>
              <w:bottom w:val="single" w:color="000000" w:sz="8" w:space="0"/>
              <w:right w:val="single" w:color="000000" w:sz="8" w:space="0"/>
            </w:tcBorders>
            <w:vAlign w:val="center"/>
          </w:tcPr>
          <w:p w14:paraId="029E8748">
            <w:pPr>
              <w:pStyle w:val="64"/>
            </w:pPr>
            <w:r>
              <w:rPr>
                <w:rFonts w:hint="eastAsia"/>
              </w:rPr>
              <w:t>一次值</w:t>
            </w:r>
          </w:p>
        </w:tc>
        <w:tc>
          <w:tcPr>
            <w:tcW w:w="588" w:type="pct"/>
            <w:tcBorders>
              <w:top w:val="single" w:color="000000" w:sz="8" w:space="0"/>
              <w:left w:val="single" w:color="000000" w:sz="8" w:space="0"/>
              <w:bottom w:val="single" w:color="000000" w:sz="8" w:space="0"/>
              <w:right w:val="single" w:color="auto" w:sz="4" w:space="0"/>
            </w:tcBorders>
            <w:vAlign w:val="center"/>
          </w:tcPr>
          <w:p w14:paraId="16B8906D">
            <w:pPr>
              <w:pStyle w:val="64"/>
            </w:pPr>
            <w:r>
              <w:rPr>
                <w:rFonts w:hint="eastAsia"/>
              </w:rPr>
              <w:t>0.02</w:t>
            </w:r>
          </w:p>
        </w:tc>
        <w:tc>
          <w:tcPr>
            <w:tcW w:w="471" w:type="pct"/>
            <w:vMerge w:val="restart"/>
            <w:tcBorders>
              <w:top w:val="single" w:color="000000" w:sz="8" w:space="0"/>
              <w:left w:val="single" w:color="auto" w:sz="4" w:space="0"/>
              <w:right w:val="single" w:color="000000" w:sz="8" w:space="0"/>
            </w:tcBorders>
            <w:vAlign w:val="center"/>
          </w:tcPr>
          <w:p w14:paraId="41897313">
            <w:pPr>
              <w:pStyle w:val="64"/>
            </w:pPr>
            <w:r>
              <w:t>mg/m</w:t>
            </w:r>
            <w:r>
              <w:rPr>
                <w:vertAlign w:val="superscript"/>
              </w:rPr>
              <w:t>3</w:t>
            </w:r>
          </w:p>
        </w:tc>
        <w:tc>
          <w:tcPr>
            <w:tcW w:w="2029" w:type="pct"/>
            <w:vMerge w:val="restart"/>
            <w:tcBorders>
              <w:top w:val="single" w:color="000000" w:sz="8" w:space="0"/>
              <w:left w:val="single" w:color="000000" w:sz="8" w:space="0"/>
              <w:right w:val="single" w:color="000000" w:sz="8" w:space="0"/>
            </w:tcBorders>
            <w:vAlign w:val="center"/>
          </w:tcPr>
          <w:p w14:paraId="511089B3">
            <w:pPr>
              <w:pStyle w:val="64"/>
            </w:pPr>
            <w:r>
              <w:t>《大气污染物综合排放标准详解》</w:t>
            </w:r>
          </w:p>
        </w:tc>
      </w:tr>
      <w:tr w14:paraId="4B6ADADD">
        <w:tblPrEx>
          <w:tblCellMar>
            <w:top w:w="0" w:type="dxa"/>
            <w:left w:w="108" w:type="dxa"/>
            <w:bottom w:w="0" w:type="dxa"/>
            <w:right w:w="108" w:type="dxa"/>
          </w:tblCellMar>
        </w:tblPrEx>
        <w:trPr>
          <w:trHeight w:val="193" w:hRule="atLeast"/>
        </w:trPr>
        <w:tc>
          <w:tcPr>
            <w:tcW w:w="821" w:type="pct"/>
            <w:tcBorders>
              <w:top w:val="single" w:color="000000" w:sz="8" w:space="0"/>
              <w:left w:val="single" w:color="000000" w:sz="8" w:space="0"/>
              <w:bottom w:val="single" w:color="000000" w:sz="8" w:space="0"/>
              <w:right w:val="single" w:color="000000" w:sz="8" w:space="0"/>
            </w:tcBorders>
            <w:vAlign w:val="center"/>
          </w:tcPr>
          <w:p w14:paraId="70FD83C3">
            <w:pPr>
              <w:pStyle w:val="64"/>
            </w:pPr>
            <w:r>
              <w:rPr>
                <w:rFonts w:hint="eastAsia"/>
              </w:rPr>
              <w:t>非甲烷总烃</w:t>
            </w:r>
          </w:p>
        </w:tc>
        <w:tc>
          <w:tcPr>
            <w:tcW w:w="1091" w:type="pct"/>
            <w:tcBorders>
              <w:top w:val="single" w:color="000000" w:sz="8" w:space="0"/>
              <w:left w:val="single" w:color="000000" w:sz="8" w:space="0"/>
              <w:bottom w:val="single" w:color="000000" w:sz="8" w:space="0"/>
              <w:right w:val="single" w:color="000000" w:sz="8" w:space="0"/>
            </w:tcBorders>
            <w:vAlign w:val="center"/>
          </w:tcPr>
          <w:p w14:paraId="48B4C781">
            <w:pPr>
              <w:pStyle w:val="64"/>
            </w:pPr>
            <w:r>
              <w:rPr>
                <w:rFonts w:hint="eastAsia"/>
              </w:rPr>
              <w:t>1小时平均</w:t>
            </w:r>
          </w:p>
        </w:tc>
        <w:tc>
          <w:tcPr>
            <w:tcW w:w="588" w:type="pct"/>
            <w:tcBorders>
              <w:top w:val="single" w:color="000000" w:sz="8" w:space="0"/>
              <w:left w:val="single" w:color="000000" w:sz="8" w:space="0"/>
              <w:bottom w:val="single" w:color="000000" w:sz="8" w:space="0"/>
              <w:right w:val="single" w:color="auto" w:sz="4" w:space="0"/>
            </w:tcBorders>
            <w:vAlign w:val="center"/>
          </w:tcPr>
          <w:p w14:paraId="5A566D6A">
            <w:pPr>
              <w:pStyle w:val="64"/>
            </w:pPr>
            <w:r>
              <w:rPr>
                <w:rFonts w:hint="eastAsia"/>
              </w:rPr>
              <w:t>2.0</w:t>
            </w:r>
          </w:p>
        </w:tc>
        <w:tc>
          <w:tcPr>
            <w:tcW w:w="471" w:type="pct"/>
            <w:vMerge w:val="continue"/>
            <w:tcBorders>
              <w:left w:val="single" w:color="auto" w:sz="4" w:space="0"/>
              <w:bottom w:val="single" w:color="auto" w:sz="4" w:space="0"/>
              <w:right w:val="single" w:color="000000" w:sz="8" w:space="0"/>
            </w:tcBorders>
            <w:vAlign w:val="center"/>
          </w:tcPr>
          <w:p w14:paraId="40B05546">
            <w:pPr>
              <w:pStyle w:val="64"/>
            </w:pPr>
          </w:p>
        </w:tc>
        <w:tc>
          <w:tcPr>
            <w:tcW w:w="2029" w:type="pct"/>
            <w:vMerge w:val="continue"/>
            <w:tcBorders>
              <w:left w:val="single" w:color="000000" w:sz="8" w:space="0"/>
              <w:bottom w:val="single" w:color="000000" w:sz="8" w:space="0"/>
              <w:right w:val="single" w:color="000000" w:sz="8" w:space="0"/>
            </w:tcBorders>
            <w:vAlign w:val="center"/>
          </w:tcPr>
          <w:p w14:paraId="47C42922">
            <w:pPr>
              <w:pStyle w:val="64"/>
            </w:pPr>
          </w:p>
        </w:tc>
      </w:tr>
    </w:tbl>
    <w:p w14:paraId="5D5B1E22"/>
    <w:p w14:paraId="0B9FF3FE">
      <w:pPr>
        <w:ind w:firstLine="480" w:firstLineChars="200"/>
      </w:pPr>
      <w:r>
        <w:t>(2)地表水环境</w:t>
      </w:r>
    </w:p>
    <w:p w14:paraId="1260117F">
      <w:pPr>
        <w:ind w:firstLine="480" w:firstLineChars="200"/>
      </w:pPr>
      <w:r>
        <w:rPr>
          <w:rFonts w:cs="Times New Roman"/>
        </w:rPr>
        <w:t>淮河蚌埠段水质执行《地表水环境质量标准》(GB3838-2002)中的Ⅲ类水质标准，沫冲引河、三</w:t>
      </w:r>
      <w:r>
        <w:rPr>
          <w:rFonts w:hint="eastAsia" w:cs="Times New Roman"/>
        </w:rPr>
        <w:t>铺</w:t>
      </w:r>
      <w:r>
        <w:rPr>
          <w:rFonts w:cs="Times New Roman"/>
        </w:rPr>
        <w:t>大沟水质执行《地表水环境质量标准》(GB3838-2002)Ⅳ类水质标准，</w:t>
      </w:r>
      <w:r>
        <w:t>详见表</w:t>
      </w:r>
      <w:r>
        <w:rPr>
          <w:rFonts w:hint="eastAsia"/>
        </w:rPr>
        <w:t>2</w:t>
      </w:r>
      <w:r>
        <w:t>.5-2。</w:t>
      </w:r>
    </w:p>
    <w:p w14:paraId="0A8BEDC9">
      <w:pPr>
        <w:pStyle w:val="28"/>
        <w:rPr>
          <w:rFonts w:hint="eastAsia"/>
        </w:rPr>
      </w:pPr>
      <w:r>
        <w:t>表</w:t>
      </w:r>
      <w:r>
        <w:rPr>
          <w:rFonts w:hint="eastAsia"/>
        </w:rPr>
        <w:t>2</w:t>
      </w:r>
      <w:r>
        <w:t>.5-2  地表水环境质量相关标准       单位：mg/L</w:t>
      </w:r>
    </w:p>
    <w:tbl>
      <w:tblPr>
        <w:tblStyle w:val="36"/>
        <w:tblW w:w="5000" w:type="pct"/>
        <w:jc w:val="center"/>
        <w:tblLayout w:type="autofit"/>
        <w:tblCellMar>
          <w:top w:w="0" w:type="dxa"/>
          <w:left w:w="0" w:type="dxa"/>
          <w:bottom w:w="0" w:type="dxa"/>
          <w:right w:w="0" w:type="dxa"/>
        </w:tblCellMar>
      </w:tblPr>
      <w:tblGrid>
        <w:gridCol w:w="666"/>
        <w:gridCol w:w="1771"/>
        <w:gridCol w:w="2079"/>
        <w:gridCol w:w="2079"/>
        <w:gridCol w:w="2485"/>
      </w:tblGrid>
      <w:tr w14:paraId="02A51A3D">
        <w:tblPrEx>
          <w:tblCellMar>
            <w:top w:w="0" w:type="dxa"/>
            <w:left w:w="0" w:type="dxa"/>
            <w:bottom w:w="0" w:type="dxa"/>
            <w:right w:w="0" w:type="dxa"/>
          </w:tblCellMar>
        </w:tblPrEx>
        <w:trPr>
          <w:cantSplit/>
          <w:trHeight w:val="70" w:hRule="atLeast"/>
          <w:jc w:val="center"/>
        </w:trPr>
        <w:tc>
          <w:tcPr>
            <w:tcW w:w="367" w:type="pct"/>
            <w:tcBorders>
              <w:top w:val="single" w:color="000000" w:sz="4" w:space="0"/>
              <w:left w:val="single" w:color="000000" w:sz="4" w:space="0"/>
              <w:bottom w:val="single" w:color="000000" w:sz="4" w:space="0"/>
              <w:right w:val="single" w:color="000000" w:sz="4" w:space="0"/>
            </w:tcBorders>
            <w:vAlign w:val="center"/>
          </w:tcPr>
          <w:p w14:paraId="352DF7C9">
            <w:pPr>
              <w:pStyle w:val="64"/>
            </w:pPr>
            <w:r>
              <w:t>序号</w:t>
            </w:r>
          </w:p>
        </w:tc>
        <w:tc>
          <w:tcPr>
            <w:tcW w:w="975" w:type="pct"/>
            <w:tcBorders>
              <w:top w:val="single" w:color="000000" w:sz="4" w:space="0"/>
              <w:left w:val="single" w:color="000000" w:sz="4" w:space="0"/>
              <w:bottom w:val="single" w:color="000000" w:sz="4" w:space="0"/>
              <w:right w:val="single" w:color="auto" w:sz="4" w:space="0"/>
            </w:tcBorders>
            <w:vAlign w:val="center"/>
          </w:tcPr>
          <w:p w14:paraId="3F87A399">
            <w:pPr>
              <w:pStyle w:val="64"/>
            </w:pPr>
            <w:r>
              <w:t>项目</w:t>
            </w:r>
          </w:p>
        </w:tc>
        <w:tc>
          <w:tcPr>
            <w:tcW w:w="1145" w:type="pct"/>
            <w:tcBorders>
              <w:top w:val="single" w:color="auto" w:sz="4" w:space="0"/>
              <w:left w:val="single" w:color="auto" w:sz="4" w:space="0"/>
              <w:bottom w:val="single" w:color="auto" w:sz="4" w:space="0"/>
              <w:right w:val="single" w:color="auto" w:sz="4" w:space="0"/>
            </w:tcBorders>
            <w:vAlign w:val="center"/>
          </w:tcPr>
          <w:p w14:paraId="519C0CA8">
            <w:pPr>
              <w:pStyle w:val="64"/>
              <w:rPr>
                <w:rFonts w:cs="Times New Roman"/>
              </w:rPr>
            </w:pPr>
            <w:r>
              <w:rPr>
                <w:rFonts w:cs="Times New Roman"/>
              </w:rPr>
              <w:t>Ⅲ类标准值(mg/</w:t>
            </w:r>
            <w:r>
              <w:t>L)</w:t>
            </w:r>
          </w:p>
        </w:tc>
        <w:tc>
          <w:tcPr>
            <w:tcW w:w="1145" w:type="pct"/>
            <w:tcBorders>
              <w:top w:val="single" w:color="000000" w:sz="4" w:space="0"/>
              <w:left w:val="single" w:color="auto" w:sz="4" w:space="0"/>
              <w:bottom w:val="single" w:color="000000" w:sz="4" w:space="0"/>
              <w:right w:val="single" w:color="000000" w:sz="4" w:space="0"/>
            </w:tcBorders>
            <w:vAlign w:val="center"/>
          </w:tcPr>
          <w:p w14:paraId="6A9E6E55">
            <w:pPr>
              <w:pStyle w:val="64"/>
            </w:pPr>
            <w:r>
              <w:rPr>
                <w:rFonts w:cs="Times New Roman"/>
              </w:rPr>
              <w:t>Ⅳ类标准值(mg/</w:t>
            </w:r>
            <w:r>
              <w:t>L)</w:t>
            </w:r>
          </w:p>
        </w:tc>
        <w:tc>
          <w:tcPr>
            <w:tcW w:w="1368" w:type="pct"/>
            <w:tcBorders>
              <w:top w:val="single" w:color="000000" w:sz="4" w:space="0"/>
              <w:left w:val="single" w:color="000000" w:sz="4" w:space="0"/>
              <w:bottom w:val="single" w:color="000000" w:sz="4" w:space="0"/>
              <w:right w:val="single" w:color="000000" w:sz="4" w:space="0"/>
            </w:tcBorders>
            <w:vAlign w:val="center"/>
          </w:tcPr>
          <w:p w14:paraId="5AFBA2E5">
            <w:pPr>
              <w:pStyle w:val="64"/>
            </w:pPr>
            <w:r>
              <w:t>标准来源</w:t>
            </w:r>
          </w:p>
        </w:tc>
      </w:tr>
      <w:tr w14:paraId="03A67FDD">
        <w:tblPrEx>
          <w:tblCellMar>
            <w:top w:w="0" w:type="dxa"/>
            <w:left w:w="0" w:type="dxa"/>
            <w:bottom w:w="0" w:type="dxa"/>
            <w:right w:w="0" w:type="dxa"/>
          </w:tblCellMar>
        </w:tblPrEx>
        <w:trPr>
          <w:cantSplit/>
          <w:trHeight w:val="227" w:hRule="atLeast"/>
          <w:jc w:val="center"/>
        </w:trPr>
        <w:tc>
          <w:tcPr>
            <w:tcW w:w="367" w:type="pct"/>
            <w:tcBorders>
              <w:top w:val="single" w:color="000000" w:sz="4" w:space="0"/>
              <w:left w:val="single" w:color="000000" w:sz="4" w:space="0"/>
              <w:bottom w:val="single" w:color="000000" w:sz="4" w:space="0"/>
              <w:right w:val="single" w:color="000000" w:sz="4" w:space="0"/>
            </w:tcBorders>
            <w:vAlign w:val="center"/>
          </w:tcPr>
          <w:p w14:paraId="12EC50FB">
            <w:pPr>
              <w:pStyle w:val="64"/>
            </w:pPr>
            <w:r>
              <w:t>1</w:t>
            </w:r>
          </w:p>
        </w:tc>
        <w:tc>
          <w:tcPr>
            <w:tcW w:w="975" w:type="pct"/>
            <w:tcBorders>
              <w:top w:val="single" w:color="000000" w:sz="4" w:space="0"/>
              <w:left w:val="single" w:color="000000" w:sz="4" w:space="0"/>
              <w:bottom w:val="single" w:color="000000" w:sz="4" w:space="0"/>
              <w:right w:val="single" w:color="auto" w:sz="4" w:space="0"/>
            </w:tcBorders>
            <w:vAlign w:val="center"/>
          </w:tcPr>
          <w:p w14:paraId="0EEB7738">
            <w:pPr>
              <w:pStyle w:val="64"/>
            </w:pPr>
            <w:r>
              <w:t>pH</w:t>
            </w:r>
          </w:p>
        </w:tc>
        <w:tc>
          <w:tcPr>
            <w:tcW w:w="1145" w:type="pct"/>
            <w:tcBorders>
              <w:top w:val="single" w:color="auto" w:sz="4" w:space="0"/>
              <w:left w:val="single" w:color="auto" w:sz="4" w:space="0"/>
              <w:bottom w:val="single" w:color="auto" w:sz="4" w:space="0"/>
              <w:right w:val="single" w:color="auto" w:sz="4" w:space="0"/>
            </w:tcBorders>
            <w:vAlign w:val="center"/>
          </w:tcPr>
          <w:p w14:paraId="7A495524">
            <w:pPr>
              <w:pStyle w:val="64"/>
            </w:pPr>
            <w:r>
              <w:t>6～9</w:t>
            </w:r>
          </w:p>
        </w:tc>
        <w:tc>
          <w:tcPr>
            <w:tcW w:w="1145" w:type="pct"/>
            <w:tcBorders>
              <w:top w:val="single" w:color="000000" w:sz="4" w:space="0"/>
              <w:left w:val="single" w:color="auto" w:sz="4" w:space="0"/>
              <w:bottom w:val="single" w:color="000000" w:sz="4" w:space="0"/>
              <w:right w:val="single" w:color="000000" w:sz="4" w:space="0"/>
            </w:tcBorders>
            <w:vAlign w:val="center"/>
          </w:tcPr>
          <w:p w14:paraId="6A542FF3">
            <w:pPr>
              <w:pStyle w:val="64"/>
            </w:pPr>
            <w:r>
              <w:t>6～9</w:t>
            </w:r>
          </w:p>
        </w:tc>
        <w:tc>
          <w:tcPr>
            <w:tcW w:w="1368" w:type="pct"/>
            <w:vMerge w:val="restart"/>
            <w:tcBorders>
              <w:top w:val="single" w:color="000000" w:sz="4" w:space="0"/>
              <w:left w:val="single" w:color="000000" w:sz="4" w:space="0"/>
              <w:bottom w:val="single" w:color="000000" w:sz="4" w:space="0"/>
              <w:right w:val="single" w:color="000000" w:sz="4" w:space="0"/>
            </w:tcBorders>
            <w:vAlign w:val="center"/>
          </w:tcPr>
          <w:p w14:paraId="3AC07071">
            <w:pPr>
              <w:pStyle w:val="64"/>
            </w:pPr>
            <w:r>
              <w:t>《地表水环境质量标准》(GB3838-2002)</w:t>
            </w:r>
          </w:p>
        </w:tc>
      </w:tr>
      <w:tr w14:paraId="7E4BE4F2">
        <w:tblPrEx>
          <w:tblCellMar>
            <w:top w:w="0" w:type="dxa"/>
            <w:left w:w="0" w:type="dxa"/>
            <w:bottom w:w="0" w:type="dxa"/>
            <w:right w:w="0" w:type="dxa"/>
          </w:tblCellMar>
        </w:tblPrEx>
        <w:trPr>
          <w:cantSplit/>
          <w:trHeight w:val="227" w:hRule="atLeast"/>
          <w:jc w:val="center"/>
        </w:trPr>
        <w:tc>
          <w:tcPr>
            <w:tcW w:w="367" w:type="pct"/>
            <w:tcBorders>
              <w:top w:val="single" w:color="000000" w:sz="4" w:space="0"/>
              <w:left w:val="single" w:color="000000" w:sz="4" w:space="0"/>
              <w:bottom w:val="single" w:color="000000" w:sz="4" w:space="0"/>
              <w:right w:val="single" w:color="000000" w:sz="4" w:space="0"/>
            </w:tcBorders>
            <w:vAlign w:val="center"/>
          </w:tcPr>
          <w:p w14:paraId="2583E879">
            <w:pPr>
              <w:pStyle w:val="64"/>
            </w:pPr>
            <w:r>
              <w:t>2</w:t>
            </w:r>
          </w:p>
        </w:tc>
        <w:tc>
          <w:tcPr>
            <w:tcW w:w="975" w:type="pct"/>
            <w:tcBorders>
              <w:top w:val="single" w:color="000000" w:sz="4" w:space="0"/>
              <w:left w:val="single" w:color="000000" w:sz="4" w:space="0"/>
              <w:bottom w:val="single" w:color="000000" w:sz="4" w:space="0"/>
              <w:right w:val="single" w:color="auto" w:sz="4" w:space="0"/>
            </w:tcBorders>
            <w:vAlign w:val="center"/>
          </w:tcPr>
          <w:p w14:paraId="507A43B8">
            <w:pPr>
              <w:pStyle w:val="64"/>
            </w:pPr>
            <w:r>
              <w:t>COD</w:t>
            </w:r>
          </w:p>
        </w:tc>
        <w:tc>
          <w:tcPr>
            <w:tcW w:w="1145" w:type="pct"/>
            <w:tcBorders>
              <w:top w:val="single" w:color="auto" w:sz="4" w:space="0"/>
              <w:left w:val="single" w:color="auto" w:sz="4" w:space="0"/>
              <w:bottom w:val="single" w:color="auto" w:sz="4" w:space="0"/>
              <w:right w:val="single" w:color="auto" w:sz="4" w:space="0"/>
            </w:tcBorders>
            <w:vAlign w:val="center"/>
          </w:tcPr>
          <w:p w14:paraId="7D84DAE8">
            <w:pPr>
              <w:pStyle w:val="64"/>
            </w:pPr>
            <w:r>
              <w:t>≤20</w:t>
            </w:r>
          </w:p>
        </w:tc>
        <w:tc>
          <w:tcPr>
            <w:tcW w:w="1145" w:type="pct"/>
            <w:tcBorders>
              <w:top w:val="single" w:color="000000" w:sz="4" w:space="0"/>
              <w:left w:val="single" w:color="auto" w:sz="4" w:space="0"/>
              <w:bottom w:val="single" w:color="000000" w:sz="4" w:space="0"/>
              <w:right w:val="single" w:color="000000" w:sz="4" w:space="0"/>
            </w:tcBorders>
            <w:vAlign w:val="center"/>
          </w:tcPr>
          <w:p w14:paraId="6CCEFA27">
            <w:pPr>
              <w:pStyle w:val="64"/>
            </w:pPr>
            <w:r>
              <w:t>≤</w:t>
            </w:r>
            <w:r>
              <w:rPr>
                <w:rFonts w:hint="eastAsia"/>
              </w:rPr>
              <w:t>30</w:t>
            </w:r>
          </w:p>
        </w:tc>
        <w:tc>
          <w:tcPr>
            <w:tcW w:w="1368" w:type="pct"/>
            <w:vMerge w:val="continue"/>
            <w:tcBorders>
              <w:top w:val="single" w:color="000000" w:sz="4" w:space="0"/>
              <w:left w:val="single" w:color="000000" w:sz="4" w:space="0"/>
              <w:bottom w:val="single" w:color="000000" w:sz="4" w:space="0"/>
              <w:right w:val="single" w:color="000000" w:sz="4" w:space="0"/>
            </w:tcBorders>
            <w:vAlign w:val="center"/>
          </w:tcPr>
          <w:p w14:paraId="5B5F9E61"/>
        </w:tc>
      </w:tr>
      <w:tr w14:paraId="6369B343">
        <w:tblPrEx>
          <w:tblCellMar>
            <w:top w:w="0" w:type="dxa"/>
            <w:left w:w="0" w:type="dxa"/>
            <w:bottom w:w="0" w:type="dxa"/>
            <w:right w:w="0" w:type="dxa"/>
          </w:tblCellMar>
        </w:tblPrEx>
        <w:trPr>
          <w:cantSplit/>
          <w:trHeight w:val="227" w:hRule="atLeast"/>
          <w:jc w:val="center"/>
        </w:trPr>
        <w:tc>
          <w:tcPr>
            <w:tcW w:w="367" w:type="pct"/>
            <w:tcBorders>
              <w:top w:val="single" w:color="000000" w:sz="4" w:space="0"/>
              <w:left w:val="single" w:color="000000" w:sz="4" w:space="0"/>
              <w:bottom w:val="single" w:color="000000" w:sz="4" w:space="0"/>
              <w:right w:val="single" w:color="000000" w:sz="4" w:space="0"/>
            </w:tcBorders>
            <w:vAlign w:val="center"/>
          </w:tcPr>
          <w:p w14:paraId="409B25D4">
            <w:pPr>
              <w:pStyle w:val="64"/>
            </w:pPr>
            <w:r>
              <w:t>3</w:t>
            </w:r>
          </w:p>
        </w:tc>
        <w:tc>
          <w:tcPr>
            <w:tcW w:w="975" w:type="pct"/>
            <w:tcBorders>
              <w:top w:val="single" w:color="000000" w:sz="4" w:space="0"/>
              <w:left w:val="single" w:color="000000" w:sz="4" w:space="0"/>
              <w:bottom w:val="single" w:color="000000" w:sz="4" w:space="0"/>
              <w:right w:val="single" w:color="auto" w:sz="4" w:space="0"/>
            </w:tcBorders>
            <w:vAlign w:val="center"/>
          </w:tcPr>
          <w:p w14:paraId="1B07110E">
            <w:pPr>
              <w:pStyle w:val="64"/>
            </w:pPr>
            <w:r>
              <w:t>BOD</w:t>
            </w:r>
            <w:r>
              <w:rPr>
                <w:vertAlign w:val="subscript"/>
              </w:rPr>
              <w:t>5</w:t>
            </w:r>
          </w:p>
        </w:tc>
        <w:tc>
          <w:tcPr>
            <w:tcW w:w="1145" w:type="pct"/>
            <w:tcBorders>
              <w:top w:val="single" w:color="auto" w:sz="4" w:space="0"/>
              <w:left w:val="single" w:color="auto" w:sz="4" w:space="0"/>
              <w:bottom w:val="single" w:color="auto" w:sz="4" w:space="0"/>
              <w:right w:val="single" w:color="auto" w:sz="4" w:space="0"/>
            </w:tcBorders>
            <w:vAlign w:val="center"/>
          </w:tcPr>
          <w:p w14:paraId="79261428">
            <w:pPr>
              <w:pStyle w:val="64"/>
            </w:pPr>
            <w:r>
              <w:t>≤4</w:t>
            </w:r>
          </w:p>
        </w:tc>
        <w:tc>
          <w:tcPr>
            <w:tcW w:w="1145" w:type="pct"/>
            <w:tcBorders>
              <w:top w:val="single" w:color="000000" w:sz="4" w:space="0"/>
              <w:left w:val="single" w:color="auto" w:sz="4" w:space="0"/>
              <w:bottom w:val="single" w:color="000000" w:sz="4" w:space="0"/>
              <w:right w:val="single" w:color="000000" w:sz="4" w:space="0"/>
            </w:tcBorders>
            <w:vAlign w:val="center"/>
          </w:tcPr>
          <w:p w14:paraId="44E04D13">
            <w:pPr>
              <w:pStyle w:val="64"/>
            </w:pPr>
            <w:r>
              <w:t>≤</w:t>
            </w:r>
            <w:r>
              <w:rPr>
                <w:rFonts w:hint="eastAsia"/>
              </w:rPr>
              <w:t>6</w:t>
            </w:r>
          </w:p>
        </w:tc>
        <w:tc>
          <w:tcPr>
            <w:tcW w:w="1368" w:type="pct"/>
            <w:vMerge w:val="continue"/>
            <w:tcBorders>
              <w:top w:val="single" w:color="000000" w:sz="4" w:space="0"/>
              <w:left w:val="single" w:color="000000" w:sz="4" w:space="0"/>
              <w:bottom w:val="single" w:color="000000" w:sz="4" w:space="0"/>
              <w:right w:val="single" w:color="000000" w:sz="4" w:space="0"/>
            </w:tcBorders>
            <w:vAlign w:val="center"/>
          </w:tcPr>
          <w:p w14:paraId="6BF9A632"/>
        </w:tc>
      </w:tr>
      <w:tr w14:paraId="5F5841D9">
        <w:tblPrEx>
          <w:tblCellMar>
            <w:top w:w="0" w:type="dxa"/>
            <w:left w:w="0" w:type="dxa"/>
            <w:bottom w:w="0" w:type="dxa"/>
            <w:right w:w="0" w:type="dxa"/>
          </w:tblCellMar>
        </w:tblPrEx>
        <w:trPr>
          <w:cantSplit/>
          <w:trHeight w:val="227" w:hRule="atLeast"/>
          <w:jc w:val="center"/>
        </w:trPr>
        <w:tc>
          <w:tcPr>
            <w:tcW w:w="367" w:type="pct"/>
            <w:tcBorders>
              <w:top w:val="single" w:color="000000" w:sz="4" w:space="0"/>
              <w:left w:val="single" w:color="000000" w:sz="4" w:space="0"/>
              <w:bottom w:val="single" w:color="000000" w:sz="4" w:space="0"/>
              <w:right w:val="single" w:color="000000" w:sz="4" w:space="0"/>
            </w:tcBorders>
            <w:vAlign w:val="center"/>
          </w:tcPr>
          <w:p w14:paraId="690F0F24">
            <w:pPr>
              <w:pStyle w:val="64"/>
            </w:pPr>
            <w:r>
              <w:t>4</w:t>
            </w:r>
          </w:p>
        </w:tc>
        <w:tc>
          <w:tcPr>
            <w:tcW w:w="975" w:type="pct"/>
            <w:tcBorders>
              <w:top w:val="single" w:color="000000" w:sz="4" w:space="0"/>
              <w:left w:val="single" w:color="000000" w:sz="4" w:space="0"/>
              <w:bottom w:val="single" w:color="000000" w:sz="4" w:space="0"/>
              <w:right w:val="single" w:color="auto" w:sz="4" w:space="0"/>
            </w:tcBorders>
            <w:vAlign w:val="center"/>
          </w:tcPr>
          <w:p w14:paraId="01C4D74F">
            <w:pPr>
              <w:pStyle w:val="64"/>
            </w:pPr>
            <w:r>
              <w:t>氨氮</w:t>
            </w:r>
          </w:p>
        </w:tc>
        <w:tc>
          <w:tcPr>
            <w:tcW w:w="1145" w:type="pct"/>
            <w:tcBorders>
              <w:top w:val="single" w:color="auto" w:sz="4" w:space="0"/>
              <w:left w:val="single" w:color="auto" w:sz="4" w:space="0"/>
              <w:bottom w:val="single" w:color="auto" w:sz="4" w:space="0"/>
              <w:right w:val="single" w:color="auto" w:sz="4" w:space="0"/>
            </w:tcBorders>
            <w:vAlign w:val="center"/>
          </w:tcPr>
          <w:p w14:paraId="7784B582">
            <w:pPr>
              <w:pStyle w:val="64"/>
            </w:pPr>
            <w:r>
              <w:t>≤1.0</w:t>
            </w:r>
          </w:p>
        </w:tc>
        <w:tc>
          <w:tcPr>
            <w:tcW w:w="1145" w:type="pct"/>
            <w:tcBorders>
              <w:top w:val="single" w:color="000000" w:sz="4" w:space="0"/>
              <w:left w:val="single" w:color="auto" w:sz="4" w:space="0"/>
              <w:bottom w:val="single" w:color="000000" w:sz="4" w:space="0"/>
              <w:right w:val="single" w:color="000000" w:sz="4" w:space="0"/>
            </w:tcBorders>
            <w:vAlign w:val="center"/>
          </w:tcPr>
          <w:p w14:paraId="393424D4">
            <w:pPr>
              <w:pStyle w:val="64"/>
            </w:pPr>
            <w:r>
              <w:t>≤1.</w:t>
            </w:r>
            <w:r>
              <w:rPr>
                <w:rFonts w:hint="eastAsia"/>
              </w:rPr>
              <w:t>5</w:t>
            </w:r>
          </w:p>
        </w:tc>
        <w:tc>
          <w:tcPr>
            <w:tcW w:w="1368" w:type="pct"/>
            <w:vMerge w:val="continue"/>
            <w:tcBorders>
              <w:top w:val="single" w:color="000000" w:sz="4" w:space="0"/>
              <w:left w:val="single" w:color="000000" w:sz="4" w:space="0"/>
              <w:bottom w:val="single" w:color="000000" w:sz="4" w:space="0"/>
              <w:right w:val="single" w:color="000000" w:sz="4" w:space="0"/>
            </w:tcBorders>
            <w:vAlign w:val="center"/>
          </w:tcPr>
          <w:p w14:paraId="2075B973"/>
        </w:tc>
      </w:tr>
      <w:tr w14:paraId="23ACDF9B">
        <w:tblPrEx>
          <w:tblCellMar>
            <w:top w:w="0" w:type="dxa"/>
            <w:left w:w="0" w:type="dxa"/>
            <w:bottom w:w="0" w:type="dxa"/>
            <w:right w:w="0" w:type="dxa"/>
          </w:tblCellMar>
        </w:tblPrEx>
        <w:trPr>
          <w:cantSplit/>
          <w:trHeight w:val="227" w:hRule="atLeast"/>
          <w:jc w:val="center"/>
        </w:trPr>
        <w:tc>
          <w:tcPr>
            <w:tcW w:w="367" w:type="pct"/>
            <w:tcBorders>
              <w:top w:val="single" w:color="000000" w:sz="4" w:space="0"/>
              <w:left w:val="single" w:color="000000" w:sz="4" w:space="0"/>
              <w:bottom w:val="single" w:color="000000" w:sz="4" w:space="0"/>
              <w:right w:val="single" w:color="000000" w:sz="4" w:space="0"/>
            </w:tcBorders>
            <w:vAlign w:val="center"/>
          </w:tcPr>
          <w:p w14:paraId="57E31033">
            <w:pPr>
              <w:pStyle w:val="64"/>
            </w:pPr>
            <w:r>
              <w:t>5</w:t>
            </w:r>
          </w:p>
        </w:tc>
        <w:tc>
          <w:tcPr>
            <w:tcW w:w="975" w:type="pct"/>
            <w:tcBorders>
              <w:top w:val="single" w:color="000000" w:sz="4" w:space="0"/>
              <w:left w:val="single" w:color="000000" w:sz="4" w:space="0"/>
              <w:bottom w:val="single" w:color="000000" w:sz="4" w:space="0"/>
              <w:right w:val="single" w:color="auto" w:sz="4" w:space="0"/>
            </w:tcBorders>
            <w:vAlign w:val="center"/>
          </w:tcPr>
          <w:p w14:paraId="3CF163B9">
            <w:pPr>
              <w:pStyle w:val="64"/>
            </w:pPr>
            <w:r>
              <w:t>石油类</w:t>
            </w:r>
          </w:p>
        </w:tc>
        <w:tc>
          <w:tcPr>
            <w:tcW w:w="1145" w:type="pct"/>
            <w:tcBorders>
              <w:top w:val="single" w:color="auto" w:sz="4" w:space="0"/>
              <w:left w:val="single" w:color="auto" w:sz="4" w:space="0"/>
              <w:bottom w:val="single" w:color="auto" w:sz="4" w:space="0"/>
              <w:right w:val="single" w:color="auto" w:sz="4" w:space="0"/>
            </w:tcBorders>
            <w:vAlign w:val="center"/>
          </w:tcPr>
          <w:p w14:paraId="138B78F7">
            <w:pPr>
              <w:pStyle w:val="64"/>
            </w:pPr>
            <w:r>
              <w:t>≤0.05</w:t>
            </w:r>
          </w:p>
        </w:tc>
        <w:tc>
          <w:tcPr>
            <w:tcW w:w="1145" w:type="pct"/>
            <w:tcBorders>
              <w:top w:val="single" w:color="000000" w:sz="4" w:space="0"/>
              <w:left w:val="single" w:color="auto" w:sz="4" w:space="0"/>
              <w:bottom w:val="single" w:color="000000" w:sz="4" w:space="0"/>
              <w:right w:val="single" w:color="000000" w:sz="4" w:space="0"/>
            </w:tcBorders>
            <w:vAlign w:val="center"/>
          </w:tcPr>
          <w:p w14:paraId="68AC5D84">
            <w:pPr>
              <w:pStyle w:val="64"/>
            </w:pPr>
            <w:r>
              <w:t>≤0.5</w:t>
            </w:r>
          </w:p>
        </w:tc>
        <w:tc>
          <w:tcPr>
            <w:tcW w:w="1368" w:type="pct"/>
            <w:vMerge w:val="continue"/>
            <w:tcBorders>
              <w:top w:val="single" w:color="000000" w:sz="4" w:space="0"/>
              <w:left w:val="single" w:color="000000" w:sz="4" w:space="0"/>
              <w:bottom w:val="single" w:color="000000" w:sz="4" w:space="0"/>
              <w:right w:val="single" w:color="000000" w:sz="4" w:space="0"/>
            </w:tcBorders>
            <w:vAlign w:val="center"/>
          </w:tcPr>
          <w:p w14:paraId="378C7D3A"/>
        </w:tc>
      </w:tr>
      <w:tr w14:paraId="46F9C024">
        <w:tblPrEx>
          <w:tblCellMar>
            <w:top w:w="0" w:type="dxa"/>
            <w:left w:w="0" w:type="dxa"/>
            <w:bottom w:w="0" w:type="dxa"/>
            <w:right w:w="0" w:type="dxa"/>
          </w:tblCellMar>
        </w:tblPrEx>
        <w:trPr>
          <w:cantSplit/>
          <w:trHeight w:val="227" w:hRule="atLeast"/>
          <w:jc w:val="center"/>
        </w:trPr>
        <w:tc>
          <w:tcPr>
            <w:tcW w:w="367" w:type="pct"/>
            <w:tcBorders>
              <w:top w:val="single" w:color="000000" w:sz="4" w:space="0"/>
              <w:left w:val="single" w:color="000000" w:sz="4" w:space="0"/>
              <w:bottom w:val="single" w:color="000000" w:sz="4" w:space="0"/>
              <w:right w:val="single" w:color="000000" w:sz="4" w:space="0"/>
            </w:tcBorders>
            <w:vAlign w:val="center"/>
          </w:tcPr>
          <w:p w14:paraId="3A0B065D">
            <w:pPr>
              <w:pStyle w:val="64"/>
            </w:pPr>
            <w:r>
              <w:rPr>
                <w:rFonts w:hint="eastAsia"/>
              </w:rPr>
              <w:t>6</w:t>
            </w:r>
          </w:p>
        </w:tc>
        <w:tc>
          <w:tcPr>
            <w:tcW w:w="975" w:type="pct"/>
            <w:tcBorders>
              <w:top w:val="single" w:color="000000" w:sz="4" w:space="0"/>
              <w:left w:val="single" w:color="000000" w:sz="4" w:space="0"/>
              <w:bottom w:val="single" w:color="000000" w:sz="4" w:space="0"/>
              <w:right w:val="single" w:color="auto" w:sz="4" w:space="0"/>
            </w:tcBorders>
            <w:vAlign w:val="center"/>
          </w:tcPr>
          <w:p w14:paraId="53FFFB72">
            <w:pPr>
              <w:pStyle w:val="64"/>
            </w:pPr>
            <w:r>
              <w:rPr>
                <w:rFonts w:hint="eastAsia"/>
              </w:rPr>
              <w:t>挥发酚</w:t>
            </w:r>
          </w:p>
        </w:tc>
        <w:tc>
          <w:tcPr>
            <w:tcW w:w="1145" w:type="pct"/>
            <w:tcBorders>
              <w:top w:val="single" w:color="auto" w:sz="4" w:space="0"/>
              <w:left w:val="single" w:color="auto" w:sz="4" w:space="0"/>
              <w:bottom w:val="single" w:color="auto" w:sz="4" w:space="0"/>
              <w:right w:val="single" w:color="auto" w:sz="4" w:space="0"/>
            </w:tcBorders>
            <w:vAlign w:val="center"/>
          </w:tcPr>
          <w:p w14:paraId="1E5E2034">
            <w:pPr>
              <w:pStyle w:val="64"/>
            </w:pPr>
            <w:r>
              <w:t>≤0.005</w:t>
            </w:r>
          </w:p>
        </w:tc>
        <w:tc>
          <w:tcPr>
            <w:tcW w:w="1145" w:type="pct"/>
            <w:tcBorders>
              <w:top w:val="single" w:color="000000" w:sz="4" w:space="0"/>
              <w:left w:val="single" w:color="auto" w:sz="4" w:space="0"/>
              <w:bottom w:val="single" w:color="000000" w:sz="4" w:space="0"/>
              <w:right w:val="single" w:color="000000" w:sz="4" w:space="0"/>
            </w:tcBorders>
            <w:vAlign w:val="center"/>
          </w:tcPr>
          <w:p w14:paraId="1C0631ED">
            <w:pPr>
              <w:pStyle w:val="64"/>
            </w:pPr>
            <w:r>
              <w:t>≤0.0</w:t>
            </w:r>
            <w:r>
              <w:rPr>
                <w:rFonts w:hint="eastAsia"/>
              </w:rPr>
              <w:t>1</w:t>
            </w:r>
          </w:p>
        </w:tc>
        <w:tc>
          <w:tcPr>
            <w:tcW w:w="1368" w:type="pct"/>
            <w:vMerge w:val="continue"/>
            <w:tcBorders>
              <w:top w:val="single" w:color="000000" w:sz="4" w:space="0"/>
              <w:left w:val="single" w:color="000000" w:sz="4" w:space="0"/>
              <w:bottom w:val="single" w:color="000000" w:sz="4" w:space="0"/>
              <w:right w:val="single" w:color="000000" w:sz="4" w:space="0"/>
            </w:tcBorders>
            <w:vAlign w:val="center"/>
          </w:tcPr>
          <w:p w14:paraId="34B60C11"/>
        </w:tc>
      </w:tr>
    </w:tbl>
    <w:p w14:paraId="764D085B"/>
    <w:p w14:paraId="04467EC0">
      <w:pPr>
        <w:ind w:firstLine="480" w:firstLineChars="200"/>
      </w:pPr>
      <w:r>
        <w:t>(3)地下水环境</w:t>
      </w:r>
    </w:p>
    <w:p w14:paraId="1F79509D">
      <w:pPr>
        <w:ind w:firstLine="480" w:firstLineChars="200"/>
      </w:pPr>
      <w:r>
        <w:t>地下水执行《地下水质量标准》(GB/T14848-2017)</w:t>
      </w:r>
      <w:r>
        <w:rPr>
          <w:rFonts w:cs="Times New Roman"/>
        </w:rPr>
        <w:t>中Ⅲ类</w:t>
      </w:r>
      <w:r>
        <w:t>标准，具体标准值详见表</w:t>
      </w:r>
      <w:r>
        <w:rPr>
          <w:rFonts w:hint="eastAsia"/>
        </w:rPr>
        <w:t>2</w:t>
      </w:r>
      <w:r>
        <w:t>.5-3。</w:t>
      </w:r>
    </w:p>
    <w:p w14:paraId="0C1647BE">
      <w:pPr>
        <w:pStyle w:val="28"/>
        <w:rPr>
          <w:rFonts w:hint="eastAsia"/>
        </w:rPr>
      </w:pPr>
      <w:r>
        <w:t>表</w:t>
      </w:r>
      <w:r>
        <w:rPr>
          <w:rFonts w:hint="eastAsia"/>
        </w:rPr>
        <w:t>2</w:t>
      </w:r>
      <w:r>
        <w:t xml:space="preserve">.5-3 </w:t>
      </w:r>
      <w:r>
        <w:rPr>
          <w:rFonts w:hint="eastAsia"/>
        </w:rPr>
        <w:t xml:space="preserve"> </w:t>
      </w:r>
      <w:r>
        <w:t>地下水质量标准</w:t>
      </w:r>
    </w:p>
    <w:tbl>
      <w:tblPr>
        <w:tblStyle w:val="36"/>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185"/>
        <w:gridCol w:w="4101"/>
      </w:tblGrid>
      <w:tr w14:paraId="10C470A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6" w:hRule="atLeast"/>
          <w:jc w:val="center"/>
        </w:trPr>
        <w:tc>
          <w:tcPr>
            <w:tcW w:w="2792" w:type="pct"/>
            <w:tcBorders>
              <w:top w:val="single" w:color="auto" w:sz="4" w:space="0"/>
              <w:left w:val="single" w:color="auto" w:sz="4" w:space="0"/>
              <w:bottom w:val="single" w:color="auto" w:sz="4" w:space="0"/>
              <w:right w:val="single" w:color="auto" w:sz="4" w:space="0"/>
            </w:tcBorders>
            <w:vAlign w:val="center"/>
          </w:tcPr>
          <w:p w14:paraId="4DCAFA0C">
            <w:pPr>
              <w:spacing w:line="240" w:lineRule="auto"/>
              <w:jc w:val="center"/>
              <w:rPr>
                <w:sz w:val="21"/>
                <w:szCs w:val="21"/>
              </w:rPr>
            </w:pPr>
            <w:r>
              <w:rPr>
                <w:sz w:val="21"/>
                <w:szCs w:val="21"/>
              </w:rPr>
              <w:t>项目/类别</w:t>
            </w:r>
          </w:p>
        </w:tc>
        <w:tc>
          <w:tcPr>
            <w:tcW w:w="2208" w:type="pct"/>
            <w:tcBorders>
              <w:top w:val="single" w:color="auto" w:sz="4" w:space="0"/>
              <w:left w:val="nil"/>
              <w:bottom w:val="single" w:color="auto" w:sz="4" w:space="0"/>
              <w:right w:val="single" w:color="auto" w:sz="4" w:space="0"/>
            </w:tcBorders>
            <w:vAlign w:val="center"/>
          </w:tcPr>
          <w:p w14:paraId="7EE776C5">
            <w:pPr>
              <w:spacing w:line="240" w:lineRule="auto"/>
              <w:jc w:val="center"/>
              <w:rPr>
                <w:sz w:val="21"/>
                <w:szCs w:val="21"/>
              </w:rPr>
            </w:pPr>
            <w:r>
              <w:rPr>
                <w:sz w:val="21"/>
                <w:szCs w:val="21"/>
              </w:rPr>
              <w:t>Ⅲ</w:t>
            </w:r>
            <w:r>
              <w:rPr>
                <w:rFonts w:hint="eastAsia"/>
                <w:sz w:val="21"/>
                <w:szCs w:val="21"/>
              </w:rPr>
              <w:t>类标准</w:t>
            </w:r>
          </w:p>
        </w:tc>
      </w:tr>
      <w:tr w14:paraId="34E0633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792" w:type="pct"/>
            <w:tcBorders>
              <w:top w:val="single" w:color="auto" w:sz="4" w:space="0"/>
              <w:left w:val="single" w:color="auto" w:sz="4" w:space="0"/>
              <w:bottom w:val="single" w:color="auto" w:sz="4" w:space="0"/>
              <w:right w:val="single" w:color="auto" w:sz="4" w:space="0"/>
            </w:tcBorders>
            <w:vAlign w:val="center"/>
          </w:tcPr>
          <w:p w14:paraId="5B22B811">
            <w:pPr>
              <w:spacing w:line="240" w:lineRule="auto"/>
              <w:jc w:val="center"/>
              <w:rPr>
                <w:sz w:val="21"/>
                <w:szCs w:val="21"/>
              </w:rPr>
            </w:pPr>
            <w:r>
              <w:rPr>
                <w:sz w:val="21"/>
                <w:szCs w:val="21"/>
              </w:rPr>
              <w:t>pH</w:t>
            </w:r>
          </w:p>
        </w:tc>
        <w:tc>
          <w:tcPr>
            <w:tcW w:w="2208" w:type="pct"/>
            <w:tcBorders>
              <w:top w:val="single" w:color="auto" w:sz="4" w:space="0"/>
              <w:left w:val="nil"/>
              <w:bottom w:val="single" w:color="auto" w:sz="4" w:space="0"/>
              <w:right w:val="single" w:color="auto" w:sz="4" w:space="0"/>
            </w:tcBorders>
            <w:vAlign w:val="center"/>
          </w:tcPr>
          <w:p w14:paraId="5DFC589D">
            <w:pPr>
              <w:spacing w:line="240" w:lineRule="auto"/>
              <w:jc w:val="center"/>
              <w:rPr>
                <w:sz w:val="21"/>
                <w:szCs w:val="21"/>
              </w:rPr>
            </w:pPr>
            <w:r>
              <w:rPr>
                <w:sz w:val="21"/>
                <w:szCs w:val="21"/>
              </w:rPr>
              <w:t>6.5≤pH≤8.5</w:t>
            </w:r>
          </w:p>
        </w:tc>
      </w:tr>
      <w:tr w14:paraId="2BC133F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2792" w:type="pct"/>
            <w:tcBorders>
              <w:top w:val="single" w:color="auto" w:sz="4" w:space="0"/>
              <w:left w:val="single" w:color="auto" w:sz="4" w:space="0"/>
              <w:bottom w:val="single" w:color="auto" w:sz="4" w:space="0"/>
              <w:right w:val="single" w:color="auto" w:sz="4" w:space="0"/>
            </w:tcBorders>
            <w:vAlign w:val="center"/>
          </w:tcPr>
          <w:p w14:paraId="1F4B0934">
            <w:pPr>
              <w:spacing w:line="240" w:lineRule="auto"/>
              <w:jc w:val="center"/>
              <w:rPr>
                <w:sz w:val="21"/>
                <w:szCs w:val="21"/>
              </w:rPr>
            </w:pPr>
            <w:r>
              <w:rPr>
                <w:sz w:val="21"/>
                <w:szCs w:val="21"/>
              </w:rPr>
              <w:t>总硬度(以CaCO</w:t>
            </w:r>
            <w:r>
              <w:rPr>
                <w:sz w:val="21"/>
                <w:szCs w:val="21"/>
                <w:vertAlign w:val="subscript"/>
              </w:rPr>
              <w:t>3</w:t>
            </w:r>
            <w:r>
              <w:rPr>
                <w:sz w:val="21"/>
                <w:szCs w:val="21"/>
              </w:rPr>
              <w:t>计)</w:t>
            </w:r>
          </w:p>
        </w:tc>
        <w:tc>
          <w:tcPr>
            <w:tcW w:w="2208" w:type="pct"/>
            <w:tcBorders>
              <w:top w:val="single" w:color="auto" w:sz="4" w:space="0"/>
              <w:left w:val="nil"/>
              <w:bottom w:val="single" w:color="auto" w:sz="4" w:space="0"/>
              <w:right w:val="single" w:color="auto" w:sz="4" w:space="0"/>
            </w:tcBorders>
            <w:vAlign w:val="center"/>
          </w:tcPr>
          <w:p w14:paraId="1CACC9AA">
            <w:pPr>
              <w:spacing w:line="240" w:lineRule="auto"/>
              <w:jc w:val="center"/>
              <w:rPr>
                <w:sz w:val="21"/>
                <w:szCs w:val="21"/>
              </w:rPr>
            </w:pPr>
            <w:r>
              <w:rPr>
                <w:sz w:val="21"/>
                <w:szCs w:val="21"/>
              </w:rPr>
              <w:t>≤450</w:t>
            </w:r>
          </w:p>
        </w:tc>
      </w:tr>
      <w:tr w14:paraId="23814B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2792" w:type="pct"/>
            <w:tcBorders>
              <w:top w:val="single" w:color="auto" w:sz="4" w:space="0"/>
              <w:left w:val="single" w:color="auto" w:sz="4" w:space="0"/>
              <w:bottom w:val="single" w:color="auto" w:sz="4" w:space="0"/>
              <w:right w:val="single" w:color="auto" w:sz="4" w:space="0"/>
            </w:tcBorders>
            <w:vAlign w:val="center"/>
          </w:tcPr>
          <w:p w14:paraId="2DF3167F">
            <w:pPr>
              <w:spacing w:line="240" w:lineRule="auto"/>
              <w:jc w:val="center"/>
              <w:rPr>
                <w:sz w:val="21"/>
                <w:szCs w:val="21"/>
              </w:rPr>
            </w:pPr>
            <w:r>
              <w:rPr>
                <w:sz w:val="21"/>
                <w:szCs w:val="21"/>
              </w:rPr>
              <w:t>溶解性总固体</w:t>
            </w:r>
          </w:p>
        </w:tc>
        <w:tc>
          <w:tcPr>
            <w:tcW w:w="2208" w:type="pct"/>
            <w:tcBorders>
              <w:top w:val="single" w:color="auto" w:sz="4" w:space="0"/>
              <w:left w:val="nil"/>
              <w:bottom w:val="single" w:color="auto" w:sz="4" w:space="0"/>
              <w:right w:val="single" w:color="auto" w:sz="4" w:space="0"/>
            </w:tcBorders>
            <w:vAlign w:val="center"/>
          </w:tcPr>
          <w:p w14:paraId="61B2CD77">
            <w:pPr>
              <w:spacing w:line="240" w:lineRule="auto"/>
              <w:jc w:val="center"/>
              <w:rPr>
                <w:sz w:val="21"/>
                <w:szCs w:val="21"/>
              </w:rPr>
            </w:pPr>
            <w:r>
              <w:rPr>
                <w:sz w:val="21"/>
                <w:szCs w:val="21"/>
              </w:rPr>
              <w:t>≤1000</w:t>
            </w:r>
          </w:p>
        </w:tc>
      </w:tr>
      <w:tr w14:paraId="628AF3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2792" w:type="pct"/>
            <w:tcBorders>
              <w:top w:val="single" w:color="auto" w:sz="4" w:space="0"/>
              <w:left w:val="single" w:color="auto" w:sz="4" w:space="0"/>
              <w:bottom w:val="single" w:color="auto" w:sz="4" w:space="0"/>
              <w:right w:val="single" w:color="auto" w:sz="4" w:space="0"/>
            </w:tcBorders>
            <w:vAlign w:val="center"/>
          </w:tcPr>
          <w:p w14:paraId="3237CF2C">
            <w:pPr>
              <w:spacing w:line="240" w:lineRule="auto"/>
              <w:jc w:val="center"/>
              <w:rPr>
                <w:sz w:val="21"/>
                <w:szCs w:val="21"/>
              </w:rPr>
            </w:pPr>
            <w:r>
              <w:rPr>
                <w:sz w:val="21"/>
                <w:szCs w:val="21"/>
              </w:rPr>
              <w:t>氯化物</w:t>
            </w:r>
          </w:p>
        </w:tc>
        <w:tc>
          <w:tcPr>
            <w:tcW w:w="2208" w:type="pct"/>
            <w:tcBorders>
              <w:top w:val="single" w:color="auto" w:sz="4" w:space="0"/>
              <w:left w:val="nil"/>
              <w:bottom w:val="single" w:color="auto" w:sz="4" w:space="0"/>
              <w:right w:val="single" w:color="auto" w:sz="4" w:space="0"/>
            </w:tcBorders>
            <w:vAlign w:val="center"/>
          </w:tcPr>
          <w:p w14:paraId="22138967">
            <w:pPr>
              <w:spacing w:line="240" w:lineRule="auto"/>
              <w:jc w:val="center"/>
              <w:rPr>
                <w:sz w:val="21"/>
                <w:szCs w:val="21"/>
              </w:rPr>
            </w:pPr>
            <w:r>
              <w:rPr>
                <w:sz w:val="21"/>
                <w:szCs w:val="21"/>
              </w:rPr>
              <w:t>≤250</w:t>
            </w:r>
          </w:p>
        </w:tc>
      </w:tr>
      <w:tr w14:paraId="2B9ADA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2792" w:type="pct"/>
            <w:tcBorders>
              <w:top w:val="single" w:color="auto" w:sz="4" w:space="0"/>
              <w:left w:val="single" w:color="auto" w:sz="4" w:space="0"/>
              <w:bottom w:val="single" w:color="auto" w:sz="4" w:space="0"/>
              <w:right w:val="single" w:color="auto" w:sz="4" w:space="0"/>
            </w:tcBorders>
            <w:vAlign w:val="center"/>
          </w:tcPr>
          <w:p w14:paraId="07B25990">
            <w:pPr>
              <w:spacing w:line="240" w:lineRule="auto"/>
              <w:jc w:val="center"/>
              <w:rPr>
                <w:sz w:val="21"/>
                <w:szCs w:val="21"/>
              </w:rPr>
            </w:pPr>
            <w:r>
              <w:rPr>
                <w:sz w:val="21"/>
                <w:szCs w:val="21"/>
              </w:rPr>
              <w:t>铁</w:t>
            </w:r>
          </w:p>
        </w:tc>
        <w:tc>
          <w:tcPr>
            <w:tcW w:w="2208" w:type="pct"/>
            <w:tcBorders>
              <w:top w:val="single" w:color="auto" w:sz="4" w:space="0"/>
              <w:left w:val="nil"/>
              <w:bottom w:val="single" w:color="auto" w:sz="4" w:space="0"/>
              <w:right w:val="single" w:color="auto" w:sz="4" w:space="0"/>
            </w:tcBorders>
            <w:vAlign w:val="center"/>
          </w:tcPr>
          <w:p w14:paraId="6022A182">
            <w:pPr>
              <w:spacing w:line="240" w:lineRule="auto"/>
              <w:jc w:val="center"/>
              <w:rPr>
                <w:sz w:val="21"/>
                <w:szCs w:val="21"/>
              </w:rPr>
            </w:pPr>
            <w:r>
              <w:rPr>
                <w:sz w:val="21"/>
                <w:szCs w:val="21"/>
              </w:rPr>
              <w:t>≤0.3</w:t>
            </w:r>
          </w:p>
        </w:tc>
      </w:tr>
      <w:tr w14:paraId="198095F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2792" w:type="pct"/>
            <w:tcBorders>
              <w:top w:val="single" w:color="auto" w:sz="4" w:space="0"/>
              <w:left w:val="single" w:color="auto" w:sz="4" w:space="0"/>
              <w:bottom w:val="single" w:color="auto" w:sz="4" w:space="0"/>
              <w:right w:val="single" w:color="auto" w:sz="4" w:space="0"/>
            </w:tcBorders>
            <w:vAlign w:val="center"/>
          </w:tcPr>
          <w:p w14:paraId="6ECCD896">
            <w:pPr>
              <w:spacing w:line="240" w:lineRule="auto"/>
              <w:jc w:val="center"/>
              <w:rPr>
                <w:sz w:val="21"/>
                <w:szCs w:val="21"/>
              </w:rPr>
            </w:pPr>
            <w:r>
              <w:rPr>
                <w:sz w:val="21"/>
                <w:szCs w:val="21"/>
              </w:rPr>
              <w:t>锰</w:t>
            </w:r>
          </w:p>
        </w:tc>
        <w:tc>
          <w:tcPr>
            <w:tcW w:w="2208" w:type="pct"/>
            <w:tcBorders>
              <w:top w:val="single" w:color="auto" w:sz="4" w:space="0"/>
              <w:left w:val="nil"/>
              <w:bottom w:val="single" w:color="auto" w:sz="4" w:space="0"/>
              <w:right w:val="single" w:color="auto" w:sz="4" w:space="0"/>
            </w:tcBorders>
            <w:vAlign w:val="center"/>
          </w:tcPr>
          <w:p w14:paraId="439DD852">
            <w:pPr>
              <w:spacing w:line="240" w:lineRule="auto"/>
              <w:jc w:val="center"/>
              <w:rPr>
                <w:sz w:val="21"/>
                <w:szCs w:val="21"/>
              </w:rPr>
            </w:pPr>
            <w:r>
              <w:rPr>
                <w:sz w:val="21"/>
                <w:szCs w:val="21"/>
              </w:rPr>
              <w:t>≤0.1</w:t>
            </w:r>
            <w:r>
              <w:rPr>
                <w:rFonts w:hint="eastAsia"/>
                <w:sz w:val="21"/>
                <w:szCs w:val="21"/>
              </w:rPr>
              <w:t>0</w:t>
            </w:r>
          </w:p>
        </w:tc>
      </w:tr>
      <w:tr w14:paraId="26513E6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2792" w:type="pct"/>
            <w:tcBorders>
              <w:top w:val="single" w:color="auto" w:sz="4" w:space="0"/>
              <w:left w:val="single" w:color="auto" w:sz="4" w:space="0"/>
              <w:bottom w:val="single" w:color="auto" w:sz="4" w:space="0"/>
              <w:right w:val="single" w:color="auto" w:sz="4" w:space="0"/>
            </w:tcBorders>
            <w:vAlign w:val="center"/>
          </w:tcPr>
          <w:p w14:paraId="7504CAFC">
            <w:pPr>
              <w:spacing w:line="240" w:lineRule="auto"/>
              <w:jc w:val="center"/>
              <w:rPr>
                <w:sz w:val="21"/>
                <w:szCs w:val="21"/>
              </w:rPr>
            </w:pPr>
            <w:r>
              <w:rPr>
                <w:sz w:val="21"/>
                <w:szCs w:val="21"/>
              </w:rPr>
              <w:t>挥发性酚类(以苯酚)</w:t>
            </w:r>
          </w:p>
        </w:tc>
        <w:tc>
          <w:tcPr>
            <w:tcW w:w="2208" w:type="pct"/>
            <w:tcBorders>
              <w:top w:val="single" w:color="auto" w:sz="4" w:space="0"/>
              <w:left w:val="nil"/>
              <w:bottom w:val="single" w:color="auto" w:sz="4" w:space="0"/>
              <w:right w:val="single" w:color="auto" w:sz="4" w:space="0"/>
            </w:tcBorders>
            <w:vAlign w:val="center"/>
          </w:tcPr>
          <w:p w14:paraId="53EC2B98">
            <w:pPr>
              <w:spacing w:line="240" w:lineRule="auto"/>
              <w:jc w:val="center"/>
              <w:rPr>
                <w:sz w:val="21"/>
                <w:szCs w:val="21"/>
              </w:rPr>
            </w:pPr>
            <w:r>
              <w:rPr>
                <w:sz w:val="21"/>
                <w:szCs w:val="21"/>
              </w:rPr>
              <w:t>≤0.002</w:t>
            </w:r>
          </w:p>
        </w:tc>
      </w:tr>
      <w:tr w14:paraId="479D4F6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2792" w:type="pct"/>
            <w:tcBorders>
              <w:top w:val="single" w:color="auto" w:sz="4" w:space="0"/>
              <w:left w:val="single" w:color="auto" w:sz="4" w:space="0"/>
              <w:bottom w:val="single" w:color="auto" w:sz="4" w:space="0"/>
              <w:right w:val="single" w:color="auto" w:sz="4" w:space="0"/>
            </w:tcBorders>
            <w:vAlign w:val="center"/>
          </w:tcPr>
          <w:p w14:paraId="15D413F8">
            <w:pPr>
              <w:spacing w:line="240" w:lineRule="auto"/>
              <w:jc w:val="center"/>
              <w:rPr>
                <w:sz w:val="21"/>
                <w:szCs w:val="21"/>
              </w:rPr>
            </w:pPr>
            <w:r>
              <w:rPr>
                <w:sz w:val="21"/>
                <w:szCs w:val="21"/>
              </w:rPr>
              <w:t>耗氧量(COD</w:t>
            </w:r>
            <w:r>
              <w:rPr>
                <w:sz w:val="21"/>
                <w:szCs w:val="21"/>
                <w:vertAlign w:val="subscript"/>
              </w:rPr>
              <w:t>Mn</w:t>
            </w:r>
            <w:r>
              <w:rPr>
                <w:sz w:val="21"/>
                <w:szCs w:val="21"/>
              </w:rPr>
              <w:t>法)</w:t>
            </w:r>
          </w:p>
        </w:tc>
        <w:tc>
          <w:tcPr>
            <w:tcW w:w="2208" w:type="pct"/>
            <w:tcBorders>
              <w:top w:val="single" w:color="auto" w:sz="4" w:space="0"/>
              <w:left w:val="nil"/>
              <w:bottom w:val="single" w:color="auto" w:sz="4" w:space="0"/>
              <w:right w:val="single" w:color="auto" w:sz="4" w:space="0"/>
            </w:tcBorders>
            <w:vAlign w:val="center"/>
          </w:tcPr>
          <w:p w14:paraId="040ED210">
            <w:pPr>
              <w:spacing w:line="240" w:lineRule="auto"/>
              <w:jc w:val="center"/>
              <w:rPr>
                <w:sz w:val="21"/>
                <w:szCs w:val="21"/>
              </w:rPr>
            </w:pPr>
            <w:r>
              <w:rPr>
                <w:sz w:val="21"/>
                <w:szCs w:val="21"/>
              </w:rPr>
              <w:t>≤3.0</w:t>
            </w:r>
          </w:p>
        </w:tc>
      </w:tr>
      <w:tr w14:paraId="15D0F65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2792" w:type="pct"/>
            <w:tcBorders>
              <w:top w:val="single" w:color="auto" w:sz="4" w:space="0"/>
              <w:left w:val="single" w:color="auto" w:sz="4" w:space="0"/>
              <w:bottom w:val="single" w:color="auto" w:sz="4" w:space="0"/>
              <w:right w:val="single" w:color="auto" w:sz="4" w:space="0"/>
            </w:tcBorders>
            <w:vAlign w:val="center"/>
          </w:tcPr>
          <w:p w14:paraId="78FD21D3">
            <w:pPr>
              <w:spacing w:line="240" w:lineRule="auto"/>
              <w:jc w:val="center"/>
              <w:rPr>
                <w:sz w:val="21"/>
                <w:szCs w:val="21"/>
              </w:rPr>
            </w:pPr>
            <w:r>
              <w:rPr>
                <w:sz w:val="21"/>
                <w:szCs w:val="21"/>
              </w:rPr>
              <w:t>氨氮</w:t>
            </w:r>
          </w:p>
        </w:tc>
        <w:tc>
          <w:tcPr>
            <w:tcW w:w="2208" w:type="pct"/>
            <w:tcBorders>
              <w:top w:val="single" w:color="auto" w:sz="4" w:space="0"/>
              <w:left w:val="nil"/>
              <w:bottom w:val="single" w:color="auto" w:sz="4" w:space="0"/>
              <w:right w:val="single" w:color="auto" w:sz="4" w:space="0"/>
            </w:tcBorders>
            <w:vAlign w:val="center"/>
          </w:tcPr>
          <w:p w14:paraId="220786F4">
            <w:pPr>
              <w:spacing w:line="240" w:lineRule="auto"/>
              <w:jc w:val="center"/>
              <w:rPr>
                <w:sz w:val="21"/>
                <w:szCs w:val="21"/>
              </w:rPr>
            </w:pPr>
            <w:r>
              <w:rPr>
                <w:sz w:val="21"/>
                <w:szCs w:val="21"/>
              </w:rPr>
              <w:t>≤0.50</w:t>
            </w:r>
          </w:p>
        </w:tc>
      </w:tr>
      <w:tr w14:paraId="2FD4F18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2792" w:type="pct"/>
            <w:tcBorders>
              <w:top w:val="single" w:color="auto" w:sz="4" w:space="0"/>
              <w:left w:val="single" w:color="auto" w:sz="4" w:space="0"/>
              <w:bottom w:val="single" w:color="auto" w:sz="4" w:space="0"/>
              <w:right w:val="single" w:color="auto" w:sz="4" w:space="0"/>
            </w:tcBorders>
            <w:vAlign w:val="center"/>
          </w:tcPr>
          <w:p w14:paraId="0C863355">
            <w:pPr>
              <w:spacing w:line="240" w:lineRule="auto"/>
              <w:jc w:val="center"/>
              <w:rPr>
                <w:sz w:val="21"/>
                <w:szCs w:val="21"/>
              </w:rPr>
            </w:pPr>
            <w:r>
              <w:rPr>
                <w:sz w:val="21"/>
                <w:szCs w:val="21"/>
              </w:rPr>
              <w:t>硝酸盐</w:t>
            </w:r>
          </w:p>
        </w:tc>
        <w:tc>
          <w:tcPr>
            <w:tcW w:w="2208" w:type="pct"/>
            <w:tcBorders>
              <w:top w:val="single" w:color="auto" w:sz="4" w:space="0"/>
              <w:left w:val="nil"/>
              <w:bottom w:val="single" w:color="auto" w:sz="4" w:space="0"/>
              <w:right w:val="single" w:color="auto" w:sz="4" w:space="0"/>
            </w:tcBorders>
            <w:vAlign w:val="center"/>
          </w:tcPr>
          <w:p w14:paraId="136BF64F">
            <w:pPr>
              <w:spacing w:line="240" w:lineRule="auto"/>
              <w:jc w:val="center"/>
              <w:rPr>
                <w:sz w:val="21"/>
                <w:szCs w:val="21"/>
              </w:rPr>
            </w:pPr>
            <w:r>
              <w:rPr>
                <w:sz w:val="21"/>
                <w:szCs w:val="21"/>
              </w:rPr>
              <w:t>≤20</w:t>
            </w:r>
          </w:p>
        </w:tc>
      </w:tr>
      <w:tr w14:paraId="301315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2792" w:type="pct"/>
            <w:tcBorders>
              <w:top w:val="single" w:color="auto" w:sz="4" w:space="0"/>
              <w:left w:val="single" w:color="auto" w:sz="4" w:space="0"/>
              <w:bottom w:val="single" w:color="auto" w:sz="4" w:space="0"/>
              <w:right w:val="single" w:color="auto" w:sz="4" w:space="0"/>
            </w:tcBorders>
            <w:vAlign w:val="center"/>
          </w:tcPr>
          <w:p w14:paraId="174327DB">
            <w:pPr>
              <w:spacing w:line="240" w:lineRule="auto"/>
              <w:jc w:val="center"/>
              <w:rPr>
                <w:sz w:val="21"/>
                <w:szCs w:val="21"/>
              </w:rPr>
            </w:pPr>
            <w:r>
              <w:rPr>
                <w:sz w:val="21"/>
                <w:szCs w:val="21"/>
              </w:rPr>
              <w:t>亚硝酸盐</w:t>
            </w:r>
          </w:p>
        </w:tc>
        <w:tc>
          <w:tcPr>
            <w:tcW w:w="2208" w:type="pct"/>
            <w:tcBorders>
              <w:top w:val="single" w:color="auto" w:sz="4" w:space="0"/>
              <w:left w:val="nil"/>
              <w:bottom w:val="single" w:color="auto" w:sz="4" w:space="0"/>
              <w:right w:val="single" w:color="auto" w:sz="4" w:space="0"/>
            </w:tcBorders>
            <w:vAlign w:val="center"/>
          </w:tcPr>
          <w:p w14:paraId="065CC58B">
            <w:pPr>
              <w:spacing w:line="240" w:lineRule="auto"/>
              <w:jc w:val="center"/>
              <w:rPr>
                <w:sz w:val="21"/>
                <w:szCs w:val="21"/>
              </w:rPr>
            </w:pPr>
            <w:r>
              <w:rPr>
                <w:sz w:val="21"/>
                <w:szCs w:val="21"/>
              </w:rPr>
              <w:t>≤1.0</w:t>
            </w:r>
          </w:p>
        </w:tc>
      </w:tr>
      <w:tr w14:paraId="68C517F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2792" w:type="pct"/>
            <w:tcBorders>
              <w:top w:val="single" w:color="auto" w:sz="4" w:space="0"/>
              <w:left w:val="single" w:color="auto" w:sz="4" w:space="0"/>
              <w:bottom w:val="single" w:color="auto" w:sz="4" w:space="0"/>
              <w:right w:val="single" w:color="auto" w:sz="4" w:space="0"/>
            </w:tcBorders>
            <w:vAlign w:val="center"/>
          </w:tcPr>
          <w:p w14:paraId="67391F8F">
            <w:pPr>
              <w:spacing w:line="240" w:lineRule="auto"/>
              <w:jc w:val="center"/>
              <w:rPr>
                <w:sz w:val="21"/>
                <w:szCs w:val="21"/>
              </w:rPr>
            </w:pPr>
            <w:r>
              <w:rPr>
                <w:sz w:val="21"/>
                <w:szCs w:val="21"/>
              </w:rPr>
              <w:t>氰化物</w:t>
            </w:r>
          </w:p>
        </w:tc>
        <w:tc>
          <w:tcPr>
            <w:tcW w:w="2208" w:type="pct"/>
            <w:tcBorders>
              <w:top w:val="single" w:color="auto" w:sz="4" w:space="0"/>
              <w:left w:val="nil"/>
              <w:bottom w:val="single" w:color="auto" w:sz="4" w:space="0"/>
              <w:right w:val="single" w:color="auto" w:sz="4" w:space="0"/>
            </w:tcBorders>
            <w:vAlign w:val="center"/>
          </w:tcPr>
          <w:p w14:paraId="157C9DF9">
            <w:pPr>
              <w:spacing w:line="240" w:lineRule="auto"/>
              <w:jc w:val="center"/>
              <w:rPr>
                <w:sz w:val="21"/>
                <w:szCs w:val="21"/>
              </w:rPr>
            </w:pPr>
            <w:r>
              <w:rPr>
                <w:sz w:val="21"/>
                <w:szCs w:val="21"/>
              </w:rPr>
              <w:t>≤0.05</w:t>
            </w:r>
          </w:p>
        </w:tc>
      </w:tr>
      <w:tr w14:paraId="15F0421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2792" w:type="pct"/>
            <w:tcBorders>
              <w:top w:val="single" w:color="auto" w:sz="4" w:space="0"/>
              <w:left w:val="single" w:color="auto" w:sz="4" w:space="0"/>
              <w:bottom w:val="single" w:color="auto" w:sz="4" w:space="0"/>
              <w:right w:val="single" w:color="auto" w:sz="4" w:space="0"/>
            </w:tcBorders>
            <w:vAlign w:val="center"/>
          </w:tcPr>
          <w:p w14:paraId="6C348B7C">
            <w:pPr>
              <w:spacing w:line="240" w:lineRule="auto"/>
              <w:jc w:val="center"/>
              <w:rPr>
                <w:sz w:val="21"/>
                <w:szCs w:val="21"/>
              </w:rPr>
            </w:pPr>
            <w:r>
              <w:rPr>
                <w:sz w:val="21"/>
                <w:szCs w:val="21"/>
              </w:rPr>
              <w:t>氟化物</w:t>
            </w:r>
          </w:p>
        </w:tc>
        <w:tc>
          <w:tcPr>
            <w:tcW w:w="2208" w:type="pct"/>
            <w:tcBorders>
              <w:top w:val="single" w:color="auto" w:sz="4" w:space="0"/>
              <w:left w:val="nil"/>
              <w:bottom w:val="single" w:color="auto" w:sz="4" w:space="0"/>
              <w:right w:val="single" w:color="auto" w:sz="4" w:space="0"/>
            </w:tcBorders>
            <w:vAlign w:val="center"/>
          </w:tcPr>
          <w:p w14:paraId="36D7F574">
            <w:pPr>
              <w:spacing w:line="240" w:lineRule="auto"/>
              <w:jc w:val="center"/>
              <w:rPr>
                <w:sz w:val="21"/>
                <w:szCs w:val="21"/>
              </w:rPr>
            </w:pPr>
            <w:r>
              <w:rPr>
                <w:sz w:val="21"/>
                <w:szCs w:val="21"/>
              </w:rPr>
              <w:t>≤1.0</w:t>
            </w:r>
          </w:p>
        </w:tc>
      </w:tr>
      <w:tr w14:paraId="5AA8D24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2792" w:type="pct"/>
            <w:tcBorders>
              <w:top w:val="single" w:color="auto" w:sz="4" w:space="0"/>
              <w:left w:val="single" w:color="auto" w:sz="4" w:space="0"/>
              <w:bottom w:val="single" w:color="auto" w:sz="4" w:space="0"/>
              <w:right w:val="single" w:color="auto" w:sz="4" w:space="0"/>
            </w:tcBorders>
            <w:vAlign w:val="center"/>
          </w:tcPr>
          <w:p w14:paraId="3D23B210">
            <w:pPr>
              <w:spacing w:line="240" w:lineRule="auto"/>
              <w:jc w:val="center"/>
              <w:rPr>
                <w:sz w:val="21"/>
                <w:szCs w:val="21"/>
              </w:rPr>
            </w:pPr>
            <w:r>
              <w:rPr>
                <w:sz w:val="21"/>
                <w:szCs w:val="21"/>
              </w:rPr>
              <w:t>汞</w:t>
            </w:r>
          </w:p>
        </w:tc>
        <w:tc>
          <w:tcPr>
            <w:tcW w:w="2208" w:type="pct"/>
            <w:tcBorders>
              <w:top w:val="single" w:color="auto" w:sz="4" w:space="0"/>
              <w:left w:val="nil"/>
              <w:bottom w:val="single" w:color="auto" w:sz="4" w:space="0"/>
              <w:right w:val="single" w:color="auto" w:sz="4" w:space="0"/>
            </w:tcBorders>
            <w:vAlign w:val="center"/>
          </w:tcPr>
          <w:p w14:paraId="1D72DD84">
            <w:pPr>
              <w:spacing w:line="240" w:lineRule="auto"/>
              <w:jc w:val="center"/>
              <w:rPr>
                <w:sz w:val="21"/>
                <w:szCs w:val="21"/>
              </w:rPr>
            </w:pPr>
            <w:r>
              <w:rPr>
                <w:sz w:val="21"/>
                <w:szCs w:val="21"/>
              </w:rPr>
              <w:t>≤0.001</w:t>
            </w:r>
          </w:p>
        </w:tc>
      </w:tr>
      <w:tr w14:paraId="65BEF74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2792" w:type="pct"/>
            <w:tcBorders>
              <w:top w:val="single" w:color="auto" w:sz="4" w:space="0"/>
              <w:left w:val="single" w:color="auto" w:sz="4" w:space="0"/>
              <w:bottom w:val="single" w:color="auto" w:sz="4" w:space="0"/>
              <w:right w:val="single" w:color="auto" w:sz="4" w:space="0"/>
            </w:tcBorders>
            <w:vAlign w:val="center"/>
          </w:tcPr>
          <w:p w14:paraId="199849B6">
            <w:pPr>
              <w:spacing w:line="240" w:lineRule="auto"/>
              <w:jc w:val="center"/>
              <w:rPr>
                <w:sz w:val="21"/>
                <w:szCs w:val="21"/>
              </w:rPr>
            </w:pPr>
            <w:r>
              <w:rPr>
                <w:sz w:val="21"/>
                <w:szCs w:val="21"/>
              </w:rPr>
              <w:t>砷</w:t>
            </w:r>
          </w:p>
        </w:tc>
        <w:tc>
          <w:tcPr>
            <w:tcW w:w="2208" w:type="pct"/>
            <w:tcBorders>
              <w:top w:val="single" w:color="auto" w:sz="4" w:space="0"/>
              <w:left w:val="single" w:color="auto" w:sz="4" w:space="0"/>
              <w:bottom w:val="single" w:color="auto" w:sz="4" w:space="0"/>
              <w:right w:val="single" w:color="auto" w:sz="4" w:space="0"/>
            </w:tcBorders>
            <w:vAlign w:val="center"/>
          </w:tcPr>
          <w:p w14:paraId="02508305">
            <w:pPr>
              <w:spacing w:line="240" w:lineRule="auto"/>
              <w:jc w:val="center"/>
              <w:rPr>
                <w:sz w:val="21"/>
                <w:szCs w:val="21"/>
              </w:rPr>
            </w:pPr>
            <w:r>
              <w:rPr>
                <w:sz w:val="21"/>
                <w:szCs w:val="21"/>
              </w:rPr>
              <w:t>≤0.01</w:t>
            </w:r>
          </w:p>
        </w:tc>
      </w:tr>
      <w:tr w14:paraId="507EEB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2792" w:type="pct"/>
            <w:tcBorders>
              <w:top w:val="single" w:color="auto" w:sz="4" w:space="0"/>
              <w:left w:val="single" w:color="auto" w:sz="4" w:space="0"/>
              <w:bottom w:val="single" w:color="auto" w:sz="4" w:space="0"/>
              <w:right w:val="single" w:color="auto" w:sz="4" w:space="0"/>
            </w:tcBorders>
            <w:vAlign w:val="center"/>
          </w:tcPr>
          <w:p w14:paraId="6A2091C4">
            <w:pPr>
              <w:spacing w:line="240" w:lineRule="auto"/>
              <w:jc w:val="center"/>
              <w:rPr>
                <w:sz w:val="21"/>
                <w:szCs w:val="21"/>
              </w:rPr>
            </w:pPr>
            <w:r>
              <w:rPr>
                <w:sz w:val="21"/>
                <w:szCs w:val="21"/>
              </w:rPr>
              <w:t>镉</w:t>
            </w:r>
          </w:p>
        </w:tc>
        <w:tc>
          <w:tcPr>
            <w:tcW w:w="2208" w:type="pct"/>
            <w:tcBorders>
              <w:top w:val="single" w:color="auto" w:sz="4" w:space="0"/>
              <w:left w:val="nil"/>
              <w:bottom w:val="single" w:color="auto" w:sz="4" w:space="0"/>
              <w:right w:val="single" w:color="auto" w:sz="4" w:space="0"/>
            </w:tcBorders>
            <w:vAlign w:val="center"/>
          </w:tcPr>
          <w:p w14:paraId="7E850788">
            <w:pPr>
              <w:spacing w:line="240" w:lineRule="auto"/>
              <w:jc w:val="center"/>
              <w:rPr>
                <w:sz w:val="21"/>
                <w:szCs w:val="21"/>
              </w:rPr>
            </w:pPr>
            <w:r>
              <w:rPr>
                <w:sz w:val="21"/>
                <w:szCs w:val="21"/>
              </w:rPr>
              <w:t>≤0.005</w:t>
            </w:r>
          </w:p>
        </w:tc>
      </w:tr>
      <w:tr w14:paraId="3361028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2792" w:type="pct"/>
            <w:tcBorders>
              <w:top w:val="single" w:color="auto" w:sz="4" w:space="0"/>
              <w:left w:val="single" w:color="auto" w:sz="4" w:space="0"/>
              <w:bottom w:val="single" w:color="auto" w:sz="4" w:space="0"/>
              <w:right w:val="single" w:color="auto" w:sz="4" w:space="0"/>
            </w:tcBorders>
            <w:vAlign w:val="center"/>
          </w:tcPr>
          <w:p w14:paraId="302B2FB7">
            <w:pPr>
              <w:spacing w:line="240" w:lineRule="auto"/>
              <w:jc w:val="center"/>
              <w:rPr>
                <w:sz w:val="21"/>
                <w:szCs w:val="21"/>
              </w:rPr>
            </w:pPr>
            <w:r>
              <w:rPr>
                <w:sz w:val="21"/>
                <w:szCs w:val="21"/>
              </w:rPr>
              <w:t>铬(六价)</w:t>
            </w:r>
          </w:p>
        </w:tc>
        <w:tc>
          <w:tcPr>
            <w:tcW w:w="2208" w:type="pct"/>
            <w:tcBorders>
              <w:top w:val="single" w:color="auto" w:sz="4" w:space="0"/>
              <w:left w:val="nil"/>
              <w:bottom w:val="single" w:color="auto" w:sz="4" w:space="0"/>
              <w:right w:val="single" w:color="auto" w:sz="4" w:space="0"/>
            </w:tcBorders>
            <w:vAlign w:val="center"/>
          </w:tcPr>
          <w:p w14:paraId="03D23C54">
            <w:pPr>
              <w:spacing w:line="240" w:lineRule="auto"/>
              <w:jc w:val="center"/>
              <w:rPr>
                <w:sz w:val="21"/>
                <w:szCs w:val="21"/>
              </w:rPr>
            </w:pPr>
            <w:r>
              <w:rPr>
                <w:sz w:val="21"/>
                <w:szCs w:val="21"/>
              </w:rPr>
              <w:t>≤0.05</w:t>
            </w:r>
          </w:p>
        </w:tc>
      </w:tr>
      <w:tr w14:paraId="5F19A4D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2792" w:type="pct"/>
            <w:tcBorders>
              <w:top w:val="single" w:color="auto" w:sz="4" w:space="0"/>
              <w:left w:val="single" w:color="auto" w:sz="4" w:space="0"/>
              <w:bottom w:val="single" w:color="auto" w:sz="4" w:space="0"/>
              <w:right w:val="single" w:color="auto" w:sz="4" w:space="0"/>
            </w:tcBorders>
            <w:vAlign w:val="center"/>
          </w:tcPr>
          <w:p w14:paraId="2BAA2492">
            <w:pPr>
              <w:spacing w:line="240" w:lineRule="auto"/>
              <w:jc w:val="center"/>
              <w:rPr>
                <w:sz w:val="21"/>
                <w:szCs w:val="21"/>
              </w:rPr>
            </w:pPr>
            <w:r>
              <w:rPr>
                <w:sz w:val="21"/>
                <w:szCs w:val="21"/>
              </w:rPr>
              <w:t>铅</w:t>
            </w:r>
          </w:p>
        </w:tc>
        <w:tc>
          <w:tcPr>
            <w:tcW w:w="2208" w:type="pct"/>
            <w:tcBorders>
              <w:top w:val="single" w:color="auto" w:sz="4" w:space="0"/>
              <w:left w:val="nil"/>
              <w:bottom w:val="single" w:color="auto" w:sz="4" w:space="0"/>
              <w:right w:val="single" w:color="auto" w:sz="4" w:space="0"/>
            </w:tcBorders>
            <w:vAlign w:val="center"/>
          </w:tcPr>
          <w:p w14:paraId="3949CBBB">
            <w:pPr>
              <w:spacing w:line="240" w:lineRule="auto"/>
              <w:jc w:val="center"/>
              <w:rPr>
                <w:sz w:val="21"/>
                <w:szCs w:val="21"/>
              </w:rPr>
            </w:pPr>
            <w:r>
              <w:rPr>
                <w:sz w:val="21"/>
                <w:szCs w:val="21"/>
              </w:rPr>
              <w:t>≤0.01</w:t>
            </w:r>
          </w:p>
        </w:tc>
      </w:tr>
      <w:tr w14:paraId="660F66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2792" w:type="pct"/>
            <w:tcBorders>
              <w:top w:val="single" w:color="auto" w:sz="4" w:space="0"/>
              <w:left w:val="single" w:color="auto" w:sz="4" w:space="0"/>
              <w:bottom w:val="single" w:color="auto" w:sz="4" w:space="0"/>
              <w:right w:val="single" w:color="auto" w:sz="4" w:space="0"/>
            </w:tcBorders>
            <w:vAlign w:val="center"/>
          </w:tcPr>
          <w:p w14:paraId="75D5B920">
            <w:pPr>
              <w:spacing w:line="240" w:lineRule="auto"/>
              <w:jc w:val="center"/>
              <w:rPr>
                <w:sz w:val="21"/>
                <w:szCs w:val="21"/>
              </w:rPr>
            </w:pPr>
            <w:r>
              <w:rPr>
                <w:sz w:val="21"/>
                <w:szCs w:val="21"/>
              </w:rPr>
              <w:t>硫酸盐</w:t>
            </w:r>
          </w:p>
        </w:tc>
        <w:tc>
          <w:tcPr>
            <w:tcW w:w="2208" w:type="pct"/>
            <w:tcBorders>
              <w:top w:val="single" w:color="auto" w:sz="4" w:space="0"/>
              <w:left w:val="nil"/>
              <w:bottom w:val="single" w:color="auto" w:sz="4" w:space="0"/>
              <w:right w:val="single" w:color="auto" w:sz="4" w:space="0"/>
            </w:tcBorders>
            <w:vAlign w:val="center"/>
          </w:tcPr>
          <w:p w14:paraId="232BE57B">
            <w:pPr>
              <w:spacing w:line="240" w:lineRule="auto"/>
              <w:jc w:val="center"/>
              <w:rPr>
                <w:sz w:val="21"/>
                <w:szCs w:val="21"/>
              </w:rPr>
            </w:pPr>
            <w:r>
              <w:rPr>
                <w:sz w:val="21"/>
                <w:szCs w:val="21"/>
              </w:rPr>
              <w:t>≤250</w:t>
            </w:r>
          </w:p>
        </w:tc>
      </w:tr>
      <w:tr w14:paraId="035BD69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2792" w:type="pct"/>
            <w:tcBorders>
              <w:top w:val="single" w:color="auto" w:sz="4" w:space="0"/>
              <w:left w:val="single" w:color="auto" w:sz="4" w:space="0"/>
              <w:bottom w:val="single" w:color="auto" w:sz="4" w:space="0"/>
              <w:right w:val="single" w:color="auto" w:sz="4" w:space="0"/>
            </w:tcBorders>
            <w:vAlign w:val="center"/>
          </w:tcPr>
          <w:p w14:paraId="77CA7CF9">
            <w:pPr>
              <w:spacing w:line="240" w:lineRule="auto"/>
              <w:jc w:val="center"/>
              <w:rPr>
                <w:sz w:val="21"/>
                <w:szCs w:val="21"/>
              </w:rPr>
            </w:pPr>
            <w:r>
              <w:rPr>
                <w:rFonts w:hint="eastAsia"/>
                <w:sz w:val="21"/>
                <w:szCs w:val="21"/>
              </w:rPr>
              <w:t>硫化物</w:t>
            </w:r>
          </w:p>
        </w:tc>
        <w:tc>
          <w:tcPr>
            <w:tcW w:w="2208" w:type="pct"/>
            <w:tcBorders>
              <w:top w:val="single" w:color="auto" w:sz="4" w:space="0"/>
              <w:left w:val="nil"/>
              <w:bottom w:val="single" w:color="auto" w:sz="4" w:space="0"/>
              <w:right w:val="single" w:color="auto" w:sz="4" w:space="0"/>
            </w:tcBorders>
            <w:vAlign w:val="center"/>
          </w:tcPr>
          <w:p w14:paraId="2E295984">
            <w:pPr>
              <w:spacing w:line="240" w:lineRule="auto"/>
              <w:jc w:val="center"/>
              <w:rPr>
                <w:sz w:val="21"/>
                <w:szCs w:val="21"/>
              </w:rPr>
            </w:pPr>
            <w:r>
              <w:rPr>
                <w:sz w:val="21"/>
                <w:szCs w:val="21"/>
              </w:rPr>
              <w:t>≤</w:t>
            </w:r>
            <w:r>
              <w:rPr>
                <w:rFonts w:hint="eastAsia"/>
                <w:sz w:val="21"/>
                <w:szCs w:val="21"/>
              </w:rPr>
              <w:t>0.02</w:t>
            </w:r>
          </w:p>
        </w:tc>
      </w:tr>
      <w:tr w14:paraId="22E9EE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2792" w:type="pct"/>
            <w:tcBorders>
              <w:top w:val="single" w:color="auto" w:sz="4" w:space="0"/>
              <w:left w:val="single" w:color="auto" w:sz="4" w:space="0"/>
              <w:bottom w:val="single" w:color="auto" w:sz="4" w:space="0"/>
              <w:right w:val="single" w:color="auto" w:sz="4" w:space="0"/>
            </w:tcBorders>
            <w:vAlign w:val="center"/>
          </w:tcPr>
          <w:p w14:paraId="75439306">
            <w:pPr>
              <w:spacing w:line="240" w:lineRule="auto"/>
              <w:jc w:val="center"/>
              <w:rPr>
                <w:sz w:val="21"/>
                <w:szCs w:val="21"/>
              </w:rPr>
            </w:pPr>
            <w:r>
              <w:rPr>
                <w:sz w:val="21"/>
                <w:szCs w:val="21"/>
              </w:rPr>
              <w:t>总大肠菌群(MPN/100mL)</w:t>
            </w:r>
          </w:p>
        </w:tc>
        <w:tc>
          <w:tcPr>
            <w:tcW w:w="2208" w:type="pct"/>
            <w:tcBorders>
              <w:top w:val="single" w:color="auto" w:sz="4" w:space="0"/>
              <w:left w:val="nil"/>
              <w:bottom w:val="single" w:color="auto" w:sz="4" w:space="0"/>
              <w:right w:val="single" w:color="auto" w:sz="4" w:space="0"/>
            </w:tcBorders>
            <w:vAlign w:val="center"/>
          </w:tcPr>
          <w:p w14:paraId="3C6C5447">
            <w:pPr>
              <w:spacing w:line="240" w:lineRule="auto"/>
              <w:jc w:val="center"/>
              <w:rPr>
                <w:sz w:val="21"/>
                <w:szCs w:val="21"/>
              </w:rPr>
            </w:pPr>
            <w:r>
              <w:rPr>
                <w:sz w:val="21"/>
                <w:szCs w:val="21"/>
              </w:rPr>
              <w:t>≤3.0</w:t>
            </w:r>
          </w:p>
        </w:tc>
      </w:tr>
      <w:tr w14:paraId="7A3B9F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2792" w:type="pct"/>
            <w:tcBorders>
              <w:top w:val="single" w:color="auto" w:sz="4" w:space="0"/>
              <w:left w:val="single" w:color="auto" w:sz="4" w:space="0"/>
              <w:bottom w:val="single" w:color="auto" w:sz="4" w:space="0"/>
              <w:right w:val="single" w:color="auto" w:sz="4" w:space="0"/>
            </w:tcBorders>
            <w:vAlign w:val="center"/>
          </w:tcPr>
          <w:p w14:paraId="036D96A3">
            <w:pPr>
              <w:spacing w:line="240" w:lineRule="auto"/>
              <w:jc w:val="center"/>
              <w:rPr>
                <w:sz w:val="21"/>
                <w:szCs w:val="21"/>
              </w:rPr>
            </w:pPr>
            <w:r>
              <w:rPr>
                <w:sz w:val="21"/>
                <w:szCs w:val="21"/>
              </w:rPr>
              <w:t>菌落总数(CFU/mL)</w:t>
            </w:r>
          </w:p>
        </w:tc>
        <w:tc>
          <w:tcPr>
            <w:tcW w:w="2208" w:type="pct"/>
            <w:tcBorders>
              <w:top w:val="single" w:color="auto" w:sz="4" w:space="0"/>
              <w:left w:val="nil"/>
              <w:bottom w:val="single" w:color="auto" w:sz="4" w:space="0"/>
              <w:right w:val="single" w:color="auto" w:sz="4" w:space="0"/>
            </w:tcBorders>
            <w:vAlign w:val="center"/>
          </w:tcPr>
          <w:p w14:paraId="1E388B10">
            <w:pPr>
              <w:spacing w:line="240" w:lineRule="auto"/>
              <w:jc w:val="center"/>
              <w:rPr>
                <w:sz w:val="21"/>
                <w:szCs w:val="21"/>
              </w:rPr>
            </w:pPr>
            <w:r>
              <w:rPr>
                <w:sz w:val="21"/>
                <w:szCs w:val="21"/>
              </w:rPr>
              <w:t>≤100</w:t>
            </w:r>
          </w:p>
        </w:tc>
      </w:tr>
    </w:tbl>
    <w:p w14:paraId="5C70737E"/>
    <w:p w14:paraId="610B8801">
      <w:pPr>
        <w:ind w:firstLine="480" w:firstLineChars="200"/>
      </w:pPr>
      <w:r>
        <w:t>(4)</w:t>
      </w:r>
      <w:r>
        <w:rPr>
          <w:rFonts w:hint="eastAsia"/>
        </w:rPr>
        <w:t>声环境</w:t>
      </w:r>
    </w:p>
    <w:p w14:paraId="126D8966">
      <w:pPr>
        <w:ind w:firstLine="480" w:firstLineChars="200"/>
      </w:pPr>
      <w:r>
        <w:t>项目区域环境噪声评价标准</w:t>
      </w:r>
      <w:r>
        <w:rPr>
          <w:rFonts w:hint="eastAsia"/>
        </w:rPr>
        <w:t>为</w:t>
      </w:r>
      <w:r>
        <w:t>《声环境质量标准》(GB3096-2008)中3类标准，其等效声级昼间为65dB(A)，夜间为55dB(A)。</w:t>
      </w:r>
    </w:p>
    <w:p w14:paraId="0F3CCB46">
      <w:pPr>
        <w:ind w:firstLine="480" w:firstLineChars="200"/>
      </w:pPr>
      <w:r>
        <w:rPr>
          <w:rFonts w:hint="eastAsia"/>
        </w:rPr>
        <w:t>(</w:t>
      </w:r>
      <w:r>
        <w:t>5</w:t>
      </w:r>
      <w:r>
        <w:rPr>
          <w:rFonts w:hint="eastAsia"/>
        </w:rPr>
        <w:t>)土壤</w:t>
      </w:r>
    </w:p>
    <w:p w14:paraId="2A4EFF44">
      <w:pPr>
        <w:ind w:firstLine="480" w:firstLineChars="200"/>
      </w:pPr>
      <w:r>
        <w:rPr>
          <w:rFonts w:hint="eastAsia"/>
        </w:rPr>
        <w:t>评价区土壤执行《土壤环境质量建设用地土壤污染风险管控标准》(试行)(</w:t>
      </w:r>
      <w:r>
        <w:t>GB36600-2018</w:t>
      </w:r>
      <w:r>
        <w:rPr>
          <w:rFonts w:hint="eastAsia"/>
        </w:rPr>
        <w:t>)</w:t>
      </w:r>
      <w:bookmarkStart w:id="33" w:name="_Hlk48040325"/>
      <w:r>
        <w:rPr>
          <w:rFonts w:hint="eastAsia"/>
        </w:rPr>
        <w:t>筛选值第二类工业用地标准</w:t>
      </w:r>
      <w:bookmarkEnd w:id="33"/>
      <w:r>
        <w:rPr>
          <w:rFonts w:hint="eastAsia"/>
        </w:rPr>
        <w:t>。周边农用地土壤执行《土壤环境质量农用地土壤污染风险管控标准(试行)》(GB15618-2018)中相关标准要求</w:t>
      </w:r>
    </w:p>
    <w:p w14:paraId="33A3AE71">
      <w:pPr>
        <w:pStyle w:val="28"/>
        <w:rPr>
          <w:rFonts w:hint="eastAsia"/>
        </w:rPr>
      </w:pPr>
      <w:r>
        <w:rPr>
          <w:rFonts w:hint="eastAsia"/>
        </w:rPr>
        <w:t>表2</w:t>
      </w:r>
      <w:r>
        <w:t>.5-4</w:t>
      </w:r>
      <w:r>
        <w:rPr>
          <w:rFonts w:hint="eastAsia"/>
        </w:rPr>
        <w:t xml:space="preserve"> </w:t>
      </w:r>
      <w:r>
        <w:t xml:space="preserve"> </w:t>
      </w:r>
      <w:r>
        <w:rPr>
          <w:rFonts w:hint="eastAsia"/>
        </w:rPr>
        <w:t>土壤环境质量标准值</w:t>
      </w:r>
      <w:r>
        <w:t>(mg/kg)</w:t>
      </w:r>
    </w:p>
    <w:tbl>
      <w:tblPr>
        <w:tblStyle w:val="3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01"/>
        <w:gridCol w:w="2862"/>
        <w:gridCol w:w="2162"/>
        <w:gridCol w:w="3161"/>
      </w:tblGrid>
      <w:tr w14:paraId="039AD5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593" w:type="pct"/>
            <w:tcBorders>
              <w:top w:val="single" w:color="auto" w:sz="4" w:space="0"/>
              <w:left w:val="single" w:color="auto" w:sz="4" w:space="0"/>
              <w:bottom w:val="single" w:color="auto" w:sz="4" w:space="0"/>
              <w:right w:val="single" w:color="auto" w:sz="4" w:space="0"/>
            </w:tcBorders>
            <w:vAlign w:val="center"/>
          </w:tcPr>
          <w:p w14:paraId="2967FD9E">
            <w:pPr>
              <w:pStyle w:val="64"/>
            </w:pPr>
            <w:r>
              <w:rPr>
                <w:rFonts w:hint="eastAsia"/>
              </w:rPr>
              <w:t>序号</w:t>
            </w:r>
          </w:p>
        </w:tc>
        <w:tc>
          <w:tcPr>
            <w:tcW w:w="1541" w:type="pct"/>
            <w:tcBorders>
              <w:top w:val="single" w:color="auto" w:sz="4" w:space="0"/>
              <w:left w:val="single" w:color="auto" w:sz="4" w:space="0"/>
              <w:bottom w:val="single" w:color="auto" w:sz="4" w:space="0"/>
              <w:right w:val="single" w:color="auto" w:sz="4" w:space="0"/>
            </w:tcBorders>
            <w:vAlign w:val="center"/>
          </w:tcPr>
          <w:p w14:paraId="157964B4">
            <w:pPr>
              <w:pStyle w:val="64"/>
            </w:pPr>
            <w:r>
              <w:rPr>
                <w:rFonts w:hint="eastAsia"/>
              </w:rPr>
              <w:t>项目</w:t>
            </w:r>
          </w:p>
        </w:tc>
        <w:tc>
          <w:tcPr>
            <w:tcW w:w="1164" w:type="pct"/>
            <w:tcBorders>
              <w:top w:val="single" w:color="auto" w:sz="4" w:space="0"/>
              <w:left w:val="single" w:color="auto" w:sz="4" w:space="0"/>
              <w:bottom w:val="single" w:color="auto" w:sz="4" w:space="0"/>
              <w:right w:val="single" w:color="auto" w:sz="4" w:space="0"/>
            </w:tcBorders>
            <w:vAlign w:val="center"/>
          </w:tcPr>
          <w:p w14:paraId="6D18F9BF">
            <w:pPr>
              <w:pStyle w:val="64"/>
            </w:pPr>
            <w:r>
              <w:rPr>
                <w:rFonts w:hint="eastAsia"/>
              </w:rPr>
              <w:t>筛选值标准</w:t>
            </w:r>
          </w:p>
        </w:tc>
        <w:tc>
          <w:tcPr>
            <w:tcW w:w="1702" w:type="pct"/>
            <w:tcBorders>
              <w:top w:val="single" w:color="auto" w:sz="4" w:space="0"/>
              <w:left w:val="single" w:color="auto" w:sz="4" w:space="0"/>
              <w:bottom w:val="single" w:color="auto" w:sz="4" w:space="0"/>
              <w:right w:val="single" w:color="auto" w:sz="4" w:space="0"/>
            </w:tcBorders>
            <w:vAlign w:val="center"/>
          </w:tcPr>
          <w:p w14:paraId="7232029A">
            <w:pPr>
              <w:pStyle w:val="64"/>
            </w:pPr>
            <w:r>
              <w:rPr>
                <w:rFonts w:hint="eastAsia"/>
              </w:rPr>
              <w:t>标准来源</w:t>
            </w:r>
          </w:p>
        </w:tc>
      </w:tr>
      <w:tr w14:paraId="7577B0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593" w:type="pct"/>
            <w:tcBorders>
              <w:top w:val="single" w:color="auto" w:sz="4" w:space="0"/>
              <w:left w:val="single" w:color="auto" w:sz="4" w:space="0"/>
              <w:bottom w:val="single" w:color="auto" w:sz="4" w:space="0"/>
              <w:right w:val="single" w:color="auto" w:sz="4" w:space="0"/>
            </w:tcBorders>
            <w:vAlign w:val="center"/>
          </w:tcPr>
          <w:p w14:paraId="6602CC9E">
            <w:pPr>
              <w:pStyle w:val="64"/>
            </w:pPr>
            <w:r>
              <w:t>1</w:t>
            </w:r>
          </w:p>
        </w:tc>
        <w:tc>
          <w:tcPr>
            <w:tcW w:w="1541" w:type="pct"/>
            <w:tcBorders>
              <w:top w:val="single" w:color="auto" w:sz="4" w:space="0"/>
              <w:left w:val="single" w:color="auto" w:sz="4" w:space="0"/>
              <w:bottom w:val="single" w:color="auto" w:sz="4" w:space="0"/>
              <w:right w:val="single" w:color="auto" w:sz="4" w:space="0"/>
            </w:tcBorders>
            <w:vAlign w:val="center"/>
          </w:tcPr>
          <w:p w14:paraId="1470B3A6">
            <w:pPr>
              <w:pStyle w:val="64"/>
            </w:pPr>
            <w:r>
              <w:rPr>
                <w:rFonts w:hint="eastAsia"/>
              </w:rPr>
              <w:t>六价铬</w:t>
            </w:r>
          </w:p>
        </w:tc>
        <w:tc>
          <w:tcPr>
            <w:tcW w:w="1164" w:type="pct"/>
            <w:tcBorders>
              <w:top w:val="single" w:color="auto" w:sz="4" w:space="0"/>
              <w:left w:val="single" w:color="auto" w:sz="4" w:space="0"/>
              <w:bottom w:val="single" w:color="auto" w:sz="4" w:space="0"/>
              <w:right w:val="single" w:color="auto" w:sz="4" w:space="0"/>
            </w:tcBorders>
          </w:tcPr>
          <w:p w14:paraId="42A8B083">
            <w:pPr>
              <w:pStyle w:val="64"/>
            </w:pPr>
            <w:r>
              <w:rPr>
                <w:rFonts w:hint="eastAsia"/>
              </w:rPr>
              <w:t>5.7</w:t>
            </w:r>
          </w:p>
        </w:tc>
        <w:tc>
          <w:tcPr>
            <w:tcW w:w="1702" w:type="pct"/>
            <w:vMerge w:val="restart"/>
            <w:tcBorders>
              <w:top w:val="single" w:color="auto" w:sz="4" w:space="0"/>
              <w:left w:val="single" w:color="auto" w:sz="4" w:space="0"/>
              <w:bottom w:val="single" w:color="auto" w:sz="4" w:space="0"/>
              <w:right w:val="single" w:color="auto" w:sz="4" w:space="0"/>
            </w:tcBorders>
            <w:vAlign w:val="center"/>
          </w:tcPr>
          <w:p w14:paraId="5C8856D2">
            <w:pPr>
              <w:pStyle w:val="64"/>
            </w:pPr>
            <w:r>
              <w:rPr>
                <w:rFonts w:hint="eastAsia"/>
              </w:rPr>
              <w:t>《土壤环境质量建设用地土壤污染风险管控标准》(试行)(</w:t>
            </w:r>
            <w:r>
              <w:t>GB 36600-2018</w:t>
            </w:r>
            <w:r>
              <w:rPr>
                <w:rFonts w:hint="eastAsia"/>
              </w:rPr>
              <w:t>)</w:t>
            </w:r>
          </w:p>
        </w:tc>
      </w:tr>
      <w:tr w14:paraId="53E31B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593" w:type="pct"/>
            <w:tcBorders>
              <w:top w:val="single" w:color="auto" w:sz="4" w:space="0"/>
              <w:left w:val="single" w:color="auto" w:sz="4" w:space="0"/>
              <w:bottom w:val="single" w:color="auto" w:sz="4" w:space="0"/>
              <w:right w:val="single" w:color="auto" w:sz="4" w:space="0"/>
            </w:tcBorders>
            <w:vAlign w:val="center"/>
          </w:tcPr>
          <w:p w14:paraId="0BAF5C50">
            <w:pPr>
              <w:pStyle w:val="64"/>
            </w:pPr>
            <w:r>
              <w:t>2</w:t>
            </w:r>
          </w:p>
        </w:tc>
        <w:tc>
          <w:tcPr>
            <w:tcW w:w="1541" w:type="pct"/>
            <w:tcBorders>
              <w:top w:val="single" w:color="auto" w:sz="4" w:space="0"/>
              <w:left w:val="single" w:color="auto" w:sz="4" w:space="0"/>
              <w:bottom w:val="single" w:color="auto" w:sz="4" w:space="0"/>
              <w:right w:val="single" w:color="auto" w:sz="4" w:space="0"/>
            </w:tcBorders>
            <w:vAlign w:val="center"/>
          </w:tcPr>
          <w:p w14:paraId="61751D23">
            <w:pPr>
              <w:pStyle w:val="64"/>
            </w:pPr>
            <w:r>
              <w:rPr>
                <w:rFonts w:hint="eastAsia"/>
              </w:rPr>
              <w:t>铜</w:t>
            </w:r>
          </w:p>
        </w:tc>
        <w:tc>
          <w:tcPr>
            <w:tcW w:w="1164" w:type="pct"/>
            <w:tcBorders>
              <w:top w:val="single" w:color="auto" w:sz="4" w:space="0"/>
              <w:left w:val="single" w:color="auto" w:sz="4" w:space="0"/>
              <w:bottom w:val="single" w:color="auto" w:sz="4" w:space="0"/>
              <w:right w:val="single" w:color="auto" w:sz="4" w:space="0"/>
            </w:tcBorders>
          </w:tcPr>
          <w:p w14:paraId="64EBAAC5">
            <w:pPr>
              <w:pStyle w:val="64"/>
            </w:pPr>
            <w:r>
              <w:rPr>
                <w:rFonts w:hint="eastAsia"/>
              </w:rPr>
              <w:t>18</w:t>
            </w:r>
            <w:r>
              <w:t>000</w:t>
            </w: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4003265A"/>
        </w:tc>
      </w:tr>
      <w:tr w14:paraId="6DA755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593" w:type="pct"/>
            <w:tcBorders>
              <w:top w:val="single" w:color="auto" w:sz="4" w:space="0"/>
              <w:left w:val="single" w:color="auto" w:sz="4" w:space="0"/>
              <w:bottom w:val="single" w:color="auto" w:sz="4" w:space="0"/>
              <w:right w:val="single" w:color="auto" w:sz="4" w:space="0"/>
            </w:tcBorders>
            <w:vAlign w:val="center"/>
          </w:tcPr>
          <w:p w14:paraId="4AB2DC50">
            <w:pPr>
              <w:pStyle w:val="64"/>
            </w:pPr>
            <w:r>
              <w:t>3</w:t>
            </w:r>
          </w:p>
        </w:tc>
        <w:tc>
          <w:tcPr>
            <w:tcW w:w="1541" w:type="pct"/>
            <w:tcBorders>
              <w:top w:val="single" w:color="auto" w:sz="4" w:space="0"/>
              <w:left w:val="single" w:color="auto" w:sz="4" w:space="0"/>
              <w:bottom w:val="single" w:color="auto" w:sz="4" w:space="0"/>
              <w:right w:val="single" w:color="auto" w:sz="4" w:space="0"/>
            </w:tcBorders>
            <w:vAlign w:val="center"/>
          </w:tcPr>
          <w:p w14:paraId="4ABAD003">
            <w:pPr>
              <w:pStyle w:val="64"/>
            </w:pPr>
            <w:r>
              <w:rPr>
                <w:rFonts w:hint="eastAsia"/>
              </w:rPr>
              <w:t>镍</w:t>
            </w:r>
          </w:p>
        </w:tc>
        <w:tc>
          <w:tcPr>
            <w:tcW w:w="1164" w:type="pct"/>
            <w:tcBorders>
              <w:top w:val="single" w:color="auto" w:sz="4" w:space="0"/>
              <w:left w:val="single" w:color="auto" w:sz="4" w:space="0"/>
              <w:bottom w:val="single" w:color="auto" w:sz="4" w:space="0"/>
              <w:right w:val="single" w:color="auto" w:sz="4" w:space="0"/>
            </w:tcBorders>
          </w:tcPr>
          <w:p w14:paraId="7BCAF2F4">
            <w:pPr>
              <w:pStyle w:val="64"/>
            </w:pPr>
            <w:r>
              <w:rPr>
                <w:rFonts w:hint="eastAsia"/>
              </w:rPr>
              <w:t>9</w:t>
            </w:r>
            <w:r>
              <w:t>00</w:t>
            </w: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33D7821D"/>
        </w:tc>
      </w:tr>
      <w:tr w14:paraId="6B5AF6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593" w:type="pct"/>
            <w:tcBorders>
              <w:top w:val="single" w:color="auto" w:sz="4" w:space="0"/>
              <w:left w:val="single" w:color="auto" w:sz="4" w:space="0"/>
              <w:bottom w:val="single" w:color="auto" w:sz="4" w:space="0"/>
              <w:right w:val="single" w:color="auto" w:sz="4" w:space="0"/>
            </w:tcBorders>
            <w:vAlign w:val="center"/>
          </w:tcPr>
          <w:p w14:paraId="478B97DD">
            <w:pPr>
              <w:pStyle w:val="64"/>
            </w:pPr>
            <w:r>
              <w:t>4</w:t>
            </w:r>
          </w:p>
        </w:tc>
        <w:tc>
          <w:tcPr>
            <w:tcW w:w="1541" w:type="pct"/>
            <w:tcBorders>
              <w:top w:val="single" w:color="auto" w:sz="4" w:space="0"/>
              <w:left w:val="single" w:color="auto" w:sz="4" w:space="0"/>
              <w:bottom w:val="single" w:color="auto" w:sz="4" w:space="0"/>
              <w:right w:val="single" w:color="auto" w:sz="4" w:space="0"/>
            </w:tcBorders>
            <w:vAlign w:val="center"/>
          </w:tcPr>
          <w:p w14:paraId="514DC5A3">
            <w:pPr>
              <w:pStyle w:val="64"/>
            </w:pPr>
            <w:r>
              <w:rPr>
                <w:rFonts w:hint="eastAsia"/>
              </w:rPr>
              <w:t>铅</w:t>
            </w:r>
          </w:p>
        </w:tc>
        <w:tc>
          <w:tcPr>
            <w:tcW w:w="1164" w:type="pct"/>
            <w:tcBorders>
              <w:top w:val="single" w:color="auto" w:sz="4" w:space="0"/>
              <w:left w:val="single" w:color="auto" w:sz="4" w:space="0"/>
              <w:bottom w:val="single" w:color="auto" w:sz="4" w:space="0"/>
              <w:right w:val="single" w:color="auto" w:sz="4" w:space="0"/>
            </w:tcBorders>
          </w:tcPr>
          <w:p w14:paraId="2FA3DB94">
            <w:pPr>
              <w:pStyle w:val="64"/>
            </w:pPr>
            <w:r>
              <w:rPr>
                <w:rFonts w:hint="eastAsia"/>
              </w:rPr>
              <w:t>8</w:t>
            </w:r>
            <w:r>
              <w:t>00</w:t>
            </w: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3C2B7CAE"/>
        </w:tc>
      </w:tr>
      <w:tr w14:paraId="623A53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593" w:type="pct"/>
            <w:tcBorders>
              <w:top w:val="single" w:color="auto" w:sz="4" w:space="0"/>
              <w:left w:val="single" w:color="auto" w:sz="4" w:space="0"/>
              <w:bottom w:val="single" w:color="auto" w:sz="4" w:space="0"/>
              <w:right w:val="single" w:color="auto" w:sz="4" w:space="0"/>
            </w:tcBorders>
            <w:vAlign w:val="center"/>
          </w:tcPr>
          <w:p w14:paraId="1BB81D68">
            <w:pPr>
              <w:pStyle w:val="64"/>
            </w:pPr>
            <w:r>
              <w:t>5</w:t>
            </w:r>
          </w:p>
        </w:tc>
        <w:tc>
          <w:tcPr>
            <w:tcW w:w="1541" w:type="pct"/>
            <w:tcBorders>
              <w:top w:val="single" w:color="auto" w:sz="4" w:space="0"/>
              <w:left w:val="single" w:color="auto" w:sz="4" w:space="0"/>
              <w:bottom w:val="single" w:color="auto" w:sz="4" w:space="0"/>
              <w:right w:val="single" w:color="auto" w:sz="4" w:space="0"/>
            </w:tcBorders>
            <w:vAlign w:val="center"/>
          </w:tcPr>
          <w:p w14:paraId="014CDE8D">
            <w:pPr>
              <w:pStyle w:val="64"/>
            </w:pPr>
            <w:r>
              <w:rPr>
                <w:rFonts w:hint="eastAsia"/>
              </w:rPr>
              <w:t>镉</w:t>
            </w:r>
          </w:p>
        </w:tc>
        <w:tc>
          <w:tcPr>
            <w:tcW w:w="1164" w:type="pct"/>
            <w:tcBorders>
              <w:top w:val="single" w:color="auto" w:sz="4" w:space="0"/>
              <w:left w:val="single" w:color="auto" w:sz="4" w:space="0"/>
              <w:bottom w:val="single" w:color="auto" w:sz="4" w:space="0"/>
              <w:right w:val="single" w:color="auto" w:sz="4" w:space="0"/>
            </w:tcBorders>
          </w:tcPr>
          <w:p w14:paraId="7D026A70">
            <w:pPr>
              <w:pStyle w:val="64"/>
            </w:pPr>
            <w:r>
              <w:rPr>
                <w:rFonts w:hint="eastAsia"/>
              </w:rPr>
              <w:t>65</w:t>
            </w: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60BA32C3"/>
        </w:tc>
      </w:tr>
      <w:tr w14:paraId="0768D3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593" w:type="pct"/>
            <w:tcBorders>
              <w:top w:val="single" w:color="auto" w:sz="4" w:space="0"/>
              <w:left w:val="single" w:color="auto" w:sz="4" w:space="0"/>
              <w:bottom w:val="single" w:color="auto" w:sz="4" w:space="0"/>
              <w:right w:val="single" w:color="auto" w:sz="4" w:space="0"/>
            </w:tcBorders>
            <w:vAlign w:val="center"/>
          </w:tcPr>
          <w:p w14:paraId="72AC090C">
            <w:pPr>
              <w:pStyle w:val="64"/>
            </w:pPr>
            <w:r>
              <w:t>6</w:t>
            </w:r>
          </w:p>
        </w:tc>
        <w:tc>
          <w:tcPr>
            <w:tcW w:w="1541" w:type="pct"/>
            <w:tcBorders>
              <w:top w:val="single" w:color="auto" w:sz="4" w:space="0"/>
              <w:left w:val="single" w:color="auto" w:sz="4" w:space="0"/>
              <w:bottom w:val="single" w:color="auto" w:sz="4" w:space="0"/>
              <w:right w:val="single" w:color="auto" w:sz="4" w:space="0"/>
            </w:tcBorders>
            <w:vAlign w:val="center"/>
          </w:tcPr>
          <w:p w14:paraId="4CE40DD1">
            <w:pPr>
              <w:pStyle w:val="64"/>
            </w:pPr>
            <w:r>
              <w:rPr>
                <w:rFonts w:hint="eastAsia"/>
              </w:rPr>
              <w:t>汞</w:t>
            </w:r>
          </w:p>
        </w:tc>
        <w:tc>
          <w:tcPr>
            <w:tcW w:w="1164" w:type="pct"/>
            <w:tcBorders>
              <w:top w:val="single" w:color="auto" w:sz="4" w:space="0"/>
              <w:left w:val="single" w:color="auto" w:sz="4" w:space="0"/>
              <w:bottom w:val="single" w:color="auto" w:sz="4" w:space="0"/>
              <w:right w:val="single" w:color="auto" w:sz="4" w:space="0"/>
            </w:tcBorders>
          </w:tcPr>
          <w:p w14:paraId="63F2D986">
            <w:pPr>
              <w:pStyle w:val="64"/>
            </w:pPr>
            <w:r>
              <w:rPr>
                <w:rFonts w:hint="eastAsia"/>
              </w:rPr>
              <w:t>38</w:t>
            </w: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768FD845"/>
        </w:tc>
      </w:tr>
      <w:tr w14:paraId="52E9D2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593" w:type="pct"/>
            <w:tcBorders>
              <w:top w:val="single" w:color="auto" w:sz="4" w:space="0"/>
              <w:left w:val="single" w:color="auto" w:sz="4" w:space="0"/>
              <w:bottom w:val="single" w:color="auto" w:sz="4" w:space="0"/>
              <w:right w:val="single" w:color="auto" w:sz="4" w:space="0"/>
            </w:tcBorders>
            <w:vAlign w:val="center"/>
          </w:tcPr>
          <w:p w14:paraId="5B79D516">
            <w:pPr>
              <w:pStyle w:val="64"/>
            </w:pPr>
            <w:r>
              <w:t>7</w:t>
            </w:r>
          </w:p>
        </w:tc>
        <w:tc>
          <w:tcPr>
            <w:tcW w:w="1541" w:type="pct"/>
            <w:tcBorders>
              <w:top w:val="single" w:color="auto" w:sz="4" w:space="0"/>
              <w:left w:val="single" w:color="auto" w:sz="4" w:space="0"/>
              <w:bottom w:val="single" w:color="auto" w:sz="4" w:space="0"/>
              <w:right w:val="single" w:color="auto" w:sz="4" w:space="0"/>
            </w:tcBorders>
            <w:vAlign w:val="center"/>
          </w:tcPr>
          <w:p w14:paraId="6BF09D3B">
            <w:pPr>
              <w:pStyle w:val="64"/>
            </w:pPr>
            <w:r>
              <w:rPr>
                <w:rFonts w:hint="eastAsia"/>
              </w:rPr>
              <w:t>四氯化碳</w:t>
            </w:r>
          </w:p>
        </w:tc>
        <w:tc>
          <w:tcPr>
            <w:tcW w:w="1164" w:type="pct"/>
            <w:tcBorders>
              <w:top w:val="single" w:color="auto" w:sz="4" w:space="0"/>
              <w:left w:val="single" w:color="auto" w:sz="4" w:space="0"/>
              <w:bottom w:val="single" w:color="auto" w:sz="4" w:space="0"/>
              <w:right w:val="single" w:color="auto" w:sz="4" w:space="0"/>
            </w:tcBorders>
          </w:tcPr>
          <w:p w14:paraId="08CCE463">
            <w:pPr>
              <w:pStyle w:val="64"/>
            </w:pPr>
            <w:r>
              <w:rPr>
                <w:rFonts w:hint="eastAsia"/>
              </w:rPr>
              <w:t>2.8</w:t>
            </w: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3762587F"/>
        </w:tc>
      </w:tr>
      <w:tr w14:paraId="394241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593" w:type="pct"/>
            <w:tcBorders>
              <w:top w:val="single" w:color="auto" w:sz="4" w:space="0"/>
              <w:left w:val="single" w:color="auto" w:sz="4" w:space="0"/>
              <w:bottom w:val="single" w:color="auto" w:sz="4" w:space="0"/>
              <w:right w:val="single" w:color="auto" w:sz="4" w:space="0"/>
            </w:tcBorders>
            <w:vAlign w:val="center"/>
          </w:tcPr>
          <w:p w14:paraId="6F340ACF">
            <w:pPr>
              <w:pStyle w:val="64"/>
            </w:pPr>
            <w:r>
              <w:t>8</w:t>
            </w:r>
          </w:p>
        </w:tc>
        <w:tc>
          <w:tcPr>
            <w:tcW w:w="1541" w:type="pct"/>
            <w:tcBorders>
              <w:top w:val="single" w:color="auto" w:sz="4" w:space="0"/>
              <w:left w:val="single" w:color="auto" w:sz="4" w:space="0"/>
              <w:bottom w:val="single" w:color="auto" w:sz="4" w:space="0"/>
              <w:right w:val="single" w:color="auto" w:sz="4" w:space="0"/>
            </w:tcBorders>
            <w:vAlign w:val="center"/>
          </w:tcPr>
          <w:p w14:paraId="3A8FA96D">
            <w:pPr>
              <w:pStyle w:val="64"/>
            </w:pPr>
            <w:r>
              <w:rPr>
                <w:rFonts w:hint="eastAsia"/>
              </w:rPr>
              <w:t>氯仿</w:t>
            </w:r>
          </w:p>
        </w:tc>
        <w:tc>
          <w:tcPr>
            <w:tcW w:w="1164" w:type="pct"/>
            <w:tcBorders>
              <w:top w:val="single" w:color="auto" w:sz="4" w:space="0"/>
              <w:left w:val="single" w:color="auto" w:sz="4" w:space="0"/>
              <w:bottom w:val="single" w:color="auto" w:sz="4" w:space="0"/>
              <w:right w:val="single" w:color="auto" w:sz="4" w:space="0"/>
            </w:tcBorders>
          </w:tcPr>
          <w:p w14:paraId="346388C0">
            <w:pPr>
              <w:pStyle w:val="64"/>
            </w:pPr>
            <w:r>
              <w:rPr>
                <w:rFonts w:hint="eastAsia"/>
              </w:rPr>
              <w:t>0.9</w:t>
            </w: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6981F288"/>
        </w:tc>
      </w:tr>
      <w:tr w14:paraId="4B5C8A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593" w:type="pct"/>
            <w:tcBorders>
              <w:top w:val="single" w:color="auto" w:sz="4" w:space="0"/>
              <w:left w:val="single" w:color="auto" w:sz="4" w:space="0"/>
              <w:bottom w:val="single" w:color="auto" w:sz="4" w:space="0"/>
              <w:right w:val="single" w:color="auto" w:sz="4" w:space="0"/>
            </w:tcBorders>
            <w:vAlign w:val="center"/>
          </w:tcPr>
          <w:p w14:paraId="3DE5C228">
            <w:pPr>
              <w:pStyle w:val="64"/>
            </w:pPr>
            <w:r>
              <w:t>9</w:t>
            </w:r>
          </w:p>
        </w:tc>
        <w:tc>
          <w:tcPr>
            <w:tcW w:w="1541" w:type="pct"/>
            <w:tcBorders>
              <w:top w:val="single" w:color="auto" w:sz="4" w:space="0"/>
              <w:left w:val="single" w:color="auto" w:sz="4" w:space="0"/>
              <w:bottom w:val="single" w:color="auto" w:sz="4" w:space="0"/>
              <w:right w:val="single" w:color="auto" w:sz="4" w:space="0"/>
            </w:tcBorders>
            <w:vAlign w:val="center"/>
          </w:tcPr>
          <w:p w14:paraId="32565093">
            <w:pPr>
              <w:pStyle w:val="64"/>
            </w:pPr>
            <w:r>
              <w:rPr>
                <w:rFonts w:hint="eastAsia"/>
              </w:rPr>
              <w:t>氯甲烷</w:t>
            </w:r>
          </w:p>
        </w:tc>
        <w:tc>
          <w:tcPr>
            <w:tcW w:w="1164" w:type="pct"/>
            <w:tcBorders>
              <w:top w:val="single" w:color="auto" w:sz="4" w:space="0"/>
              <w:left w:val="single" w:color="auto" w:sz="4" w:space="0"/>
              <w:bottom w:val="single" w:color="auto" w:sz="4" w:space="0"/>
              <w:right w:val="single" w:color="auto" w:sz="4" w:space="0"/>
            </w:tcBorders>
          </w:tcPr>
          <w:p w14:paraId="345DDB4A">
            <w:pPr>
              <w:pStyle w:val="64"/>
            </w:pPr>
            <w:r>
              <w:rPr>
                <w:rFonts w:hint="eastAsia"/>
              </w:rPr>
              <w:t>37</w:t>
            </w: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0FB26F17"/>
        </w:tc>
      </w:tr>
      <w:tr w14:paraId="47262F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593" w:type="pct"/>
            <w:tcBorders>
              <w:top w:val="single" w:color="auto" w:sz="4" w:space="0"/>
              <w:left w:val="single" w:color="auto" w:sz="4" w:space="0"/>
              <w:bottom w:val="single" w:color="auto" w:sz="4" w:space="0"/>
              <w:right w:val="single" w:color="auto" w:sz="4" w:space="0"/>
            </w:tcBorders>
            <w:vAlign w:val="center"/>
          </w:tcPr>
          <w:p w14:paraId="383D9667">
            <w:pPr>
              <w:pStyle w:val="64"/>
            </w:pPr>
            <w:r>
              <w:t>10</w:t>
            </w:r>
          </w:p>
        </w:tc>
        <w:tc>
          <w:tcPr>
            <w:tcW w:w="1541" w:type="pct"/>
            <w:tcBorders>
              <w:top w:val="single" w:color="auto" w:sz="4" w:space="0"/>
              <w:left w:val="single" w:color="auto" w:sz="4" w:space="0"/>
              <w:bottom w:val="single" w:color="auto" w:sz="4" w:space="0"/>
              <w:right w:val="single" w:color="auto" w:sz="4" w:space="0"/>
            </w:tcBorders>
            <w:vAlign w:val="center"/>
          </w:tcPr>
          <w:p w14:paraId="2DBFB533">
            <w:pPr>
              <w:pStyle w:val="64"/>
            </w:pPr>
            <w:r>
              <w:rPr>
                <w:rFonts w:hint="eastAsia"/>
              </w:rPr>
              <w:t>1,1-二氯乙烷</w:t>
            </w:r>
          </w:p>
        </w:tc>
        <w:tc>
          <w:tcPr>
            <w:tcW w:w="1164" w:type="pct"/>
            <w:tcBorders>
              <w:top w:val="single" w:color="auto" w:sz="4" w:space="0"/>
              <w:left w:val="single" w:color="auto" w:sz="4" w:space="0"/>
              <w:bottom w:val="single" w:color="auto" w:sz="4" w:space="0"/>
              <w:right w:val="single" w:color="auto" w:sz="4" w:space="0"/>
            </w:tcBorders>
          </w:tcPr>
          <w:p w14:paraId="2E973FD1">
            <w:pPr>
              <w:pStyle w:val="64"/>
            </w:pPr>
            <w:r>
              <w:rPr>
                <w:rFonts w:hint="eastAsia"/>
              </w:rPr>
              <w:t>9</w:t>
            </w: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7B780A0B"/>
        </w:tc>
      </w:tr>
      <w:tr w14:paraId="5EE547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593" w:type="pct"/>
            <w:tcBorders>
              <w:top w:val="single" w:color="auto" w:sz="4" w:space="0"/>
              <w:left w:val="single" w:color="auto" w:sz="4" w:space="0"/>
              <w:bottom w:val="single" w:color="auto" w:sz="4" w:space="0"/>
              <w:right w:val="single" w:color="auto" w:sz="4" w:space="0"/>
            </w:tcBorders>
            <w:vAlign w:val="center"/>
          </w:tcPr>
          <w:p w14:paraId="1EE6C9BB">
            <w:pPr>
              <w:pStyle w:val="64"/>
            </w:pPr>
            <w:r>
              <w:t>11</w:t>
            </w:r>
          </w:p>
        </w:tc>
        <w:tc>
          <w:tcPr>
            <w:tcW w:w="1541" w:type="pct"/>
            <w:tcBorders>
              <w:top w:val="single" w:color="auto" w:sz="4" w:space="0"/>
              <w:left w:val="single" w:color="auto" w:sz="4" w:space="0"/>
              <w:bottom w:val="single" w:color="auto" w:sz="4" w:space="0"/>
              <w:right w:val="single" w:color="auto" w:sz="4" w:space="0"/>
            </w:tcBorders>
            <w:vAlign w:val="center"/>
          </w:tcPr>
          <w:p w14:paraId="16D5C887">
            <w:pPr>
              <w:pStyle w:val="64"/>
            </w:pPr>
            <w:r>
              <w:rPr>
                <w:rFonts w:hint="eastAsia"/>
              </w:rPr>
              <w:t>1,2-二氯乙烷</w:t>
            </w:r>
          </w:p>
        </w:tc>
        <w:tc>
          <w:tcPr>
            <w:tcW w:w="1164" w:type="pct"/>
            <w:tcBorders>
              <w:top w:val="single" w:color="auto" w:sz="4" w:space="0"/>
              <w:left w:val="single" w:color="auto" w:sz="4" w:space="0"/>
              <w:bottom w:val="single" w:color="auto" w:sz="4" w:space="0"/>
              <w:right w:val="single" w:color="auto" w:sz="4" w:space="0"/>
            </w:tcBorders>
          </w:tcPr>
          <w:p w14:paraId="227AA25C">
            <w:pPr>
              <w:pStyle w:val="64"/>
            </w:pPr>
            <w:r>
              <w:rPr>
                <w:rFonts w:hint="eastAsia"/>
              </w:rPr>
              <w:t>5</w:t>
            </w: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55B3698E"/>
        </w:tc>
      </w:tr>
      <w:tr w14:paraId="659E4B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593" w:type="pct"/>
            <w:tcBorders>
              <w:top w:val="single" w:color="auto" w:sz="4" w:space="0"/>
              <w:left w:val="single" w:color="auto" w:sz="4" w:space="0"/>
              <w:bottom w:val="single" w:color="auto" w:sz="4" w:space="0"/>
              <w:right w:val="single" w:color="auto" w:sz="4" w:space="0"/>
            </w:tcBorders>
            <w:vAlign w:val="center"/>
          </w:tcPr>
          <w:p w14:paraId="1CE2943D">
            <w:pPr>
              <w:pStyle w:val="64"/>
            </w:pPr>
            <w:r>
              <w:t>12</w:t>
            </w:r>
          </w:p>
        </w:tc>
        <w:tc>
          <w:tcPr>
            <w:tcW w:w="1541" w:type="pct"/>
            <w:tcBorders>
              <w:top w:val="single" w:color="auto" w:sz="4" w:space="0"/>
              <w:left w:val="single" w:color="auto" w:sz="4" w:space="0"/>
              <w:bottom w:val="single" w:color="auto" w:sz="4" w:space="0"/>
              <w:right w:val="single" w:color="auto" w:sz="4" w:space="0"/>
            </w:tcBorders>
            <w:vAlign w:val="center"/>
          </w:tcPr>
          <w:p w14:paraId="3B5DA095">
            <w:pPr>
              <w:pStyle w:val="64"/>
            </w:pPr>
            <w:r>
              <w:rPr>
                <w:rFonts w:hint="eastAsia"/>
              </w:rPr>
              <w:t>1,1-二氯乙烯</w:t>
            </w:r>
          </w:p>
        </w:tc>
        <w:tc>
          <w:tcPr>
            <w:tcW w:w="1164" w:type="pct"/>
            <w:tcBorders>
              <w:top w:val="single" w:color="auto" w:sz="4" w:space="0"/>
              <w:left w:val="single" w:color="auto" w:sz="4" w:space="0"/>
              <w:bottom w:val="single" w:color="auto" w:sz="4" w:space="0"/>
              <w:right w:val="single" w:color="auto" w:sz="4" w:space="0"/>
            </w:tcBorders>
          </w:tcPr>
          <w:p w14:paraId="11E6455B">
            <w:pPr>
              <w:pStyle w:val="64"/>
            </w:pPr>
            <w:r>
              <w:rPr>
                <w:rFonts w:hint="eastAsia"/>
              </w:rPr>
              <w:t>66</w:t>
            </w: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49FF63A3"/>
        </w:tc>
      </w:tr>
      <w:tr w14:paraId="5FD96C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593" w:type="pct"/>
            <w:tcBorders>
              <w:top w:val="single" w:color="auto" w:sz="4" w:space="0"/>
              <w:left w:val="single" w:color="auto" w:sz="4" w:space="0"/>
              <w:bottom w:val="single" w:color="auto" w:sz="4" w:space="0"/>
              <w:right w:val="single" w:color="auto" w:sz="4" w:space="0"/>
            </w:tcBorders>
            <w:vAlign w:val="center"/>
          </w:tcPr>
          <w:p w14:paraId="04B67A21">
            <w:pPr>
              <w:pStyle w:val="64"/>
            </w:pPr>
            <w:r>
              <w:t>13</w:t>
            </w:r>
          </w:p>
        </w:tc>
        <w:tc>
          <w:tcPr>
            <w:tcW w:w="1541" w:type="pct"/>
            <w:tcBorders>
              <w:top w:val="single" w:color="auto" w:sz="4" w:space="0"/>
              <w:left w:val="single" w:color="auto" w:sz="4" w:space="0"/>
              <w:bottom w:val="single" w:color="auto" w:sz="4" w:space="0"/>
              <w:right w:val="single" w:color="auto" w:sz="4" w:space="0"/>
            </w:tcBorders>
            <w:vAlign w:val="center"/>
          </w:tcPr>
          <w:p w14:paraId="6777FEBB">
            <w:pPr>
              <w:pStyle w:val="64"/>
            </w:pPr>
            <w:r>
              <w:rPr>
                <w:rFonts w:hint="eastAsia"/>
              </w:rPr>
              <w:t>顺-1,1-二氯乙烷</w:t>
            </w:r>
          </w:p>
        </w:tc>
        <w:tc>
          <w:tcPr>
            <w:tcW w:w="1164" w:type="pct"/>
            <w:tcBorders>
              <w:top w:val="single" w:color="auto" w:sz="4" w:space="0"/>
              <w:left w:val="single" w:color="auto" w:sz="4" w:space="0"/>
              <w:bottom w:val="single" w:color="auto" w:sz="4" w:space="0"/>
              <w:right w:val="single" w:color="auto" w:sz="4" w:space="0"/>
            </w:tcBorders>
          </w:tcPr>
          <w:p w14:paraId="0174355D">
            <w:pPr>
              <w:pStyle w:val="64"/>
            </w:pPr>
            <w:r>
              <w:rPr>
                <w:rFonts w:hint="eastAsia"/>
              </w:rPr>
              <w:t>596</w:t>
            </w: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622FD3B3"/>
        </w:tc>
      </w:tr>
      <w:tr w14:paraId="5BFC98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593" w:type="pct"/>
            <w:tcBorders>
              <w:top w:val="single" w:color="auto" w:sz="4" w:space="0"/>
              <w:left w:val="single" w:color="auto" w:sz="4" w:space="0"/>
              <w:bottom w:val="single" w:color="auto" w:sz="4" w:space="0"/>
              <w:right w:val="single" w:color="auto" w:sz="4" w:space="0"/>
            </w:tcBorders>
            <w:vAlign w:val="center"/>
          </w:tcPr>
          <w:p w14:paraId="3327DE1C">
            <w:pPr>
              <w:pStyle w:val="64"/>
            </w:pPr>
            <w:r>
              <w:t>14</w:t>
            </w:r>
          </w:p>
        </w:tc>
        <w:tc>
          <w:tcPr>
            <w:tcW w:w="1541" w:type="pct"/>
            <w:tcBorders>
              <w:top w:val="single" w:color="auto" w:sz="4" w:space="0"/>
              <w:left w:val="single" w:color="auto" w:sz="4" w:space="0"/>
              <w:bottom w:val="single" w:color="auto" w:sz="4" w:space="0"/>
              <w:right w:val="single" w:color="auto" w:sz="4" w:space="0"/>
            </w:tcBorders>
            <w:vAlign w:val="center"/>
          </w:tcPr>
          <w:p w14:paraId="1B809850">
            <w:pPr>
              <w:pStyle w:val="64"/>
            </w:pPr>
            <w:r>
              <w:rPr>
                <w:rFonts w:hint="eastAsia"/>
              </w:rPr>
              <w:t>反-1,1-二氯乙烷</w:t>
            </w:r>
          </w:p>
        </w:tc>
        <w:tc>
          <w:tcPr>
            <w:tcW w:w="1164" w:type="pct"/>
            <w:tcBorders>
              <w:top w:val="single" w:color="auto" w:sz="4" w:space="0"/>
              <w:left w:val="single" w:color="auto" w:sz="4" w:space="0"/>
              <w:bottom w:val="single" w:color="auto" w:sz="4" w:space="0"/>
              <w:right w:val="single" w:color="auto" w:sz="4" w:space="0"/>
            </w:tcBorders>
          </w:tcPr>
          <w:p w14:paraId="2F5FFB1F">
            <w:pPr>
              <w:pStyle w:val="64"/>
            </w:pPr>
            <w:r>
              <w:rPr>
                <w:rFonts w:hint="eastAsia"/>
              </w:rPr>
              <w:t>54</w:t>
            </w: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1031A7BC"/>
        </w:tc>
      </w:tr>
      <w:tr w14:paraId="6BC05B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593" w:type="pct"/>
            <w:tcBorders>
              <w:top w:val="single" w:color="auto" w:sz="4" w:space="0"/>
              <w:left w:val="single" w:color="auto" w:sz="4" w:space="0"/>
              <w:bottom w:val="single" w:color="auto" w:sz="4" w:space="0"/>
              <w:right w:val="single" w:color="auto" w:sz="4" w:space="0"/>
            </w:tcBorders>
            <w:vAlign w:val="center"/>
          </w:tcPr>
          <w:p w14:paraId="04644896">
            <w:pPr>
              <w:pStyle w:val="64"/>
            </w:pPr>
            <w:r>
              <w:t>15</w:t>
            </w:r>
          </w:p>
        </w:tc>
        <w:tc>
          <w:tcPr>
            <w:tcW w:w="1541" w:type="pct"/>
            <w:tcBorders>
              <w:top w:val="single" w:color="auto" w:sz="4" w:space="0"/>
              <w:left w:val="single" w:color="auto" w:sz="4" w:space="0"/>
              <w:bottom w:val="single" w:color="auto" w:sz="4" w:space="0"/>
              <w:right w:val="single" w:color="auto" w:sz="4" w:space="0"/>
            </w:tcBorders>
            <w:vAlign w:val="center"/>
          </w:tcPr>
          <w:p w14:paraId="164150E0">
            <w:pPr>
              <w:pStyle w:val="64"/>
            </w:pPr>
            <w:r>
              <w:rPr>
                <w:rFonts w:hint="eastAsia"/>
              </w:rPr>
              <w:t>二氯甲烷</w:t>
            </w:r>
          </w:p>
        </w:tc>
        <w:tc>
          <w:tcPr>
            <w:tcW w:w="1164" w:type="pct"/>
            <w:tcBorders>
              <w:top w:val="single" w:color="auto" w:sz="4" w:space="0"/>
              <w:left w:val="single" w:color="auto" w:sz="4" w:space="0"/>
              <w:bottom w:val="single" w:color="auto" w:sz="4" w:space="0"/>
              <w:right w:val="single" w:color="auto" w:sz="4" w:space="0"/>
            </w:tcBorders>
          </w:tcPr>
          <w:p w14:paraId="62C8658F">
            <w:pPr>
              <w:pStyle w:val="64"/>
            </w:pPr>
            <w:r>
              <w:rPr>
                <w:rFonts w:hint="eastAsia"/>
              </w:rPr>
              <w:t>616</w:t>
            </w: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3CED0407"/>
        </w:tc>
      </w:tr>
      <w:tr w14:paraId="03825B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593" w:type="pct"/>
            <w:tcBorders>
              <w:top w:val="single" w:color="auto" w:sz="4" w:space="0"/>
              <w:left w:val="single" w:color="auto" w:sz="4" w:space="0"/>
              <w:bottom w:val="single" w:color="auto" w:sz="4" w:space="0"/>
              <w:right w:val="single" w:color="auto" w:sz="4" w:space="0"/>
            </w:tcBorders>
            <w:vAlign w:val="center"/>
          </w:tcPr>
          <w:p w14:paraId="4D891113">
            <w:pPr>
              <w:pStyle w:val="64"/>
            </w:pPr>
            <w:r>
              <w:t>16</w:t>
            </w:r>
          </w:p>
        </w:tc>
        <w:tc>
          <w:tcPr>
            <w:tcW w:w="1541" w:type="pct"/>
            <w:tcBorders>
              <w:top w:val="single" w:color="auto" w:sz="4" w:space="0"/>
              <w:left w:val="single" w:color="auto" w:sz="4" w:space="0"/>
              <w:bottom w:val="single" w:color="auto" w:sz="4" w:space="0"/>
              <w:right w:val="single" w:color="auto" w:sz="4" w:space="0"/>
            </w:tcBorders>
            <w:vAlign w:val="center"/>
          </w:tcPr>
          <w:p w14:paraId="1E60E60A">
            <w:pPr>
              <w:pStyle w:val="64"/>
            </w:pPr>
            <w:r>
              <w:t>1,2-</w:t>
            </w:r>
            <w:r>
              <w:rPr>
                <w:rFonts w:hint="eastAsia"/>
              </w:rPr>
              <w:t>二氯丙烷</w:t>
            </w:r>
          </w:p>
        </w:tc>
        <w:tc>
          <w:tcPr>
            <w:tcW w:w="1164" w:type="pct"/>
            <w:tcBorders>
              <w:top w:val="single" w:color="auto" w:sz="4" w:space="0"/>
              <w:left w:val="single" w:color="auto" w:sz="4" w:space="0"/>
              <w:bottom w:val="single" w:color="auto" w:sz="4" w:space="0"/>
              <w:right w:val="single" w:color="auto" w:sz="4" w:space="0"/>
            </w:tcBorders>
          </w:tcPr>
          <w:p w14:paraId="0665C2D6">
            <w:pPr>
              <w:pStyle w:val="64"/>
            </w:pPr>
            <w:r>
              <w:rPr>
                <w:rFonts w:hint="eastAsia"/>
              </w:rPr>
              <w:t>5</w:t>
            </w: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08F03DDF"/>
        </w:tc>
      </w:tr>
      <w:tr w14:paraId="0F4931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593" w:type="pct"/>
            <w:tcBorders>
              <w:top w:val="single" w:color="auto" w:sz="4" w:space="0"/>
              <w:left w:val="single" w:color="auto" w:sz="4" w:space="0"/>
              <w:bottom w:val="single" w:color="auto" w:sz="4" w:space="0"/>
              <w:right w:val="single" w:color="auto" w:sz="4" w:space="0"/>
            </w:tcBorders>
            <w:vAlign w:val="center"/>
          </w:tcPr>
          <w:p w14:paraId="3AF715D0">
            <w:pPr>
              <w:pStyle w:val="64"/>
            </w:pPr>
            <w:r>
              <w:t>17</w:t>
            </w:r>
          </w:p>
        </w:tc>
        <w:tc>
          <w:tcPr>
            <w:tcW w:w="1541" w:type="pct"/>
            <w:tcBorders>
              <w:top w:val="single" w:color="auto" w:sz="4" w:space="0"/>
              <w:left w:val="single" w:color="auto" w:sz="4" w:space="0"/>
              <w:bottom w:val="single" w:color="auto" w:sz="4" w:space="0"/>
              <w:right w:val="single" w:color="auto" w:sz="4" w:space="0"/>
            </w:tcBorders>
            <w:vAlign w:val="center"/>
          </w:tcPr>
          <w:p w14:paraId="340C940C">
            <w:pPr>
              <w:pStyle w:val="64"/>
            </w:pPr>
            <w:r>
              <w:t>1,1,1,2-</w:t>
            </w:r>
            <w:r>
              <w:rPr>
                <w:rFonts w:hint="eastAsia"/>
              </w:rPr>
              <w:t>四氯乙烷</w:t>
            </w:r>
          </w:p>
        </w:tc>
        <w:tc>
          <w:tcPr>
            <w:tcW w:w="1164" w:type="pct"/>
            <w:tcBorders>
              <w:top w:val="single" w:color="auto" w:sz="4" w:space="0"/>
              <w:left w:val="single" w:color="auto" w:sz="4" w:space="0"/>
              <w:bottom w:val="single" w:color="auto" w:sz="4" w:space="0"/>
              <w:right w:val="single" w:color="auto" w:sz="4" w:space="0"/>
            </w:tcBorders>
          </w:tcPr>
          <w:p w14:paraId="61984EC6">
            <w:pPr>
              <w:pStyle w:val="64"/>
            </w:pPr>
            <w:r>
              <w:rPr>
                <w:rFonts w:hint="eastAsia"/>
              </w:rPr>
              <w:t>10</w:t>
            </w: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2B12E789"/>
        </w:tc>
      </w:tr>
      <w:tr w14:paraId="584D66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593" w:type="pct"/>
            <w:tcBorders>
              <w:top w:val="single" w:color="auto" w:sz="4" w:space="0"/>
              <w:left w:val="single" w:color="auto" w:sz="4" w:space="0"/>
              <w:bottom w:val="single" w:color="auto" w:sz="4" w:space="0"/>
              <w:right w:val="single" w:color="auto" w:sz="4" w:space="0"/>
            </w:tcBorders>
            <w:vAlign w:val="center"/>
          </w:tcPr>
          <w:p w14:paraId="060D7C63">
            <w:pPr>
              <w:pStyle w:val="64"/>
            </w:pPr>
            <w:r>
              <w:t>18</w:t>
            </w:r>
          </w:p>
        </w:tc>
        <w:tc>
          <w:tcPr>
            <w:tcW w:w="1541" w:type="pct"/>
            <w:tcBorders>
              <w:top w:val="single" w:color="auto" w:sz="4" w:space="0"/>
              <w:left w:val="single" w:color="auto" w:sz="4" w:space="0"/>
              <w:bottom w:val="single" w:color="auto" w:sz="4" w:space="0"/>
              <w:right w:val="single" w:color="auto" w:sz="4" w:space="0"/>
            </w:tcBorders>
            <w:vAlign w:val="center"/>
          </w:tcPr>
          <w:p w14:paraId="4E699E48">
            <w:pPr>
              <w:pStyle w:val="64"/>
            </w:pPr>
            <w:r>
              <w:t>1,1,2,2-</w:t>
            </w:r>
            <w:r>
              <w:rPr>
                <w:rFonts w:hint="eastAsia"/>
              </w:rPr>
              <w:t>四氯乙烷</w:t>
            </w:r>
          </w:p>
        </w:tc>
        <w:tc>
          <w:tcPr>
            <w:tcW w:w="1164" w:type="pct"/>
            <w:tcBorders>
              <w:top w:val="single" w:color="auto" w:sz="4" w:space="0"/>
              <w:left w:val="single" w:color="auto" w:sz="4" w:space="0"/>
              <w:bottom w:val="single" w:color="auto" w:sz="4" w:space="0"/>
              <w:right w:val="single" w:color="auto" w:sz="4" w:space="0"/>
            </w:tcBorders>
          </w:tcPr>
          <w:p w14:paraId="44EA1276">
            <w:pPr>
              <w:pStyle w:val="64"/>
            </w:pPr>
            <w:r>
              <w:rPr>
                <w:rFonts w:hint="eastAsia"/>
              </w:rPr>
              <w:t>6.8</w:t>
            </w: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62D31EB1"/>
        </w:tc>
      </w:tr>
      <w:tr w14:paraId="32A404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593" w:type="pct"/>
            <w:tcBorders>
              <w:top w:val="single" w:color="auto" w:sz="4" w:space="0"/>
              <w:left w:val="single" w:color="auto" w:sz="4" w:space="0"/>
              <w:bottom w:val="single" w:color="auto" w:sz="4" w:space="0"/>
              <w:right w:val="single" w:color="auto" w:sz="4" w:space="0"/>
            </w:tcBorders>
            <w:vAlign w:val="center"/>
          </w:tcPr>
          <w:p w14:paraId="2C6B0C7F">
            <w:pPr>
              <w:pStyle w:val="64"/>
            </w:pPr>
            <w:r>
              <w:t>19</w:t>
            </w:r>
          </w:p>
        </w:tc>
        <w:tc>
          <w:tcPr>
            <w:tcW w:w="1541" w:type="pct"/>
            <w:tcBorders>
              <w:top w:val="single" w:color="auto" w:sz="4" w:space="0"/>
              <w:left w:val="single" w:color="auto" w:sz="4" w:space="0"/>
              <w:bottom w:val="single" w:color="auto" w:sz="4" w:space="0"/>
              <w:right w:val="single" w:color="auto" w:sz="4" w:space="0"/>
            </w:tcBorders>
            <w:vAlign w:val="center"/>
          </w:tcPr>
          <w:p w14:paraId="21CB2195">
            <w:pPr>
              <w:pStyle w:val="64"/>
            </w:pPr>
            <w:r>
              <w:rPr>
                <w:rFonts w:hint="eastAsia"/>
              </w:rPr>
              <w:t>四氯乙烯</w:t>
            </w:r>
          </w:p>
        </w:tc>
        <w:tc>
          <w:tcPr>
            <w:tcW w:w="1164" w:type="pct"/>
            <w:tcBorders>
              <w:top w:val="single" w:color="auto" w:sz="4" w:space="0"/>
              <w:left w:val="single" w:color="auto" w:sz="4" w:space="0"/>
              <w:bottom w:val="single" w:color="auto" w:sz="4" w:space="0"/>
              <w:right w:val="single" w:color="auto" w:sz="4" w:space="0"/>
            </w:tcBorders>
          </w:tcPr>
          <w:p w14:paraId="08D40283">
            <w:pPr>
              <w:pStyle w:val="64"/>
            </w:pPr>
            <w:r>
              <w:rPr>
                <w:rFonts w:hint="eastAsia"/>
              </w:rPr>
              <w:t>53</w:t>
            </w: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4871039A"/>
        </w:tc>
      </w:tr>
      <w:tr w14:paraId="6B8979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593" w:type="pct"/>
            <w:tcBorders>
              <w:top w:val="single" w:color="auto" w:sz="4" w:space="0"/>
              <w:left w:val="single" w:color="auto" w:sz="4" w:space="0"/>
              <w:bottom w:val="single" w:color="auto" w:sz="4" w:space="0"/>
              <w:right w:val="single" w:color="auto" w:sz="4" w:space="0"/>
            </w:tcBorders>
            <w:vAlign w:val="center"/>
          </w:tcPr>
          <w:p w14:paraId="5952A4F3">
            <w:pPr>
              <w:pStyle w:val="64"/>
            </w:pPr>
            <w:r>
              <w:t>20</w:t>
            </w:r>
          </w:p>
        </w:tc>
        <w:tc>
          <w:tcPr>
            <w:tcW w:w="1541" w:type="pct"/>
            <w:tcBorders>
              <w:top w:val="single" w:color="auto" w:sz="4" w:space="0"/>
              <w:left w:val="single" w:color="auto" w:sz="4" w:space="0"/>
              <w:bottom w:val="single" w:color="auto" w:sz="4" w:space="0"/>
              <w:right w:val="single" w:color="auto" w:sz="4" w:space="0"/>
            </w:tcBorders>
            <w:vAlign w:val="center"/>
          </w:tcPr>
          <w:p w14:paraId="528EDFE8">
            <w:pPr>
              <w:pStyle w:val="64"/>
            </w:pPr>
            <w:r>
              <w:t>1,1,1-</w:t>
            </w:r>
            <w:r>
              <w:rPr>
                <w:rFonts w:hint="eastAsia"/>
              </w:rPr>
              <w:t>三氯乙烷</w:t>
            </w:r>
          </w:p>
        </w:tc>
        <w:tc>
          <w:tcPr>
            <w:tcW w:w="1164" w:type="pct"/>
            <w:tcBorders>
              <w:top w:val="single" w:color="auto" w:sz="4" w:space="0"/>
              <w:left w:val="single" w:color="auto" w:sz="4" w:space="0"/>
              <w:bottom w:val="single" w:color="auto" w:sz="4" w:space="0"/>
              <w:right w:val="single" w:color="auto" w:sz="4" w:space="0"/>
            </w:tcBorders>
          </w:tcPr>
          <w:p w14:paraId="4E30BB1F">
            <w:pPr>
              <w:pStyle w:val="64"/>
            </w:pPr>
            <w:r>
              <w:rPr>
                <w:rFonts w:hint="eastAsia"/>
              </w:rPr>
              <w:t>840</w:t>
            </w: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3E87670F"/>
        </w:tc>
      </w:tr>
      <w:tr w14:paraId="0DB1AA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593" w:type="pct"/>
            <w:tcBorders>
              <w:top w:val="single" w:color="auto" w:sz="4" w:space="0"/>
              <w:left w:val="single" w:color="auto" w:sz="4" w:space="0"/>
              <w:bottom w:val="single" w:color="auto" w:sz="4" w:space="0"/>
              <w:right w:val="single" w:color="auto" w:sz="4" w:space="0"/>
            </w:tcBorders>
            <w:vAlign w:val="center"/>
          </w:tcPr>
          <w:p w14:paraId="13FE4F92">
            <w:pPr>
              <w:pStyle w:val="64"/>
            </w:pPr>
            <w:r>
              <w:t>21</w:t>
            </w:r>
          </w:p>
        </w:tc>
        <w:tc>
          <w:tcPr>
            <w:tcW w:w="1541" w:type="pct"/>
            <w:tcBorders>
              <w:top w:val="single" w:color="auto" w:sz="4" w:space="0"/>
              <w:left w:val="single" w:color="auto" w:sz="4" w:space="0"/>
              <w:bottom w:val="single" w:color="auto" w:sz="4" w:space="0"/>
              <w:right w:val="single" w:color="auto" w:sz="4" w:space="0"/>
            </w:tcBorders>
            <w:vAlign w:val="center"/>
          </w:tcPr>
          <w:p w14:paraId="1E3F3F20">
            <w:pPr>
              <w:pStyle w:val="64"/>
            </w:pPr>
            <w:r>
              <w:t>1,1,2-</w:t>
            </w:r>
            <w:r>
              <w:rPr>
                <w:rFonts w:hint="eastAsia"/>
              </w:rPr>
              <w:t>三氯乙烷</w:t>
            </w:r>
          </w:p>
        </w:tc>
        <w:tc>
          <w:tcPr>
            <w:tcW w:w="1164" w:type="pct"/>
            <w:tcBorders>
              <w:top w:val="single" w:color="auto" w:sz="4" w:space="0"/>
              <w:left w:val="single" w:color="auto" w:sz="4" w:space="0"/>
              <w:bottom w:val="single" w:color="auto" w:sz="4" w:space="0"/>
              <w:right w:val="single" w:color="auto" w:sz="4" w:space="0"/>
            </w:tcBorders>
          </w:tcPr>
          <w:p w14:paraId="7B65731B">
            <w:pPr>
              <w:pStyle w:val="64"/>
            </w:pPr>
            <w:r>
              <w:rPr>
                <w:rFonts w:hint="eastAsia"/>
              </w:rPr>
              <w:t>2.8</w:t>
            </w: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7DFDD3C2"/>
        </w:tc>
      </w:tr>
      <w:tr w14:paraId="5774AF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593" w:type="pct"/>
            <w:tcBorders>
              <w:top w:val="single" w:color="auto" w:sz="4" w:space="0"/>
              <w:left w:val="single" w:color="auto" w:sz="4" w:space="0"/>
              <w:bottom w:val="single" w:color="auto" w:sz="4" w:space="0"/>
              <w:right w:val="single" w:color="auto" w:sz="4" w:space="0"/>
            </w:tcBorders>
            <w:vAlign w:val="center"/>
          </w:tcPr>
          <w:p w14:paraId="73E87414">
            <w:pPr>
              <w:pStyle w:val="64"/>
            </w:pPr>
            <w:r>
              <w:t>22</w:t>
            </w:r>
          </w:p>
        </w:tc>
        <w:tc>
          <w:tcPr>
            <w:tcW w:w="1541" w:type="pct"/>
            <w:tcBorders>
              <w:top w:val="single" w:color="auto" w:sz="4" w:space="0"/>
              <w:left w:val="single" w:color="auto" w:sz="4" w:space="0"/>
              <w:bottom w:val="single" w:color="auto" w:sz="4" w:space="0"/>
              <w:right w:val="single" w:color="auto" w:sz="4" w:space="0"/>
            </w:tcBorders>
            <w:vAlign w:val="center"/>
          </w:tcPr>
          <w:p w14:paraId="37BA1E73">
            <w:pPr>
              <w:pStyle w:val="64"/>
            </w:pPr>
            <w:r>
              <w:rPr>
                <w:rFonts w:hint="eastAsia"/>
              </w:rPr>
              <w:t>三氯乙烯</w:t>
            </w:r>
          </w:p>
        </w:tc>
        <w:tc>
          <w:tcPr>
            <w:tcW w:w="1164" w:type="pct"/>
            <w:tcBorders>
              <w:top w:val="single" w:color="auto" w:sz="4" w:space="0"/>
              <w:left w:val="single" w:color="auto" w:sz="4" w:space="0"/>
              <w:bottom w:val="single" w:color="auto" w:sz="4" w:space="0"/>
              <w:right w:val="single" w:color="auto" w:sz="4" w:space="0"/>
            </w:tcBorders>
          </w:tcPr>
          <w:p w14:paraId="7A2EECED">
            <w:pPr>
              <w:pStyle w:val="64"/>
            </w:pPr>
            <w:r>
              <w:rPr>
                <w:rFonts w:hint="eastAsia"/>
              </w:rPr>
              <w:t>2.8</w:t>
            </w: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7544476A"/>
        </w:tc>
      </w:tr>
      <w:tr w14:paraId="1BDD8B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593" w:type="pct"/>
            <w:tcBorders>
              <w:top w:val="single" w:color="auto" w:sz="4" w:space="0"/>
              <w:left w:val="single" w:color="auto" w:sz="4" w:space="0"/>
              <w:bottom w:val="single" w:color="auto" w:sz="4" w:space="0"/>
              <w:right w:val="single" w:color="auto" w:sz="4" w:space="0"/>
            </w:tcBorders>
            <w:vAlign w:val="center"/>
          </w:tcPr>
          <w:p w14:paraId="327DEDC3">
            <w:pPr>
              <w:pStyle w:val="64"/>
            </w:pPr>
            <w:r>
              <w:t>23</w:t>
            </w:r>
          </w:p>
        </w:tc>
        <w:tc>
          <w:tcPr>
            <w:tcW w:w="1541" w:type="pct"/>
            <w:tcBorders>
              <w:top w:val="single" w:color="auto" w:sz="4" w:space="0"/>
              <w:left w:val="single" w:color="auto" w:sz="4" w:space="0"/>
              <w:bottom w:val="single" w:color="auto" w:sz="4" w:space="0"/>
              <w:right w:val="single" w:color="auto" w:sz="4" w:space="0"/>
            </w:tcBorders>
            <w:vAlign w:val="center"/>
          </w:tcPr>
          <w:p w14:paraId="24171C05">
            <w:pPr>
              <w:pStyle w:val="64"/>
            </w:pPr>
            <w:r>
              <w:t>1,2,3-</w:t>
            </w:r>
            <w:r>
              <w:rPr>
                <w:rFonts w:hint="eastAsia"/>
              </w:rPr>
              <w:t>三氯丙烷</w:t>
            </w:r>
          </w:p>
        </w:tc>
        <w:tc>
          <w:tcPr>
            <w:tcW w:w="1164" w:type="pct"/>
            <w:tcBorders>
              <w:top w:val="single" w:color="auto" w:sz="4" w:space="0"/>
              <w:left w:val="single" w:color="auto" w:sz="4" w:space="0"/>
              <w:bottom w:val="single" w:color="auto" w:sz="4" w:space="0"/>
              <w:right w:val="single" w:color="auto" w:sz="4" w:space="0"/>
            </w:tcBorders>
          </w:tcPr>
          <w:p w14:paraId="259ABEEA">
            <w:pPr>
              <w:pStyle w:val="64"/>
            </w:pPr>
            <w:r>
              <w:rPr>
                <w:rFonts w:hint="eastAsia"/>
              </w:rPr>
              <w:t>0.5</w:t>
            </w: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3C9ADB58"/>
        </w:tc>
      </w:tr>
      <w:tr w14:paraId="0B1E71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593" w:type="pct"/>
            <w:tcBorders>
              <w:top w:val="single" w:color="auto" w:sz="4" w:space="0"/>
              <w:left w:val="single" w:color="auto" w:sz="4" w:space="0"/>
              <w:bottom w:val="single" w:color="auto" w:sz="4" w:space="0"/>
              <w:right w:val="single" w:color="auto" w:sz="4" w:space="0"/>
            </w:tcBorders>
            <w:vAlign w:val="center"/>
          </w:tcPr>
          <w:p w14:paraId="1D4225A3">
            <w:pPr>
              <w:pStyle w:val="64"/>
            </w:pPr>
            <w:r>
              <w:t>24</w:t>
            </w:r>
          </w:p>
        </w:tc>
        <w:tc>
          <w:tcPr>
            <w:tcW w:w="1541" w:type="pct"/>
            <w:tcBorders>
              <w:top w:val="single" w:color="auto" w:sz="4" w:space="0"/>
              <w:left w:val="single" w:color="auto" w:sz="4" w:space="0"/>
              <w:bottom w:val="single" w:color="auto" w:sz="4" w:space="0"/>
              <w:right w:val="single" w:color="auto" w:sz="4" w:space="0"/>
            </w:tcBorders>
            <w:vAlign w:val="center"/>
          </w:tcPr>
          <w:p w14:paraId="0DAA8DA6">
            <w:pPr>
              <w:pStyle w:val="64"/>
            </w:pPr>
            <w:r>
              <w:rPr>
                <w:rFonts w:hint="eastAsia"/>
              </w:rPr>
              <w:t>氯乙烯</w:t>
            </w:r>
          </w:p>
        </w:tc>
        <w:tc>
          <w:tcPr>
            <w:tcW w:w="1164" w:type="pct"/>
            <w:tcBorders>
              <w:top w:val="single" w:color="auto" w:sz="4" w:space="0"/>
              <w:left w:val="single" w:color="auto" w:sz="4" w:space="0"/>
              <w:bottom w:val="single" w:color="auto" w:sz="4" w:space="0"/>
              <w:right w:val="single" w:color="auto" w:sz="4" w:space="0"/>
            </w:tcBorders>
          </w:tcPr>
          <w:p w14:paraId="6308CBF4">
            <w:pPr>
              <w:pStyle w:val="64"/>
            </w:pPr>
            <w:r>
              <w:rPr>
                <w:rFonts w:hint="eastAsia"/>
              </w:rPr>
              <w:t>0.43</w:t>
            </w: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638547C0"/>
        </w:tc>
      </w:tr>
      <w:tr w14:paraId="633123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593" w:type="pct"/>
            <w:tcBorders>
              <w:top w:val="single" w:color="auto" w:sz="4" w:space="0"/>
              <w:left w:val="single" w:color="auto" w:sz="4" w:space="0"/>
              <w:bottom w:val="single" w:color="auto" w:sz="4" w:space="0"/>
              <w:right w:val="single" w:color="auto" w:sz="4" w:space="0"/>
            </w:tcBorders>
            <w:vAlign w:val="center"/>
          </w:tcPr>
          <w:p w14:paraId="29E60947">
            <w:pPr>
              <w:pStyle w:val="64"/>
            </w:pPr>
            <w:r>
              <w:t>25</w:t>
            </w:r>
          </w:p>
        </w:tc>
        <w:tc>
          <w:tcPr>
            <w:tcW w:w="1541" w:type="pct"/>
            <w:tcBorders>
              <w:top w:val="single" w:color="auto" w:sz="4" w:space="0"/>
              <w:left w:val="single" w:color="auto" w:sz="4" w:space="0"/>
              <w:bottom w:val="single" w:color="auto" w:sz="4" w:space="0"/>
              <w:right w:val="single" w:color="auto" w:sz="4" w:space="0"/>
            </w:tcBorders>
            <w:vAlign w:val="center"/>
          </w:tcPr>
          <w:p w14:paraId="78FEB4EB">
            <w:pPr>
              <w:pStyle w:val="64"/>
            </w:pPr>
            <w:r>
              <w:rPr>
                <w:rFonts w:hint="eastAsia"/>
              </w:rPr>
              <w:t>苯</w:t>
            </w:r>
          </w:p>
        </w:tc>
        <w:tc>
          <w:tcPr>
            <w:tcW w:w="1164" w:type="pct"/>
            <w:tcBorders>
              <w:top w:val="single" w:color="auto" w:sz="4" w:space="0"/>
              <w:left w:val="single" w:color="auto" w:sz="4" w:space="0"/>
              <w:bottom w:val="single" w:color="auto" w:sz="4" w:space="0"/>
              <w:right w:val="single" w:color="auto" w:sz="4" w:space="0"/>
            </w:tcBorders>
          </w:tcPr>
          <w:p w14:paraId="5E6F8A30">
            <w:pPr>
              <w:pStyle w:val="64"/>
            </w:pPr>
            <w:r>
              <w:rPr>
                <w:rFonts w:hint="eastAsia"/>
              </w:rPr>
              <w:t>4</w:t>
            </w: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78154626"/>
        </w:tc>
      </w:tr>
      <w:tr w14:paraId="3D48D9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593" w:type="pct"/>
            <w:tcBorders>
              <w:top w:val="single" w:color="auto" w:sz="4" w:space="0"/>
              <w:left w:val="single" w:color="auto" w:sz="4" w:space="0"/>
              <w:bottom w:val="single" w:color="auto" w:sz="4" w:space="0"/>
              <w:right w:val="single" w:color="auto" w:sz="4" w:space="0"/>
            </w:tcBorders>
            <w:vAlign w:val="center"/>
          </w:tcPr>
          <w:p w14:paraId="6F2CD878">
            <w:pPr>
              <w:pStyle w:val="64"/>
            </w:pPr>
            <w:r>
              <w:t>26</w:t>
            </w:r>
          </w:p>
        </w:tc>
        <w:tc>
          <w:tcPr>
            <w:tcW w:w="1541" w:type="pct"/>
            <w:tcBorders>
              <w:top w:val="single" w:color="auto" w:sz="4" w:space="0"/>
              <w:left w:val="single" w:color="auto" w:sz="4" w:space="0"/>
              <w:bottom w:val="single" w:color="auto" w:sz="4" w:space="0"/>
              <w:right w:val="single" w:color="auto" w:sz="4" w:space="0"/>
            </w:tcBorders>
            <w:vAlign w:val="center"/>
          </w:tcPr>
          <w:p w14:paraId="2679590C">
            <w:pPr>
              <w:pStyle w:val="64"/>
            </w:pPr>
            <w:r>
              <w:rPr>
                <w:rFonts w:hint="eastAsia"/>
              </w:rPr>
              <w:t>氯苯</w:t>
            </w:r>
          </w:p>
        </w:tc>
        <w:tc>
          <w:tcPr>
            <w:tcW w:w="1164" w:type="pct"/>
            <w:tcBorders>
              <w:top w:val="single" w:color="auto" w:sz="4" w:space="0"/>
              <w:left w:val="single" w:color="auto" w:sz="4" w:space="0"/>
              <w:bottom w:val="single" w:color="auto" w:sz="4" w:space="0"/>
              <w:right w:val="single" w:color="auto" w:sz="4" w:space="0"/>
            </w:tcBorders>
          </w:tcPr>
          <w:p w14:paraId="1859F91A">
            <w:pPr>
              <w:pStyle w:val="64"/>
            </w:pPr>
            <w:r>
              <w:rPr>
                <w:rFonts w:hint="eastAsia"/>
              </w:rPr>
              <w:t>270</w:t>
            </w: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4EB628D2"/>
        </w:tc>
      </w:tr>
      <w:tr w14:paraId="2C9F9B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593" w:type="pct"/>
            <w:tcBorders>
              <w:top w:val="single" w:color="auto" w:sz="4" w:space="0"/>
              <w:left w:val="single" w:color="auto" w:sz="4" w:space="0"/>
              <w:bottom w:val="single" w:color="auto" w:sz="4" w:space="0"/>
              <w:right w:val="single" w:color="auto" w:sz="4" w:space="0"/>
            </w:tcBorders>
            <w:vAlign w:val="center"/>
          </w:tcPr>
          <w:p w14:paraId="2EDF35EC">
            <w:pPr>
              <w:pStyle w:val="64"/>
            </w:pPr>
            <w:r>
              <w:t>27</w:t>
            </w:r>
          </w:p>
        </w:tc>
        <w:tc>
          <w:tcPr>
            <w:tcW w:w="1541" w:type="pct"/>
            <w:tcBorders>
              <w:top w:val="single" w:color="auto" w:sz="4" w:space="0"/>
              <w:left w:val="single" w:color="auto" w:sz="4" w:space="0"/>
              <w:bottom w:val="single" w:color="auto" w:sz="4" w:space="0"/>
              <w:right w:val="single" w:color="auto" w:sz="4" w:space="0"/>
            </w:tcBorders>
            <w:vAlign w:val="center"/>
          </w:tcPr>
          <w:p w14:paraId="44245A01">
            <w:pPr>
              <w:pStyle w:val="64"/>
            </w:pPr>
            <w:r>
              <w:t>1,4-</w:t>
            </w:r>
            <w:r>
              <w:rPr>
                <w:rFonts w:hint="eastAsia"/>
              </w:rPr>
              <w:t>二氯苯</w:t>
            </w:r>
          </w:p>
        </w:tc>
        <w:tc>
          <w:tcPr>
            <w:tcW w:w="1164" w:type="pct"/>
            <w:tcBorders>
              <w:top w:val="single" w:color="auto" w:sz="4" w:space="0"/>
              <w:left w:val="single" w:color="auto" w:sz="4" w:space="0"/>
              <w:bottom w:val="single" w:color="auto" w:sz="4" w:space="0"/>
              <w:right w:val="single" w:color="auto" w:sz="4" w:space="0"/>
            </w:tcBorders>
          </w:tcPr>
          <w:p w14:paraId="419DA5D7">
            <w:pPr>
              <w:pStyle w:val="64"/>
            </w:pPr>
            <w:r>
              <w:rPr>
                <w:rFonts w:hint="eastAsia"/>
              </w:rPr>
              <w:t>20</w:t>
            </w: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57EFFBE6"/>
        </w:tc>
      </w:tr>
      <w:tr w14:paraId="7635DB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593" w:type="pct"/>
            <w:tcBorders>
              <w:top w:val="single" w:color="auto" w:sz="4" w:space="0"/>
              <w:left w:val="single" w:color="auto" w:sz="4" w:space="0"/>
              <w:bottom w:val="single" w:color="auto" w:sz="4" w:space="0"/>
              <w:right w:val="single" w:color="auto" w:sz="4" w:space="0"/>
            </w:tcBorders>
            <w:vAlign w:val="center"/>
          </w:tcPr>
          <w:p w14:paraId="0226A52A">
            <w:pPr>
              <w:pStyle w:val="64"/>
            </w:pPr>
            <w:r>
              <w:t>28</w:t>
            </w:r>
          </w:p>
        </w:tc>
        <w:tc>
          <w:tcPr>
            <w:tcW w:w="1541" w:type="pct"/>
            <w:tcBorders>
              <w:top w:val="single" w:color="auto" w:sz="4" w:space="0"/>
              <w:left w:val="single" w:color="auto" w:sz="4" w:space="0"/>
              <w:bottom w:val="single" w:color="auto" w:sz="4" w:space="0"/>
              <w:right w:val="single" w:color="auto" w:sz="4" w:space="0"/>
            </w:tcBorders>
            <w:vAlign w:val="center"/>
          </w:tcPr>
          <w:p w14:paraId="1F9AE745">
            <w:pPr>
              <w:pStyle w:val="64"/>
            </w:pPr>
            <w:r>
              <w:t>1,2-</w:t>
            </w:r>
            <w:r>
              <w:rPr>
                <w:rFonts w:hint="eastAsia"/>
              </w:rPr>
              <w:t>二氯苯</w:t>
            </w:r>
          </w:p>
        </w:tc>
        <w:tc>
          <w:tcPr>
            <w:tcW w:w="1164" w:type="pct"/>
            <w:tcBorders>
              <w:top w:val="single" w:color="auto" w:sz="4" w:space="0"/>
              <w:left w:val="single" w:color="auto" w:sz="4" w:space="0"/>
              <w:bottom w:val="single" w:color="auto" w:sz="4" w:space="0"/>
              <w:right w:val="single" w:color="auto" w:sz="4" w:space="0"/>
            </w:tcBorders>
          </w:tcPr>
          <w:p w14:paraId="14A6FF96">
            <w:pPr>
              <w:pStyle w:val="64"/>
            </w:pPr>
            <w:r>
              <w:rPr>
                <w:rFonts w:hint="eastAsia"/>
              </w:rPr>
              <w:t>560</w:t>
            </w: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65A7ECD7"/>
        </w:tc>
      </w:tr>
      <w:tr w14:paraId="014B7A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593" w:type="pct"/>
            <w:tcBorders>
              <w:top w:val="single" w:color="auto" w:sz="4" w:space="0"/>
              <w:left w:val="single" w:color="auto" w:sz="4" w:space="0"/>
              <w:bottom w:val="single" w:color="auto" w:sz="4" w:space="0"/>
              <w:right w:val="single" w:color="auto" w:sz="4" w:space="0"/>
            </w:tcBorders>
            <w:vAlign w:val="center"/>
          </w:tcPr>
          <w:p w14:paraId="0B3896EC">
            <w:pPr>
              <w:pStyle w:val="64"/>
            </w:pPr>
            <w:r>
              <w:t>29</w:t>
            </w:r>
          </w:p>
        </w:tc>
        <w:tc>
          <w:tcPr>
            <w:tcW w:w="1541" w:type="pct"/>
            <w:tcBorders>
              <w:top w:val="single" w:color="auto" w:sz="4" w:space="0"/>
              <w:left w:val="single" w:color="auto" w:sz="4" w:space="0"/>
              <w:bottom w:val="single" w:color="auto" w:sz="4" w:space="0"/>
              <w:right w:val="single" w:color="auto" w:sz="4" w:space="0"/>
            </w:tcBorders>
            <w:vAlign w:val="center"/>
          </w:tcPr>
          <w:p w14:paraId="15029BF3">
            <w:pPr>
              <w:pStyle w:val="64"/>
            </w:pPr>
            <w:r>
              <w:rPr>
                <w:rFonts w:hint="eastAsia"/>
              </w:rPr>
              <w:t>乙苯</w:t>
            </w:r>
          </w:p>
        </w:tc>
        <w:tc>
          <w:tcPr>
            <w:tcW w:w="1164" w:type="pct"/>
            <w:tcBorders>
              <w:top w:val="single" w:color="auto" w:sz="4" w:space="0"/>
              <w:left w:val="single" w:color="auto" w:sz="4" w:space="0"/>
              <w:bottom w:val="single" w:color="auto" w:sz="4" w:space="0"/>
              <w:right w:val="single" w:color="auto" w:sz="4" w:space="0"/>
            </w:tcBorders>
          </w:tcPr>
          <w:p w14:paraId="2025864E">
            <w:pPr>
              <w:pStyle w:val="64"/>
            </w:pPr>
            <w:r>
              <w:rPr>
                <w:rFonts w:hint="eastAsia"/>
              </w:rPr>
              <w:t>28</w:t>
            </w: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5A9E2DAF"/>
        </w:tc>
      </w:tr>
      <w:tr w14:paraId="370848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593" w:type="pct"/>
            <w:tcBorders>
              <w:top w:val="single" w:color="auto" w:sz="4" w:space="0"/>
              <w:left w:val="single" w:color="auto" w:sz="4" w:space="0"/>
              <w:bottom w:val="single" w:color="auto" w:sz="4" w:space="0"/>
              <w:right w:val="single" w:color="auto" w:sz="4" w:space="0"/>
            </w:tcBorders>
            <w:vAlign w:val="center"/>
          </w:tcPr>
          <w:p w14:paraId="4798F883">
            <w:pPr>
              <w:pStyle w:val="64"/>
            </w:pPr>
            <w:r>
              <w:t>30</w:t>
            </w:r>
          </w:p>
        </w:tc>
        <w:tc>
          <w:tcPr>
            <w:tcW w:w="1541" w:type="pct"/>
            <w:tcBorders>
              <w:top w:val="single" w:color="auto" w:sz="4" w:space="0"/>
              <w:left w:val="single" w:color="auto" w:sz="4" w:space="0"/>
              <w:bottom w:val="single" w:color="auto" w:sz="4" w:space="0"/>
              <w:right w:val="single" w:color="auto" w:sz="4" w:space="0"/>
            </w:tcBorders>
            <w:vAlign w:val="center"/>
          </w:tcPr>
          <w:p w14:paraId="5282A018">
            <w:pPr>
              <w:pStyle w:val="64"/>
            </w:pPr>
            <w:r>
              <w:rPr>
                <w:rFonts w:hint="eastAsia"/>
              </w:rPr>
              <w:t>苯乙烯</w:t>
            </w:r>
          </w:p>
        </w:tc>
        <w:tc>
          <w:tcPr>
            <w:tcW w:w="1164" w:type="pct"/>
            <w:tcBorders>
              <w:top w:val="single" w:color="auto" w:sz="4" w:space="0"/>
              <w:left w:val="single" w:color="auto" w:sz="4" w:space="0"/>
              <w:bottom w:val="single" w:color="auto" w:sz="4" w:space="0"/>
              <w:right w:val="single" w:color="auto" w:sz="4" w:space="0"/>
            </w:tcBorders>
          </w:tcPr>
          <w:p w14:paraId="78448A3D">
            <w:pPr>
              <w:pStyle w:val="64"/>
            </w:pPr>
            <w:r>
              <w:rPr>
                <w:rFonts w:hint="eastAsia"/>
              </w:rPr>
              <w:t>1290</w:t>
            </w: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787837F9"/>
        </w:tc>
      </w:tr>
      <w:tr w14:paraId="528853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593" w:type="pct"/>
            <w:tcBorders>
              <w:top w:val="single" w:color="auto" w:sz="4" w:space="0"/>
              <w:left w:val="single" w:color="auto" w:sz="4" w:space="0"/>
              <w:bottom w:val="single" w:color="auto" w:sz="4" w:space="0"/>
              <w:right w:val="single" w:color="auto" w:sz="4" w:space="0"/>
            </w:tcBorders>
            <w:vAlign w:val="center"/>
          </w:tcPr>
          <w:p w14:paraId="53CCE9D5">
            <w:pPr>
              <w:pStyle w:val="64"/>
            </w:pPr>
            <w:r>
              <w:t>31</w:t>
            </w:r>
          </w:p>
        </w:tc>
        <w:tc>
          <w:tcPr>
            <w:tcW w:w="1541" w:type="pct"/>
            <w:tcBorders>
              <w:top w:val="single" w:color="auto" w:sz="4" w:space="0"/>
              <w:left w:val="single" w:color="auto" w:sz="4" w:space="0"/>
              <w:bottom w:val="single" w:color="auto" w:sz="4" w:space="0"/>
              <w:right w:val="single" w:color="auto" w:sz="4" w:space="0"/>
            </w:tcBorders>
            <w:vAlign w:val="center"/>
          </w:tcPr>
          <w:p w14:paraId="7733663E">
            <w:pPr>
              <w:pStyle w:val="64"/>
            </w:pPr>
            <w:r>
              <w:rPr>
                <w:rFonts w:hint="eastAsia"/>
              </w:rPr>
              <w:t>甲苯</w:t>
            </w:r>
          </w:p>
        </w:tc>
        <w:tc>
          <w:tcPr>
            <w:tcW w:w="1164" w:type="pct"/>
            <w:tcBorders>
              <w:top w:val="single" w:color="auto" w:sz="4" w:space="0"/>
              <w:left w:val="single" w:color="auto" w:sz="4" w:space="0"/>
              <w:bottom w:val="single" w:color="auto" w:sz="4" w:space="0"/>
              <w:right w:val="single" w:color="auto" w:sz="4" w:space="0"/>
            </w:tcBorders>
          </w:tcPr>
          <w:p w14:paraId="09E65EE0">
            <w:pPr>
              <w:pStyle w:val="64"/>
            </w:pPr>
            <w:r>
              <w:rPr>
                <w:rFonts w:hint="eastAsia"/>
              </w:rPr>
              <w:t>1200</w:t>
            </w: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65D25EB6"/>
        </w:tc>
      </w:tr>
      <w:tr w14:paraId="6C50FE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593" w:type="pct"/>
            <w:tcBorders>
              <w:top w:val="single" w:color="auto" w:sz="4" w:space="0"/>
              <w:left w:val="single" w:color="auto" w:sz="4" w:space="0"/>
              <w:bottom w:val="single" w:color="auto" w:sz="4" w:space="0"/>
              <w:right w:val="single" w:color="auto" w:sz="4" w:space="0"/>
            </w:tcBorders>
            <w:vAlign w:val="center"/>
          </w:tcPr>
          <w:p w14:paraId="530461C0">
            <w:pPr>
              <w:pStyle w:val="64"/>
            </w:pPr>
            <w:r>
              <w:t>32</w:t>
            </w:r>
          </w:p>
        </w:tc>
        <w:tc>
          <w:tcPr>
            <w:tcW w:w="1541" w:type="pct"/>
            <w:tcBorders>
              <w:top w:val="single" w:color="auto" w:sz="4" w:space="0"/>
              <w:left w:val="single" w:color="auto" w:sz="4" w:space="0"/>
              <w:bottom w:val="single" w:color="auto" w:sz="4" w:space="0"/>
              <w:right w:val="single" w:color="auto" w:sz="4" w:space="0"/>
            </w:tcBorders>
            <w:vAlign w:val="center"/>
          </w:tcPr>
          <w:p w14:paraId="6A26E102">
            <w:pPr>
              <w:pStyle w:val="64"/>
            </w:pPr>
            <w:r>
              <w:rPr>
                <w:rFonts w:hint="eastAsia"/>
              </w:rPr>
              <w:t>间二甲苯+对二甲苯</w:t>
            </w:r>
          </w:p>
        </w:tc>
        <w:tc>
          <w:tcPr>
            <w:tcW w:w="1164" w:type="pct"/>
            <w:tcBorders>
              <w:top w:val="single" w:color="auto" w:sz="4" w:space="0"/>
              <w:left w:val="single" w:color="auto" w:sz="4" w:space="0"/>
              <w:bottom w:val="single" w:color="auto" w:sz="4" w:space="0"/>
              <w:right w:val="single" w:color="auto" w:sz="4" w:space="0"/>
            </w:tcBorders>
          </w:tcPr>
          <w:p w14:paraId="7092F6E5">
            <w:pPr>
              <w:pStyle w:val="64"/>
            </w:pPr>
            <w:r>
              <w:rPr>
                <w:rFonts w:hint="eastAsia"/>
              </w:rPr>
              <w:t>570</w:t>
            </w: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5116A1FB"/>
        </w:tc>
      </w:tr>
      <w:tr w14:paraId="0661E7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593" w:type="pct"/>
            <w:tcBorders>
              <w:top w:val="single" w:color="auto" w:sz="4" w:space="0"/>
              <w:left w:val="single" w:color="auto" w:sz="4" w:space="0"/>
              <w:bottom w:val="single" w:color="auto" w:sz="4" w:space="0"/>
              <w:right w:val="single" w:color="auto" w:sz="4" w:space="0"/>
            </w:tcBorders>
            <w:vAlign w:val="center"/>
          </w:tcPr>
          <w:p w14:paraId="7A40C9BE">
            <w:pPr>
              <w:pStyle w:val="64"/>
            </w:pPr>
            <w:r>
              <w:t>33</w:t>
            </w:r>
          </w:p>
        </w:tc>
        <w:tc>
          <w:tcPr>
            <w:tcW w:w="1541" w:type="pct"/>
            <w:tcBorders>
              <w:top w:val="single" w:color="auto" w:sz="4" w:space="0"/>
              <w:left w:val="single" w:color="auto" w:sz="4" w:space="0"/>
              <w:bottom w:val="single" w:color="auto" w:sz="4" w:space="0"/>
              <w:right w:val="single" w:color="auto" w:sz="4" w:space="0"/>
            </w:tcBorders>
            <w:vAlign w:val="center"/>
          </w:tcPr>
          <w:p w14:paraId="22887C6E">
            <w:pPr>
              <w:pStyle w:val="64"/>
            </w:pPr>
            <w:r>
              <w:rPr>
                <w:rFonts w:hint="eastAsia"/>
              </w:rPr>
              <w:t>邻二甲苯</w:t>
            </w:r>
          </w:p>
        </w:tc>
        <w:tc>
          <w:tcPr>
            <w:tcW w:w="1164" w:type="pct"/>
            <w:tcBorders>
              <w:top w:val="single" w:color="auto" w:sz="4" w:space="0"/>
              <w:left w:val="single" w:color="auto" w:sz="4" w:space="0"/>
              <w:bottom w:val="single" w:color="auto" w:sz="4" w:space="0"/>
              <w:right w:val="single" w:color="auto" w:sz="4" w:space="0"/>
            </w:tcBorders>
          </w:tcPr>
          <w:p w14:paraId="691A4BEB">
            <w:pPr>
              <w:pStyle w:val="64"/>
            </w:pPr>
            <w:r>
              <w:rPr>
                <w:rFonts w:hint="eastAsia"/>
              </w:rPr>
              <w:t>640</w:t>
            </w: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30DF6CE9"/>
        </w:tc>
      </w:tr>
      <w:tr w14:paraId="292DA2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593" w:type="pct"/>
            <w:tcBorders>
              <w:top w:val="single" w:color="auto" w:sz="4" w:space="0"/>
              <w:left w:val="single" w:color="auto" w:sz="4" w:space="0"/>
              <w:bottom w:val="single" w:color="auto" w:sz="4" w:space="0"/>
              <w:right w:val="single" w:color="auto" w:sz="4" w:space="0"/>
            </w:tcBorders>
            <w:vAlign w:val="center"/>
          </w:tcPr>
          <w:p w14:paraId="7504D165">
            <w:pPr>
              <w:pStyle w:val="64"/>
            </w:pPr>
            <w:r>
              <w:t>34</w:t>
            </w:r>
          </w:p>
        </w:tc>
        <w:tc>
          <w:tcPr>
            <w:tcW w:w="1541" w:type="pct"/>
            <w:tcBorders>
              <w:top w:val="single" w:color="auto" w:sz="4" w:space="0"/>
              <w:left w:val="single" w:color="auto" w:sz="4" w:space="0"/>
              <w:bottom w:val="single" w:color="auto" w:sz="4" w:space="0"/>
              <w:right w:val="single" w:color="auto" w:sz="4" w:space="0"/>
            </w:tcBorders>
            <w:vAlign w:val="center"/>
          </w:tcPr>
          <w:p w14:paraId="54E1FA50">
            <w:pPr>
              <w:pStyle w:val="64"/>
            </w:pPr>
            <w:r>
              <w:rPr>
                <w:rFonts w:hint="eastAsia"/>
              </w:rPr>
              <w:t>硝基苯</w:t>
            </w:r>
          </w:p>
        </w:tc>
        <w:tc>
          <w:tcPr>
            <w:tcW w:w="1164" w:type="pct"/>
            <w:tcBorders>
              <w:top w:val="single" w:color="auto" w:sz="4" w:space="0"/>
              <w:left w:val="single" w:color="auto" w:sz="4" w:space="0"/>
              <w:bottom w:val="single" w:color="auto" w:sz="4" w:space="0"/>
              <w:right w:val="single" w:color="auto" w:sz="4" w:space="0"/>
            </w:tcBorders>
          </w:tcPr>
          <w:p w14:paraId="7C4CBB2E">
            <w:pPr>
              <w:pStyle w:val="64"/>
            </w:pPr>
            <w:r>
              <w:rPr>
                <w:rFonts w:hint="eastAsia"/>
              </w:rPr>
              <w:t>76</w:t>
            </w: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26B5D809"/>
        </w:tc>
      </w:tr>
      <w:tr w14:paraId="4296A8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593" w:type="pct"/>
            <w:tcBorders>
              <w:top w:val="single" w:color="auto" w:sz="4" w:space="0"/>
              <w:left w:val="single" w:color="auto" w:sz="4" w:space="0"/>
              <w:bottom w:val="single" w:color="auto" w:sz="4" w:space="0"/>
              <w:right w:val="single" w:color="auto" w:sz="4" w:space="0"/>
            </w:tcBorders>
            <w:vAlign w:val="center"/>
          </w:tcPr>
          <w:p w14:paraId="56C83154">
            <w:pPr>
              <w:pStyle w:val="64"/>
            </w:pPr>
            <w:r>
              <w:t>35</w:t>
            </w:r>
          </w:p>
        </w:tc>
        <w:tc>
          <w:tcPr>
            <w:tcW w:w="1541" w:type="pct"/>
            <w:tcBorders>
              <w:top w:val="single" w:color="auto" w:sz="4" w:space="0"/>
              <w:left w:val="single" w:color="auto" w:sz="4" w:space="0"/>
              <w:bottom w:val="single" w:color="auto" w:sz="4" w:space="0"/>
              <w:right w:val="single" w:color="auto" w:sz="4" w:space="0"/>
            </w:tcBorders>
            <w:vAlign w:val="center"/>
          </w:tcPr>
          <w:p w14:paraId="59193E1A">
            <w:pPr>
              <w:pStyle w:val="64"/>
            </w:pPr>
            <w:r>
              <w:rPr>
                <w:rFonts w:hint="eastAsia"/>
              </w:rPr>
              <w:t>苯胺</w:t>
            </w:r>
          </w:p>
        </w:tc>
        <w:tc>
          <w:tcPr>
            <w:tcW w:w="1164" w:type="pct"/>
            <w:tcBorders>
              <w:top w:val="single" w:color="auto" w:sz="4" w:space="0"/>
              <w:left w:val="single" w:color="auto" w:sz="4" w:space="0"/>
              <w:bottom w:val="single" w:color="auto" w:sz="4" w:space="0"/>
              <w:right w:val="single" w:color="auto" w:sz="4" w:space="0"/>
            </w:tcBorders>
          </w:tcPr>
          <w:p w14:paraId="38705C70">
            <w:pPr>
              <w:pStyle w:val="64"/>
            </w:pPr>
            <w:r>
              <w:rPr>
                <w:rFonts w:hint="eastAsia"/>
              </w:rPr>
              <w:t>260</w:t>
            </w: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49970B3B"/>
        </w:tc>
      </w:tr>
      <w:tr w14:paraId="0FF31C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593" w:type="pct"/>
            <w:tcBorders>
              <w:top w:val="single" w:color="auto" w:sz="4" w:space="0"/>
              <w:left w:val="single" w:color="auto" w:sz="4" w:space="0"/>
              <w:bottom w:val="single" w:color="auto" w:sz="4" w:space="0"/>
              <w:right w:val="single" w:color="auto" w:sz="4" w:space="0"/>
            </w:tcBorders>
            <w:vAlign w:val="center"/>
          </w:tcPr>
          <w:p w14:paraId="28C76CAF">
            <w:pPr>
              <w:pStyle w:val="64"/>
            </w:pPr>
            <w:r>
              <w:t>36</w:t>
            </w:r>
          </w:p>
        </w:tc>
        <w:tc>
          <w:tcPr>
            <w:tcW w:w="1541" w:type="pct"/>
            <w:tcBorders>
              <w:top w:val="single" w:color="auto" w:sz="4" w:space="0"/>
              <w:left w:val="single" w:color="auto" w:sz="4" w:space="0"/>
              <w:bottom w:val="single" w:color="auto" w:sz="4" w:space="0"/>
              <w:right w:val="single" w:color="auto" w:sz="4" w:space="0"/>
            </w:tcBorders>
            <w:vAlign w:val="center"/>
          </w:tcPr>
          <w:p w14:paraId="05A13352">
            <w:pPr>
              <w:pStyle w:val="64"/>
            </w:pPr>
            <w:r>
              <w:t>2-</w:t>
            </w:r>
            <w:r>
              <w:rPr>
                <w:rFonts w:hint="eastAsia"/>
              </w:rPr>
              <w:t>氯酚</w:t>
            </w:r>
          </w:p>
        </w:tc>
        <w:tc>
          <w:tcPr>
            <w:tcW w:w="1164" w:type="pct"/>
            <w:tcBorders>
              <w:top w:val="single" w:color="auto" w:sz="4" w:space="0"/>
              <w:left w:val="single" w:color="auto" w:sz="4" w:space="0"/>
              <w:bottom w:val="single" w:color="auto" w:sz="4" w:space="0"/>
              <w:right w:val="single" w:color="auto" w:sz="4" w:space="0"/>
            </w:tcBorders>
          </w:tcPr>
          <w:p w14:paraId="143A77AE">
            <w:pPr>
              <w:pStyle w:val="64"/>
            </w:pPr>
            <w:r>
              <w:rPr>
                <w:rFonts w:hint="eastAsia"/>
              </w:rPr>
              <w:t>2256</w:t>
            </w: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220E0C1B"/>
        </w:tc>
      </w:tr>
      <w:tr w14:paraId="438AF1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593" w:type="pct"/>
            <w:tcBorders>
              <w:top w:val="single" w:color="auto" w:sz="4" w:space="0"/>
              <w:left w:val="single" w:color="auto" w:sz="4" w:space="0"/>
              <w:bottom w:val="single" w:color="auto" w:sz="4" w:space="0"/>
              <w:right w:val="single" w:color="auto" w:sz="4" w:space="0"/>
            </w:tcBorders>
            <w:vAlign w:val="center"/>
          </w:tcPr>
          <w:p w14:paraId="7C9E4EDC">
            <w:pPr>
              <w:pStyle w:val="64"/>
            </w:pPr>
            <w:r>
              <w:t>37</w:t>
            </w:r>
          </w:p>
        </w:tc>
        <w:tc>
          <w:tcPr>
            <w:tcW w:w="1541" w:type="pct"/>
            <w:tcBorders>
              <w:top w:val="single" w:color="auto" w:sz="4" w:space="0"/>
              <w:left w:val="single" w:color="auto" w:sz="4" w:space="0"/>
              <w:bottom w:val="single" w:color="auto" w:sz="4" w:space="0"/>
              <w:right w:val="single" w:color="auto" w:sz="4" w:space="0"/>
            </w:tcBorders>
            <w:vAlign w:val="center"/>
          </w:tcPr>
          <w:p w14:paraId="60445038">
            <w:pPr>
              <w:pStyle w:val="64"/>
            </w:pPr>
            <w:r>
              <w:rPr>
                <w:rFonts w:hint="eastAsia"/>
              </w:rPr>
              <w:t>苯并</w:t>
            </w:r>
            <w:r>
              <w:t>(a)</w:t>
            </w:r>
            <w:r>
              <w:rPr>
                <w:rFonts w:hint="eastAsia"/>
              </w:rPr>
              <w:t>蒽</w:t>
            </w:r>
          </w:p>
        </w:tc>
        <w:tc>
          <w:tcPr>
            <w:tcW w:w="1164" w:type="pct"/>
            <w:tcBorders>
              <w:top w:val="single" w:color="auto" w:sz="4" w:space="0"/>
              <w:left w:val="single" w:color="auto" w:sz="4" w:space="0"/>
              <w:bottom w:val="single" w:color="auto" w:sz="4" w:space="0"/>
              <w:right w:val="single" w:color="auto" w:sz="4" w:space="0"/>
            </w:tcBorders>
          </w:tcPr>
          <w:p w14:paraId="37C66FC0">
            <w:pPr>
              <w:pStyle w:val="64"/>
            </w:pPr>
            <w:r>
              <w:rPr>
                <w:rFonts w:hint="eastAsia"/>
              </w:rPr>
              <w:t>15</w:t>
            </w: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52B9F8CF"/>
        </w:tc>
      </w:tr>
      <w:tr w14:paraId="1943B5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593" w:type="pct"/>
            <w:tcBorders>
              <w:top w:val="single" w:color="auto" w:sz="4" w:space="0"/>
              <w:left w:val="single" w:color="auto" w:sz="4" w:space="0"/>
              <w:bottom w:val="single" w:color="auto" w:sz="4" w:space="0"/>
              <w:right w:val="single" w:color="auto" w:sz="4" w:space="0"/>
            </w:tcBorders>
            <w:vAlign w:val="center"/>
          </w:tcPr>
          <w:p w14:paraId="446AD55C">
            <w:pPr>
              <w:pStyle w:val="64"/>
            </w:pPr>
            <w:r>
              <w:t>38</w:t>
            </w:r>
          </w:p>
        </w:tc>
        <w:tc>
          <w:tcPr>
            <w:tcW w:w="1541" w:type="pct"/>
            <w:tcBorders>
              <w:top w:val="single" w:color="auto" w:sz="4" w:space="0"/>
              <w:left w:val="single" w:color="auto" w:sz="4" w:space="0"/>
              <w:bottom w:val="single" w:color="auto" w:sz="4" w:space="0"/>
              <w:right w:val="single" w:color="auto" w:sz="4" w:space="0"/>
            </w:tcBorders>
            <w:vAlign w:val="center"/>
          </w:tcPr>
          <w:p w14:paraId="5187F161">
            <w:pPr>
              <w:pStyle w:val="64"/>
            </w:pPr>
            <w:r>
              <w:rPr>
                <w:rFonts w:hint="eastAsia"/>
              </w:rPr>
              <w:t>苯并</w:t>
            </w:r>
            <w:r>
              <w:t>(a)</w:t>
            </w:r>
            <w:r>
              <w:rPr>
                <w:rFonts w:hint="eastAsia"/>
              </w:rPr>
              <w:t>芘</w:t>
            </w:r>
          </w:p>
        </w:tc>
        <w:tc>
          <w:tcPr>
            <w:tcW w:w="1164" w:type="pct"/>
            <w:tcBorders>
              <w:top w:val="single" w:color="auto" w:sz="4" w:space="0"/>
              <w:left w:val="single" w:color="auto" w:sz="4" w:space="0"/>
              <w:bottom w:val="single" w:color="auto" w:sz="4" w:space="0"/>
              <w:right w:val="single" w:color="auto" w:sz="4" w:space="0"/>
            </w:tcBorders>
          </w:tcPr>
          <w:p w14:paraId="6743F09A">
            <w:pPr>
              <w:pStyle w:val="64"/>
            </w:pPr>
            <w:r>
              <w:rPr>
                <w:rFonts w:hint="eastAsia"/>
              </w:rPr>
              <w:t>1.5</w:t>
            </w: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34722009"/>
        </w:tc>
      </w:tr>
      <w:tr w14:paraId="1506C5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593" w:type="pct"/>
            <w:tcBorders>
              <w:top w:val="single" w:color="auto" w:sz="4" w:space="0"/>
              <w:left w:val="single" w:color="auto" w:sz="4" w:space="0"/>
              <w:bottom w:val="single" w:color="auto" w:sz="4" w:space="0"/>
              <w:right w:val="single" w:color="auto" w:sz="4" w:space="0"/>
            </w:tcBorders>
            <w:vAlign w:val="center"/>
          </w:tcPr>
          <w:p w14:paraId="55A2BD69">
            <w:pPr>
              <w:pStyle w:val="64"/>
            </w:pPr>
            <w:r>
              <w:t>39</w:t>
            </w:r>
          </w:p>
        </w:tc>
        <w:tc>
          <w:tcPr>
            <w:tcW w:w="1541" w:type="pct"/>
            <w:tcBorders>
              <w:top w:val="single" w:color="auto" w:sz="4" w:space="0"/>
              <w:left w:val="single" w:color="auto" w:sz="4" w:space="0"/>
              <w:bottom w:val="single" w:color="auto" w:sz="4" w:space="0"/>
              <w:right w:val="single" w:color="auto" w:sz="4" w:space="0"/>
            </w:tcBorders>
            <w:vAlign w:val="center"/>
          </w:tcPr>
          <w:p w14:paraId="5F493E9B">
            <w:pPr>
              <w:pStyle w:val="64"/>
            </w:pPr>
            <w:r>
              <w:rPr>
                <w:rFonts w:hint="eastAsia"/>
              </w:rPr>
              <w:t>苯并</w:t>
            </w:r>
            <w:r>
              <w:t>(b)</w:t>
            </w:r>
            <w:r>
              <w:rPr>
                <w:rFonts w:hint="eastAsia"/>
              </w:rPr>
              <w:t>荧蒽</w:t>
            </w:r>
          </w:p>
        </w:tc>
        <w:tc>
          <w:tcPr>
            <w:tcW w:w="1164" w:type="pct"/>
            <w:tcBorders>
              <w:top w:val="single" w:color="auto" w:sz="4" w:space="0"/>
              <w:left w:val="single" w:color="auto" w:sz="4" w:space="0"/>
              <w:bottom w:val="single" w:color="auto" w:sz="4" w:space="0"/>
              <w:right w:val="single" w:color="auto" w:sz="4" w:space="0"/>
            </w:tcBorders>
          </w:tcPr>
          <w:p w14:paraId="17F3BBDE">
            <w:pPr>
              <w:pStyle w:val="64"/>
            </w:pPr>
            <w:r>
              <w:rPr>
                <w:rFonts w:hint="eastAsia"/>
              </w:rPr>
              <w:t>15</w:t>
            </w: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7C7AFB47"/>
        </w:tc>
      </w:tr>
      <w:tr w14:paraId="1EAC5B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593" w:type="pct"/>
            <w:tcBorders>
              <w:top w:val="single" w:color="auto" w:sz="4" w:space="0"/>
              <w:left w:val="single" w:color="auto" w:sz="4" w:space="0"/>
              <w:bottom w:val="single" w:color="auto" w:sz="4" w:space="0"/>
              <w:right w:val="single" w:color="auto" w:sz="4" w:space="0"/>
            </w:tcBorders>
            <w:vAlign w:val="center"/>
          </w:tcPr>
          <w:p w14:paraId="3FD3E9AA">
            <w:pPr>
              <w:pStyle w:val="64"/>
            </w:pPr>
            <w:r>
              <w:t>40</w:t>
            </w:r>
          </w:p>
        </w:tc>
        <w:tc>
          <w:tcPr>
            <w:tcW w:w="1541" w:type="pct"/>
            <w:tcBorders>
              <w:top w:val="single" w:color="auto" w:sz="4" w:space="0"/>
              <w:left w:val="single" w:color="auto" w:sz="4" w:space="0"/>
              <w:bottom w:val="single" w:color="auto" w:sz="4" w:space="0"/>
              <w:right w:val="single" w:color="auto" w:sz="4" w:space="0"/>
            </w:tcBorders>
            <w:vAlign w:val="center"/>
          </w:tcPr>
          <w:p w14:paraId="3FB7E5A4">
            <w:pPr>
              <w:pStyle w:val="64"/>
            </w:pPr>
            <w:r>
              <w:rPr>
                <w:rFonts w:hint="eastAsia"/>
              </w:rPr>
              <w:t>苯并</w:t>
            </w:r>
            <w:r>
              <w:t>(k)</w:t>
            </w:r>
            <w:r>
              <w:rPr>
                <w:rFonts w:hint="eastAsia"/>
              </w:rPr>
              <w:t>荧蒽</w:t>
            </w:r>
          </w:p>
        </w:tc>
        <w:tc>
          <w:tcPr>
            <w:tcW w:w="1164" w:type="pct"/>
            <w:tcBorders>
              <w:top w:val="single" w:color="auto" w:sz="4" w:space="0"/>
              <w:left w:val="single" w:color="auto" w:sz="4" w:space="0"/>
              <w:bottom w:val="single" w:color="auto" w:sz="4" w:space="0"/>
              <w:right w:val="single" w:color="auto" w:sz="4" w:space="0"/>
            </w:tcBorders>
          </w:tcPr>
          <w:p w14:paraId="0CF197FA">
            <w:pPr>
              <w:pStyle w:val="64"/>
            </w:pPr>
            <w:r>
              <w:rPr>
                <w:rFonts w:hint="eastAsia"/>
              </w:rPr>
              <w:t>151</w:t>
            </w: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2B600BAB"/>
        </w:tc>
      </w:tr>
      <w:tr w14:paraId="1AE119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593" w:type="pct"/>
            <w:tcBorders>
              <w:top w:val="single" w:color="auto" w:sz="4" w:space="0"/>
              <w:left w:val="single" w:color="auto" w:sz="4" w:space="0"/>
              <w:bottom w:val="single" w:color="auto" w:sz="4" w:space="0"/>
              <w:right w:val="single" w:color="auto" w:sz="4" w:space="0"/>
            </w:tcBorders>
            <w:vAlign w:val="center"/>
          </w:tcPr>
          <w:p w14:paraId="5536FA40">
            <w:pPr>
              <w:pStyle w:val="64"/>
            </w:pPr>
            <w:r>
              <w:t>41</w:t>
            </w:r>
          </w:p>
        </w:tc>
        <w:tc>
          <w:tcPr>
            <w:tcW w:w="1541" w:type="pct"/>
            <w:tcBorders>
              <w:top w:val="single" w:color="auto" w:sz="4" w:space="0"/>
              <w:left w:val="single" w:color="auto" w:sz="4" w:space="0"/>
              <w:bottom w:val="single" w:color="auto" w:sz="4" w:space="0"/>
              <w:right w:val="single" w:color="auto" w:sz="4" w:space="0"/>
            </w:tcBorders>
            <w:vAlign w:val="center"/>
          </w:tcPr>
          <w:p w14:paraId="392B5752">
            <w:pPr>
              <w:pStyle w:val="64"/>
            </w:pPr>
            <w:r>
              <w:rPr>
                <w:rFonts w:hint="eastAsia"/>
              </w:rPr>
              <w:t>䓛</w:t>
            </w:r>
          </w:p>
        </w:tc>
        <w:tc>
          <w:tcPr>
            <w:tcW w:w="1164" w:type="pct"/>
            <w:tcBorders>
              <w:top w:val="single" w:color="auto" w:sz="4" w:space="0"/>
              <w:left w:val="single" w:color="auto" w:sz="4" w:space="0"/>
              <w:bottom w:val="single" w:color="auto" w:sz="4" w:space="0"/>
              <w:right w:val="single" w:color="auto" w:sz="4" w:space="0"/>
            </w:tcBorders>
          </w:tcPr>
          <w:p w14:paraId="4EC1B81C">
            <w:pPr>
              <w:pStyle w:val="64"/>
            </w:pPr>
            <w:r>
              <w:rPr>
                <w:rFonts w:hint="eastAsia"/>
              </w:rPr>
              <w:t>1293</w:t>
            </w: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78C0E369"/>
        </w:tc>
      </w:tr>
      <w:tr w14:paraId="3E166A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593" w:type="pct"/>
            <w:tcBorders>
              <w:top w:val="single" w:color="auto" w:sz="4" w:space="0"/>
              <w:left w:val="single" w:color="auto" w:sz="4" w:space="0"/>
              <w:bottom w:val="single" w:color="auto" w:sz="4" w:space="0"/>
              <w:right w:val="single" w:color="auto" w:sz="4" w:space="0"/>
            </w:tcBorders>
            <w:vAlign w:val="center"/>
          </w:tcPr>
          <w:p w14:paraId="48A77B41">
            <w:pPr>
              <w:pStyle w:val="64"/>
            </w:pPr>
            <w:r>
              <w:t>42</w:t>
            </w:r>
          </w:p>
        </w:tc>
        <w:tc>
          <w:tcPr>
            <w:tcW w:w="1541" w:type="pct"/>
            <w:tcBorders>
              <w:top w:val="single" w:color="auto" w:sz="4" w:space="0"/>
              <w:left w:val="single" w:color="auto" w:sz="4" w:space="0"/>
              <w:bottom w:val="single" w:color="auto" w:sz="4" w:space="0"/>
              <w:right w:val="single" w:color="auto" w:sz="4" w:space="0"/>
            </w:tcBorders>
            <w:vAlign w:val="center"/>
          </w:tcPr>
          <w:p w14:paraId="5C3045C7">
            <w:pPr>
              <w:pStyle w:val="64"/>
            </w:pPr>
            <w:r>
              <w:rPr>
                <w:rFonts w:hint="eastAsia"/>
              </w:rPr>
              <w:t>二苯并</w:t>
            </w:r>
            <w:r>
              <w:t>(a,h)</w:t>
            </w:r>
            <w:r>
              <w:rPr>
                <w:rFonts w:hint="eastAsia"/>
              </w:rPr>
              <w:t>蒽</w:t>
            </w:r>
          </w:p>
        </w:tc>
        <w:tc>
          <w:tcPr>
            <w:tcW w:w="1164" w:type="pct"/>
            <w:tcBorders>
              <w:top w:val="single" w:color="auto" w:sz="4" w:space="0"/>
              <w:left w:val="single" w:color="auto" w:sz="4" w:space="0"/>
              <w:bottom w:val="single" w:color="auto" w:sz="4" w:space="0"/>
              <w:right w:val="single" w:color="auto" w:sz="4" w:space="0"/>
            </w:tcBorders>
          </w:tcPr>
          <w:p w14:paraId="42F1C2FA">
            <w:pPr>
              <w:pStyle w:val="64"/>
            </w:pPr>
            <w:r>
              <w:rPr>
                <w:rFonts w:hint="eastAsia"/>
              </w:rPr>
              <w:t>1.5</w:t>
            </w: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4FD1C8EF"/>
        </w:tc>
      </w:tr>
      <w:tr w14:paraId="413228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593" w:type="pct"/>
            <w:tcBorders>
              <w:top w:val="single" w:color="auto" w:sz="4" w:space="0"/>
              <w:left w:val="single" w:color="auto" w:sz="4" w:space="0"/>
              <w:bottom w:val="single" w:color="auto" w:sz="4" w:space="0"/>
              <w:right w:val="single" w:color="auto" w:sz="4" w:space="0"/>
            </w:tcBorders>
            <w:vAlign w:val="center"/>
          </w:tcPr>
          <w:p w14:paraId="7CEEED14">
            <w:pPr>
              <w:pStyle w:val="64"/>
            </w:pPr>
            <w:r>
              <w:t>43</w:t>
            </w:r>
          </w:p>
        </w:tc>
        <w:tc>
          <w:tcPr>
            <w:tcW w:w="1541" w:type="pct"/>
            <w:tcBorders>
              <w:top w:val="single" w:color="auto" w:sz="4" w:space="0"/>
              <w:left w:val="single" w:color="auto" w:sz="4" w:space="0"/>
              <w:bottom w:val="single" w:color="auto" w:sz="4" w:space="0"/>
              <w:right w:val="single" w:color="auto" w:sz="4" w:space="0"/>
            </w:tcBorders>
            <w:vAlign w:val="center"/>
          </w:tcPr>
          <w:p w14:paraId="750A043C">
            <w:pPr>
              <w:pStyle w:val="64"/>
            </w:pPr>
            <w:r>
              <w:rPr>
                <w:rFonts w:hint="eastAsia"/>
              </w:rPr>
              <w:t>茚并</w:t>
            </w:r>
            <w:r>
              <w:t>(1,2,3-cd)</w:t>
            </w:r>
            <w:r>
              <w:rPr>
                <w:rFonts w:hint="eastAsia"/>
              </w:rPr>
              <w:t>芘</w:t>
            </w:r>
          </w:p>
        </w:tc>
        <w:tc>
          <w:tcPr>
            <w:tcW w:w="1164" w:type="pct"/>
            <w:tcBorders>
              <w:top w:val="single" w:color="auto" w:sz="4" w:space="0"/>
              <w:left w:val="single" w:color="auto" w:sz="4" w:space="0"/>
              <w:bottom w:val="single" w:color="auto" w:sz="4" w:space="0"/>
              <w:right w:val="single" w:color="auto" w:sz="4" w:space="0"/>
            </w:tcBorders>
          </w:tcPr>
          <w:p w14:paraId="1C516843">
            <w:pPr>
              <w:pStyle w:val="64"/>
            </w:pPr>
            <w:r>
              <w:rPr>
                <w:rFonts w:hint="eastAsia"/>
              </w:rPr>
              <w:t>15</w:t>
            </w: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7A198C8E"/>
        </w:tc>
      </w:tr>
      <w:tr w14:paraId="2BEB77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593" w:type="pct"/>
            <w:tcBorders>
              <w:top w:val="single" w:color="auto" w:sz="4" w:space="0"/>
              <w:left w:val="single" w:color="auto" w:sz="4" w:space="0"/>
              <w:bottom w:val="single" w:color="auto" w:sz="4" w:space="0"/>
              <w:right w:val="single" w:color="auto" w:sz="4" w:space="0"/>
            </w:tcBorders>
            <w:vAlign w:val="center"/>
          </w:tcPr>
          <w:p w14:paraId="3C5A2522">
            <w:pPr>
              <w:pStyle w:val="64"/>
            </w:pPr>
            <w:r>
              <w:t>44</w:t>
            </w:r>
          </w:p>
        </w:tc>
        <w:tc>
          <w:tcPr>
            <w:tcW w:w="1541" w:type="pct"/>
            <w:tcBorders>
              <w:top w:val="single" w:color="auto" w:sz="4" w:space="0"/>
              <w:left w:val="single" w:color="auto" w:sz="4" w:space="0"/>
              <w:bottom w:val="single" w:color="auto" w:sz="4" w:space="0"/>
              <w:right w:val="single" w:color="auto" w:sz="4" w:space="0"/>
            </w:tcBorders>
            <w:vAlign w:val="center"/>
          </w:tcPr>
          <w:p w14:paraId="694F52EE">
            <w:pPr>
              <w:pStyle w:val="64"/>
            </w:pPr>
            <w:r>
              <w:rPr>
                <w:rFonts w:hint="eastAsia"/>
              </w:rPr>
              <w:t>萘</w:t>
            </w:r>
          </w:p>
        </w:tc>
        <w:tc>
          <w:tcPr>
            <w:tcW w:w="1164" w:type="pct"/>
            <w:tcBorders>
              <w:top w:val="single" w:color="auto" w:sz="4" w:space="0"/>
              <w:left w:val="single" w:color="auto" w:sz="4" w:space="0"/>
              <w:bottom w:val="single" w:color="auto" w:sz="4" w:space="0"/>
              <w:right w:val="single" w:color="auto" w:sz="4" w:space="0"/>
            </w:tcBorders>
          </w:tcPr>
          <w:p w14:paraId="232D5C8A">
            <w:pPr>
              <w:pStyle w:val="64"/>
            </w:pPr>
            <w:r>
              <w:rPr>
                <w:rFonts w:hint="eastAsia"/>
              </w:rPr>
              <w:t>70</w:t>
            </w: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1E43D913"/>
        </w:tc>
      </w:tr>
      <w:tr w14:paraId="68F3B4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593" w:type="pct"/>
            <w:tcBorders>
              <w:top w:val="single" w:color="auto" w:sz="4" w:space="0"/>
              <w:left w:val="single" w:color="auto" w:sz="4" w:space="0"/>
              <w:bottom w:val="single" w:color="auto" w:sz="4" w:space="0"/>
              <w:right w:val="single" w:color="auto" w:sz="4" w:space="0"/>
            </w:tcBorders>
            <w:vAlign w:val="center"/>
          </w:tcPr>
          <w:p w14:paraId="035671A2">
            <w:pPr>
              <w:pStyle w:val="64"/>
            </w:pPr>
            <w:r>
              <w:t>45</w:t>
            </w:r>
          </w:p>
        </w:tc>
        <w:tc>
          <w:tcPr>
            <w:tcW w:w="1541" w:type="pct"/>
            <w:tcBorders>
              <w:top w:val="single" w:color="auto" w:sz="4" w:space="0"/>
              <w:left w:val="single" w:color="auto" w:sz="4" w:space="0"/>
              <w:bottom w:val="single" w:color="auto" w:sz="4" w:space="0"/>
              <w:right w:val="single" w:color="auto" w:sz="4" w:space="0"/>
            </w:tcBorders>
            <w:vAlign w:val="center"/>
          </w:tcPr>
          <w:p w14:paraId="26520EAC">
            <w:pPr>
              <w:pStyle w:val="64"/>
            </w:pPr>
            <w:r>
              <w:rPr>
                <w:rFonts w:hint="eastAsia"/>
              </w:rPr>
              <w:t>邻苯二甲酸二</w:t>
            </w:r>
            <w:r>
              <w:t>(2-</w:t>
            </w:r>
            <w:r>
              <w:rPr>
                <w:rFonts w:hint="eastAsia"/>
              </w:rPr>
              <w:t>乙基己</w:t>
            </w:r>
            <w:r>
              <w:t>)</w:t>
            </w:r>
            <w:r>
              <w:rPr>
                <w:rFonts w:hint="eastAsia"/>
              </w:rPr>
              <w:t>酯</w:t>
            </w:r>
          </w:p>
        </w:tc>
        <w:tc>
          <w:tcPr>
            <w:tcW w:w="1164" w:type="pct"/>
            <w:tcBorders>
              <w:top w:val="single" w:color="auto" w:sz="4" w:space="0"/>
              <w:left w:val="single" w:color="auto" w:sz="4" w:space="0"/>
              <w:bottom w:val="single" w:color="auto" w:sz="4" w:space="0"/>
              <w:right w:val="single" w:color="auto" w:sz="4" w:space="0"/>
            </w:tcBorders>
          </w:tcPr>
          <w:p w14:paraId="3509A684">
            <w:pPr>
              <w:pStyle w:val="64"/>
            </w:pPr>
            <w:r>
              <w:rPr>
                <w:rFonts w:hint="eastAsia"/>
              </w:rPr>
              <w:t>121</w:t>
            </w: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4E45DB1D"/>
        </w:tc>
      </w:tr>
    </w:tbl>
    <w:p w14:paraId="6851886F"/>
    <w:p w14:paraId="1AEC0A9B">
      <w:pPr>
        <w:jc w:val="center"/>
        <w:rPr>
          <w:rFonts w:hint="eastAsia" w:ascii="黑体" w:hAnsi="黑体" w:eastAsia="黑体" w:cs="Times New Roman"/>
        </w:rPr>
      </w:pPr>
      <w:r>
        <w:rPr>
          <w:rFonts w:ascii="黑体" w:hAnsi="黑体" w:eastAsia="黑体" w:cs="Times New Roman"/>
        </w:rPr>
        <w:t>表2.</w:t>
      </w:r>
      <w:r>
        <w:rPr>
          <w:rFonts w:hint="eastAsia" w:ascii="黑体" w:hAnsi="黑体" w:eastAsia="黑体" w:cs="Times New Roman"/>
        </w:rPr>
        <w:t>5</w:t>
      </w:r>
      <w:r>
        <w:rPr>
          <w:rFonts w:ascii="黑体" w:hAnsi="黑体" w:eastAsia="黑体" w:cs="Times New Roman"/>
        </w:rPr>
        <w:t>-</w:t>
      </w:r>
      <w:r>
        <w:rPr>
          <w:rFonts w:hint="eastAsia" w:ascii="黑体" w:hAnsi="黑体" w:eastAsia="黑体" w:cs="Times New Roman"/>
        </w:rPr>
        <w:t>5</w:t>
      </w:r>
      <w:r>
        <w:rPr>
          <w:rFonts w:ascii="黑体" w:hAnsi="黑体" w:eastAsia="黑体" w:cs="Times New Roman"/>
        </w:rPr>
        <w:t xml:space="preserve">  农用地土壤执行标准(单位：mg/kg)</w:t>
      </w:r>
    </w:p>
    <w:tbl>
      <w:tblPr>
        <w:tblStyle w:val="3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45"/>
        <w:gridCol w:w="1127"/>
        <w:gridCol w:w="1127"/>
        <w:gridCol w:w="1547"/>
        <w:gridCol w:w="1547"/>
        <w:gridCol w:w="1547"/>
        <w:gridCol w:w="1546"/>
      </w:tblGrid>
      <w:tr w14:paraId="564BCF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5" w:type="pct"/>
            <w:vMerge w:val="restart"/>
            <w:tcBorders>
              <w:top w:val="single" w:color="auto" w:sz="4" w:space="0"/>
              <w:left w:val="single" w:color="auto" w:sz="4" w:space="0"/>
              <w:right w:val="single" w:color="auto" w:sz="4" w:space="0"/>
            </w:tcBorders>
            <w:vAlign w:val="center"/>
          </w:tcPr>
          <w:p w14:paraId="6C5F8E95">
            <w:pPr>
              <w:spacing w:line="240" w:lineRule="auto"/>
              <w:jc w:val="center"/>
              <w:rPr>
                <w:rFonts w:cs="Times New Roman"/>
                <w:sz w:val="21"/>
                <w:szCs w:val="21"/>
              </w:rPr>
            </w:pPr>
            <w:r>
              <w:rPr>
                <w:rFonts w:cs="Times New Roman"/>
                <w:sz w:val="21"/>
                <w:szCs w:val="21"/>
              </w:rPr>
              <w:t>序号</w:t>
            </w:r>
          </w:p>
        </w:tc>
        <w:tc>
          <w:tcPr>
            <w:tcW w:w="1214" w:type="pct"/>
            <w:gridSpan w:val="2"/>
            <w:vMerge w:val="restart"/>
            <w:tcBorders>
              <w:top w:val="single" w:color="auto" w:sz="4" w:space="0"/>
              <w:left w:val="single" w:color="auto" w:sz="4" w:space="0"/>
              <w:right w:val="single" w:color="auto" w:sz="4" w:space="0"/>
            </w:tcBorders>
            <w:vAlign w:val="center"/>
          </w:tcPr>
          <w:p w14:paraId="28EDE5C3">
            <w:pPr>
              <w:spacing w:line="240" w:lineRule="auto"/>
              <w:jc w:val="center"/>
              <w:rPr>
                <w:rFonts w:cs="Times New Roman"/>
                <w:sz w:val="21"/>
                <w:szCs w:val="21"/>
              </w:rPr>
            </w:pPr>
            <w:r>
              <w:rPr>
                <w:rFonts w:cs="Times New Roman"/>
                <w:sz w:val="21"/>
                <w:szCs w:val="21"/>
              </w:rPr>
              <w:t>污染物项目</w:t>
            </w:r>
            <w:r>
              <w:rPr>
                <w:rFonts w:cs="Times New Roman"/>
                <w:sz w:val="21"/>
                <w:szCs w:val="21"/>
                <w:vertAlign w:val="superscript"/>
              </w:rPr>
              <w:t>a，b</w:t>
            </w:r>
          </w:p>
        </w:tc>
        <w:tc>
          <w:tcPr>
            <w:tcW w:w="3331" w:type="pct"/>
            <w:gridSpan w:val="4"/>
            <w:tcBorders>
              <w:top w:val="single" w:color="auto" w:sz="4" w:space="0"/>
              <w:left w:val="single" w:color="auto" w:sz="4" w:space="0"/>
              <w:bottom w:val="single" w:color="auto" w:sz="4" w:space="0"/>
              <w:right w:val="single" w:color="auto" w:sz="4" w:space="0"/>
            </w:tcBorders>
            <w:vAlign w:val="center"/>
          </w:tcPr>
          <w:p w14:paraId="49943897">
            <w:pPr>
              <w:spacing w:line="240" w:lineRule="auto"/>
              <w:jc w:val="center"/>
              <w:rPr>
                <w:rFonts w:cs="Times New Roman"/>
                <w:sz w:val="21"/>
                <w:szCs w:val="21"/>
              </w:rPr>
            </w:pPr>
            <w:r>
              <w:rPr>
                <w:rFonts w:cs="Times New Roman"/>
                <w:sz w:val="21"/>
                <w:szCs w:val="21"/>
              </w:rPr>
              <w:t>风险筛选值</w:t>
            </w:r>
          </w:p>
        </w:tc>
      </w:tr>
      <w:tr w14:paraId="512D4A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5" w:type="pct"/>
            <w:vMerge w:val="continue"/>
            <w:tcBorders>
              <w:left w:val="single" w:color="auto" w:sz="4" w:space="0"/>
              <w:bottom w:val="single" w:color="auto" w:sz="4" w:space="0"/>
              <w:right w:val="single" w:color="auto" w:sz="4" w:space="0"/>
            </w:tcBorders>
            <w:vAlign w:val="center"/>
          </w:tcPr>
          <w:p w14:paraId="3551EEAD">
            <w:pPr>
              <w:spacing w:line="240" w:lineRule="auto"/>
              <w:jc w:val="center"/>
              <w:rPr>
                <w:rFonts w:cs="Times New Roman"/>
                <w:sz w:val="21"/>
                <w:szCs w:val="21"/>
              </w:rPr>
            </w:pPr>
          </w:p>
        </w:tc>
        <w:tc>
          <w:tcPr>
            <w:tcW w:w="1214" w:type="pct"/>
            <w:gridSpan w:val="2"/>
            <w:vMerge w:val="continue"/>
            <w:tcBorders>
              <w:left w:val="single" w:color="auto" w:sz="4" w:space="0"/>
              <w:bottom w:val="single" w:color="auto" w:sz="4" w:space="0"/>
              <w:right w:val="single" w:color="auto" w:sz="4" w:space="0"/>
            </w:tcBorders>
            <w:vAlign w:val="center"/>
          </w:tcPr>
          <w:p w14:paraId="233E1FFE">
            <w:pPr>
              <w:spacing w:line="240" w:lineRule="auto"/>
              <w:jc w:val="center"/>
              <w:rPr>
                <w:rFonts w:cs="Times New Roman"/>
                <w:sz w:val="21"/>
                <w:szCs w:val="21"/>
              </w:rPr>
            </w:pPr>
          </w:p>
        </w:tc>
        <w:tc>
          <w:tcPr>
            <w:tcW w:w="833" w:type="pct"/>
            <w:tcBorders>
              <w:top w:val="single" w:color="auto" w:sz="4" w:space="0"/>
              <w:left w:val="single" w:color="auto" w:sz="4" w:space="0"/>
              <w:bottom w:val="single" w:color="auto" w:sz="4" w:space="0"/>
              <w:right w:val="single" w:color="auto" w:sz="4" w:space="0"/>
            </w:tcBorders>
            <w:vAlign w:val="center"/>
          </w:tcPr>
          <w:p w14:paraId="215E0F25">
            <w:pPr>
              <w:spacing w:line="240" w:lineRule="auto"/>
              <w:jc w:val="center"/>
              <w:rPr>
                <w:rFonts w:cs="Times New Roman"/>
                <w:sz w:val="21"/>
                <w:szCs w:val="21"/>
              </w:rPr>
            </w:pPr>
            <w:r>
              <w:rPr>
                <w:rFonts w:cs="Times New Roman"/>
                <w:sz w:val="21"/>
                <w:szCs w:val="21"/>
              </w:rPr>
              <w:t>pH≤5.5</w:t>
            </w:r>
          </w:p>
        </w:tc>
        <w:tc>
          <w:tcPr>
            <w:tcW w:w="833" w:type="pct"/>
            <w:tcBorders>
              <w:top w:val="single" w:color="auto" w:sz="4" w:space="0"/>
              <w:left w:val="single" w:color="auto" w:sz="4" w:space="0"/>
              <w:bottom w:val="single" w:color="auto" w:sz="4" w:space="0"/>
              <w:right w:val="single" w:color="auto" w:sz="4" w:space="0"/>
            </w:tcBorders>
            <w:vAlign w:val="center"/>
          </w:tcPr>
          <w:p w14:paraId="3077B6F0">
            <w:pPr>
              <w:spacing w:line="240" w:lineRule="auto"/>
              <w:jc w:val="center"/>
              <w:rPr>
                <w:rFonts w:cs="Times New Roman"/>
                <w:sz w:val="21"/>
                <w:szCs w:val="21"/>
              </w:rPr>
            </w:pPr>
            <w:r>
              <w:rPr>
                <w:rFonts w:cs="Times New Roman"/>
                <w:sz w:val="21"/>
                <w:szCs w:val="21"/>
              </w:rPr>
              <w:t>5.5＜pH≤6.5</w:t>
            </w:r>
          </w:p>
        </w:tc>
        <w:tc>
          <w:tcPr>
            <w:tcW w:w="833" w:type="pct"/>
            <w:tcBorders>
              <w:top w:val="single" w:color="auto" w:sz="4" w:space="0"/>
              <w:left w:val="single" w:color="auto" w:sz="4" w:space="0"/>
              <w:bottom w:val="single" w:color="auto" w:sz="4" w:space="0"/>
              <w:right w:val="single" w:color="auto" w:sz="4" w:space="0"/>
            </w:tcBorders>
            <w:vAlign w:val="center"/>
          </w:tcPr>
          <w:p w14:paraId="7BB1ED60">
            <w:pPr>
              <w:spacing w:line="240" w:lineRule="auto"/>
              <w:jc w:val="center"/>
              <w:rPr>
                <w:rFonts w:cs="Times New Roman"/>
                <w:sz w:val="21"/>
                <w:szCs w:val="21"/>
              </w:rPr>
            </w:pPr>
            <w:r>
              <w:rPr>
                <w:rFonts w:cs="Times New Roman"/>
                <w:sz w:val="21"/>
                <w:szCs w:val="21"/>
              </w:rPr>
              <w:t>6.5＜pH≤7.5</w:t>
            </w:r>
          </w:p>
        </w:tc>
        <w:tc>
          <w:tcPr>
            <w:tcW w:w="832" w:type="pct"/>
            <w:tcBorders>
              <w:top w:val="single" w:color="auto" w:sz="4" w:space="0"/>
              <w:left w:val="single" w:color="auto" w:sz="4" w:space="0"/>
              <w:bottom w:val="single" w:color="auto" w:sz="4" w:space="0"/>
              <w:right w:val="single" w:color="auto" w:sz="4" w:space="0"/>
            </w:tcBorders>
            <w:vAlign w:val="center"/>
          </w:tcPr>
          <w:p w14:paraId="73EC740F">
            <w:pPr>
              <w:spacing w:line="240" w:lineRule="auto"/>
              <w:jc w:val="center"/>
              <w:rPr>
                <w:rFonts w:cs="Times New Roman"/>
                <w:sz w:val="21"/>
                <w:szCs w:val="21"/>
              </w:rPr>
            </w:pPr>
            <w:r>
              <w:rPr>
                <w:rFonts w:cs="Times New Roman"/>
                <w:sz w:val="21"/>
                <w:szCs w:val="21"/>
              </w:rPr>
              <w:t>pH＞7.5</w:t>
            </w:r>
          </w:p>
        </w:tc>
      </w:tr>
      <w:tr w14:paraId="585000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5" w:type="pct"/>
            <w:vMerge w:val="restart"/>
            <w:tcBorders>
              <w:top w:val="single" w:color="auto" w:sz="4" w:space="0"/>
              <w:left w:val="single" w:color="auto" w:sz="4" w:space="0"/>
              <w:right w:val="single" w:color="auto" w:sz="4" w:space="0"/>
            </w:tcBorders>
            <w:vAlign w:val="center"/>
          </w:tcPr>
          <w:p w14:paraId="519A7A5A">
            <w:pPr>
              <w:spacing w:line="240" w:lineRule="auto"/>
              <w:jc w:val="center"/>
              <w:rPr>
                <w:rFonts w:cs="Times New Roman"/>
                <w:sz w:val="21"/>
                <w:szCs w:val="21"/>
              </w:rPr>
            </w:pPr>
            <w:r>
              <w:rPr>
                <w:rFonts w:cs="Times New Roman"/>
                <w:sz w:val="21"/>
                <w:szCs w:val="21"/>
              </w:rPr>
              <w:t>1</w:t>
            </w:r>
          </w:p>
        </w:tc>
        <w:tc>
          <w:tcPr>
            <w:tcW w:w="607" w:type="pct"/>
            <w:vMerge w:val="restart"/>
            <w:tcBorders>
              <w:top w:val="single" w:color="auto" w:sz="4" w:space="0"/>
              <w:left w:val="single" w:color="auto" w:sz="4" w:space="0"/>
              <w:right w:val="single" w:color="auto" w:sz="4" w:space="0"/>
            </w:tcBorders>
            <w:vAlign w:val="center"/>
          </w:tcPr>
          <w:p w14:paraId="2E54A22B">
            <w:pPr>
              <w:spacing w:line="240" w:lineRule="auto"/>
              <w:jc w:val="center"/>
              <w:rPr>
                <w:rFonts w:cs="Times New Roman"/>
                <w:sz w:val="21"/>
                <w:szCs w:val="21"/>
              </w:rPr>
            </w:pPr>
            <w:r>
              <w:rPr>
                <w:rFonts w:cs="Times New Roman"/>
                <w:sz w:val="21"/>
                <w:szCs w:val="21"/>
              </w:rPr>
              <w:t>镉</w:t>
            </w:r>
          </w:p>
        </w:tc>
        <w:tc>
          <w:tcPr>
            <w:tcW w:w="607" w:type="pct"/>
            <w:tcBorders>
              <w:top w:val="single" w:color="auto" w:sz="4" w:space="0"/>
              <w:left w:val="single" w:color="auto" w:sz="4" w:space="0"/>
              <w:bottom w:val="single" w:color="auto" w:sz="4" w:space="0"/>
              <w:right w:val="single" w:color="auto" w:sz="4" w:space="0"/>
            </w:tcBorders>
            <w:vAlign w:val="center"/>
          </w:tcPr>
          <w:p w14:paraId="7FDE0C6E">
            <w:pPr>
              <w:spacing w:line="240" w:lineRule="auto"/>
              <w:jc w:val="center"/>
              <w:rPr>
                <w:rFonts w:cs="Times New Roman"/>
                <w:sz w:val="21"/>
                <w:szCs w:val="21"/>
              </w:rPr>
            </w:pPr>
            <w:r>
              <w:rPr>
                <w:rFonts w:cs="Times New Roman"/>
                <w:sz w:val="21"/>
                <w:szCs w:val="21"/>
              </w:rPr>
              <w:t>水田</w:t>
            </w:r>
          </w:p>
        </w:tc>
        <w:tc>
          <w:tcPr>
            <w:tcW w:w="833" w:type="pct"/>
            <w:tcBorders>
              <w:top w:val="single" w:color="auto" w:sz="4" w:space="0"/>
              <w:left w:val="single" w:color="auto" w:sz="4" w:space="0"/>
              <w:bottom w:val="single" w:color="auto" w:sz="4" w:space="0"/>
              <w:right w:val="single" w:color="auto" w:sz="4" w:space="0"/>
            </w:tcBorders>
            <w:vAlign w:val="center"/>
          </w:tcPr>
          <w:p w14:paraId="048FDCBD">
            <w:pPr>
              <w:spacing w:line="240" w:lineRule="auto"/>
              <w:jc w:val="center"/>
              <w:rPr>
                <w:rFonts w:cs="Times New Roman"/>
                <w:sz w:val="21"/>
                <w:szCs w:val="21"/>
              </w:rPr>
            </w:pPr>
            <w:r>
              <w:rPr>
                <w:rFonts w:cs="Times New Roman"/>
                <w:sz w:val="21"/>
                <w:szCs w:val="21"/>
              </w:rPr>
              <w:t>0.3</w:t>
            </w:r>
          </w:p>
        </w:tc>
        <w:tc>
          <w:tcPr>
            <w:tcW w:w="833" w:type="pct"/>
            <w:tcBorders>
              <w:top w:val="single" w:color="auto" w:sz="4" w:space="0"/>
              <w:left w:val="single" w:color="auto" w:sz="4" w:space="0"/>
              <w:bottom w:val="single" w:color="auto" w:sz="4" w:space="0"/>
              <w:right w:val="single" w:color="auto" w:sz="4" w:space="0"/>
            </w:tcBorders>
            <w:vAlign w:val="center"/>
          </w:tcPr>
          <w:p w14:paraId="1E13ED0B">
            <w:pPr>
              <w:spacing w:line="240" w:lineRule="auto"/>
              <w:jc w:val="center"/>
              <w:rPr>
                <w:rFonts w:cs="Times New Roman"/>
                <w:sz w:val="21"/>
                <w:szCs w:val="21"/>
              </w:rPr>
            </w:pPr>
            <w:r>
              <w:rPr>
                <w:rFonts w:cs="Times New Roman"/>
                <w:sz w:val="21"/>
                <w:szCs w:val="21"/>
              </w:rPr>
              <w:t>0.4</w:t>
            </w:r>
          </w:p>
        </w:tc>
        <w:tc>
          <w:tcPr>
            <w:tcW w:w="833" w:type="pct"/>
            <w:tcBorders>
              <w:top w:val="single" w:color="auto" w:sz="4" w:space="0"/>
              <w:left w:val="single" w:color="auto" w:sz="4" w:space="0"/>
              <w:bottom w:val="single" w:color="auto" w:sz="4" w:space="0"/>
              <w:right w:val="single" w:color="auto" w:sz="4" w:space="0"/>
            </w:tcBorders>
            <w:vAlign w:val="center"/>
          </w:tcPr>
          <w:p w14:paraId="7D79832D">
            <w:pPr>
              <w:spacing w:line="240" w:lineRule="auto"/>
              <w:jc w:val="center"/>
              <w:rPr>
                <w:rFonts w:cs="Times New Roman"/>
                <w:sz w:val="21"/>
                <w:szCs w:val="21"/>
              </w:rPr>
            </w:pPr>
            <w:r>
              <w:rPr>
                <w:rFonts w:cs="Times New Roman"/>
                <w:sz w:val="21"/>
                <w:szCs w:val="21"/>
              </w:rPr>
              <w:t>0.6</w:t>
            </w:r>
          </w:p>
        </w:tc>
        <w:tc>
          <w:tcPr>
            <w:tcW w:w="832" w:type="pct"/>
            <w:tcBorders>
              <w:top w:val="single" w:color="auto" w:sz="4" w:space="0"/>
              <w:left w:val="single" w:color="auto" w:sz="4" w:space="0"/>
              <w:bottom w:val="single" w:color="auto" w:sz="4" w:space="0"/>
              <w:right w:val="single" w:color="auto" w:sz="4" w:space="0"/>
            </w:tcBorders>
            <w:vAlign w:val="center"/>
          </w:tcPr>
          <w:p w14:paraId="39AA60CA">
            <w:pPr>
              <w:spacing w:line="240" w:lineRule="auto"/>
              <w:jc w:val="center"/>
              <w:rPr>
                <w:rFonts w:cs="Times New Roman"/>
                <w:sz w:val="21"/>
                <w:szCs w:val="21"/>
              </w:rPr>
            </w:pPr>
            <w:r>
              <w:rPr>
                <w:rFonts w:cs="Times New Roman"/>
                <w:sz w:val="21"/>
                <w:szCs w:val="21"/>
              </w:rPr>
              <w:t>0.8</w:t>
            </w:r>
          </w:p>
        </w:tc>
      </w:tr>
      <w:tr w14:paraId="500B87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5" w:type="pct"/>
            <w:vMerge w:val="continue"/>
            <w:tcBorders>
              <w:left w:val="single" w:color="auto" w:sz="4" w:space="0"/>
              <w:bottom w:val="single" w:color="auto" w:sz="4" w:space="0"/>
              <w:right w:val="single" w:color="auto" w:sz="4" w:space="0"/>
            </w:tcBorders>
            <w:vAlign w:val="center"/>
          </w:tcPr>
          <w:p w14:paraId="1032BD0E">
            <w:pPr>
              <w:spacing w:line="240" w:lineRule="auto"/>
              <w:jc w:val="center"/>
              <w:rPr>
                <w:rFonts w:cs="Times New Roman"/>
                <w:sz w:val="21"/>
                <w:szCs w:val="21"/>
              </w:rPr>
            </w:pPr>
          </w:p>
        </w:tc>
        <w:tc>
          <w:tcPr>
            <w:tcW w:w="607" w:type="pct"/>
            <w:vMerge w:val="continue"/>
            <w:tcBorders>
              <w:left w:val="single" w:color="auto" w:sz="4" w:space="0"/>
              <w:bottom w:val="single" w:color="auto" w:sz="4" w:space="0"/>
              <w:right w:val="single" w:color="auto" w:sz="4" w:space="0"/>
            </w:tcBorders>
            <w:vAlign w:val="center"/>
          </w:tcPr>
          <w:p w14:paraId="058B77AA">
            <w:pPr>
              <w:spacing w:line="240" w:lineRule="auto"/>
              <w:jc w:val="center"/>
              <w:rPr>
                <w:rFonts w:cs="Times New Roman"/>
                <w:sz w:val="21"/>
                <w:szCs w:val="21"/>
              </w:rPr>
            </w:pPr>
          </w:p>
        </w:tc>
        <w:tc>
          <w:tcPr>
            <w:tcW w:w="607" w:type="pct"/>
            <w:tcBorders>
              <w:top w:val="single" w:color="auto" w:sz="4" w:space="0"/>
              <w:left w:val="single" w:color="auto" w:sz="4" w:space="0"/>
              <w:bottom w:val="single" w:color="auto" w:sz="4" w:space="0"/>
              <w:right w:val="single" w:color="auto" w:sz="4" w:space="0"/>
            </w:tcBorders>
            <w:vAlign w:val="center"/>
          </w:tcPr>
          <w:p w14:paraId="527A635D">
            <w:pPr>
              <w:spacing w:line="240" w:lineRule="auto"/>
              <w:jc w:val="center"/>
              <w:rPr>
                <w:rFonts w:cs="Times New Roman"/>
                <w:sz w:val="21"/>
                <w:szCs w:val="21"/>
              </w:rPr>
            </w:pPr>
            <w:r>
              <w:rPr>
                <w:rFonts w:cs="Times New Roman"/>
                <w:sz w:val="21"/>
                <w:szCs w:val="21"/>
              </w:rPr>
              <w:t>其他</w:t>
            </w:r>
          </w:p>
        </w:tc>
        <w:tc>
          <w:tcPr>
            <w:tcW w:w="833" w:type="pct"/>
            <w:tcBorders>
              <w:top w:val="single" w:color="auto" w:sz="4" w:space="0"/>
              <w:left w:val="single" w:color="auto" w:sz="4" w:space="0"/>
              <w:bottom w:val="single" w:color="auto" w:sz="4" w:space="0"/>
              <w:right w:val="single" w:color="auto" w:sz="4" w:space="0"/>
            </w:tcBorders>
            <w:vAlign w:val="center"/>
          </w:tcPr>
          <w:p w14:paraId="3C42BFE0">
            <w:pPr>
              <w:spacing w:line="240" w:lineRule="auto"/>
              <w:jc w:val="center"/>
              <w:rPr>
                <w:rFonts w:cs="Times New Roman"/>
                <w:sz w:val="21"/>
                <w:szCs w:val="21"/>
              </w:rPr>
            </w:pPr>
            <w:r>
              <w:rPr>
                <w:rFonts w:cs="Times New Roman"/>
                <w:sz w:val="21"/>
                <w:szCs w:val="21"/>
              </w:rPr>
              <w:t>0.3</w:t>
            </w:r>
          </w:p>
        </w:tc>
        <w:tc>
          <w:tcPr>
            <w:tcW w:w="833" w:type="pct"/>
            <w:tcBorders>
              <w:top w:val="single" w:color="auto" w:sz="4" w:space="0"/>
              <w:left w:val="single" w:color="auto" w:sz="4" w:space="0"/>
              <w:bottom w:val="single" w:color="auto" w:sz="4" w:space="0"/>
              <w:right w:val="single" w:color="auto" w:sz="4" w:space="0"/>
            </w:tcBorders>
            <w:vAlign w:val="center"/>
          </w:tcPr>
          <w:p w14:paraId="67C7CD17">
            <w:pPr>
              <w:spacing w:line="240" w:lineRule="auto"/>
              <w:jc w:val="center"/>
              <w:rPr>
                <w:rFonts w:cs="Times New Roman"/>
                <w:sz w:val="21"/>
                <w:szCs w:val="21"/>
              </w:rPr>
            </w:pPr>
            <w:r>
              <w:rPr>
                <w:rFonts w:cs="Times New Roman"/>
                <w:sz w:val="21"/>
                <w:szCs w:val="21"/>
              </w:rPr>
              <w:t>0.3</w:t>
            </w:r>
          </w:p>
        </w:tc>
        <w:tc>
          <w:tcPr>
            <w:tcW w:w="833" w:type="pct"/>
            <w:tcBorders>
              <w:top w:val="single" w:color="auto" w:sz="4" w:space="0"/>
              <w:left w:val="single" w:color="auto" w:sz="4" w:space="0"/>
              <w:bottom w:val="single" w:color="auto" w:sz="4" w:space="0"/>
              <w:right w:val="single" w:color="auto" w:sz="4" w:space="0"/>
            </w:tcBorders>
            <w:vAlign w:val="center"/>
          </w:tcPr>
          <w:p w14:paraId="7713C797">
            <w:pPr>
              <w:spacing w:line="240" w:lineRule="auto"/>
              <w:jc w:val="center"/>
              <w:rPr>
                <w:rFonts w:cs="Times New Roman"/>
                <w:sz w:val="21"/>
                <w:szCs w:val="21"/>
              </w:rPr>
            </w:pPr>
            <w:r>
              <w:rPr>
                <w:rFonts w:cs="Times New Roman"/>
                <w:sz w:val="21"/>
                <w:szCs w:val="21"/>
              </w:rPr>
              <w:t>0.3</w:t>
            </w:r>
          </w:p>
        </w:tc>
        <w:tc>
          <w:tcPr>
            <w:tcW w:w="832" w:type="pct"/>
            <w:tcBorders>
              <w:top w:val="single" w:color="auto" w:sz="4" w:space="0"/>
              <w:left w:val="single" w:color="auto" w:sz="4" w:space="0"/>
              <w:bottom w:val="single" w:color="auto" w:sz="4" w:space="0"/>
              <w:right w:val="single" w:color="auto" w:sz="4" w:space="0"/>
            </w:tcBorders>
            <w:vAlign w:val="center"/>
          </w:tcPr>
          <w:p w14:paraId="4CDCDCB2">
            <w:pPr>
              <w:spacing w:line="240" w:lineRule="auto"/>
              <w:jc w:val="center"/>
              <w:rPr>
                <w:rFonts w:cs="Times New Roman"/>
                <w:sz w:val="21"/>
                <w:szCs w:val="21"/>
              </w:rPr>
            </w:pPr>
            <w:r>
              <w:rPr>
                <w:rFonts w:cs="Times New Roman"/>
                <w:sz w:val="21"/>
                <w:szCs w:val="21"/>
              </w:rPr>
              <w:t>0.6</w:t>
            </w:r>
          </w:p>
        </w:tc>
      </w:tr>
      <w:tr w14:paraId="660EDE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5" w:type="pct"/>
            <w:vMerge w:val="restart"/>
            <w:tcBorders>
              <w:top w:val="single" w:color="auto" w:sz="4" w:space="0"/>
              <w:left w:val="single" w:color="auto" w:sz="4" w:space="0"/>
              <w:right w:val="single" w:color="auto" w:sz="4" w:space="0"/>
            </w:tcBorders>
            <w:vAlign w:val="center"/>
          </w:tcPr>
          <w:p w14:paraId="6564EBCE">
            <w:pPr>
              <w:spacing w:line="240" w:lineRule="auto"/>
              <w:jc w:val="center"/>
              <w:rPr>
                <w:rFonts w:cs="Times New Roman"/>
                <w:sz w:val="21"/>
                <w:szCs w:val="21"/>
              </w:rPr>
            </w:pPr>
            <w:r>
              <w:rPr>
                <w:rFonts w:cs="Times New Roman"/>
                <w:sz w:val="21"/>
                <w:szCs w:val="21"/>
              </w:rPr>
              <w:t>2</w:t>
            </w:r>
          </w:p>
        </w:tc>
        <w:tc>
          <w:tcPr>
            <w:tcW w:w="607" w:type="pct"/>
            <w:vMerge w:val="restart"/>
            <w:tcBorders>
              <w:top w:val="single" w:color="auto" w:sz="4" w:space="0"/>
              <w:left w:val="single" w:color="auto" w:sz="4" w:space="0"/>
              <w:right w:val="single" w:color="auto" w:sz="4" w:space="0"/>
            </w:tcBorders>
            <w:vAlign w:val="center"/>
          </w:tcPr>
          <w:p w14:paraId="6BB72A1B">
            <w:pPr>
              <w:spacing w:line="240" w:lineRule="auto"/>
              <w:jc w:val="center"/>
              <w:rPr>
                <w:rFonts w:cs="Times New Roman"/>
                <w:sz w:val="21"/>
                <w:szCs w:val="21"/>
              </w:rPr>
            </w:pPr>
            <w:r>
              <w:rPr>
                <w:rFonts w:cs="Times New Roman"/>
                <w:sz w:val="21"/>
                <w:szCs w:val="21"/>
              </w:rPr>
              <w:t>汞</w:t>
            </w:r>
          </w:p>
        </w:tc>
        <w:tc>
          <w:tcPr>
            <w:tcW w:w="607" w:type="pct"/>
            <w:tcBorders>
              <w:top w:val="single" w:color="auto" w:sz="4" w:space="0"/>
              <w:left w:val="single" w:color="auto" w:sz="4" w:space="0"/>
              <w:bottom w:val="single" w:color="auto" w:sz="4" w:space="0"/>
              <w:right w:val="single" w:color="auto" w:sz="4" w:space="0"/>
            </w:tcBorders>
            <w:vAlign w:val="center"/>
          </w:tcPr>
          <w:p w14:paraId="6CD739B4">
            <w:pPr>
              <w:spacing w:line="240" w:lineRule="auto"/>
              <w:jc w:val="center"/>
              <w:rPr>
                <w:rFonts w:cs="Times New Roman"/>
                <w:sz w:val="21"/>
                <w:szCs w:val="21"/>
              </w:rPr>
            </w:pPr>
            <w:r>
              <w:rPr>
                <w:rFonts w:cs="Times New Roman"/>
                <w:sz w:val="21"/>
                <w:szCs w:val="21"/>
              </w:rPr>
              <w:t>水田</w:t>
            </w:r>
          </w:p>
        </w:tc>
        <w:tc>
          <w:tcPr>
            <w:tcW w:w="833" w:type="pct"/>
            <w:tcBorders>
              <w:top w:val="single" w:color="auto" w:sz="4" w:space="0"/>
              <w:left w:val="single" w:color="auto" w:sz="4" w:space="0"/>
              <w:bottom w:val="single" w:color="auto" w:sz="4" w:space="0"/>
              <w:right w:val="single" w:color="auto" w:sz="4" w:space="0"/>
            </w:tcBorders>
            <w:vAlign w:val="center"/>
          </w:tcPr>
          <w:p w14:paraId="17CD9DD0">
            <w:pPr>
              <w:spacing w:line="240" w:lineRule="auto"/>
              <w:jc w:val="center"/>
              <w:rPr>
                <w:rFonts w:cs="Times New Roman"/>
                <w:sz w:val="21"/>
                <w:szCs w:val="21"/>
              </w:rPr>
            </w:pPr>
            <w:r>
              <w:rPr>
                <w:rFonts w:cs="Times New Roman"/>
                <w:sz w:val="21"/>
                <w:szCs w:val="21"/>
              </w:rPr>
              <w:t>0.5</w:t>
            </w:r>
          </w:p>
        </w:tc>
        <w:tc>
          <w:tcPr>
            <w:tcW w:w="833" w:type="pct"/>
            <w:tcBorders>
              <w:top w:val="single" w:color="auto" w:sz="4" w:space="0"/>
              <w:left w:val="single" w:color="auto" w:sz="4" w:space="0"/>
              <w:bottom w:val="single" w:color="auto" w:sz="4" w:space="0"/>
              <w:right w:val="single" w:color="auto" w:sz="4" w:space="0"/>
            </w:tcBorders>
            <w:vAlign w:val="center"/>
          </w:tcPr>
          <w:p w14:paraId="462BEBEF">
            <w:pPr>
              <w:spacing w:line="240" w:lineRule="auto"/>
              <w:jc w:val="center"/>
              <w:rPr>
                <w:rFonts w:cs="Times New Roman"/>
                <w:sz w:val="21"/>
                <w:szCs w:val="21"/>
              </w:rPr>
            </w:pPr>
            <w:r>
              <w:rPr>
                <w:rFonts w:cs="Times New Roman"/>
                <w:sz w:val="21"/>
                <w:szCs w:val="21"/>
              </w:rPr>
              <w:t>0.5</w:t>
            </w:r>
          </w:p>
        </w:tc>
        <w:tc>
          <w:tcPr>
            <w:tcW w:w="833" w:type="pct"/>
            <w:tcBorders>
              <w:top w:val="single" w:color="auto" w:sz="4" w:space="0"/>
              <w:left w:val="single" w:color="auto" w:sz="4" w:space="0"/>
              <w:bottom w:val="single" w:color="auto" w:sz="4" w:space="0"/>
              <w:right w:val="single" w:color="auto" w:sz="4" w:space="0"/>
            </w:tcBorders>
            <w:vAlign w:val="center"/>
          </w:tcPr>
          <w:p w14:paraId="1E071295">
            <w:pPr>
              <w:spacing w:line="240" w:lineRule="auto"/>
              <w:jc w:val="center"/>
              <w:rPr>
                <w:rFonts w:cs="Times New Roman"/>
                <w:sz w:val="21"/>
                <w:szCs w:val="21"/>
              </w:rPr>
            </w:pPr>
            <w:r>
              <w:rPr>
                <w:rFonts w:cs="Times New Roman"/>
                <w:sz w:val="21"/>
                <w:szCs w:val="21"/>
              </w:rPr>
              <w:t>0.6</w:t>
            </w:r>
          </w:p>
        </w:tc>
        <w:tc>
          <w:tcPr>
            <w:tcW w:w="832" w:type="pct"/>
            <w:tcBorders>
              <w:top w:val="single" w:color="auto" w:sz="4" w:space="0"/>
              <w:left w:val="single" w:color="auto" w:sz="4" w:space="0"/>
              <w:bottom w:val="single" w:color="auto" w:sz="4" w:space="0"/>
              <w:right w:val="single" w:color="auto" w:sz="4" w:space="0"/>
            </w:tcBorders>
            <w:vAlign w:val="center"/>
          </w:tcPr>
          <w:p w14:paraId="1060A10B">
            <w:pPr>
              <w:spacing w:line="240" w:lineRule="auto"/>
              <w:jc w:val="center"/>
              <w:rPr>
                <w:rFonts w:cs="Times New Roman"/>
                <w:sz w:val="21"/>
                <w:szCs w:val="21"/>
              </w:rPr>
            </w:pPr>
            <w:r>
              <w:rPr>
                <w:rFonts w:cs="Times New Roman"/>
                <w:sz w:val="21"/>
                <w:szCs w:val="21"/>
              </w:rPr>
              <w:t>1</w:t>
            </w:r>
          </w:p>
        </w:tc>
      </w:tr>
      <w:tr w14:paraId="5786BF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5" w:type="pct"/>
            <w:vMerge w:val="continue"/>
            <w:tcBorders>
              <w:left w:val="single" w:color="auto" w:sz="4" w:space="0"/>
              <w:bottom w:val="single" w:color="auto" w:sz="4" w:space="0"/>
              <w:right w:val="single" w:color="auto" w:sz="4" w:space="0"/>
            </w:tcBorders>
            <w:vAlign w:val="center"/>
          </w:tcPr>
          <w:p w14:paraId="6374840C">
            <w:pPr>
              <w:spacing w:line="240" w:lineRule="auto"/>
              <w:jc w:val="center"/>
              <w:rPr>
                <w:rFonts w:cs="Times New Roman"/>
                <w:sz w:val="21"/>
                <w:szCs w:val="21"/>
              </w:rPr>
            </w:pPr>
          </w:p>
        </w:tc>
        <w:tc>
          <w:tcPr>
            <w:tcW w:w="607" w:type="pct"/>
            <w:vMerge w:val="continue"/>
            <w:tcBorders>
              <w:left w:val="single" w:color="auto" w:sz="4" w:space="0"/>
              <w:bottom w:val="single" w:color="auto" w:sz="4" w:space="0"/>
              <w:right w:val="single" w:color="auto" w:sz="4" w:space="0"/>
            </w:tcBorders>
            <w:vAlign w:val="center"/>
          </w:tcPr>
          <w:p w14:paraId="07FAB567">
            <w:pPr>
              <w:spacing w:line="240" w:lineRule="auto"/>
              <w:jc w:val="center"/>
              <w:rPr>
                <w:rFonts w:cs="Times New Roman"/>
                <w:sz w:val="21"/>
                <w:szCs w:val="21"/>
              </w:rPr>
            </w:pPr>
          </w:p>
        </w:tc>
        <w:tc>
          <w:tcPr>
            <w:tcW w:w="607" w:type="pct"/>
            <w:tcBorders>
              <w:top w:val="single" w:color="auto" w:sz="4" w:space="0"/>
              <w:left w:val="single" w:color="auto" w:sz="4" w:space="0"/>
              <w:bottom w:val="single" w:color="auto" w:sz="4" w:space="0"/>
              <w:right w:val="single" w:color="auto" w:sz="4" w:space="0"/>
            </w:tcBorders>
            <w:vAlign w:val="center"/>
          </w:tcPr>
          <w:p w14:paraId="380DD941">
            <w:pPr>
              <w:spacing w:line="240" w:lineRule="auto"/>
              <w:jc w:val="center"/>
              <w:rPr>
                <w:rFonts w:cs="Times New Roman"/>
                <w:sz w:val="21"/>
                <w:szCs w:val="21"/>
              </w:rPr>
            </w:pPr>
            <w:r>
              <w:rPr>
                <w:rFonts w:cs="Times New Roman"/>
                <w:sz w:val="21"/>
                <w:szCs w:val="21"/>
              </w:rPr>
              <w:t>其他</w:t>
            </w:r>
          </w:p>
        </w:tc>
        <w:tc>
          <w:tcPr>
            <w:tcW w:w="833" w:type="pct"/>
            <w:tcBorders>
              <w:top w:val="single" w:color="auto" w:sz="4" w:space="0"/>
              <w:left w:val="single" w:color="auto" w:sz="4" w:space="0"/>
              <w:bottom w:val="single" w:color="auto" w:sz="4" w:space="0"/>
              <w:right w:val="single" w:color="auto" w:sz="4" w:space="0"/>
            </w:tcBorders>
            <w:vAlign w:val="center"/>
          </w:tcPr>
          <w:p w14:paraId="06546C3B">
            <w:pPr>
              <w:spacing w:line="240" w:lineRule="auto"/>
              <w:jc w:val="center"/>
              <w:rPr>
                <w:rFonts w:cs="Times New Roman"/>
                <w:sz w:val="21"/>
                <w:szCs w:val="21"/>
              </w:rPr>
            </w:pPr>
            <w:r>
              <w:rPr>
                <w:rFonts w:cs="Times New Roman"/>
                <w:sz w:val="21"/>
                <w:szCs w:val="21"/>
              </w:rPr>
              <w:t>1.3</w:t>
            </w:r>
          </w:p>
        </w:tc>
        <w:tc>
          <w:tcPr>
            <w:tcW w:w="833" w:type="pct"/>
            <w:tcBorders>
              <w:top w:val="single" w:color="auto" w:sz="4" w:space="0"/>
              <w:left w:val="single" w:color="auto" w:sz="4" w:space="0"/>
              <w:bottom w:val="single" w:color="auto" w:sz="4" w:space="0"/>
              <w:right w:val="single" w:color="auto" w:sz="4" w:space="0"/>
            </w:tcBorders>
            <w:vAlign w:val="center"/>
          </w:tcPr>
          <w:p w14:paraId="6FC8D033">
            <w:pPr>
              <w:spacing w:line="240" w:lineRule="auto"/>
              <w:jc w:val="center"/>
              <w:rPr>
                <w:rFonts w:cs="Times New Roman"/>
                <w:sz w:val="21"/>
                <w:szCs w:val="21"/>
              </w:rPr>
            </w:pPr>
            <w:r>
              <w:rPr>
                <w:rFonts w:cs="Times New Roman"/>
                <w:sz w:val="21"/>
                <w:szCs w:val="21"/>
              </w:rPr>
              <w:t>1.8</w:t>
            </w:r>
          </w:p>
        </w:tc>
        <w:tc>
          <w:tcPr>
            <w:tcW w:w="833" w:type="pct"/>
            <w:tcBorders>
              <w:top w:val="single" w:color="auto" w:sz="4" w:space="0"/>
              <w:left w:val="single" w:color="auto" w:sz="4" w:space="0"/>
              <w:bottom w:val="single" w:color="auto" w:sz="4" w:space="0"/>
              <w:right w:val="single" w:color="auto" w:sz="4" w:space="0"/>
            </w:tcBorders>
            <w:vAlign w:val="center"/>
          </w:tcPr>
          <w:p w14:paraId="05E81A49">
            <w:pPr>
              <w:spacing w:line="240" w:lineRule="auto"/>
              <w:jc w:val="center"/>
              <w:rPr>
                <w:rFonts w:cs="Times New Roman"/>
                <w:sz w:val="21"/>
                <w:szCs w:val="21"/>
              </w:rPr>
            </w:pPr>
            <w:r>
              <w:rPr>
                <w:rFonts w:cs="Times New Roman"/>
                <w:sz w:val="21"/>
                <w:szCs w:val="21"/>
              </w:rPr>
              <w:t>2.4</w:t>
            </w:r>
          </w:p>
        </w:tc>
        <w:tc>
          <w:tcPr>
            <w:tcW w:w="832" w:type="pct"/>
            <w:tcBorders>
              <w:top w:val="single" w:color="auto" w:sz="4" w:space="0"/>
              <w:left w:val="single" w:color="auto" w:sz="4" w:space="0"/>
              <w:bottom w:val="single" w:color="auto" w:sz="4" w:space="0"/>
              <w:right w:val="single" w:color="auto" w:sz="4" w:space="0"/>
            </w:tcBorders>
            <w:vAlign w:val="center"/>
          </w:tcPr>
          <w:p w14:paraId="34450969">
            <w:pPr>
              <w:spacing w:line="240" w:lineRule="auto"/>
              <w:jc w:val="center"/>
              <w:rPr>
                <w:rFonts w:cs="Times New Roman"/>
                <w:sz w:val="21"/>
                <w:szCs w:val="21"/>
              </w:rPr>
            </w:pPr>
            <w:r>
              <w:rPr>
                <w:rFonts w:cs="Times New Roman"/>
                <w:sz w:val="21"/>
                <w:szCs w:val="21"/>
              </w:rPr>
              <w:t>3.4</w:t>
            </w:r>
          </w:p>
        </w:tc>
      </w:tr>
      <w:tr w14:paraId="68E04A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5" w:type="pct"/>
            <w:vMerge w:val="restart"/>
            <w:tcBorders>
              <w:top w:val="single" w:color="auto" w:sz="4" w:space="0"/>
              <w:left w:val="single" w:color="auto" w:sz="4" w:space="0"/>
              <w:right w:val="single" w:color="auto" w:sz="4" w:space="0"/>
            </w:tcBorders>
            <w:vAlign w:val="center"/>
          </w:tcPr>
          <w:p w14:paraId="675B9775">
            <w:pPr>
              <w:spacing w:line="240" w:lineRule="auto"/>
              <w:jc w:val="center"/>
              <w:rPr>
                <w:rFonts w:cs="Times New Roman"/>
                <w:sz w:val="21"/>
                <w:szCs w:val="21"/>
              </w:rPr>
            </w:pPr>
            <w:r>
              <w:rPr>
                <w:rFonts w:cs="Times New Roman"/>
                <w:sz w:val="21"/>
                <w:szCs w:val="21"/>
              </w:rPr>
              <w:t>3</w:t>
            </w:r>
          </w:p>
        </w:tc>
        <w:tc>
          <w:tcPr>
            <w:tcW w:w="607" w:type="pct"/>
            <w:vMerge w:val="restart"/>
            <w:tcBorders>
              <w:top w:val="single" w:color="auto" w:sz="4" w:space="0"/>
              <w:left w:val="single" w:color="auto" w:sz="4" w:space="0"/>
              <w:right w:val="single" w:color="auto" w:sz="4" w:space="0"/>
            </w:tcBorders>
            <w:vAlign w:val="center"/>
          </w:tcPr>
          <w:p w14:paraId="3FCE3F84">
            <w:pPr>
              <w:spacing w:line="240" w:lineRule="auto"/>
              <w:jc w:val="center"/>
              <w:rPr>
                <w:rFonts w:cs="Times New Roman"/>
                <w:sz w:val="21"/>
                <w:szCs w:val="21"/>
              </w:rPr>
            </w:pPr>
            <w:r>
              <w:rPr>
                <w:rFonts w:cs="Times New Roman"/>
                <w:sz w:val="21"/>
                <w:szCs w:val="21"/>
              </w:rPr>
              <w:t>砷</w:t>
            </w:r>
          </w:p>
        </w:tc>
        <w:tc>
          <w:tcPr>
            <w:tcW w:w="607" w:type="pct"/>
            <w:tcBorders>
              <w:top w:val="single" w:color="auto" w:sz="4" w:space="0"/>
              <w:left w:val="single" w:color="auto" w:sz="4" w:space="0"/>
              <w:bottom w:val="single" w:color="auto" w:sz="4" w:space="0"/>
              <w:right w:val="single" w:color="auto" w:sz="4" w:space="0"/>
            </w:tcBorders>
            <w:vAlign w:val="center"/>
          </w:tcPr>
          <w:p w14:paraId="666786E3">
            <w:pPr>
              <w:spacing w:line="240" w:lineRule="auto"/>
              <w:jc w:val="center"/>
              <w:rPr>
                <w:rFonts w:cs="Times New Roman"/>
                <w:sz w:val="21"/>
                <w:szCs w:val="21"/>
              </w:rPr>
            </w:pPr>
            <w:r>
              <w:rPr>
                <w:rFonts w:cs="Times New Roman"/>
                <w:sz w:val="21"/>
                <w:szCs w:val="21"/>
              </w:rPr>
              <w:t>水田</w:t>
            </w:r>
          </w:p>
        </w:tc>
        <w:tc>
          <w:tcPr>
            <w:tcW w:w="833" w:type="pct"/>
            <w:tcBorders>
              <w:top w:val="single" w:color="auto" w:sz="4" w:space="0"/>
              <w:left w:val="single" w:color="auto" w:sz="4" w:space="0"/>
              <w:bottom w:val="single" w:color="auto" w:sz="4" w:space="0"/>
              <w:right w:val="single" w:color="auto" w:sz="4" w:space="0"/>
            </w:tcBorders>
            <w:vAlign w:val="center"/>
          </w:tcPr>
          <w:p w14:paraId="2CAEADCC">
            <w:pPr>
              <w:spacing w:line="240" w:lineRule="auto"/>
              <w:jc w:val="center"/>
              <w:rPr>
                <w:rFonts w:cs="Times New Roman"/>
                <w:sz w:val="21"/>
                <w:szCs w:val="21"/>
              </w:rPr>
            </w:pPr>
            <w:r>
              <w:rPr>
                <w:rFonts w:cs="Times New Roman"/>
                <w:sz w:val="21"/>
                <w:szCs w:val="21"/>
              </w:rPr>
              <w:t>30</w:t>
            </w:r>
          </w:p>
        </w:tc>
        <w:tc>
          <w:tcPr>
            <w:tcW w:w="833" w:type="pct"/>
            <w:tcBorders>
              <w:top w:val="single" w:color="auto" w:sz="4" w:space="0"/>
              <w:left w:val="single" w:color="auto" w:sz="4" w:space="0"/>
              <w:bottom w:val="single" w:color="auto" w:sz="4" w:space="0"/>
              <w:right w:val="single" w:color="auto" w:sz="4" w:space="0"/>
            </w:tcBorders>
            <w:vAlign w:val="center"/>
          </w:tcPr>
          <w:p w14:paraId="444E4433">
            <w:pPr>
              <w:spacing w:line="240" w:lineRule="auto"/>
              <w:jc w:val="center"/>
              <w:rPr>
                <w:rFonts w:cs="Times New Roman"/>
                <w:sz w:val="21"/>
                <w:szCs w:val="21"/>
              </w:rPr>
            </w:pPr>
            <w:r>
              <w:rPr>
                <w:rFonts w:cs="Times New Roman"/>
                <w:sz w:val="21"/>
                <w:szCs w:val="21"/>
              </w:rPr>
              <w:t>30</w:t>
            </w:r>
          </w:p>
        </w:tc>
        <w:tc>
          <w:tcPr>
            <w:tcW w:w="833" w:type="pct"/>
            <w:tcBorders>
              <w:top w:val="single" w:color="auto" w:sz="4" w:space="0"/>
              <w:left w:val="single" w:color="auto" w:sz="4" w:space="0"/>
              <w:bottom w:val="single" w:color="auto" w:sz="4" w:space="0"/>
              <w:right w:val="single" w:color="auto" w:sz="4" w:space="0"/>
            </w:tcBorders>
            <w:vAlign w:val="center"/>
          </w:tcPr>
          <w:p w14:paraId="099B313F">
            <w:pPr>
              <w:spacing w:line="240" w:lineRule="auto"/>
              <w:jc w:val="center"/>
              <w:rPr>
                <w:rFonts w:cs="Times New Roman"/>
                <w:sz w:val="21"/>
                <w:szCs w:val="21"/>
              </w:rPr>
            </w:pPr>
            <w:r>
              <w:rPr>
                <w:rFonts w:cs="Times New Roman"/>
                <w:sz w:val="21"/>
                <w:szCs w:val="21"/>
              </w:rPr>
              <w:t>25</w:t>
            </w:r>
          </w:p>
        </w:tc>
        <w:tc>
          <w:tcPr>
            <w:tcW w:w="832" w:type="pct"/>
            <w:tcBorders>
              <w:top w:val="single" w:color="auto" w:sz="4" w:space="0"/>
              <w:left w:val="single" w:color="auto" w:sz="4" w:space="0"/>
              <w:bottom w:val="single" w:color="auto" w:sz="4" w:space="0"/>
              <w:right w:val="single" w:color="auto" w:sz="4" w:space="0"/>
            </w:tcBorders>
            <w:vAlign w:val="center"/>
          </w:tcPr>
          <w:p w14:paraId="21BCF3C3">
            <w:pPr>
              <w:spacing w:line="240" w:lineRule="auto"/>
              <w:jc w:val="center"/>
              <w:rPr>
                <w:rFonts w:cs="Times New Roman"/>
                <w:sz w:val="21"/>
                <w:szCs w:val="21"/>
              </w:rPr>
            </w:pPr>
            <w:r>
              <w:rPr>
                <w:rFonts w:cs="Times New Roman"/>
                <w:sz w:val="21"/>
                <w:szCs w:val="21"/>
              </w:rPr>
              <w:t>20</w:t>
            </w:r>
          </w:p>
        </w:tc>
      </w:tr>
      <w:tr w14:paraId="6BE7F6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5" w:type="pct"/>
            <w:vMerge w:val="continue"/>
            <w:tcBorders>
              <w:left w:val="single" w:color="auto" w:sz="4" w:space="0"/>
              <w:bottom w:val="single" w:color="auto" w:sz="4" w:space="0"/>
              <w:right w:val="single" w:color="auto" w:sz="4" w:space="0"/>
            </w:tcBorders>
            <w:vAlign w:val="center"/>
          </w:tcPr>
          <w:p w14:paraId="7F8FF464">
            <w:pPr>
              <w:spacing w:line="240" w:lineRule="auto"/>
              <w:jc w:val="center"/>
              <w:rPr>
                <w:rFonts w:cs="Times New Roman"/>
                <w:sz w:val="21"/>
                <w:szCs w:val="21"/>
              </w:rPr>
            </w:pPr>
          </w:p>
        </w:tc>
        <w:tc>
          <w:tcPr>
            <w:tcW w:w="607" w:type="pct"/>
            <w:vMerge w:val="continue"/>
            <w:tcBorders>
              <w:left w:val="single" w:color="auto" w:sz="4" w:space="0"/>
              <w:bottom w:val="single" w:color="auto" w:sz="4" w:space="0"/>
              <w:right w:val="single" w:color="auto" w:sz="4" w:space="0"/>
            </w:tcBorders>
            <w:vAlign w:val="center"/>
          </w:tcPr>
          <w:p w14:paraId="509FA0E8">
            <w:pPr>
              <w:spacing w:line="240" w:lineRule="auto"/>
              <w:jc w:val="center"/>
              <w:rPr>
                <w:rFonts w:cs="Times New Roman"/>
                <w:sz w:val="21"/>
                <w:szCs w:val="21"/>
              </w:rPr>
            </w:pPr>
          </w:p>
        </w:tc>
        <w:tc>
          <w:tcPr>
            <w:tcW w:w="607" w:type="pct"/>
            <w:tcBorders>
              <w:top w:val="single" w:color="auto" w:sz="4" w:space="0"/>
              <w:left w:val="single" w:color="auto" w:sz="4" w:space="0"/>
              <w:bottom w:val="single" w:color="auto" w:sz="4" w:space="0"/>
              <w:right w:val="single" w:color="auto" w:sz="4" w:space="0"/>
            </w:tcBorders>
            <w:vAlign w:val="center"/>
          </w:tcPr>
          <w:p w14:paraId="16ECB26F">
            <w:pPr>
              <w:spacing w:line="240" w:lineRule="auto"/>
              <w:jc w:val="center"/>
              <w:rPr>
                <w:rFonts w:cs="Times New Roman"/>
                <w:sz w:val="21"/>
                <w:szCs w:val="21"/>
              </w:rPr>
            </w:pPr>
            <w:r>
              <w:rPr>
                <w:rFonts w:cs="Times New Roman"/>
                <w:sz w:val="21"/>
                <w:szCs w:val="21"/>
              </w:rPr>
              <w:t>其他</w:t>
            </w:r>
          </w:p>
        </w:tc>
        <w:tc>
          <w:tcPr>
            <w:tcW w:w="833" w:type="pct"/>
            <w:tcBorders>
              <w:top w:val="single" w:color="auto" w:sz="4" w:space="0"/>
              <w:left w:val="single" w:color="auto" w:sz="4" w:space="0"/>
              <w:bottom w:val="single" w:color="auto" w:sz="4" w:space="0"/>
              <w:right w:val="single" w:color="auto" w:sz="4" w:space="0"/>
            </w:tcBorders>
            <w:vAlign w:val="center"/>
          </w:tcPr>
          <w:p w14:paraId="1186111D">
            <w:pPr>
              <w:spacing w:line="240" w:lineRule="auto"/>
              <w:jc w:val="center"/>
              <w:rPr>
                <w:rFonts w:cs="Times New Roman"/>
                <w:sz w:val="21"/>
                <w:szCs w:val="21"/>
              </w:rPr>
            </w:pPr>
            <w:r>
              <w:rPr>
                <w:rFonts w:cs="Times New Roman"/>
                <w:sz w:val="21"/>
                <w:szCs w:val="21"/>
              </w:rPr>
              <w:t>40</w:t>
            </w:r>
          </w:p>
        </w:tc>
        <w:tc>
          <w:tcPr>
            <w:tcW w:w="833" w:type="pct"/>
            <w:tcBorders>
              <w:top w:val="single" w:color="auto" w:sz="4" w:space="0"/>
              <w:left w:val="single" w:color="auto" w:sz="4" w:space="0"/>
              <w:bottom w:val="single" w:color="auto" w:sz="4" w:space="0"/>
              <w:right w:val="single" w:color="auto" w:sz="4" w:space="0"/>
            </w:tcBorders>
            <w:vAlign w:val="center"/>
          </w:tcPr>
          <w:p w14:paraId="5F4B2F45">
            <w:pPr>
              <w:spacing w:line="240" w:lineRule="auto"/>
              <w:jc w:val="center"/>
              <w:rPr>
                <w:rFonts w:cs="Times New Roman"/>
                <w:sz w:val="21"/>
                <w:szCs w:val="21"/>
              </w:rPr>
            </w:pPr>
            <w:r>
              <w:rPr>
                <w:rFonts w:cs="Times New Roman"/>
                <w:sz w:val="21"/>
                <w:szCs w:val="21"/>
              </w:rPr>
              <w:t>40</w:t>
            </w:r>
          </w:p>
        </w:tc>
        <w:tc>
          <w:tcPr>
            <w:tcW w:w="833" w:type="pct"/>
            <w:tcBorders>
              <w:top w:val="single" w:color="auto" w:sz="4" w:space="0"/>
              <w:left w:val="single" w:color="auto" w:sz="4" w:space="0"/>
              <w:bottom w:val="single" w:color="auto" w:sz="4" w:space="0"/>
              <w:right w:val="single" w:color="auto" w:sz="4" w:space="0"/>
            </w:tcBorders>
            <w:vAlign w:val="center"/>
          </w:tcPr>
          <w:p w14:paraId="62614A93">
            <w:pPr>
              <w:spacing w:line="240" w:lineRule="auto"/>
              <w:jc w:val="center"/>
              <w:rPr>
                <w:rFonts w:cs="Times New Roman"/>
                <w:sz w:val="21"/>
                <w:szCs w:val="21"/>
              </w:rPr>
            </w:pPr>
            <w:r>
              <w:rPr>
                <w:rFonts w:cs="Times New Roman"/>
                <w:sz w:val="21"/>
                <w:szCs w:val="21"/>
              </w:rPr>
              <w:t>30</w:t>
            </w:r>
          </w:p>
        </w:tc>
        <w:tc>
          <w:tcPr>
            <w:tcW w:w="832" w:type="pct"/>
            <w:tcBorders>
              <w:top w:val="single" w:color="auto" w:sz="4" w:space="0"/>
              <w:left w:val="single" w:color="auto" w:sz="4" w:space="0"/>
              <w:bottom w:val="single" w:color="auto" w:sz="4" w:space="0"/>
              <w:right w:val="single" w:color="auto" w:sz="4" w:space="0"/>
            </w:tcBorders>
            <w:vAlign w:val="center"/>
          </w:tcPr>
          <w:p w14:paraId="4976C171">
            <w:pPr>
              <w:spacing w:line="240" w:lineRule="auto"/>
              <w:jc w:val="center"/>
              <w:rPr>
                <w:rFonts w:cs="Times New Roman"/>
                <w:sz w:val="21"/>
                <w:szCs w:val="21"/>
              </w:rPr>
            </w:pPr>
            <w:r>
              <w:rPr>
                <w:rFonts w:cs="Times New Roman"/>
                <w:sz w:val="21"/>
                <w:szCs w:val="21"/>
              </w:rPr>
              <w:t>25</w:t>
            </w:r>
          </w:p>
        </w:tc>
      </w:tr>
      <w:tr w14:paraId="4FAC0E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5" w:type="pct"/>
            <w:vMerge w:val="restart"/>
            <w:tcBorders>
              <w:top w:val="single" w:color="auto" w:sz="4" w:space="0"/>
              <w:left w:val="single" w:color="auto" w:sz="4" w:space="0"/>
              <w:right w:val="single" w:color="auto" w:sz="4" w:space="0"/>
            </w:tcBorders>
            <w:vAlign w:val="center"/>
          </w:tcPr>
          <w:p w14:paraId="3CE0B12E">
            <w:pPr>
              <w:spacing w:line="240" w:lineRule="auto"/>
              <w:jc w:val="center"/>
              <w:rPr>
                <w:rFonts w:cs="Times New Roman"/>
                <w:sz w:val="21"/>
                <w:szCs w:val="21"/>
              </w:rPr>
            </w:pPr>
            <w:r>
              <w:rPr>
                <w:rFonts w:cs="Times New Roman"/>
                <w:sz w:val="21"/>
                <w:szCs w:val="21"/>
              </w:rPr>
              <w:t>4</w:t>
            </w:r>
          </w:p>
        </w:tc>
        <w:tc>
          <w:tcPr>
            <w:tcW w:w="607" w:type="pct"/>
            <w:vMerge w:val="restart"/>
            <w:tcBorders>
              <w:top w:val="single" w:color="auto" w:sz="4" w:space="0"/>
              <w:left w:val="single" w:color="auto" w:sz="4" w:space="0"/>
              <w:right w:val="single" w:color="auto" w:sz="4" w:space="0"/>
            </w:tcBorders>
            <w:vAlign w:val="center"/>
          </w:tcPr>
          <w:p w14:paraId="12F9F706">
            <w:pPr>
              <w:spacing w:line="240" w:lineRule="auto"/>
              <w:jc w:val="center"/>
              <w:rPr>
                <w:rFonts w:cs="Times New Roman"/>
                <w:sz w:val="21"/>
                <w:szCs w:val="21"/>
              </w:rPr>
            </w:pPr>
            <w:r>
              <w:rPr>
                <w:rFonts w:cs="Times New Roman"/>
                <w:sz w:val="21"/>
                <w:szCs w:val="21"/>
              </w:rPr>
              <w:t>铅</w:t>
            </w:r>
          </w:p>
        </w:tc>
        <w:tc>
          <w:tcPr>
            <w:tcW w:w="607" w:type="pct"/>
            <w:tcBorders>
              <w:top w:val="single" w:color="auto" w:sz="4" w:space="0"/>
              <w:left w:val="single" w:color="auto" w:sz="4" w:space="0"/>
              <w:bottom w:val="single" w:color="auto" w:sz="4" w:space="0"/>
              <w:right w:val="single" w:color="auto" w:sz="4" w:space="0"/>
            </w:tcBorders>
            <w:vAlign w:val="center"/>
          </w:tcPr>
          <w:p w14:paraId="1A865555">
            <w:pPr>
              <w:spacing w:line="240" w:lineRule="auto"/>
              <w:jc w:val="center"/>
              <w:rPr>
                <w:rFonts w:cs="Times New Roman"/>
                <w:sz w:val="21"/>
                <w:szCs w:val="21"/>
              </w:rPr>
            </w:pPr>
            <w:r>
              <w:rPr>
                <w:rFonts w:cs="Times New Roman"/>
                <w:sz w:val="21"/>
                <w:szCs w:val="21"/>
              </w:rPr>
              <w:t>水田</w:t>
            </w:r>
          </w:p>
        </w:tc>
        <w:tc>
          <w:tcPr>
            <w:tcW w:w="833" w:type="pct"/>
            <w:tcBorders>
              <w:top w:val="single" w:color="auto" w:sz="4" w:space="0"/>
              <w:left w:val="single" w:color="auto" w:sz="4" w:space="0"/>
              <w:bottom w:val="single" w:color="auto" w:sz="4" w:space="0"/>
              <w:right w:val="single" w:color="auto" w:sz="4" w:space="0"/>
            </w:tcBorders>
            <w:vAlign w:val="center"/>
          </w:tcPr>
          <w:p w14:paraId="2E84618A">
            <w:pPr>
              <w:spacing w:line="240" w:lineRule="auto"/>
              <w:jc w:val="center"/>
              <w:rPr>
                <w:rFonts w:cs="Times New Roman"/>
                <w:sz w:val="21"/>
                <w:szCs w:val="21"/>
              </w:rPr>
            </w:pPr>
            <w:r>
              <w:rPr>
                <w:rFonts w:cs="Times New Roman"/>
                <w:sz w:val="21"/>
                <w:szCs w:val="21"/>
              </w:rPr>
              <w:t>80</w:t>
            </w:r>
          </w:p>
        </w:tc>
        <w:tc>
          <w:tcPr>
            <w:tcW w:w="833" w:type="pct"/>
            <w:tcBorders>
              <w:top w:val="single" w:color="auto" w:sz="4" w:space="0"/>
              <w:left w:val="single" w:color="auto" w:sz="4" w:space="0"/>
              <w:bottom w:val="single" w:color="auto" w:sz="4" w:space="0"/>
              <w:right w:val="single" w:color="auto" w:sz="4" w:space="0"/>
            </w:tcBorders>
            <w:vAlign w:val="center"/>
          </w:tcPr>
          <w:p w14:paraId="279EC5CC">
            <w:pPr>
              <w:spacing w:line="240" w:lineRule="auto"/>
              <w:jc w:val="center"/>
              <w:rPr>
                <w:rFonts w:cs="Times New Roman"/>
                <w:sz w:val="21"/>
                <w:szCs w:val="21"/>
              </w:rPr>
            </w:pPr>
            <w:r>
              <w:rPr>
                <w:rFonts w:cs="Times New Roman"/>
                <w:sz w:val="21"/>
                <w:szCs w:val="21"/>
              </w:rPr>
              <w:t>100</w:t>
            </w:r>
          </w:p>
        </w:tc>
        <w:tc>
          <w:tcPr>
            <w:tcW w:w="833" w:type="pct"/>
            <w:tcBorders>
              <w:top w:val="single" w:color="auto" w:sz="4" w:space="0"/>
              <w:left w:val="single" w:color="auto" w:sz="4" w:space="0"/>
              <w:bottom w:val="single" w:color="auto" w:sz="4" w:space="0"/>
              <w:right w:val="single" w:color="auto" w:sz="4" w:space="0"/>
            </w:tcBorders>
            <w:vAlign w:val="center"/>
          </w:tcPr>
          <w:p w14:paraId="1116F4B6">
            <w:pPr>
              <w:spacing w:line="240" w:lineRule="auto"/>
              <w:jc w:val="center"/>
              <w:rPr>
                <w:rFonts w:cs="Times New Roman"/>
                <w:sz w:val="21"/>
                <w:szCs w:val="21"/>
              </w:rPr>
            </w:pPr>
            <w:r>
              <w:rPr>
                <w:rFonts w:cs="Times New Roman"/>
                <w:sz w:val="21"/>
                <w:szCs w:val="21"/>
              </w:rPr>
              <w:t>140</w:t>
            </w:r>
          </w:p>
        </w:tc>
        <w:tc>
          <w:tcPr>
            <w:tcW w:w="832" w:type="pct"/>
            <w:tcBorders>
              <w:top w:val="single" w:color="auto" w:sz="4" w:space="0"/>
              <w:left w:val="single" w:color="auto" w:sz="4" w:space="0"/>
              <w:bottom w:val="single" w:color="auto" w:sz="4" w:space="0"/>
              <w:right w:val="single" w:color="auto" w:sz="4" w:space="0"/>
            </w:tcBorders>
            <w:vAlign w:val="center"/>
          </w:tcPr>
          <w:p w14:paraId="38B6962D">
            <w:pPr>
              <w:spacing w:line="240" w:lineRule="auto"/>
              <w:jc w:val="center"/>
              <w:rPr>
                <w:rFonts w:cs="Times New Roman"/>
                <w:sz w:val="21"/>
                <w:szCs w:val="21"/>
              </w:rPr>
            </w:pPr>
            <w:r>
              <w:rPr>
                <w:rFonts w:cs="Times New Roman"/>
                <w:sz w:val="21"/>
                <w:szCs w:val="21"/>
              </w:rPr>
              <w:t>240</w:t>
            </w:r>
          </w:p>
        </w:tc>
      </w:tr>
      <w:tr w14:paraId="3E6654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5" w:type="pct"/>
            <w:vMerge w:val="continue"/>
            <w:tcBorders>
              <w:left w:val="single" w:color="auto" w:sz="4" w:space="0"/>
              <w:bottom w:val="single" w:color="auto" w:sz="4" w:space="0"/>
              <w:right w:val="single" w:color="auto" w:sz="4" w:space="0"/>
            </w:tcBorders>
            <w:vAlign w:val="center"/>
          </w:tcPr>
          <w:p w14:paraId="16BC8E0B">
            <w:pPr>
              <w:spacing w:line="240" w:lineRule="auto"/>
              <w:jc w:val="center"/>
              <w:rPr>
                <w:rFonts w:cs="Times New Roman"/>
                <w:sz w:val="21"/>
                <w:szCs w:val="21"/>
              </w:rPr>
            </w:pPr>
          </w:p>
        </w:tc>
        <w:tc>
          <w:tcPr>
            <w:tcW w:w="607" w:type="pct"/>
            <w:vMerge w:val="continue"/>
            <w:tcBorders>
              <w:left w:val="single" w:color="auto" w:sz="4" w:space="0"/>
              <w:bottom w:val="single" w:color="auto" w:sz="4" w:space="0"/>
              <w:right w:val="single" w:color="auto" w:sz="4" w:space="0"/>
            </w:tcBorders>
            <w:vAlign w:val="center"/>
          </w:tcPr>
          <w:p w14:paraId="5AA20B7E">
            <w:pPr>
              <w:spacing w:line="240" w:lineRule="auto"/>
              <w:jc w:val="center"/>
              <w:rPr>
                <w:rFonts w:cs="Times New Roman"/>
                <w:sz w:val="21"/>
                <w:szCs w:val="21"/>
              </w:rPr>
            </w:pPr>
          </w:p>
        </w:tc>
        <w:tc>
          <w:tcPr>
            <w:tcW w:w="607" w:type="pct"/>
            <w:tcBorders>
              <w:top w:val="single" w:color="auto" w:sz="4" w:space="0"/>
              <w:left w:val="single" w:color="auto" w:sz="4" w:space="0"/>
              <w:bottom w:val="single" w:color="auto" w:sz="4" w:space="0"/>
              <w:right w:val="single" w:color="auto" w:sz="4" w:space="0"/>
            </w:tcBorders>
            <w:vAlign w:val="center"/>
          </w:tcPr>
          <w:p w14:paraId="159FD644">
            <w:pPr>
              <w:spacing w:line="240" w:lineRule="auto"/>
              <w:jc w:val="center"/>
              <w:rPr>
                <w:rFonts w:cs="Times New Roman"/>
                <w:sz w:val="21"/>
                <w:szCs w:val="21"/>
              </w:rPr>
            </w:pPr>
            <w:r>
              <w:rPr>
                <w:rFonts w:cs="Times New Roman"/>
                <w:sz w:val="21"/>
                <w:szCs w:val="21"/>
              </w:rPr>
              <w:t>其他</w:t>
            </w:r>
          </w:p>
        </w:tc>
        <w:tc>
          <w:tcPr>
            <w:tcW w:w="833" w:type="pct"/>
            <w:tcBorders>
              <w:top w:val="single" w:color="auto" w:sz="4" w:space="0"/>
              <w:left w:val="single" w:color="auto" w:sz="4" w:space="0"/>
              <w:bottom w:val="single" w:color="auto" w:sz="4" w:space="0"/>
              <w:right w:val="single" w:color="auto" w:sz="4" w:space="0"/>
            </w:tcBorders>
            <w:vAlign w:val="center"/>
          </w:tcPr>
          <w:p w14:paraId="2FEB9AFD">
            <w:pPr>
              <w:spacing w:line="240" w:lineRule="auto"/>
              <w:jc w:val="center"/>
              <w:rPr>
                <w:rFonts w:cs="Times New Roman"/>
                <w:sz w:val="21"/>
                <w:szCs w:val="21"/>
              </w:rPr>
            </w:pPr>
            <w:r>
              <w:rPr>
                <w:rFonts w:cs="Times New Roman"/>
                <w:sz w:val="21"/>
                <w:szCs w:val="21"/>
              </w:rPr>
              <w:t>70</w:t>
            </w:r>
          </w:p>
        </w:tc>
        <w:tc>
          <w:tcPr>
            <w:tcW w:w="833" w:type="pct"/>
            <w:tcBorders>
              <w:top w:val="single" w:color="auto" w:sz="4" w:space="0"/>
              <w:left w:val="single" w:color="auto" w:sz="4" w:space="0"/>
              <w:bottom w:val="single" w:color="auto" w:sz="4" w:space="0"/>
              <w:right w:val="single" w:color="auto" w:sz="4" w:space="0"/>
            </w:tcBorders>
            <w:vAlign w:val="center"/>
          </w:tcPr>
          <w:p w14:paraId="7CA59CCB">
            <w:pPr>
              <w:spacing w:line="240" w:lineRule="auto"/>
              <w:jc w:val="center"/>
              <w:rPr>
                <w:rFonts w:cs="Times New Roman"/>
                <w:sz w:val="21"/>
                <w:szCs w:val="21"/>
              </w:rPr>
            </w:pPr>
            <w:r>
              <w:rPr>
                <w:rFonts w:cs="Times New Roman"/>
                <w:sz w:val="21"/>
                <w:szCs w:val="21"/>
              </w:rPr>
              <w:t>90</w:t>
            </w:r>
          </w:p>
        </w:tc>
        <w:tc>
          <w:tcPr>
            <w:tcW w:w="833" w:type="pct"/>
            <w:tcBorders>
              <w:top w:val="single" w:color="auto" w:sz="4" w:space="0"/>
              <w:left w:val="single" w:color="auto" w:sz="4" w:space="0"/>
              <w:bottom w:val="single" w:color="auto" w:sz="4" w:space="0"/>
              <w:right w:val="single" w:color="auto" w:sz="4" w:space="0"/>
            </w:tcBorders>
            <w:vAlign w:val="center"/>
          </w:tcPr>
          <w:p w14:paraId="787D237C">
            <w:pPr>
              <w:spacing w:line="240" w:lineRule="auto"/>
              <w:jc w:val="center"/>
              <w:rPr>
                <w:rFonts w:cs="Times New Roman"/>
                <w:sz w:val="21"/>
                <w:szCs w:val="21"/>
              </w:rPr>
            </w:pPr>
            <w:r>
              <w:rPr>
                <w:rFonts w:cs="Times New Roman"/>
                <w:sz w:val="21"/>
                <w:szCs w:val="21"/>
              </w:rPr>
              <w:t>120</w:t>
            </w:r>
          </w:p>
        </w:tc>
        <w:tc>
          <w:tcPr>
            <w:tcW w:w="832" w:type="pct"/>
            <w:tcBorders>
              <w:top w:val="single" w:color="auto" w:sz="4" w:space="0"/>
              <w:left w:val="single" w:color="auto" w:sz="4" w:space="0"/>
              <w:bottom w:val="single" w:color="auto" w:sz="4" w:space="0"/>
              <w:right w:val="single" w:color="auto" w:sz="4" w:space="0"/>
            </w:tcBorders>
            <w:vAlign w:val="center"/>
          </w:tcPr>
          <w:p w14:paraId="73C7431B">
            <w:pPr>
              <w:spacing w:line="240" w:lineRule="auto"/>
              <w:jc w:val="center"/>
              <w:rPr>
                <w:rFonts w:cs="Times New Roman"/>
                <w:sz w:val="21"/>
                <w:szCs w:val="21"/>
              </w:rPr>
            </w:pPr>
            <w:r>
              <w:rPr>
                <w:rFonts w:cs="Times New Roman"/>
                <w:sz w:val="21"/>
                <w:szCs w:val="21"/>
              </w:rPr>
              <w:t>170</w:t>
            </w:r>
          </w:p>
        </w:tc>
      </w:tr>
      <w:tr w14:paraId="07BD9F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5" w:type="pct"/>
            <w:vMerge w:val="restart"/>
            <w:tcBorders>
              <w:top w:val="single" w:color="auto" w:sz="4" w:space="0"/>
              <w:left w:val="single" w:color="auto" w:sz="4" w:space="0"/>
              <w:right w:val="single" w:color="auto" w:sz="4" w:space="0"/>
            </w:tcBorders>
            <w:vAlign w:val="center"/>
          </w:tcPr>
          <w:p w14:paraId="76CF1468">
            <w:pPr>
              <w:spacing w:line="240" w:lineRule="auto"/>
              <w:jc w:val="center"/>
              <w:rPr>
                <w:rFonts w:cs="Times New Roman"/>
                <w:sz w:val="21"/>
                <w:szCs w:val="21"/>
              </w:rPr>
            </w:pPr>
            <w:r>
              <w:rPr>
                <w:rFonts w:cs="Times New Roman"/>
                <w:sz w:val="21"/>
                <w:szCs w:val="21"/>
              </w:rPr>
              <w:t>5</w:t>
            </w:r>
          </w:p>
        </w:tc>
        <w:tc>
          <w:tcPr>
            <w:tcW w:w="607" w:type="pct"/>
            <w:vMerge w:val="restart"/>
            <w:tcBorders>
              <w:top w:val="single" w:color="auto" w:sz="4" w:space="0"/>
              <w:left w:val="single" w:color="auto" w:sz="4" w:space="0"/>
              <w:right w:val="single" w:color="auto" w:sz="4" w:space="0"/>
            </w:tcBorders>
            <w:vAlign w:val="center"/>
          </w:tcPr>
          <w:p w14:paraId="014EC9E1">
            <w:pPr>
              <w:spacing w:line="240" w:lineRule="auto"/>
              <w:jc w:val="center"/>
              <w:rPr>
                <w:rFonts w:cs="Times New Roman"/>
                <w:sz w:val="21"/>
                <w:szCs w:val="21"/>
              </w:rPr>
            </w:pPr>
            <w:r>
              <w:rPr>
                <w:rFonts w:cs="Times New Roman"/>
                <w:sz w:val="21"/>
                <w:szCs w:val="21"/>
              </w:rPr>
              <w:t>铬</w:t>
            </w:r>
          </w:p>
        </w:tc>
        <w:tc>
          <w:tcPr>
            <w:tcW w:w="607" w:type="pct"/>
            <w:tcBorders>
              <w:top w:val="single" w:color="auto" w:sz="4" w:space="0"/>
              <w:left w:val="single" w:color="auto" w:sz="4" w:space="0"/>
              <w:bottom w:val="single" w:color="auto" w:sz="4" w:space="0"/>
              <w:right w:val="single" w:color="auto" w:sz="4" w:space="0"/>
            </w:tcBorders>
            <w:vAlign w:val="center"/>
          </w:tcPr>
          <w:p w14:paraId="46A36606">
            <w:pPr>
              <w:spacing w:line="240" w:lineRule="auto"/>
              <w:jc w:val="center"/>
              <w:rPr>
                <w:rFonts w:cs="Times New Roman"/>
                <w:sz w:val="21"/>
                <w:szCs w:val="21"/>
              </w:rPr>
            </w:pPr>
            <w:r>
              <w:rPr>
                <w:rFonts w:cs="Times New Roman"/>
                <w:sz w:val="21"/>
                <w:szCs w:val="21"/>
              </w:rPr>
              <w:t>水田</w:t>
            </w:r>
          </w:p>
        </w:tc>
        <w:tc>
          <w:tcPr>
            <w:tcW w:w="833" w:type="pct"/>
            <w:tcBorders>
              <w:top w:val="single" w:color="auto" w:sz="4" w:space="0"/>
              <w:left w:val="single" w:color="auto" w:sz="4" w:space="0"/>
              <w:bottom w:val="single" w:color="auto" w:sz="4" w:space="0"/>
              <w:right w:val="single" w:color="auto" w:sz="4" w:space="0"/>
            </w:tcBorders>
            <w:vAlign w:val="center"/>
          </w:tcPr>
          <w:p w14:paraId="058DD13F">
            <w:pPr>
              <w:spacing w:line="240" w:lineRule="auto"/>
              <w:jc w:val="center"/>
              <w:rPr>
                <w:rFonts w:cs="Times New Roman"/>
                <w:sz w:val="21"/>
                <w:szCs w:val="21"/>
              </w:rPr>
            </w:pPr>
            <w:r>
              <w:rPr>
                <w:rFonts w:cs="Times New Roman"/>
                <w:sz w:val="21"/>
                <w:szCs w:val="21"/>
              </w:rPr>
              <w:t>250</w:t>
            </w:r>
          </w:p>
        </w:tc>
        <w:tc>
          <w:tcPr>
            <w:tcW w:w="833" w:type="pct"/>
            <w:tcBorders>
              <w:top w:val="single" w:color="auto" w:sz="4" w:space="0"/>
              <w:left w:val="single" w:color="auto" w:sz="4" w:space="0"/>
              <w:bottom w:val="single" w:color="auto" w:sz="4" w:space="0"/>
              <w:right w:val="single" w:color="auto" w:sz="4" w:space="0"/>
            </w:tcBorders>
            <w:vAlign w:val="center"/>
          </w:tcPr>
          <w:p w14:paraId="2CA10D65">
            <w:pPr>
              <w:spacing w:line="240" w:lineRule="auto"/>
              <w:jc w:val="center"/>
              <w:rPr>
                <w:rFonts w:cs="Times New Roman"/>
                <w:sz w:val="21"/>
                <w:szCs w:val="21"/>
              </w:rPr>
            </w:pPr>
            <w:r>
              <w:rPr>
                <w:rFonts w:cs="Times New Roman"/>
                <w:sz w:val="21"/>
                <w:szCs w:val="21"/>
              </w:rPr>
              <w:t>250</w:t>
            </w:r>
          </w:p>
        </w:tc>
        <w:tc>
          <w:tcPr>
            <w:tcW w:w="833" w:type="pct"/>
            <w:tcBorders>
              <w:top w:val="single" w:color="auto" w:sz="4" w:space="0"/>
              <w:left w:val="single" w:color="auto" w:sz="4" w:space="0"/>
              <w:bottom w:val="single" w:color="auto" w:sz="4" w:space="0"/>
              <w:right w:val="single" w:color="auto" w:sz="4" w:space="0"/>
            </w:tcBorders>
            <w:vAlign w:val="center"/>
          </w:tcPr>
          <w:p w14:paraId="398B9550">
            <w:pPr>
              <w:spacing w:line="240" w:lineRule="auto"/>
              <w:jc w:val="center"/>
              <w:rPr>
                <w:rFonts w:cs="Times New Roman"/>
                <w:sz w:val="21"/>
                <w:szCs w:val="21"/>
              </w:rPr>
            </w:pPr>
            <w:r>
              <w:rPr>
                <w:rFonts w:cs="Times New Roman"/>
                <w:sz w:val="21"/>
                <w:szCs w:val="21"/>
              </w:rPr>
              <w:t>300</w:t>
            </w:r>
          </w:p>
        </w:tc>
        <w:tc>
          <w:tcPr>
            <w:tcW w:w="832" w:type="pct"/>
            <w:tcBorders>
              <w:top w:val="single" w:color="auto" w:sz="4" w:space="0"/>
              <w:left w:val="single" w:color="auto" w:sz="4" w:space="0"/>
              <w:bottom w:val="single" w:color="auto" w:sz="4" w:space="0"/>
              <w:right w:val="single" w:color="auto" w:sz="4" w:space="0"/>
            </w:tcBorders>
            <w:vAlign w:val="center"/>
          </w:tcPr>
          <w:p w14:paraId="3AEBEBB0">
            <w:pPr>
              <w:spacing w:line="240" w:lineRule="auto"/>
              <w:jc w:val="center"/>
              <w:rPr>
                <w:rFonts w:cs="Times New Roman"/>
                <w:sz w:val="21"/>
                <w:szCs w:val="21"/>
              </w:rPr>
            </w:pPr>
            <w:r>
              <w:rPr>
                <w:rFonts w:cs="Times New Roman"/>
                <w:sz w:val="21"/>
                <w:szCs w:val="21"/>
              </w:rPr>
              <w:t>350</w:t>
            </w:r>
          </w:p>
        </w:tc>
      </w:tr>
      <w:tr w14:paraId="3CC156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5" w:type="pct"/>
            <w:vMerge w:val="continue"/>
            <w:tcBorders>
              <w:left w:val="single" w:color="auto" w:sz="4" w:space="0"/>
              <w:bottom w:val="single" w:color="auto" w:sz="4" w:space="0"/>
              <w:right w:val="single" w:color="auto" w:sz="4" w:space="0"/>
            </w:tcBorders>
            <w:vAlign w:val="center"/>
          </w:tcPr>
          <w:p w14:paraId="10A35012">
            <w:pPr>
              <w:spacing w:line="240" w:lineRule="auto"/>
              <w:jc w:val="center"/>
              <w:rPr>
                <w:rFonts w:cs="Times New Roman"/>
                <w:sz w:val="21"/>
                <w:szCs w:val="21"/>
              </w:rPr>
            </w:pPr>
          </w:p>
        </w:tc>
        <w:tc>
          <w:tcPr>
            <w:tcW w:w="607" w:type="pct"/>
            <w:vMerge w:val="continue"/>
            <w:tcBorders>
              <w:left w:val="single" w:color="auto" w:sz="4" w:space="0"/>
              <w:bottom w:val="single" w:color="auto" w:sz="4" w:space="0"/>
              <w:right w:val="single" w:color="auto" w:sz="4" w:space="0"/>
            </w:tcBorders>
            <w:vAlign w:val="center"/>
          </w:tcPr>
          <w:p w14:paraId="64437A0F">
            <w:pPr>
              <w:spacing w:line="240" w:lineRule="auto"/>
              <w:jc w:val="center"/>
              <w:rPr>
                <w:rFonts w:cs="Times New Roman"/>
                <w:sz w:val="21"/>
                <w:szCs w:val="21"/>
              </w:rPr>
            </w:pPr>
          </w:p>
        </w:tc>
        <w:tc>
          <w:tcPr>
            <w:tcW w:w="607" w:type="pct"/>
            <w:tcBorders>
              <w:top w:val="single" w:color="auto" w:sz="4" w:space="0"/>
              <w:left w:val="single" w:color="auto" w:sz="4" w:space="0"/>
              <w:bottom w:val="single" w:color="auto" w:sz="4" w:space="0"/>
              <w:right w:val="single" w:color="auto" w:sz="4" w:space="0"/>
            </w:tcBorders>
            <w:vAlign w:val="center"/>
          </w:tcPr>
          <w:p w14:paraId="0BAE8225">
            <w:pPr>
              <w:spacing w:line="240" w:lineRule="auto"/>
              <w:jc w:val="center"/>
              <w:rPr>
                <w:rFonts w:cs="Times New Roman"/>
                <w:sz w:val="21"/>
                <w:szCs w:val="21"/>
              </w:rPr>
            </w:pPr>
            <w:r>
              <w:rPr>
                <w:rFonts w:cs="Times New Roman"/>
                <w:sz w:val="21"/>
                <w:szCs w:val="21"/>
              </w:rPr>
              <w:t>其他</w:t>
            </w:r>
          </w:p>
        </w:tc>
        <w:tc>
          <w:tcPr>
            <w:tcW w:w="833" w:type="pct"/>
            <w:tcBorders>
              <w:top w:val="single" w:color="auto" w:sz="4" w:space="0"/>
              <w:left w:val="single" w:color="auto" w:sz="4" w:space="0"/>
              <w:bottom w:val="single" w:color="auto" w:sz="4" w:space="0"/>
              <w:right w:val="single" w:color="auto" w:sz="4" w:space="0"/>
            </w:tcBorders>
            <w:vAlign w:val="center"/>
          </w:tcPr>
          <w:p w14:paraId="40C3801C">
            <w:pPr>
              <w:spacing w:line="240" w:lineRule="auto"/>
              <w:jc w:val="center"/>
              <w:rPr>
                <w:rFonts w:cs="Times New Roman"/>
                <w:sz w:val="21"/>
                <w:szCs w:val="21"/>
              </w:rPr>
            </w:pPr>
            <w:r>
              <w:rPr>
                <w:rFonts w:cs="Times New Roman"/>
                <w:sz w:val="21"/>
                <w:szCs w:val="21"/>
              </w:rPr>
              <w:t>150</w:t>
            </w:r>
          </w:p>
        </w:tc>
        <w:tc>
          <w:tcPr>
            <w:tcW w:w="833" w:type="pct"/>
            <w:tcBorders>
              <w:top w:val="single" w:color="auto" w:sz="4" w:space="0"/>
              <w:left w:val="single" w:color="auto" w:sz="4" w:space="0"/>
              <w:bottom w:val="single" w:color="auto" w:sz="4" w:space="0"/>
              <w:right w:val="single" w:color="auto" w:sz="4" w:space="0"/>
            </w:tcBorders>
            <w:vAlign w:val="center"/>
          </w:tcPr>
          <w:p w14:paraId="271694A1">
            <w:pPr>
              <w:spacing w:line="240" w:lineRule="auto"/>
              <w:jc w:val="center"/>
              <w:rPr>
                <w:rFonts w:cs="Times New Roman"/>
                <w:sz w:val="21"/>
                <w:szCs w:val="21"/>
              </w:rPr>
            </w:pPr>
            <w:r>
              <w:rPr>
                <w:rFonts w:cs="Times New Roman"/>
                <w:sz w:val="21"/>
                <w:szCs w:val="21"/>
              </w:rPr>
              <w:t>150</w:t>
            </w:r>
          </w:p>
        </w:tc>
        <w:tc>
          <w:tcPr>
            <w:tcW w:w="833" w:type="pct"/>
            <w:tcBorders>
              <w:top w:val="single" w:color="auto" w:sz="4" w:space="0"/>
              <w:left w:val="single" w:color="auto" w:sz="4" w:space="0"/>
              <w:bottom w:val="single" w:color="auto" w:sz="4" w:space="0"/>
              <w:right w:val="single" w:color="auto" w:sz="4" w:space="0"/>
            </w:tcBorders>
            <w:vAlign w:val="center"/>
          </w:tcPr>
          <w:p w14:paraId="2850B1E4">
            <w:pPr>
              <w:spacing w:line="240" w:lineRule="auto"/>
              <w:jc w:val="center"/>
              <w:rPr>
                <w:rFonts w:cs="Times New Roman"/>
                <w:sz w:val="21"/>
                <w:szCs w:val="21"/>
              </w:rPr>
            </w:pPr>
            <w:r>
              <w:rPr>
                <w:rFonts w:cs="Times New Roman"/>
                <w:sz w:val="21"/>
                <w:szCs w:val="21"/>
              </w:rPr>
              <w:t>200</w:t>
            </w:r>
          </w:p>
        </w:tc>
        <w:tc>
          <w:tcPr>
            <w:tcW w:w="832" w:type="pct"/>
            <w:tcBorders>
              <w:top w:val="single" w:color="auto" w:sz="4" w:space="0"/>
              <w:left w:val="single" w:color="auto" w:sz="4" w:space="0"/>
              <w:bottom w:val="single" w:color="auto" w:sz="4" w:space="0"/>
              <w:right w:val="single" w:color="auto" w:sz="4" w:space="0"/>
            </w:tcBorders>
            <w:vAlign w:val="center"/>
          </w:tcPr>
          <w:p w14:paraId="3AC543A8">
            <w:pPr>
              <w:spacing w:line="240" w:lineRule="auto"/>
              <w:jc w:val="center"/>
              <w:rPr>
                <w:rFonts w:cs="Times New Roman"/>
                <w:sz w:val="21"/>
                <w:szCs w:val="21"/>
              </w:rPr>
            </w:pPr>
            <w:r>
              <w:rPr>
                <w:rFonts w:cs="Times New Roman"/>
                <w:sz w:val="21"/>
                <w:szCs w:val="21"/>
              </w:rPr>
              <w:t>250</w:t>
            </w:r>
          </w:p>
        </w:tc>
      </w:tr>
      <w:tr w14:paraId="2CFF60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5" w:type="pct"/>
            <w:vMerge w:val="restart"/>
            <w:tcBorders>
              <w:top w:val="single" w:color="auto" w:sz="4" w:space="0"/>
              <w:left w:val="single" w:color="auto" w:sz="4" w:space="0"/>
              <w:right w:val="single" w:color="auto" w:sz="4" w:space="0"/>
            </w:tcBorders>
            <w:vAlign w:val="center"/>
          </w:tcPr>
          <w:p w14:paraId="60329194">
            <w:pPr>
              <w:spacing w:line="240" w:lineRule="auto"/>
              <w:jc w:val="center"/>
              <w:rPr>
                <w:rFonts w:cs="Times New Roman"/>
                <w:sz w:val="21"/>
                <w:szCs w:val="21"/>
              </w:rPr>
            </w:pPr>
            <w:r>
              <w:rPr>
                <w:rFonts w:cs="Times New Roman"/>
                <w:sz w:val="21"/>
                <w:szCs w:val="21"/>
              </w:rPr>
              <w:t>6</w:t>
            </w:r>
          </w:p>
        </w:tc>
        <w:tc>
          <w:tcPr>
            <w:tcW w:w="607" w:type="pct"/>
            <w:vMerge w:val="restart"/>
            <w:tcBorders>
              <w:top w:val="single" w:color="auto" w:sz="4" w:space="0"/>
              <w:left w:val="single" w:color="auto" w:sz="4" w:space="0"/>
              <w:right w:val="single" w:color="auto" w:sz="4" w:space="0"/>
            </w:tcBorders>
            <w:vAlign w:val="center"/>
          </w:tcPr>
          <w:p w14:paraId="0F07D607">
            <w:pPr>
              <w:spacing w:line="240" w:lineRule="auto"/>
              <w:jc w:val="center"/>
              <w:rPr>
                <w:rFonts w:cs="Times New Roman"/>
                <w:sz w:val="21"/>
                <w:szCs w:val="21"/>
              </w:rPr>
            </w:pPr>
            <w:r>
              <w:rPr>
                <w:rFonts w:cs="Times New Roman"/>
                <w:sz w:val="21"/>
                <w:szCs w:val="21"/>
              </w:rPr>
              <w:t>铜</w:t>
            </w:r>
          </w:p>
        </w:tc>
        <w:tc>
          <w:tcPr>
            <w:tcW w:w="607" w:type="pct"/>
            <w:tcBorders>
              <w:top w:val="single" w:color="auto" w:sz="4" w:space="0"/>
              <w:left w:val="single" w:color="auto" w:sz="4" w:space="0"/>
              <w:bottom w:val="single" w:color="auto" w:sz="4" w:space="0"/>
              <w:right w:val="single" w:color="auto" w:sz="4" w:space="0"/>
            </w:tcBorders>
            <w:vAlign w:val="center"/>
          </w:tcPr>
          <w:p w14:paraId="3AAA764D">
            <w:pPr>
              <w:spacing w:line="240" w:lineRule="auto"/>
              <w:jc w:val="center"/>
              <w:rPr>
                <w:rFonts w:cs="Times New Roman"/>
                <w:sz w:val="21"/>
                <w:szCs w:val="21"/>
              </w:rPr>
            </w:pPr>
            <w:r>
              <w:rPr>
                <w:rFonts w:cs="Times New Roman"/>
                <w:sz w:val="21"/>
                <w:szCs w:val="21"/>
              </w:rPr>
              <w:t>果园</w:t>
            </w:r>
          </w:p>
        </w:tc>
        <w:tc>
          <w:tcPr>
            <w:tcW w:w="833" w:type="pct"/>
            <w:tcBorders>
              <w:top w:val="single" w:color="auto" w:sz="4" w:space="0"/>
              <w:left w:val="single" w:color="auto" w:sz="4" w:space="0"/>
              <w:bottom w:val="single" w:color="auto" w:sz="4" w:space="0"/>
              <w:right w:val="single" w:color="auto" w:sz="4" w:space="0"/>
            </w:tcBorders>
            <w:vAlign w:val="center"/>
          </w:tcPr>
          <w:p w14:paraId="388944CF">
            <w:pPr>
              <w:spacing w:line="240" w:lineRule="auto"/>
              <w:jc w:val="center"/>
              <w:rPr>
                <w:rFonts w:cs="Times New Roman"/>
                <w:sz w:val="21"/>
                <w:szCs w:val="21"/>
              </w:rPr>
            </w:pPr>
            <w:r>
              <w:rPr>
                <w:rFonts w:cs="Times New Roman"/>
                <w:sz w:val="21"/>
                <w:szCs w:val="21"/>
              </w:rPr>
              <w:t>150</w:t>
            </w:r>
          </w:p>
        </w:tc>
        <w:tc>
          <w:tcPr>
            <w:tcW w:w="833" w:type="pct"/>
            <w:tcBorders>
              <w:top w:val="single" w:color="auto" w:sz="4" w:space="0"/>
              <w:left w:val="single" w:color="auto" w:sz="4" w:space="0"/>
              <w:bottom w:val="single" w:color="auto" w:sz="4" w:space="0"/>
              <w:right w:val="single" w:color="auto" w:sz="4" w:space="0"/>
            </w:tcBorders>
            <w:vAlign w:val="center"/>
          </w:tcPr>
          <w:p w14:paraId="05219511">
            <w:pPr>
              <w:spacing w:line="240" w:lineRule="auto"/>
              <w:jc w:val="center"/>
              <w:rPr>
                <w:rFonts w:cs="Times New Roman"/>
                <w:sz w:val="21"/>
                <w:szCs w:val="21"/>
              </w:rPr>
            </w:pPr>
            <w:r>
              <w:rPr>
                <w:rFonts w:cs="Times New Roman"/>
                <w:sz w:val="21"/>
                <w:szCs w:val="21"/>
              </w:rPr>
              <w:t>150</w:t>
            </w:r>
          </w:p>
        </w:tc>
        <w:tc>
          <w:tcPr>
            <w:tcW w:w="833" w:type="pct"/>
            <w:tcBorders>
              <w:top w:val="single" w:color="auto" w:sz="4" w:space="0"/>
              <w:left w:val="single" w:color="auto" w:sz="4" w:space="0"/>
              <w:bottom w:val="single" w:color="auto" w:sz="4" w:space="0"/>
              <w:right w:val="single" w:color="auto" w:sz="4" w:space="0"/>
            </w:tcBorders>
            <w:vAlign w:val="center"/>
          </w:tcPr>
          <w:p w14:paraId="746054CF">
            <w:pPr>
              <w:spacing w:line="240" w:lineRule="auto"/>
              <w:jc w:val="center"/>
              <w:rPr>
                <w:rFonts w:cs="Times New Roman"/>
                <w:sz w:val="21"/>
                <w:szCs w:val="21"/>
              </w:rPr>
            </w:pPr>
            <w:r>
              <w:rPr>
                <w:rFonts w:cs="Times New Roman"/>
                <w:sz w:val="21"/>
                <w:szCs w:val="21"/>
              </w:rPr>
              <w:t>200</w:t>
            </w:r>
          </w:p>
        </w:tc>
        <w:tc>
          <w:tcPr>
            <w:tcW w:w="832" w:type="pct"/>
            <w:tcBorders>
              <w:top w:val="single" w:color="auto" w:sz="4" w:space="0"/>
              <w:left w:val="single" w:color="auto" w:sz="4" w:space="0"/>
              <w:bottom w:val="single" w:color="auto" w:sz="4" w:space="0"/>
              <w:right w:val="single" w:color="auto" w:sz="4" w:space="0"/>
            </w:tcBorders>
            <w:vAlign w:val="center"/>
          </w:tcPr>
          <w:p w14:paraId="2EA28CC6">
            <w:pPr>
              <w:spacing w:line="240" w:lineRule="auto"/>
              <w:jc w:val="center"/>
              <w:rPr>
                <w:rFonts w:cs="Times New Roman"/>
                <w:sz w:val="21"/>
                <w:szCs w:val="21"/>
              </w:rPr>
            </w:pPr>
            <w:r>
              <w:rPr>
                <w:rFonts w:cs="Times New Roman"/>
                <w:sz w:val="21"/>
                <w:szCs w:val="21"/>
              </w:rPr>
              <w:t>200</w:t>
            </w:r>
          </w:p>
        </w:tc>
      </w:tr>
      <w:tr w14:paraId="266085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5" w:type="pct"/>
            <w:vMerge w:val="continue"/>
            <w:tcBorders>
              <w:left w:val="single" w:color="auto" w:sz="4" w:space="0"/>
              <w:bottom w:val="single" w:color="auto" w:sz="4" w:space="0"/>
              <w:right w:val="single" w:color="auto" w:sz="4" w:space="0"/>
            </w:tcBorders>
            <w:vAlign w:val="center"/>
          </w:tcPr>
          <w:p w14:paraId="5C1D16D3">
            <w:pPr>
              <w:spacing w:line="240" w:lineRule="auto"/>
              <w:jc w:val="center"/>
              <w:rPr>
                <w:rFonts w:cs="Times New Roman"/>
                <w:sz w:val="21"/>
                <w:szCs w:val="21"/>
              </w:rPr>
            </w:pPr>
          </w:p>
        </w:tc>
        <w:tc>
          <w:tcPr>
            <w:tcW w:w="607" w:type="pct"/>
            <w:vMerge w:val="continue"/>
            <w:tcBorders>
              <w:left w:val="single" w:color="auto" w:sz="4" w:space="0"/>
              <w:bottom w:val="single" w:color="auto" w:sz="4" w:space="0"/>
              <w:right w:val="single" w:color="auto" w:sz="4" w:space="0"/>
            </w:tcBorders>
            <w:vAlign w:val="center"/>
          </w:tcPr>
          <w:p w14:paraId="63017BBC">
            <w:pPr>
              <w:spacing w:line="240" w:lineRule="auto"/>
              <w:jc w:val="center"/>
              <w:rPr>
                <w:rFonts w:cs="Times New Roman"/>
                <w:sz w:val="21"/>
                <w:szCs w:val="21"/>
              </w:rPr>
            </w:pPr>
          </w:p>
        </w:tc>
        <w:tc>
          <w:tcPr>
            <w:tcW w:w="607" w:type="pct"/>
            <w:tcBorders>
              <w:top w:val="single" w:color="auto" w:sz="4" w:space="0"/>
              <w:left w:val="single" w:color="auto" w:sz="4" w:space="0"/>
              <w:bottom w:val="single" w:color="auto" w:sz="4" w:space="0"/>
              <w:right w:val="single" w:color="auto" w:sz="4" w:space="0"/>
            </w:tcBorders>
            <w:vAlign w:val="center"/>
          </w:tcPr>
          <w:p w14:paraId="4AF4C864">
            <w:pPr>
              <w:spacing w:line="240" w:lineRule="auto"/>
              <w:jc w:val="center"/>
              <w:rPr>
                <w:rFonts w:cs="Times New Roman"/>
                <w:sz w:val="21"/>
                <w:szCs w:val="21"/>
              </w:rPr>
            </w:pPr>
            <w:r>
              <w:rPr>
                <w:rFonts w:cs="Times New Roman"/>
                <w:sz w:val="21"/>
                <w:szCs w:val="21"/>
              </w:rPr>
              <w:t>其他</w:t>
            </w:r>
          </w:p>
        </w:tc>
        <w:tc>
          <w:tcPr>
            <w:tcW w:w="833" w:type="pct"/>
            <w:tcBorders>
              <w:top w:val="single" w:color="auto" w:sz="4" w:space="0"/>
              <w:left w:val="single" w:color="auto" w:sz="4" w:space="0"/>
              <w:bottom w:val="single" w:color="auto" w:sz="4" w:space="0"/>
              <w:right w:val="single" w:color="auto" w:sz="4" w:space="0"/>
            </w:tcBorders>
            <w:vAlign w:val="center"/>
          </w:tcPr>
          <w:p w14:paraId="2BB89027">
            <w:pPr>
              <w:spacing w:line="240" w:lineRule="auto"/>
              <w:jc w:val="center"/>
              <w:rPr>
                <w:rFonts w:cs="Times New Roman"/>
                <w:sz w:val="21"/>
                <w:szCs w:val="21"/>
              </w:rPr>
            </w:pPr>
            <w:r>
              <w:rPr>
                <w:rFonts w:cs="Times New Roman"/>
                <w:sz w:val="21"/>
                <w:szCs w:val="21"/>
              </w:rPr>
              <w:t>50</w:t>
            </w:r>
          </w:p>
        </w:tc>
        <w:tc>
          <w:tcPr>
            <w:tcW w:w="833" w:type="pct"/>
            <w:tcBorders>
              <w:top w:val="single" w:color="auto" w:sz="4" w:space="0"/>
              <w:left w:val="single" w:color="auto" w:sz="4" w:space="0"/>
              <w:bottom w:val="single" w:color="auto" w:sz="4" w:space="0"/>
              <w:right w:val="single" w:color="auto" w:sz="4" w:space="0"/>
            </w:tcBorders>
            <w:vAlign w:val="center"/>
          </w:tcPr>
          <w:p w14:paraId="627EEA41">
            <w:pPr>
              <w:spacing w:line="240" w:lineRule="auto"/>
              <w:jc w:val="center"/>
              <w:rPr>
                <w:rFonts w:cs="Times New Roman"/>
                <w:sz w:val="21"/>
                <w:szCs w:val="21"/>
              </w:rPr>
            </w:pPr>
            <w:r>
              <w:rPr>
                <w:rFonts w:cs="Times New Roman"/>
                <w:sz w:val="21"/>
                <w:szCs w:val="21"/>
              </w:rPr>
              <w:t>50</w:t>
            </w:r>
          </w:p>
        </w:tc>
        <w:tc>
          <w:tcPr>
            <w:tcW w:w="833" w:type="pct"/>
            <w:tcBorders>
              <w:top w:val="single" w:color="auto" w:sz="4" w:space="0"/>
              <w:left w:val="single" w:color="auto" w:sz="4" w:space="0"/>
              <w:bottom w:val="single" w:color="auto" w:sz="4" w:space="0"/>
              <w:right w:val="single" w:color="auto" w:sz="4" w:space="0"/>
            </w:tcBorders>
            <w:vAlign w:val="center"/>
          </w:tcPr>
          <w:p w14:paraId="39EDA165">
            <w:pPr>
              <w:spacing w:line="240" w:lineRule="auto"/>
              <w:jc w:val="center"/>
              <w:rPr>
                <w:rFonts w:cs="Times New Roman"/>
                <w:sz w:val="21"/>
                <w:szCs w:val="21"/>
              </w:rPr>
            </w:pPr>
            <w:r>
              <w:rPr>
                <w:rFonts w:cs="Times New Roman"/>
                <w:sz w:val="21"/>
                <w:szCs w:val="21"/>
              </w:rPr>
              <w:t>100</w:t>
            </w:r>
          </w:p>
        </w:tc>
        <w:tc>
          <w:tcPr>
            <w:tcW w:w="832" w:type="pct"/>
            <w:tcBorders>
              <w:top w:val="single" w:color="auto" w:sz="4" w:space="0"/>
              <w:left w:val="single" w:color="auto" w:sz="4" w:space="0"/>
              <w:bottom w:val="single" w:color="auto" w:sz="4" w:space="0"/>
              <w:right w:val="single" w:color="auto" w:sz="4" w:space="0"/>
            </w:tcBorders>
            <w:vAlign w:val="center"/>
          </w:tcPr>
          <w:p w14:paraId="6C557B1A">
            <w:pPr>
              <w:spacing w:line="240" w:lineRule="auto"/>
              <w:jc w:val="center"/>
              <w:rPr>
                <w:rFonts w:cs="Times New Roman"/>
                <w:sz w:val="21"/>
                <w:szCs w:val="21"/>
              </w:rPr>
            </w:pPr>
            <w:r>
              <w:rPr>
                <w:rFonts w:cs="Times New Roman"/>
                <w:sz w:val="21"/>
                <w:szCs w:val="21"/>
              </w:rPr>
              <w:t>100</w:t>
            </w:r>
          </w:p>
        </w:tc>
      </w:tr>
      <w:tr w14:paraId="61528C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5" w:type="pct"/>
            <w:tcBorders>
              <w:top w:val="single" w:color="auto" w:sz="4" w:space="0"/>
              <w:left w:val="single" w:color="auto" w:sz="4" w:space="0"/>
              <w:bottom w:val="single" w:color="auto" w:sz="4" w:space="0"/>
              <w:right w:val="single" w:color="auto" w:sz="4" w:space="0"/>
            </w:tcBorders>
            <w:vAlign w:val="center"/>
          </w:tcPr>
          <w:p w14:paraId="5FE9106F">
            <w:pPr>
              <w:spacing w:line="240" w:lineRule="auto"/>
              <w:jc w:val="center"/>
              <w:rPr>
                <w:rFonts w:cs="Times New Roman"/>
                <w:sz w:val="21"/>
                <w:szCs w:val="21"/>
              </w:rPr>
            </w:pPr>
            <w:r>
              <w:rPr>
                <w:rFonts w:cs="Times New Roman"/>
                <w:sz w:val="21"/>
                <w:szCs w:val="21"/>
              </w:rPr>
              <w:t>7</w:t>
            </w:r>
          </w:p>
        </w:tc>
        <w:tc>
          <w:tcPr>
            <w:tcW w:w="1214" w:type="pct"/>
            <w:gridSpan w:val="2"/>
            <w:tcBorders>
              <w:top w:val="single" w:color="auto" w:sz="4" w:space="0"/>
              <w:left w:val="single" w:color="auto" w:sz="4" w:space="0"/>
              <w:bottom w:val="single" w:color="auto" w:sz="4" w:space="0"/>
              <w:right w:val="single" w:color="auto" w:sz="4" w:space="0"/>
            </w:tcBorders>
            <w:vAlign w:val="center"/>
          </w:tcPr>
          <w:p w14:paraId="0B284F64">
            <w:pPr>
              <w:spacing w:line="240" w:lineRule="auto"/>
              <w:jc w:val="center"/>
              <w:rPr>
                <w:rFonts w:cs="Times New Roman"/>
                <w:sz w:val="21"/>
                <w:szCs w:val="21"/>
              </w:rPr>
            </w:pPr>
            <w:r>
              <w:rPr>
                <w:rFonts w:cs="Times New Roman"/>
                <w:sz w:val="21"/>
                <w:szCs w:val="21"/>
              </w:rPr>
              <w:t>镍</w:t>
            </w:r>
          </w:p>
        </w:tc>
        <w:tc>
          <w:tcPr>
            <w:tcW w:w="833" w:type="pct"/>
            <w:tcBorders>
              <w:top w:val="single" w:color="auto" w:sz="4" w:space="0"/>
              <w:left w:val="single" w:color="auto" w:sz="4" w:space="0"/>
              <w:bottom w:val="single" w:color="auto" w:sz="4" w:space="0"/>
              <w:right w:val="single" w:color="auto" w:sz="4" w:space="0"/>
            </w:tcBorders>
            <w:vAlign w:val="center"/>
          </w:tcPr>
          <w:p w14:paraId="247A535F">
            <w:pPr>
              <w:spacing w:line="240" w:lineRule="auto"/>
              <w:jc w:val="center"/>
              <w:rPr>
                <w:rFonts w:cs="Times New Roman"/>
                <w:sz w:val="21"/>
                <w:szCs w:val="21"/>
              </w:rPr>
            </w:pPr>
            <w:r>
              <w:rPr>
                <w:rFonts w:cs="Times New Roman"/>
                <w:sz w:val="21"/>
                <w:szCs w:val="21"/>
              </w:rPr>
              <w:t>60</w:t>
            </w:r>
          </w:p>
        </w:tc>
        <w:tc>
          <w:tcPr>
            <w:tcW w:w="833" w:type="pct"/>
            <w:tcBorders>
              <w:top w:val="single" w:color="auto" w:sz="4" w:space="0"/>
              <w:left w:val="single" w:color="auto" w:sz="4" w:space="0"/>
              <w:bottom w:val="single" w:color="auto" w:sz="4" w:space="0"/>
              <w:right w:val="single" w:color="auto" w:sz="4" w:space="0"/>
            </w:tcBorders>
            <w:vAlign w:val="center"/>
          </w:tcPr>
          <w:p w14:paraId="03DD2527">
            <w:pPr>
              <w:spacing w:line="240" w:lineRule="auto"/>
              <w:jc w:val="center"/>
              <w:rPr>
                <w:rFonts w:cs="Times New Roman"/>
                <w:sz w:val="21"/>
                <w:szCs w:val="21"/>
              </w:rPr>
            </w:pPr>
            <w:r>
              <w:rPr>
                <w:rFonts w:cs="Times New Roman"/>
                <w:sz w:val="21"/>
                <w:szCs w:val="21"/>
              </w:rPr>
              <w:t>70</w:t>
            </w:r>
          </w:p>
        </w:tc>
        <w:tc>
          <w:tcPr>
            <w:tcW w:w="833" w:type="pct"/>
            <w:tcBorders>
              <w:top w:val="single" w:color="auto" w:sz="4" w:space="0"/>
              <w:left w:val="single" w:color="auto" w:sz="4" w:space="0"/>
              <w:bottom w:val="single" w:color="auto" w:sz="4" w:space="0"/>
              <w:right w:val="single" w:color="auto" w:sz="4" w:space="0"/>
            </w:tcBorders>
            <w:vAlign w:val="center"/>
          </w:tcPr>
          <w:p w14:paraId="55E70123">
            <w:pPr>
              <w:spacing w:line="240" w:lineRule="auto"/>
              <w:jc w:val="center"/>
              <w:rPr>
                <w:rFonts w:cs="Times New Roman"/>
                <w:sz w:val="21"/>
                <w:szCs w:val="21"/>
              </w:rPr>
            </w:pPr>
            <w:r>
              <w:rPr>
                <w:rFonts w:cs="Times New Roman"/>
                <w:sz w:val="21"/>
                <w:szCs w:val="21"/>
              </w:rPr>
              <w:t>100</w:t>
            </w:r>
          </w:p>
        </w:tc>
        <w:tc>
          <w:tcPr>
            <w:tcW w:w="832" w:type="pct"/>
            <w:tcBorders>
              <w:top w:val="single" w:color="auto" w:sz="4" w:space="0"/>
              <w:left w:val="single" w:color="auto" w:sz="4" w:space="0"/>
              <w:bottom w:val="single" w:color="auto" w:sz="4" w:space="0"/>
              <w:right w:val="single" w:color="auto" w:sz="4" w:space="0"/>
            </w:tcBorders>
            <w:vAlign w:val="center"/>
          </w:tcPr>
          <w:p w14:paraId="1A238FDB">
            <w:pPr>
              <w:spacing w:line="240" w:lineRule="auto"/>
              <w:jc w:val="center"/>
              <w:rPr>
                <w:rFonts w:cs="Times New Roman"/>
                <w:sz w:val="21"/>
                <w:szCs w:val="21"/>
              </w:rPr>
            </w:pPr>
            <w:r>
              <w:rPr>
                <w:rFonts w:cs="Times New Roman"/>
                <w:sz w:val="21"/>
                <w:szCs w:val="21"/>
              </w:rPr>
              <w:t>190</w:t>
            </w:r>
          </w:p>
        </w:tc>
      </w:tr>
      <w:tr w14:paraId="414495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5" w:type="pct"/>
            <w:tcBorders>
              <w:top w:val="single" w:color="auto" w:sz="4" w:space="0"/>
              <w:left w:val="single" w:color="auto" w:sz="4" w:space="0"/>
              <w:bottom w:val="single" w:color="auto" w:sz="4" w:space="0"/>
              <w:right w:val="single" w:color="auto" w:sz="4" w:space="0"/>
            </w:tcBorders>
            <w:vAlign w:val="center"/>
          </w:tcPr>
          <w:p w14:paraId="36F2DEFD">
            <w:pPr>
              <w:spacing w:line="240" w:lineRule="auto"/>
              <w:jc w:val="center"/>
              <w:rPr>
                <w:rFonts w:cs="Times New Roman"/>
                <w:sz w:val="21"/>
                <w:szCs w:val="21"/>
              </w:rPr>
            </w:pPr>
            <w:r>
              <w:rPr>
                <w:rFonts w:cs="Times New Roman"/>
                <w:sz w:val="21"/>
                <w:szCs w:val="21"/>
              </w:rPr>
              <w:t>8</w:t>
            </w:r>
          </w:p>
        </w:tc>
        <w:tc>
          <w:tcPr>
            <w:tcW w:w="1214" w:type="pct"/>
            <w:gridSpan w:val="2"/>
            <w:tcBorders>
              <w:top w:val="single" w:color="auto" w:sz="4" w:space="0"/>
              <w:left w:val="single" w:color="auto" w:sz="4" w:space="0"/>
              <w:bottom w:val="single" w:color="auto" w:sz="4" w:space="0"/>
              <w:right w:val="single" w:color="auto" w:sz="4" w:space="0"/>
            </w:tcBorders>
            <w:vAlign w:val="center"/>
          </w:tcPr>
          <w:p w14:paraId="1E616E8C">
            <w:pPr>
              <w:spacing w:line="240" w:lineRule="auto"/>
              <w:jc w:val="center"/>
              <w:rPr>
                <w:rFonts w:cs="Times New Roman"/>
                <w:sz w:val="21"/>
                <w:szCs w:val="21"/>
              </w:rPr>
            </w:pPr>
            <w:r>
              <w:rPr>
                <w:rFonts w:cs="Times New Roman"/>
                <w:sz w:val="21"/>
                <w:szCs w:val="21"/>
              </w:rPr>
              <w:t>锌</w:t>
            </w:r>
          </w:p>
        </w:tc>
        <w:tc>
          <w:tcPr>
            <w:tcW w:w="833" w:type="pct"/>
            <w:tcBorders>
              <w:top w:val="single" w:color="auto" w:sz="4" w:space="0"/>
              <w:left w:val="single" w:color="auto" w:sz="4" w:space="0"/>
              <w:bottom w:val="single" w:color="auto" w:sz="4" w:space="0"/>
              <w:right w:val="single" w:color="auto" w:sz="4" w:space="0"/>
            </w:tcBorders>
            <w:vAlign w:val="center"/>
          </w:tcPr>
          <w:p w14:paraId="1ADAB426">
            <w:pPr>
              <w:spacing w:line="240" w:lineRule="auto"/>
              <w:jc w:val="center"/>
              <w:rPr>
                <w:rFonts w:cs="Times New Roman"/>
                <w:sz w:val="21"/>
                <w:szCs w:val="21"/>
              </w:rPr>
            </w:pPr>
            <w:r>
              <w:rPr>
                <w:rFonts w:cs="Times New Roman"/>
                <w:sz w:val="21"/>
                <w:szCs w:val="21"/>
              </w:rPr>
              <w:t>200</w:t>
            </w:r>
          </w:p>
        </w:tc>
        <w:tc>
          <w:tcPr>
            <w:tcW w:w="833" w:type="pct"/>
            <w:tcBorders>
              <w:top w:val="single" w:color="auto" w:sz="4" w:space="0"/>
              <w:left w:val="single" w:color="auto" w:sz="4" w:space="0"/>
              <w:bottom w:val="single" w:color="auto" w:sz="4" w:space="0"/>
              <w:right w:val="single" w:color="auto" w:sz="4" w:space="0"/>
            </w:tcBorders>
            <w:vAlign w:val="center"/>
          </w:tcPr>
          <w:p w14:paraId="533DCDA0">
            <w:pPr>
              <w:spacing w:line="240" w:lineRule="auto"/>
              <w:jc w:val="center"/>
              <w:rPr>
                <w:rFonts w:cs="Times New Roman"/>
                <w:sz w:val="21"/>
                <w:szCs w:val="21"/>
              </w:rPr>
            </w:pPr>
            <w:r>
              <w:rPr>
                <w:rFonts w:cs="Times New Roman"/>
                <w:sz w:val="21"/>
                <w:szCs w:val="21"/>
              </w:rPr>
              <w:t>200</w:t>
            </w:r>
          </w:p>
        </w:tc>
        <w:tc>
          <w:tcPr>
            <w:tcW w:w="833" w:type="pct"/>
            <w:tcBorders>
              <w:top w:val="single" w:color="auto" w:sz="4" w:space="0"/>
              <w:left w:val="single" w:color="auto" w:sz="4" w:space="0"/>
              <w:bottom w:val="single" w:color="auto" w:sz="4" w:space="0"/>
              <w:right w:val="single" w:color="auto" w:sz="4" w:space="0"/>
            </w:tcBorders>
            <w:vAlign w:val="center"/>
          </w:tcPr>
          <w:p w14:paraId="05065955">
            <w:pPr>
              <w:spacing w:line="240" w:lineRule="auto"/>
              <w:jc w:val="center"/>
              <w:rPr>
                <w:rFonts w:cs="Times New Roman"/>
                <w:sz w:val="21"/>
                <w:szCs w:val="21"/>
              </w:rPr>
            </w:pPr>
            <w:r>
              <w:rPr>
                <w:rFonts w:cs="Times New Roman"/>
                <w:sz w:val="21"/>
                <w:szCs w:val="21"/>
              </w:rPr>
              <w:t>250</w:t>
            </w:r>
          </w:p>
        </w:tc>
        <w:tc>
          <w:tcPr>
            <w:tcW w:w="832" w:type="pct"/>
            <w:tcBorders>
              <w:top w:val="single" w:color="auto" w:sz="4" w:space="0"/>
              <w:left w:val="single" w:color="auto" w:sz="4" w:space="0"/>
              <w:bottom w:val="single" w:color="auto" w:sz="4" w:space="0"/>
              <w:right w:val="single" w:color="auto" w:sz="4" w:space="0"/>
            </w:tcBorders>
            <w:vAlign w:val="center"/>
          </w:tcPr>
          <w:p w14:paraId="5F9DBC10">
            <w:pPr>
              <w:spacing w:line="240" w:lineRule="auto"/>
              <w:jc w:val="center"/>
              <w:rPr>
                <w:rFonts w:cs="Times New Roman"/>
                <w:sz w:val="21"/>
                <w:szCs w:val="21"/>
              </w:rPr>
            </w:pPr>
            <w:r>
              <w:rPr>
                <w:rFonts w:cs="Times New Roman"/>
                <w:sz w:val="21"/>
                <w:szCs w:val="21"/>
              </w:rPr>
              <w:t>300</w:t>
            </w:r>
          </w:p>
        </w:tc>
      </w:tr>
      <w:tr w14:paraId="5581B9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7"/>
            <w:tcBorders>
              <w:top w:val="single" w:color="auto" w:sz="4" w:space="0"/>
              <w:left w:val="single" w:color="auto" w:sz="4" w:space="0"/>
              <w:bottom w:val="single" w:color="auto" w:sz="4" w:space="0"/>
              <w:right w:val="single" w:color="auto" w:sz="4" w:space="0"/>
            </w:tcBorders>
            <w:vAlign w:val="center"/>
          </w:tcPr>
          <w:p w14:paraId="7F3265E1">
            <w:pPr>
              <w:spacing w:line="240" w:lineRule="auto"/>
              <w:rPr>
                <w:rFonts w:cs="Times New Roman"/>
                <w:sz w:val="21"/>
                <w:szCs w:val="21"/>
              </w:rPr>
            </w:pPr>
            <w:r>
              <w:rPr>
                <w:rFonts w:cs="Times New Roman"/>
                <w:sz w:val="21"/>
                <w:szCs w:val="21"/>
              </w:rPr>
              <w:t>a重金属和类金属砷均按元素总量计。</w:t>
            </w:r>
          </w:p>
          <w:p w14:paraId="4B7B553C">
            <w:pPr>
              <w:spacing w:line="240" w:lineRule="auto"/>
              <w:rPr>
                <w:rFonts w:cs="Times New Roman"/>
                <w:sz w:val="21"/>
                <w:szCs w:val="21"/>
              </w:rPr>
            </w:pPr>
            <w:r>
              <w:rPr>
                <w:rFonts w:cs="Times New Roman"/>
                <w:sz w:val="21"/>
                <w:szCs w:val="21"/>
              </w:rPr>
              <w:t>b对于水早轮作地，采用其中较严格的风险筛选值。</w:t>
            </w:r>
          </w:p>
        </w:tc>
      </w:tr>
    </w:tbl>
    <w:p w14:paraId="6CAC15DA"/>
    <w:p w14:paraId="20CF2AFB">
      <w:pPr>
        <w:pStyle w:val="4"/>
        <w:rPr>
          <w:rFonts w:hint="eastAsia"/>
        </w:rPr>
      </w:pPr>
      <w:bookmarkStart w:id="34" w:name="_Toc221056329"/>
      <w:r>
        <w:rPr>
          <w:rFonts w:hint="eastAsia"/>
        </w:rPr>
        <w:t>2</w:t>
      </w:r>
      <w:r>
        <w:t>.</w:t>
      </w:r>
      <w:r>
        <w:rPr>
          <w:rFonts w:hint="eastAsia"/>
        </w:rPr>
        <w:t>5</w:t>
      </w:r>
      <w:r>
        <w:t>.</w:t>
      </w:r>
      <w:r>
        <w:rPr>
          <w:rFonts w:hint="eastAsia"/>
        </w:rPr>
        <w:t>2污染物排放标准</w:t>
      </w:r>
      <w:bookmarkEnd w:id="34"/>
    </w:p>
    <w:p w14:paraId="46B0B07B">
      <w:r>
        <w:rPr>
          <w:rFonts w:hint="eastAsia"/>
        </w:rPr>
        <w:t>2.5.2.1废气</w:t>
      </w:r>
    </w:p>
    <w:p w14:paraId="036F3B99">
      <w:pPr>
        <w:ind w:firstLine="480" w:firstLineChars="200"/>
      </w:pPr>
      <w:bookmarkStart w:id="35" w:name="_Hlk48040354"/>
      <w:r>
        <w:rPr>
          <w:rFonts w:hint="eastAsia"/>
        </w:rPr>
        <w:t>间甲酚车间有机废气进入海华东厂区</w:t>
      </w:r>
      <w:r>
        <w:t>2#</w:t>
      </w:r>
      <w:r>
        <w:rPr>
          <w:rFonts w:hint="eastAsia"/>
        </w:rPr>
        <w:t>RTO炉进行处理，2</w:t>
      </w:r>
      <w:r>
        <w:t>#</w:t>
      </w:r>
      <w:r>
        <w:rPr>
          <w:rFonts w:hint="eastAsia"/>
        </w:rPr>
        <w:t>RTO炉废气中</w:t>
      </w:r>
      <w:r>
        <w:t>酚类、非甲烷总烃执行</w:t>
      </w:r>
      <w:r>
        <w:rPr>
          <w:rFonts w:hint="eastAsia"/>
        </w:rPr>
        <w:t>《固定源挥发性有机物综合排放标准第3部分：有机化学品制造工业》(</w:t>
      </w:r>
      <w:r>
        <w:t>DB34/4812.3-2024</w:t>
      </w:r>
      <w:r>
        <w:rPr>
          <w:rFonts w:hint="eastAsia"/>
        </w:rPr>
        <w:t>)中表1、表2</w:t>
      </w:r>
      <w:r>
        <w:t>污染物排放限值要求</w:t>
      </w:r>
      <w:r>
        <w:rPr>
          <w:rFonts w:hint="eastAsia"/>
        </w:rPr>
        <w:t>。</w:t>
      </w:r>
    </w:p>
    <w:p w14:paraId="5D4E190C">
      <w:pPr>
        <w:ind w:firstLine="480" w:firstLineChars="200"/>
      </w:pPr>
      <w:r>
        <w:rPr>
          <w:rFonts w:hint="eastAsia"/>
        </w:rPr>
        <w:t>厂界VOCs无组织排放执行</w:t>
      </w:r>
      <w:r>
        <w:t>《石油化学工业污染物排放标准》(GB31571-2015)</w:t>
      </w:r>
      <w:r>
        <w:rPr>
          <w:rFonts w:hint="eastAsia"/>
        </w:rPr>
        <w:t>表7中企业边界大气污染物浓度限值，酚类无组织排放执行《固定源挥发性有机物综合排放标准第3部分：有机化学品制造工业》(</w:t>
      </w:r>
      <w:r>
        <w:t>DB34/4812.3-2024</w:t>
      </w:r>
      <w:r>
        <w:rPr>
          <w:rFonts w:hint="eastAsia"/>
        </w:rPr>
        <w:t>)表4企业边界VOCs排放限值，</w:t>
      </w:r>
      <w:r>
        <w:t>硫酸雾</w:t>
      </w:r>
      <w:r>
        <w:rPr>
          <w:rFonts w:hint="eastAsia"/>
        </w:rPr>
        <w:t>无组织排放</w:t>
      </w:r>
      <w:r>
        <w:t>执行《大气污染物综合排放标准》(GB16297-1996)表2标准要求</w:t>
      </w:r>
      <w:r>
        <w:rPr>
          <w:rFonts w:hint="eastAsia"/>
        </w:rPr>
        <w:t>。</w:t>
      </w:r>
      <w:bookmarkEnd w:id="35"/>
    </w:p>
    <w:p w14:paraId="1823D19B">
      <w:pPr>
        <w:pStyle w:val="28"/>
        <w:rPr>
          <w:rFonts w:hint="eastAsia"/>
        </w:rPr>
      </w:pPr>
      <w:r>
        <w:t>表</w:t>
      </w:r>
      <w:r>
        <w:rPr>
          <w:rFonts w:hint="eastAsia"/>
        </w:rPr>
        <w:t>2</w:t>
      </w:r>
      <w:r>
        <w:t>.5-</w:t>
      </w:r>
      <w:r>
        <w:rPr>
          <w:rFonts w:hint="eastAsia"/>
        </w:rPr>
        <w:t>6  间甲酚车间废气</w:t>
      </w:r>
      <w:r>
        <w:t>污染物排放标准</w:t>
      </w:r>
      <w:r>
        <w:rPr>
          <w:rFonts w:hint="eastAsia"/>
        </w:rPr>
        <w:t>一览表</w:t>
      </w:r>
    </w:p>
    <w:tbl>
      <w:tblPr>
        <w:tblStyle w:val="36"/>
        <w:tblW w:w="5000" w:type="pct"/>
        <w:jc w:val="center"/>
        <w:tblLayout w:type="autofit"/>
        <w:tblCellMar>
          <w:top w:w="0" w:type="dxa"/>
          <w:left w:w="108" w:type="dxa"/>
          <w:bottom w:w="0" w:type="dxa"/>
          <w:right w:w="108" w:type="dxa"/>
        </w:tblCellMar>
      </w:tblPr>
      <w:tblGrid>
        <w:gridCol w:w="927"/>
        <w:gridCol w:w="1497"/>
        <w:gridCol w:w="1785"/>
        <w:gridCol w:w="1599"/>
        <w:gridCol w:w="1597"/>
        <w:gridCol w:w="1881"/>
      </w:tblGrid>
      <w:tr w14:paraId="4B723D99">
        <w:tblPrEx>
          <w:tblCellMar>
            <w:top w:w="0" w:type="dxa"/>
            <w:left w:w="108" w:type="dxa"/>
            <w:bottom w:w="0" w:type="dxa"/>
            <w:right w:w="108" w:type="dxa"/>
          </w:tblCellMar>
        </w:tblPrEx>
        <w:trPr>
          <w:cantSplit/>
          <w:trHeight w:val="20" w:hRule="atLeast"/>
          <w:jc w:val="center"/>
        </w:trPr>
        <w:tc>
          <w:tcPr>
            <w:tcW w:w="499" w:type="pct"/>
            <w:tcBorders>
              <w:top w:val="single" w:color="000000" w:sz="4" w:space="0"/>
              <w:left w:val="single" w:color="000000" w:sz="4" w:space="0"/>
              <w:bottom w:val="single" w:color="000000" w:sz="4" w:space="0"/>
              <w:right w:val="single" w:color="000000" w:sz="4" w:space="0"/>
            </w:tcBorders>
            <w:vAlign w:val="center"/>
          </w:tcPr>
          <w:p w14:paraId="312CDE88">
            <w:pPr>
              <w:pStyle w:val="64"/>
            </w:pPr>
            <w:r>
              <w:t>序号</w:t>
            </w:r>
          </w:p>
        </w:tc>
        <w:tc>
          <w:tcPr>
            <w:tcW w:w="806" w:type="pct"/>
            <w:tcBorders>
              <w:top w:val="single" w:color="000000" w:sz="4" w:space="0"/>
              <w:left w:val="single" w:color="000000" w:sz="4" w:space="0"/>
              <w:bottom w:val="single" w:color="000000" w:sz="4" w:space="0"/>
              <w:right w:val="single" w:color="000000" w:sz="4" w:space="0"/>
            </w:tcBorders>
            <w:vAlign w:val="center"/>
          </w:tcPr>
          <w:p w14:paraId="2161DC3A">
            <w:pPr>
              <w:pStyle w:val="64"/>
            </w:pPr>
            <w:r>
              <w:t>污染物</w:t>
            </w:r>
          </w:p>
        </w:tc>
        <w:tc>
          <w:tcPr>
            <w:tcW w:w="961" w:type="pct"/>
            <w:tcBorders>
              <w:top w:val="single" w:color="000000" w:sz="4" w:space="0"/>
              <w:left w:val="single" w:color="000000" w:sz="4" w:space="0"/>
              <w:bottom w:val="single" w:color="000000" w:sz="4" w:space="0"/>
              <w:right w:val="single" w:color="000000" w:sz="4" w:space="0"/>
            </w:tcBorders>
            <w:vAlign w:val="center"/>
          </w:tcPr>
          <w:p w14:paraId="424A6839">
            <w:pPr>
              <w:pStyle w:val="64"/>
            </w:pPr>
            <w:r>
              <w:t>最高允许排放浓度(mg/m</w:t>
            </w:r>
            <w:r>
              <w:rPr>
                <w:vertAlign w:val="superscript"/>
              </w:rPr>
              <w:t>3</w:t>
            </w:r>
            <w:r>
              <w:t>)</w:t>
            </w:r>
          </w:p>
        </w:tc>
        <w:tc>
          <w:tcPr>
            <w:tcW w:w="861" w:type="pct"/>
            <w:tcBorders>
              <w:top w:val="single" w:color="000000" w:sz="4" w:space="0"/>
              <w:left w:val="single" w:color="000000" w:sz="4" w:space="0"/>
              <w:right w:val="single" w:color="auto" w:sz="4" w:space="0"/>
            </w:tcBorders>
            <w:vAlign w:val="center"/>
          </w:tcPr>
          <w:p w14:paraId="3B8D33AA">
            <w:pPr>
              <w:pStyle w:val="64"/>
            </w:pPr>
            <w:r>
              <w:rPr>
                <w:rFonts w:hint="eastAsia"/>
              </w:rPr>
              <w:t>去除效率要求</w:t>
            </w:r>
          </w:p>
        </w:tc>
        <w:tc>
          <w:tcPr>
            <w:tcW w:w="860" w:type="pct"/>
            <w:tcBorders>
              <w:top w:val="single" w:color="000000" w:sz="4" w:space="0"/>
              <w:left w:val="single" w:color="000000" w:sz="4" w:space="0"/>
              <w:right w:val="single" w:color="000000" w:sz="4" w:space="0"/>
            </w:tcBorders>
            <w:vAlign w:val="center"/>
          </w:tcPr>
          <w:p w14:paraId="3303DC3F">
            <w:pPr>
              <w:pStyle w:val="64"/>
            </w:pPr>
            <w:r>
              <w:rPr>
                <w:rFonts w:hint="eastAsia"/>
              </w:rPr>
              <w:t>最高允许排放速率(kg</w:t>
            </w:r>
            <w:r>
              <w:t>/h</w:t>
            </w:r>
            <w:r>
              <w:rPr>
                <w:rFonts w:hint="eastAsia"/>
              </w:rPr>
              <w:t>)</w:t>
            </w:r>
          </w:p>
        </w:tc>
        <w:tc>
          <w:tcPr>
            <w:tcW w:w="1013" w:type="pct"/>
            <w:tcBorders>
              <w:top w:val="single" w:color="000000" w:sz="4" w:space="0"/>
              <w:left w:val="single" w:color="000000" w:sz="4" w:space="0"/>
              <w:bottom w:val="single" w:color="000000" w:sz="4" w:space="0"/>
              <w:right w:val="single" w:color="000000" w:sz="4" w:space="0"/>
            </w:tcBorders>
            <w:vAlign w:val="center"/>
          </w:tcPr>
          <w:p w14:paraId="36252E69">
            <w:pPr>
              <w:pStyle w:val="64"/>
            </w:pPr>
            <w:r>
              <w:t>无组织排放浓度限值(mg/m</w:t>
            </w:r>
            <w:r>
              <w:rPr>
                <w:vertAlign w:val="superscript"/>
              </w:rPr>
              <w:t>3</w:t>
            </w:r>
            <w:r>
              <w:t>)</w:t>
            </w:r>
          </w:p>
        </w:tc>
      </w:tr>
      <w:tr w14:paraId="64A25335">
        <w:tblPrEx>
          <w:tblCellMar>
            <w:top w:w="0" w:type="dxa"/>
            <w:left w:w="108" w:type="dxa"/>
            <w:bottom w:w="0" w:type="dxa"/>
            <w:right w:w="108" w:type="dxa"/>
          </w:tblCellMar>
        </w:tblPrEx>
        <w:trPr>
          <w:cantSplit/>
          <w:trHeight w:val="20" w:hRule="atLeast"/>
          <w:jc w:val="center"/>
        </w:trPr>
        <w:tc>
          <w:tcPr>
            <w:tcW w:w="499" w:type="pct"/>
            <w:tcBorders>
              <w:top w:val="single" w:color="000000" w:sz="4" w:space="0"/>
              <w:left w:val="single" w:color="000000" w:sz="4" w:space="0"/>
              <w:bottom w:val="single" w:color="000000" w:sz="4" w:space="0"/>
              <w:right w:val="single" w:color="000000" w:sz="4" w:space="0"/>
            </w:tcBorders>
            <w:vAlign w:val="center"/>
          </w:tcPr>
          <w:p w14:paraId="78B1ED0C">
            <w:pPr>
              <w:pStyle w:val="64"/>
            </w:pPr>
            <w:r>
              <w:t>1</w:t>
            </w:r>
          </w:p>
        </w:tc>
        <w:tc>
          <w:tcPr>
            <w:tcW w:w="806" w:type="pct"/>
            <w:tcBorders>
              <w:top w:val="single" w:color="000000" w:sz="4" w:space="0"/>
              <w:left w:val="single" w:color="000000" w:sz="4" w:space="0"/>
              <w:bottom w:val="single" w:color="000000" w:sz="4" w:space="0"/>
              <w:right w:val="single" w:color="000000" w:sz="4" w:space="0"/>
            </w:tcBorders>
            <w:vAlign w:val="center"/>
          </w:tcPr>
          <w:p w14:paraId="5CDFD6B9">
            <w:pPr>
              <w:pStyle w:val="64"/>
            </w:pPr>
            <w:r>
              <w:rPr>
                <w:rFonts w:hint="eastAsia"/>
              </w:rPr>
              <w:t>酚类</w:t>
            </w:r>
          </w:p>
        </w:tc>
        <w:tc>
          <w:tcPr>
            <w:tcW w:w="961" w:type="pct"/>
            <w:tcBorders>
              <w:top w:val="single" w:color="000000" w:sz="4" w:space="0"/>
              <w:left w:val="single" w:color="000000" w:sz="4" w:space="0"/>
              <w:bottom w:val="single" w:color="000000" w:sz="4" w:space="0"/>
              <w:right w:val="single" w:color="000000" w:sz="4" w:space="0"/>
            </w:tcBorders>
            <w:vAlign w:val="center"/>
          </w:tcPr>
          <w:p w14:paraId="123D70AB">
            <w:pPr>
              <w:pStyle w:val="64"/>
            </w:pPr>
            <w:r>
              <w:rPr>
                <w:rFonts w:hint="eastAsia"/>
              </w:rPr>
              <w:t>20</w:t>
            </w:r>
          </w:p>
        </w:tc>
        <w:tc>
          <w:tcPr>
            <w:tcW w:w="861" w:type="pct"/>
            <w:tcBorders>
              <w:top w:val="single" w:color="000000" w:sz="4" w:space="0"/>
              <w:left w:val="single" w:color="000000" w:sz="4" w:space="0"/>
              <w:bottom w:val="single" w:color="000000" w:sz="4" w:space="0"/>
              <w:right w:val="single" w:color="auto" w:sz="4" w:space="0"/>
            </w:tcBorders>
            <w:vAlign w:val="center"/>
          </w:tcPr>
          <w:p w14:paraId="5A181474">
            <w:pPr>
              <w:pStyle w:val="64"/>
            </w:pPr>
            <w:r>
              <w:rPr>
                <w:rFonts w:hint="eastAsia"/>
              </w:rPr>
              <w:t>/</w:t>
            </w:r>
          </w:p>
        </w:tc>
        <w:tc>
          <w:tcPr>
            <w:tcW w:w="860" w:type="pct"/>
            <w:tcBorders>
              <w:top w:val="single" w:color="000000" w:sz="4" w:space="0"/>
              <w:left w:val="single" w:color="000000" w:sz="4" w:space="0"/>
              <w:bottom w:val="single" w:color="000000" w:sz="4" w:space="0"/>
              <w:right w:val="single" w:color="000000" w:sz="4" w:space="0"/>
            </w:tcBorders>
            <w:vAlign w:val="center"/>
          </w:tcPr>
          <w:p w14:paraId="68D59927">
            <w:pPr>
              <w:pStyle w:val="64"/>
            </w:pPr>
            <w:r>
              <w:rPr>
                <w:rFonts w:hint="eastAsia"/>
              </w:rPr>
              <w:t>/</w:t>
            </w:r>
          </w:p>
        </w:tc>
        <w:tc>
          <w:tcPr>
            <w:tcW w:w="1013" w:type="pct"/>
            <w:tcBorders>
              <w:top w:val="single" w:color="000000" w:sz="4" w:space="0"/>
              <w:left w:val="single" w:color="000000" w:sz="4" w:space="0"/>
              <w:bottom w:val="single" w:color="000000" w:sz="4" w:space="0"/>
              <w:right w:val="single" w:color="000000" w:sz="4" w:space="0"/>
            </w:tcBorders>
            <w:vAlign w:val="center"/>
          </w:tcPr>
          <w:p w14:paraId="65616666">
            <w:pPr>
              <w:pStyle w:val="64"/>
            </w:pPr>
            <w:r>
              <w:rPr>
                <w:rFonts w:hint="eastAsia"/>
              </w:rPr>
              <w:t>0.02</w:t>
            </w:r>
          </w:p>
        </w:tc>
      </w:tr>
      <w:tr w14:paraId="002983BD">
        <w:tblPrEx>
          <w:tblCellMar>
            <w:top w:w="0" w:type="dxa"/>
            <w:left w:w="108" w:type="dxa"/>
            <w:bottom w:w="0" w:type="dxa"/>
            <w:right w:w="108" w:type="dxa"/>
          </w:tblCellMar>
        </w:tblPrEx>
        <w:trPr>
          <w:cantSplit/>
          <w:trHeight w:val="20" w:hRule="atLeast"/>
          <w:jc w:val="center"/>
        </w:trPr>
        <w:tc>
          <w:tcPr>
            <w:tcW w:w="499" w:type="pct"/>
            <w:tcBorders>
              <w:top w:val="single" w:color="000000" w:sz="4" w:space="0"/>
              <w:left w:val="single" w:color="000000" w:sz="4" w:space="0"/>
              <w:bottom w:val="single" w:color="auto" w:sz="4" w:space="0"/>
              <w:right w:val="single" w:color="000000" w:sz="4" w:space="0"/>
            </w:tcBorders>
            <w:vAlign w:val="center"/>
          </w:tcPr>
          <w:p w14:paraId="425F17A2">
            <w:pPr>
              <w:pStyle w:val="64"/>
            </w:pPr>
            <w:r>
              <w:t>2</w:t>
            </w:r>
          </w:p>
        </w:tc>
        <w:tc>
          <w:tcPr>
            <w:tcW w:w="806" w:type="pct"/>
            <w:tcBorders>
              <w:top w:val="single" w:color="000000" w:sz="4" w:space="0"/>
              <w:left w:val="single" w:color="000000" w:sz="4" w:space="0"/>
              <w:bottom w:val="single" w:color="auto" w:sz="4" w:space="0"/>
              <w:right w:val="single" w:color="000000" w:sz="4" w:space="0"/>
            </w:tcBorders>
            <w:vAlign w:val="center"/>
          </w:tcPr>
          <w:p w14:paraId="551A7399">
            <w:pPr>
              <w:pStyle w:val="64"/>
            </w:pPr>
            <w:r>
              <w:rPr>
                <w:rFonts w:hint="eastAsia"/>
              </w:rPr>
              <w:t>非甲烷总烃</w:t>
            </w:r>
          </w:p>
        </w:tc>
        <w:tc>
          <w:tcPr>
            <w:tcW w:w="961" w:type="pct"/>
            <w:tcBorders>
              <w:top w:val="single" w:color="000000" w:sz="4" w:space="0"/>
              <w:left w:val="single" w:color="000000" w:sz="4" w:space="0"/>
              <w:bottom w:val="single" w:color="auto" w:sz="4" w:space="0"/>
              <w:right w:val="single" w:color="000000" w:sz="4" w:space="0"/>
            </w:tcBorders>
            <w:vAlign w:val="center"/>
          </w:tcPr>
          <w:p w14:paraId="72D194F0">
            <w:pPr>
              <w:pStyle w:val="64"/>
            </w:pPr>
            <w:r>
              <w:rPr>
                <w:rFonts w:hint="eastAsia"/>
              </w:rPr>
              <w:t>70</w:t>
            </w:r>
          </w:p>
        </w:tc>
        <w:tc>
          <w:tcPr>
            <w:tcW w:w="861" w:type="pct"/>
            <w:tcBorders>
              <w:top w:val="single" w:color="000000" w:sz="4" w:space="0"/>
              <w:left w:val="single" w:color="000000" w:sz="4" w:space="0"/>
              <w:bottom w:val="single" w:color="auto" w:sz="4" w:space="0"/>
              <w:right w:val="single" w:color="auto" w:sz="4" w:space="0"/>
            </w:tcBorders>
            <w:vAlign w:val="center"/>
          </w:tcPr>
          <w:p w14:paraId="6D4BABA7">
            <w:pPr>
              <w:pStyle w:val="64"/>
            </w:pPr>
            <w:r>
              <w:t>≥</w:t>
            </w:r>
            <w:r>
              <w:rPr>
                <w:rFonts w:hint="eastAsia"/>
              </w:rPr>
              <w:t>9</w:t>
            </w:r>
            <w:r>
              <w:t>0</w:t>
            </w:r>
            <w:r>
              <w:rPr>
                <w:rFonts w:hint="eastAsia"/>
              </w:rPr>
              <w:t>%</w:t>
            </w:r>
          </w:p>
        </w:tc>
        <w:tc>
          <w:tcPr>
            <w:tcW w:w="860" w:type="pct"/>
            <w:tcBorders>
              <w:top w:val="single" w:color="000000" w:sz="4" w:space="0"/>
              <w:left w:val="single" w:color="000000" w:sz="4" w:space="0"/>
              <w:bottom w:val="single" w:color="auto" w:sz="4" w:space="0"/>
              <w:right w:val="single" w:color="000000" w:sz="4" w:space="0"/>
            </w:tcBorders>
            <w:vAlign w:val="center"/>
          </w:tcPr>
          <w:p w14:paraId="0B05183D">
            <w:pPr>
              <w:pStyle w:val="64"/>
            </w:pPr>
            <w:r>
              <w:rPr>
                <w:rFonts w:hint="eastAsia"/>
              </w:rPr>
              <w:t>3.0</w:t>
            </w:r>
          </w:p>
        </w:tc>
        <w:tc>
          <w:tcPr>
            <w:tcW w:w="1013" w:type="pct"/>
            <w:tcBorders>
              <w:top w:val="single" w:color="000000" w:sz="4" w:space="0"/>
              <w:left w:val="single" w:color="000000" w:sz="4" w:space="0"/>
              <w:bottom w:val="single" w:color="auto" w:sz="4" w:space="0"/>
              <w:right w:val="single" w:color="000000" w:sz="4" w:space="0"/>
            </w:tcBorders>
            <w:vAlign w:val="center"/>
          </w:tcPr>
          <w:p w14:paraId="5D7F854B">
            <w:pPr>
              <w:pStyle w:val="64"/>
            </w:pPr>
            <w:r>
              <w:rPr>
                <w:rFonts w:hint="eastAsia"/>
              </w:rPr>
              <w:t>4.0</w:t>
            </w:r>
          </w:p>
        </w:tc>
      </w:tr>
      <w:tr w14:paraId="5FAE48AE">
        <w:tblPrEx>
          <w:tblCellMar>
            <w:top w:w="0" w:type="dxa"/>
            <w:left w:w="108" w:type="dxa"/>
            <w:bottom w:w="0" w:type="dxa"/>
            <w:right w:w="108" w:type="dxa"/>
          </w:tblCellMar>
        </w:tblPrEx>
        <w:trPr>
          <w:cantSplit/>
          <w:trHeight w:val="20" w:hRule="atLeast"/>
          <w:jc w:val="center"/>
        </w:trPr>
        <w:tc>
          <w:tcPr>
            <w:tcW w:w="499" w:type="pct"/>
            <w:tcBorders>
              <w:top w:val="single" w:color="000000" w:sz="4" w:space="0"/>
              <w:left w:val="single" w:color="000000" w:sz="4" w:space="0"/>
              <w:bottom w:val="single" w:color="000000" w:sz="4" w:space="0"/>
              <w:right w:val="single" w:color="000000" w:sz="4" w:space="0"/>
            </w:tcBorders>
            <w:vAlign w:val="center"/>
          </w:tcPr>
          <w:p w14:paraId="53AF95F1">
            <w:pPr>
              <w:pStyle w:val="64"/>
            </w:pPr>
            <w:r>
              <w:t>3</w:t>
            </w:r>
          </w:p>
        </w:tc>
        <w:tc>
          <w:tcPr>
            <w:tcW w:w="806" w:type="pct"/>
            <w:tcBorders>
              <w:top w:val="single" w:color="000000" w:sz="4" w:space="0"/>
              <w:left w:val="single" w:color="000000" w:sz="4" w:space="0"/>
              <w:bottom w:val="single" w:color="000000" w:sz="4" w:space="0"/>
              <w:right w:val="single" w:color="000000" w:sz="4" w:space="0"/>
            </w:tcBorders>
            <w:vAlign w:val="center"/>
          </w:tcPr>
          <w:p w14:paraId="121825CE">
            <w:pPr>
              <w:pStyle w:val="64"/>
            </w:pPr>
            <w:r>
              <w:rPr>
                <w:rFonts w:hint="eastAsia"/>
              </w:rPr>
              <w:t>硫酸雾</w:t>
            </w:r>
          </w:p>
        </w:tc>
        <w:tc>
          <w:tcPr>
            <w:tcW w:w="961" w:type="pct"/>
            <w:tcBorders>
              <w:top w:val="single" w:color="000000" w:sz="4" w:space="0"/>
              <w:left w:val="single" w:color="000000" w:sz="4" w:space="0"/>
              <w:bottom w:val="single" w:color="000000" w:sz="4" w:space="0"/>
              <w:right w:val="single" w:color="000000" w:sz="4" w:space="0"/>
            </w:tcBorders>
            <w:vAlign w:val="center"/>
          </w:tcPr>
          <w:p w14:paraId="436F1D3D">
            <w:pPr>
              <w:pStyle w:val="64"/>
            </w:pPr>
            <w:r>
              <w:rPr>
                <w:rFonts w:hint="eastAsia"/>
              </w:rPr>
              <w:t>/</w:t>
            </w:r>
          </w:p>
        </w:tc>
        <w:tc>
          <w:tcPr>
            <w:tcW w:w="861" w:type="pct"/>
            <w:tcBorders>
              <w:top w:val="single" w:color="000000" w:sz="4" w:space="0"/>
              <w:left w:val="single" w:color="000000" w:sz="4" w:space="0"/>
              <w:bottom w:val="single" w:color="000000" w:sz="4" w:space="0"/>
              <w:right w:val="single" w:color="auto" w:sz="4" w:space="0"/>
            </w:tcBorders>
            <w:vAlign w:val="center"/>
          </w:tcPr>
          <w:p w14:paraId="18C178FE">
            <w:pPr>
              <w:pStyle w:val="64"/>
            </w:pPr>
            <w:r>
              <w:rPr>
                <w:rFonts w:hint="eastAsia"/>
              </w:rPr>
              <w:t>/</w:t>
            </w:r>
          </w:p>
        </w:tc>
        <w:tc>
          <w:tcPr>
            <w:tcW w:w="860" w:type="pct"/>
            <w:tcBorders>
              <w:top w:val="single" w:color="000000" w:sz="4" w:space="0"/>
              <w:left w:val="single" w:color="000000" w:sz="4" w:space="0"/>
              <w:bottom w:val="single" w:color="000000" w:sz="4" w:space="0"/>
              <w:right w:val="single" w:color="000000" w:sz="4" w:space="0"/>
            </w:tcBorders>
            <w:vAlign w:val="center"/>
          </w:tcPr>
          <w:p w14:paraId="514B54DB">
            <w:pPr>
              <w:pStyle w:val="64"/>
            </w:pPr>
            <w:r>
              <w:rPr>
                <w:rFonts w:hint="eastAsia"/>
              </w:rPr>
              <w:t>/</w:t>
            </w:r>
          </w:p>
        </w:tc>
        <w:tc>
          <w:tcPr>
            <w:tcW w:w="1013" w:type="pct"/>
            <w:tcBorders>
              <w:top w:val="single" w:color="000000" w:sz="4" w:space="0"/>
              <w:left w:val="single" w:color="000000" w:sz="4" w:space="0"/>
              <w:bottom w:val="single" w:color="000000" w:sz="4" w:space="0"/>
              <w:right w:val="single" w:color="000000" w:sz="4" w:space="0"/>
            </w:tcBorders>
            <w:vAlign w:val="center"/>
          </w:tcPr>
          <w:p w14:paraId="52033252">
            <w:pPr>
              <w:pStyle w:val="64"/>
            </w:pPr>
            <w:r>
              <w:rPr>
                <w:rFonts w:hint="eastAsia"/>
              </w:rPr>
              <w:t>1.2</w:t>
            </w:r>
          </w:p>
        </w:tc>
      </w:tr>
    </w:tbl>
    <w:p w14:paraId="3C2733B2"/>
    <w:p w14:paraId="46F71080">
      <w:pPr>
        <w:pStyle w:val="28"/>
        <w:rPr>
          <w:rFonts w:hint="eastAsia"/>
        </w:rPr>
      </w:pPr>
      <w:r>
        <w:t>表</w:t>
      </w:r>
      <w:r>
        <w:rPr>
          <w:rFonts w:hint="eastAsia"/>
        </w:rPr>
        <w:t>2</w:t>
      </w:r>
      <w:r>
        <w:t>.5</w:t>
      </w:r>
      <w:r>
        <w:rPr>
          <w:rFonts w:hint="eastAsia"/>
        </w:rPr>
        <w:t>-7  厂区内VOCs无组织排放限值</w:t>
      </w:r>
    </w:p>
    <w:tbl>
      <w:tblPr>
        <w:tblStyle w:val="3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34"/>
        <w:gridCol w:w="2428"/>
        <w:gridCol w:w="3052"/>
        <w:gridCol w:w="2172"/>
      </w:tblGrid>
      <w:tr w14:paraId="3CA6A5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80" w:type="pct"/>
            <w:tcBorders>
              <w:top w:val="single" w:color="auto" w:sz="4" w:space="0"/>
              <w:left w:val="single" w:color="auto" w:sz="4" w:space="0"/>
              <w:bottom w:val="single" w:color="auto" w:sz="4" w:space="0"/>
              <w:right w:val="single" w:color="auto" w:sz="4" w:space="0"/>
            </w:tcBorders>
            <w:vAlign w:val="center"/>
          </w:tcPr>
          <w:p w14:paraId="0F40DA5E">
            <w:pPr>
              <w:pStyle w:val="64"/>
            </w:pPr>
            <w:r>
              <w:t>污染物项目</w:t>
            </w:r>
          </w:p>
        </w:tc>
        <w:tc>
          <w:tcPr>
            <w:tcW w:w="1307" w:type="pct"/>
            <w:tcBorders>
              <w:top w:val="single" w:color="auto" w:sz="4" w:space="0"/>
              <w:left w:val="single" w:color="auto" w:sz="4" w:space="0"/>
              <w:bottom w:val="single" w:color="auto" w:sz="4" w:space="0"/>
              <w:right w:val="single" w:color="auto" w:sz="4" w:space="0"/>
            </w:tcBorders>
            <w:vAlign w:val="center"/>
          </w:tcPr>
          <w:p w14:paraId="4605EFC9">
            <w:pPr>
              <w:pStyle w:val="64"/>
            </w:pPr>
            <w:r>
              <w:t>特别排放限值(mg/m</w:t>
            </w:r>
            <w:r>
              <w:rPr>
                <w:vertAlign w:val="superscript"/>
              </w:rPr>
              <w:t>3</w:t>
            </w:r>
            <w:r>
              <w:t>)</w:t>
            </w:r>
          </w:p>
        </w:tc>
        <w:tc>
          <w:tcPr>
            <w:tcW w:w="1643" w:type="pct"/>
            <w:tcBorders>
              <w:top w:val="single" w:color="auto" w:sz="4" w:space="0"/>
              <w:left w:val="single" w:color="auto" w:sz="4" w:space="0"/>
              <w:bottom w:val="single" w:color="auto" w:sz="4" w:space="0"/>
              <w:right w:val="single" w:color="auto" w:sz="4" w:space="0"/>
            </w:tcBorders>
            <w:vAlign w:val="center"/>
          </w:tcPr>
          <w:p w14:paraId="6CCCCF3A">
            <w:pPr>
              <w:pStyle w:val="64"/>
            </w:pPr>
            <w:r>
              <w:t>限值含义</w:t>
            </w:r>
          </w:p>
        </w:tc>
        <w:tc>
          <w:tcPr>
            <w:tcW w:w="1169" w:type="pct"/>
            <w:tcBorders>
              <w:top w:val="single" w:color="auto" w:sz="4" w:space="0"/>
              <w:left w:val="single" w:color="auto" w:sz="4" w:space="0"/>
              <w:bottom w:val="single" w:color="auto" w:sz="4" w:space="0"/>
              <w:right w:val="single" w:color="auto" w:sz="4" w:space="0"/>
            </w:tcBorders>
            <w:vAlign w:val="center"/>
          </w:tcPr>
          <w:p w14:paraId="0836E2C7">
            <w:pPr>
              <w:pStyle w:val="64"/>
            </w:pPr>
            <w:r>
              <w:t>无组织排放监控位置</w:t>
            </w:r>
          </w:p>
        </w:tc>
      </w:tr>
      <w:tr w14:paraId="1DCD72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80" w:type="pct"/>
            <w:vMerge w:val="restart"/>
            <w:tcBorders>
              <w:top w:val="single" w:color="auto" w:sz="4" w:space="0"/>
              <w:left w:val="single" w:color="auto" w:sz="4" w:space="0"/>
              <w:bottom w:val="single" w:color="auto" w:sz="4" w:space="0"/>
              <w:right w:val="single" w:color="auto" w:sz="4" w:space="0"/>
            </w:tcBorders>
            <w:vAlign w:val="center"/>
          </w:tcPr>
          <w:p w14:paraId="60320FE4">
            <w:pPr>
              <w:pStyle w:val="64"/>
            </w:pPr>
            <w:r>
              <w:rPr>
                <w:rFonts w:hint="eastAsia"/>
              </w:rPr>
              <w:t>NMHC</w:t>
            </w:r>
          </w:p>
        </w:tc>
        <w:tc>
          <w:tcPr>
            <w:tcW w:w="1307" w:type="pct"/>
            <w:tcBorders>
              <w:top w:val="single" w:color="auto" w:sz="4" w:space="0"/>
              <w:left w:val="single" w:color="auto" w:sz="4" w:space="0"/>
              <w:bottom w:val="single" w:color="auto" w:sz="4" w:space="0"/>
              <w:right w:val="single" w:color="auto" w:sz="4" w:space="0"/>
            </w:tcBorders>
            <w:vAlign w:val="center"/>
          </w:tcPr>
          <w:p w14:paraId="7B9886CD">
            <w:pPr>
              <w:pStyle w:val="64"/>
            </w:pPr>
            <w:r>
              <w:t>6</w:t>
            </w:r>
          </w:p>
        </w:tc>
        <w:tc>
          <w:tcPr>
            <w:tcW w:w="1643" w:type="pct"/>
            <w:tcBorders>
              <w:top w:val="single" w:color="auto" w:sz="4" w:space="0"/>
              <w:left w:val="single" w:color="auto" w:sz="4" w:space="0"/>
              <w:bottom w:val="single" w:color="auto" w:sz="4" w:space="0"/>
              <w:right w:val="single" w:color="auto" w:sz="4" w:space="0"/>
            </w:tcBorders>
            <w:vAlign w:val="center"/>
          </w:tcPr>
          <w:p w14:paraId="257852AC">
            <w:pPr>
              <w:pStyle w:val="64"/>
            </w:pPr>
            <w:r>
              <w:t>监控点处1h平均浓度值</w:t>
            </w:r>
          </w:p>
        </w:tc>
        <w:tc>
          <w:tcPr>
            <w:tcW w:w="1169" w:type="pct"/>
            <w:vMerge w:val="restart"/>
            <w:tcBorders>
              <w:top w:val="single" w:color="auto" w:sz="4" w:space="0"/>
              <w:left w:val="single" w:color="auto" w:sz="4" w:space="0"/>
              <w:right w:val="single" w:color="auto" w:sz="4" w:space="0"/>
            </w:tcBorders>
            <w:vAlign w:val="center"/>
          </w:tcPr>
          <w:p w14:paraId="14084F0D">
            <w:pPr>
              <w:pStyle w:val="64"/>
            </w:pPr>
            <w:r>
              <w:t>在厂房外设置监控点</w:t>
            </w:r>
          </w:p>
        </w:tc>
      </w:tr>
      <w:tr w14:paraId="56A6A2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jc w:val="center"/>
        </w:trPr>
        <w:tc>
          <w:tcPr>
            <w:tcW w:w="880" w:type="pct"/>
            <w:vMerge w:val="continue"/>
            <w:tcBorders>
              <w:top w:val="single" w:color="auto" w:sz="4" w:space="0"/>
              <w:left w:val="single" w:color="auto" w:sz="4" w:space="0"/>
              <w:bottom w:val="single" w:color="auto" w:sz="4" w:space="0"/>
              <w:right w:val="single" w:color="auto" w:sz="4" w:space="0"/>
            </w:tcBorders>
            <w:vAlign w:val="center"/>
          </w:tcPr>
          <w:p w14:paraId="6DBDBED7">
            <w:pPr>
              <w:pStyle w:val="64"/>
            </w:pPr>
          </w:p>
        </w:tc>
        <w:tc>
          <w:tcPr>
            <w:tcW w:w="1307" w:type="pct"/>
            <w:tcBorders>
              <w:top w:val="single" w:color="auto" w:sz="4" w:space="0"/>
              <w:left w:val="single" w:color="auto" w:sz="4" w:space="0"/>
              <w:bottom w:val="single" w:color="auto" w:sz="4" w:space="0"/>
              <w:right w:val="single" w:color="auto" w:sz="4" w:space="0"/>
            </w:tcBorders>
            <w:vAlign w:val="center"/>
          </w:tcPr>
          <w:p w14:paraId="234F1D6B">
            <w:pPr>
              <w:pStyle w:val="64"/>
            </w:pPr>
            <w:r>
              <w:t>20</w:t>
            </w:r>
          </w:p>
        </w:tc>
        <w:tc>
          <w:tcPr>
            <w:tcW w:w="1643" w:type="pct"/>
            <w:tcBorders>
              <w:top w:val="single" w:color="auto" w:sz="4" w:space="0"/>
              <w:left w:val="single" w:color="auto" w:sz="4" w:space="0"/>
              <w:bottom w:val="single" w:color="auto" w:sz="4" w:space="0"/>
              <w:right w:val="single" w:color="auto" w:sz="4" w:space="0"/>
            </w:tcBorders>
            <w:vAlign w:val="center"/>
          </w:tcPr>
          <w:p w14:paraId="2D284726">
            <w:pPr>
              <w:pStyle w:val="64"/>
            </w:pPr>
            <w:r>
              <w:t>监控点处任意一次浓度值</w:t>
            </w:r>
          </w:p>
        </w:tc>
        <w:tc>
          <w:tcPr>
            <w:tcW w:w="1169" w:type="pct"/>
            <w:vMerge w:val="continue"/>
            <w:tcBorders>
              <w:left w:val="single" w:color="auto" w:sz="4" w:space="0"/>
              <w:bottom w:val="single" w:color="auto" w:sz="4" w:space="0"/>
              <w:right w:val="single" w:color="auto" w:sz="4" w:space="0"/>
            </w:tcBorders>
            <w:vAlign w:val="center"/>
          </w:tcPr>
          <w:p w14:paraId="7D3E35E6"/>
        </w:tc>
      </w:tr>
    </w:tbl>
    <w:p w14:paraId="51A6A347"/>
    <w:p w14:paraId="00D2CC17">
      <w:pPr>
        <w:ind w:firstLine="480" w:firstLineChars="200"/>
      </w:pPr>
      <w:r>
        <w:rPr>
          <w:rFonts w:hint="eastAsia"/>
        </w:rPr>
        <w:t>(2)废水</w:t>
      </w:r>
    </w:p>
    <w:p w14:paraId="31EC340C">
      <w:pPr>
        <w:ind w:firstLine="480" w:firstLineChars="200"/>
      </w:pPr>
      <w:bookmarkStart w:id="36" w:name="_Hlk48040378"/>
      <w:r>
        <w:rPr>
          <w:rFonts w:hint="eastAsia"/>
        </w:rPr>
        <w:t>海华科技集团现有厂区综合污水处理站废水排放执行</w:t>
      </w:r>
      <w:bookmarkStart w:id="37" w:name="_Hlk56244461"/>
      <w:r>
        <w:rPr>
          <w:rFonts w:hint="eastAsia"/>
        </w:rPr>
        <w:t>《石油化学工业污染物排放标准》(</w:t>
      </w:r>
      <w:r>
        <w:t>GB31571-2015</w:t>
      </w:r>
      <w:r>
        <w:rPr>
          <w:rFonts w:hint="eastAsia"/>
        </w:rPr>
        <w:t>)表</w:t>
      </w:r>
      <w:r>
        <w:t>1</w:t>
      </w:r>
      <w:r>
        <w:rPr>
          <w:rFonts w:hint="eastAsia"/>
        </w:rPr>
        <w:t>中间接排放限值和沫河口污水处理厂接管标准</w:t>
      </w:r>
      <w:bookmarkEnd w:id="36"/>
      <w:bookmarkEnd w:id="37"/>
      <w:r>
        <w:rPr>
          <w:rFonts w:hint="eastAsia"/>
        </w:rPr>
        <w:t>，综合污水处理站尾水通过污水管网接入沫河口工业园污水处理厂集中处理，处理达到《城市污水处理厂污染物排放标准》(GB18918-2002)及其修改单一级A标准后经三铺大沟排放至淮河。具体见表2</w:t>
      </w:r>
      <w:r>
        <w:t>.5-8</w:t>
      </w:r>
      <w:r>
        <w:rPr>
          <w:rFonts w:hint="eastAsia"/>
        </w:rPr>
        <w:t>、表2</w:t>
      </w:r>
      <w:r>
        <w:t>.5-9</w:t>
      </w:r>
      <w:r>
        <w:rPr>
          <w:rFonts w:hint="eastAsia"/>
        </w:rPr>
        <w:t>。</w:t>
      </w:r>
    </w:p>
    <w:p w14:paraId="4D9571D9">
      <w:pPr>
        <w:pStyle w:val="28"/>
        <w:wordWrap/>
        <w:rPr>
          <w:rFonts w:hint="eastAsia"/>
        </w:rPr>
      </w:pPr>
      <w:r>
        <w:rPr>
          <w:rFonts w:hint="eastAsia"/>
        </w:rPr>
        <w:t>表2</w:t>
      </w:r>
      <w:r>
        <w:t>.5-</w:t>
      </w:r>
      <w:r>
        <w:rPr>
          <w:rFonts w:hint="eastAsia"/>
        </w:rPr>
        <w:t>8  海华公司综合污水处理站污染物排放标准</w:t>
      </w:r>
      <w:r>
        <w:t xml:space="preserve">    </w:t>
      </w:r>
      <w:r>
        <w:rPr>
          <w:rFonts w:hint="eastAsia"/>
        </w:rPr>
        <w:t>单位：</w:t>
      </w:r>
      <w:r>
        <w:t>mg/L</w:t>
      </w:r>
      <w:r>
        <w:rPr>
          <w:rFonts w:hint="eastAsia"/>
        </w:rPr>
        <w:t>(</w:t>
      </w:r>
      <w:r>
        <w:t>pH</w:t>
      </w:r>
      <w:r>
        <w:rPr>
          <w:rFonts w:hint="eastAsia"/>
        </w:rPr>
        <w:t>除外)</w:t>
      </w:r>
    </w:p>
    <w:tbl>
      <w:tblPr>
        <w:tblStyle w:val="3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919"/>
        <w:gridCol w:w="568"/>
        <w:gridCol w:w="891"/>
        <w:gridCol w:w="748"/>
        <w:gridCol w:w="719"/>
        <w:gridCol w:w="574"/>
        <w:gridCol w:w="867"/>
        <w:gridCol w:w="1000"/>
      </w:tblGrid>
      <w:tr w14:paraId="46D321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10" w:type="pct"/>
            <w:vAlign w:val="center"/>
          </w:tcPr>
          <w:p w14:paraId="793D6DBA">
            <w:pPr>
              <w:pStyle w:val="64"/>
            </w:pPr>
            <w:r>
              <w:rPr>
                <w:rFonts w:hint="eastAsia"/>
              </w:rPr>
              <w:t>污染物指标</w:t>
            </w:r>
          </w:p>
        </w:tc>
        <w:tc>
          <w:tcPr>
            <w:tcW w:w="306" w:type="pct"/>
            <w:vAlign w:val="center"/>
          </w:tcPr>
          <w:p w14:paraId="44A783A3">
            <w:pPr>
              <w:pStyle w:val="64"/>
            </w:pPr>
            <w:r>
              <w:t>pH</w:t>
            </w:r>
          </w:p>
        </w:tc>
        <w:tc>
          <w:tcPr>
            <w:tcW w:w="480" w:type="pct"/>
            <w:vAlign w:val="center"/>
          </w:tcPr>
          <w:p w14:paraId="6971E2D9">
            <w:pPr>
              <w:pStyle w:val="64"/>
            </w:pPr>
            <w:r>
              <w:t>COD</w:t>
            </w:r>
            <w:r>
              <w:rPr>
                <w:vertAlign w:val="subscript"/>
              </w:rPr>
              <w:t>Cr</w:t>
            </w:r>
          </w:p>
        </w:tc>
        <w:tc>
          <w:tcPr>
            <w:tcW w:w="403" w:type="pct"/>
            <w:vAlign w:val="center"/>
          </w:tcPr>
          <w:p w14:paraId="5118887B">
            <w:pPr>
              <w:pStyle w:val="64"/>
            </w:pPr>
            <w:r>
              <w:t>BOD</w:t>
            </w:r>
            <w:r>
              <w:rPr>
                <w:vertAlign w:val="subscript"/>
              </w:rPr>
              <w:t>5</w:t>
            </w:r>
          </w:p>
        </w:tc>
        <w:tc>
          <w:tcPr>
            <w:tcW w:w="387" w:type="pct"/>
            <w:vAlign w:val="center"/>
          </w:tcPr>
          <w:p w14:paraId="3538B4DF">
            <w:pPr>
              <w:pStyle w:val="64"/>
            </w:pPr>
            <w:r>
              <w:rPr>
                <w:rFonts w:hint="eastAsia"/>
              </w:rPr>
              <w:t>氨氮</w:t>
            </w:r>
          </w:p>
        </w:tc>
        <w:tc>
          <w:tcPr>
            <w:tcW w:w="309" w:type="pct"/>
            <w:vAlign w:val="center"/>
          </w:tcPr>
          <w:p w14:paraId="5B7F8ED9">
            <w:pPr>
              <w:pStyle w:val="64"/>
            </w:pPr>
            <w:r>
              <w:t>SS</w:t>
            </w:r>
          </w:p>
        </w:tc>
        <w:tc>
          <w:tcPr>
            <w:tcW w:w="467" w:type="pct"/>
            <w:vAlign w:val="center"/>
          </w:tcPr>
          <w:p w14:paraId="479811BE">
            <w:pPr>
              <w:pStyle w:val="64"/>
            </w:pPr>
            <w:r>
              <w:rPr>
                <w:rFonts w:hint="eastAsia"/>
              </w:rPr>
              <w:t>盐分</w:t>
            </w:r>
          </w:p>
        </w:tc>
        <w:tc>
          <w:tcPr>
            <w:tcW w:w="538" w:type="pct"/>
            <w:vAlign w:val="center"/>
          </w:tcPr>
          <w:p w14:paraId="2FED89FB">
            <w:pPr>
              <w:pStyle w:val="64"/>
            </w:pPr>
            <w:r>
              <w:rPr>
                <w:rFonts w:hint="eastAsia"/>
              </w:rPr>
              <w:t>挥发酚</w:t>
            </w:r>
          </w:p>
        </w:tc>
      </w:tr>
      <w:tr w14:paraId="0E5B2A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10" w:type="pct"/>
            <w:vAlign w:val="center"/>
          </w:tcPr>
          <w:p w14:paraId="2CB8F1A2">
            <w:pPr>
              <w:pStyle w:val="64"/>
            </w:pPr>
            <w:r>
              <w:rPr>
                <w:rFonts w:hint="eastAsia"/>
              </w:rPr>
              <w:t>沫河口污水处理厂接管标准</w:t>
            </w:r>
          </w:p>
        </w:tc>
        <w:tc>
          <w:tcPr>
            <w:tcW w:w="306" w:type="pct"/>
            <w:vAlign w:val="center"/>
          </w:tcPr>
          <w:p w14:paraId="4E1AAE4A">
            <w:pPr>
              <w:pStyle w:val="64"/>
            </w:pPr>
            <w:r>
              <w:rPr>
                <w:rFonts w:hint="eastAsia"/>
              </w:rPr>
              <w:t>/</w:t>
            </w:r>
          </w:p>
        </w:tc>
        <w:tc>
          <w:tcPr>
            <w:tcW w:w="480" w:type="pct"/>
            <w:vAlign w:val="center"/>
          </w:tcPr>
          <w:p w14:paraId="709D2FEF">
            <w:pPr>
              <w:pStyle w:val="64"/>
            </w:pPr>
            <w:r>
              <w:t>500</w:t>
            </w:r>
          </w:p>
        </w:tc>
        <w:tc>
          <w:tcPr>
            <w:tcW w:w="403" w:type="pct"/>
            <w:vAlign w:val="center"/>
          </w:tcPr>
          <w:p w14:paraId="5944E8F8">
            <w:pPr>
              <w:pStyle w:val="64"/>
            </w:pPr>
            <w:r>
              <w:t>120</w:t>
            </w:r>
          </w:p>
        </w:tc>
        <w:tc>
          <w:tcPr>
            <w:tcW w:w="387" w:type="pct"/>
            <w:vAlign w:val="center"/>
          </w:tcPr>
          <w:p w14:paraId="43AA69C1">
            <w:pPr>
              <w:pStyle w:val="64"/>
            </w:pPr>
            <w:r>
              <w:t>30</w:t>
            </w:r>
          </w:p>
        </w:tc>
        <w:tc>
          <w:tcPr>
            <w:tcW w:w="309" w:type="pct"/>
            <w:vAlign w:val="center"/>
          </w:tcPr>
          <w:p w14:paraId="7BA7EE05">
            <w:pPr>
              <w:pStyle w:val="64"/>
            </w:pPr>
            <w:r>
              <w:t>200</w:t>
            </w:r>
          </w:p>
        </w:tc>
        <w:tc>
          <w:tcPr>
            <w:tcW w:w="467" w:type="pct"/>
            <w:vAlign w:val="center"/>
          </w:tcPr>
          <w:p w14:paraId="74633F02">
            <w:pPr>
              <w:pStyle w:val="64"/>
            </w:pPr>
            <w:r>
              <w:rPr>
                <w:rFonts w:hint="eastAsia"/>
              </w:rPr>
              <w:t>3000</w:t>
            </w:r>
          </w:p>
        </w:tc>
        <w:tc>
          <w:tcPr>
            <w:tcW w:w="538" w:type="pct"/>
            <w:vAlign w:val="center"/>
          </w:tcPr>
          <w:p w14:paraId="1E75200C">
            <w:pPr>
              <w:pStyle w:val="64"/>
            </w:pPr>
            <w:r>
              <w:rPr>
                <w:rFonts w:hint="eastAsia"/>
              </w:rPr>
              <w:t>/</w:t>
            </w:r>
          </w:p>
        </w:tc>
      </w:tr>
      <w:tr w14:paraId="6279CB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10" w:type="pct"/>
            <w:vAlign w:val="center"/>
          </w:tcPr>
          <w:p w14:paraId="5A7F13CA">
            <w:pPr>
              <w:pStyle w:val="64"/>
            </w:pPr>
            <w:r>
              <w:rPr>
                <w:rFonts w:hint="eastAsia"/>
              </w:rPr>
              <w:t>《石油化学工业污染物排放标准》表1</w:t>
            </w:r>
          </w:p>
        </w:tc>
        <w:tc>
          <w:tcPr>
            <w:tcW w:w="306" w:type="pct"/>
            <w:vAlign w:val="center"/>
          </w:tcPr>
          <w:p w14:paraId="58271A27">
            <w:pPr>
              <w:pStyle w:val="64"/>
            </w:pPr>
            <w:r>
              <w:rPr>
                <w:rFonts w:hint="eastAsia"/>
              </w:rPr>
              <w:t>/</w:t>
            </w:r>
          </w:p>
        </w:tc>
        <w:tc>
          <w:tcPr>
            <w:tcW w:w="480" w:type="pct"/>
            <w:vAlign w:val="center"/>
          </w:tcPr>
          <w:p w14:paraId="6F2327FA">
            <w:pPr>
              <w:pStyle w:val="64"/>
            </w:pPr>
            <w:r>
              <w:rPr>
                <w:rFonts w:hint="eastAsia"/>
              </w:rPr>
              <w:t>/</w:t>
            </w:r>
          </w:p>
        </w:tc>
        <w:tc>
          <w:tcPr>
            <w:tcW w:w="403" w:type="pct"/>
            <w:vAlign w:val="center"/>
          </w:tcPr>
          <w:p w14:paraId="32C18B8C">
            <w:pPr>
              <w:pStyle w:val="64"/>
            </w:pPr>
            <w:r>
              <w:rPr>
                <w:rFonts w:hint="eastAsia"/>
              </w:rPr>
              <w:t>/</w:t>
            </w:r>
          </w:p>
        </w:tc>
        <w:tc>
          <w:tcPr>
            <w:tcW w:w="387" w:type="pct"/>
            <w:vAlign w:val="center"/>
          </w:tcPr>
          <w:p w14:paraId="461338B9">
            <w:pPr>
              <w:pStyle w:val="64"/>
            </w:pPr>
            <w:r>
              <w:rPr>
                <w:rFonts w:hint="eastAsia"/>
              </w:rPr>
              <w:t>/</w:t>
            </w:r>
          </w:p>
        </w:tc>
        <w:tc>
          <w:tcPr>
            <w:tcW w:w="309" w:type="pct"/>
            <w:vAlign w:val="center"/>
          </w:tcPr>
          <w:p w14:paraId="6A73FA41">
            <w:pPr>
              <w:pStyle w:val="64"/>
            </w:pPr>
            <w:r>
              <w:rPr>
                <w:rFonts w:hint="eastAsia"/>
              </w:rPr>
              <w:t>/</w:t>
            </w:r>
          </w:p>
        </w:tc>
        <w:tc>
          <w:tcPr>
            <w:tcW w:w="467" w:type="pct"/>
            <w:vAlign w:val="center"/>
          </w:tcPr>
          <w:p w14:paraId="7E5482C6">
            <w:pPr>
              <w:pStyle w:val="64"/>
            </w:pPr>
            <w:r>
              <w:rPr>
                <w:rFonts w:hint="eastAsia"/>
              </w:rPr>
              <w:t>/</w:t>
            </w:r>
          </w:p>
        </w:tc>
        <w:tc>
          <w:tcPr>
            <w:tcW w:w="538" w:type="pct"/>
            <w:vAlign w:val="center"/>
          </w:tcPr>
          <w:p w14:paraId="0B29ED1B">
            <w:pPr>
              <w:pStyle w:val="64"/>
            </w:pPr>
            <w:r>
              <w:rPr>
                <w:rFonts w:hint="eastAsia"/>
              </w:rPr>
              <w:t>0.5</w:t>
            </w:r>
          </w:p>
        </w:tc>
      </w:tr>
      <w:tr w14:paraId="6133EA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10" w:type="pct"/>
            <w:vAlign w:val="center"/>
          </w:tcPr>
          <w:p w14:paraId="7593CF66">
            <w:pPr>
              <w:pStyle w:val="64"/>
            </w:pPr>
            <w:r>
              <w:rPr>
                <w:rFonts w:hint="eastAsia"/>
              </w:rPr>
              <w:t>《污水综合排放标准》表4</w:t>
            </w:r>
          </w:p>
        </w:tc>
        <w:tc>
          <w:tcPr>
            <w:tcW w:w="306" w:type="pct"/>
            <w:vAlign w:val="center"/>
          </w:tcPr>
          <w:p w14:paraId="42886D1F">
            <w:pPr>
              <w:pStyle w:val="64"/>
            </w:pPr>
            <w:r>
              <w:t>6~9</w:t>
            </w:r>
          </w:p>
        </w:tc>
        <w:tc>
          <w:tcPr>
            <w:tcW w:w="480" w:type="pct"/>
            <w:vAlign w:val="center"/>
          </w:tcPr>
          <w:p w14:paraId="06CF1BDA">
            <w:pPr>
              <w:pStyle w:val="64"/>
            </w:pPr>
            <w:r>
              <w:rPr>
                <w:rFonts w:hint="eastAsia"/>
              </w:rPr>
              <w:t>500</w:t>
            </w:r>
          </w:p>
        </w:tc>
        <w:tc>
          <w:tcPr>
            <w:tcW w:w="403" w:type="pct"/>
            <w:vAlign w:val="center"/>
          </w:tcPr>
          <w:p w14:paraId="526C28A6">
            <w:pPr>
              <w:pStyle w:val="64"/>
            </w:pPr>
            <w:r>
              <w:rPr>
                <w:rFonts w:hint="eastAsia"/>
              </w:rPr>
              <w:t>300</w:t>
            </w:r>
          </w:p>
        </w:tc>
        <w:tc>
          <w:tcPr>
            <w:tcW w:w="387" w:type="pct"/>
            <w:vAlign w:val="center"/>
          </w:tcPr>
          <w:p w14:paraId="1A6059D3">
            <w:pPr>
              <w:pStyle w:val="64"/>
            </w:pPr>
            <w:r>
              <w:rPr>
                <w:rFonts w:hint="eastAsia"/>
              </w:rPr>
              <w:t>—</w:t>
            </w:r>
          </w:p>
        </w:tc>
        <w:tc>
          <w:tcPr>
            <w:tcW w:w="309" w:type="pct"/>
            <w:vAlign w:val="center"/>
          </w:tcPr>
          <w:p w14:paraId="7D62AE3E">
            <w:pPr>
              <w:pStyle w:val="64"/>
            </w:pPr>
            <w:r>
              <w:rPr>
                <w:rFonts w:hint="eastAsia"/>
              </w:rPr>
              <w:t>400</w:t>
            </w:r>
          </w:p>
        </w:tc>
        <w:tc>
          <w:tcPr>
            <w:tcW w:w="467" w:type="pct"/>
            <w:vAlign w:val="center"/>
          </w:tcPr>
          <w:p w14:paraId="4DC38260">
            <w:pPr>
              <w:pStyle w:val="64"/>
            </w:pPr>
            <w:r>
              <w:rPr>
                <w:rFonts w:hint="eastAsia"/>
              </w:rPr>
              <w:t>/</w:t>
            </w:r>
          </w:p>
        </w:tc>
        <w:tc>
          <w:tcPr>
            <w:tcW w:w="538" w:type="pct"/>
            <w:vAlign w:val="center"/>
          </w:tcPr>
          <w:p w14:paraId="606D6E78">
            <w:pPr>
              <w:pStyle w:val="64"/>
            </w:pPr>
            <w:r>
              <w:rPr>
                <w:rFonts w:hint="eastAsia"/>
              </w:rPr>
              <w:t>0.5</w:t>
            </w:r>
          </w:p>
        </w:tc>
      </w:tr>
      <w:tr w14:paraId="46D352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10" w:type="pct"/>
            <w:vAlign w:val="center"/>
          </w:tcPr>
          <w:p w14:paraId="1FB35D96">
            <w:pPr>
              <w:pStyle w:val="64"/>
            </w:pPr>
            <w:r>
              <w:rPr>
                <w:rFonts w:hint="eastAsia"/>
              </w:rPr>
              <w:t>本项目废水排放执行标准</w:t>
            </w:r>
          </w:p>
        </w:tc>
        <w:tc>
          <w:tcPr>
            <w:tcW w:w="306" w:type="pct"/>
            <w:vAlign w:val="center"/>
          </w:tcPr>
          <w:p w14:paraId="3F1A0EDF">
            <w:pPr>
              <w:pStyle w:val="64"/>
            </w:pPr>
            <w:r>
              <w:t>6~9</w:t>
            </w:r>
          </w:p>
        </w:tc>
        <w:tc>
          <w:tcPr>
            <w:tcW w:w="480" w:type="pct"/>
            <w:vAlign w:val="center"/>
          </w:tcPr>
          <w:p w14:paraId="65B95082">
            <w:pPr>
              <w:pStyle w:val="64"/>
            </w:pPr>
            <w:r>
              <w:t>500</w:t>
            </w:r>
          </w:p>
        </w:tc>
        <w:tc>
          <w:tcPr>
            <w:tcW w:w="403" w:type="pct"/>
            <w:vAlign w:val="center"/>
          </w:tcPr>
          <w:p w14:paraId="115280B8">
            <w:pPr>
              <w:pStyle w:val="64"/>
            </w:pPr>
            <w:r>
              <w:t>120</w:t>
            </w:r>
          </w:p>
        </w:tc>
        <w:tc>
          <w:tcPr>
            <w:tcW w:w="387" w:type="pct"/>
            <w:vAlign w:val="center"/>
          </w:tcPr>
          <w:p w14:paraId="2520BF21">
            <w:pPr>
              <w:pStyle w:val="64"/>
            </w:pPr>
            <w:r>
              <w:t>30</w:t>
            </w:r>
          </w:p>
        </w:tc>
        <w:tc>
          <w:tcPr>
            <w:tcW w:w="309" w:type="pct"/>
            <w:vAlign w:val="center"/>
          </w:tcPr>
          <w:p w14:paraId="745115E0">
            <w:pPr>
              <w:pStyle w:val="64"/>
            </w:pPr>
            <w:r>
              <w:t>200</w:t>
            </w:r>
          </w:p>
        </w:tc>
        <w:tc>
          <w:tcPr>
            <w:tcW w:w="467" w:type="pct"/>
            <w:vAlign w:val="center"/>
          </w:tcPr>
          <w:p w14:paraId="65C117C0">
            <w:pPr>
              <w:pStyle w:val="64"/>
            </w:pPr>
            <w:r>
              <w:rPr>
                <w:rFonts w:hint="eastAsia"/>
              </w:rPr>
              <w:t>3000</w:t>
            </w:r>
          </w:p>
        </w:tc>
        <w:tc>
          <w:tcPr>
            <w:tcW w:w="538" w:type="pct"/>
            <w:vAlign w:val="center"/>
          </w:tcPr>
          <w:p w14:paraId="3BB917D0">
            <w:pPr>
              <w:pStyle w:val="64"/>
            </w:pPr>
            <w:r>
              <w:rPr>
                <w:rFonts w:hint="eastAsia"/>
              </w:rPr>
              <w:t>0.5</w:t>
            </w:r>
          </w:p>
        </w:tc>
      </w:tr>
    </w:tbl>
    <w:p w14:paraId="340119CB"/>
    <w:p w14:paraId="294747A1">
      <w:pPr>
        <w:pStyle w:val="28"/>
        <w:rPr>
          <w:rFonts w:hint="eastAsia"/>
        </w:rPr>
      </w:pPr>
      <w:r>
        <w:rPr>
          <w:rFonts w:hint="eastAsia"/>
        </w:rPr>
        <w:t>表2</w:t>
      </w:r>
      <w:r>
        <w:t>.5-</w:t>
      </w:r>
      <w:r>
        <w:rPr>
          <w:rFonts w:hint="eastAsia"/>
        </w:rPr>
        <w:t>9  城镇污水处理厂污染物排放标准</w:t>
      </w:r>
    </w:p>
    <w:tbl>
      <w:tblPr>
        <w:tblStyle w:val="36"/>
        <w:tblW w:w="495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18"/>
        <w:gridCol w:w="1582"/>
        <w:gridCol w:w="2595"/>
        <w:gridCol w:w="2447"/>
        <w:gridCol w:w="1866"/>
      </w:tblGrid>
      <w:tr w14:paraId="101743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4" w:hRule="atLeast"/>
          <w:jc w:val="center"/>
        </w:trPr>
        <w:tc>
          <w:tcPr>
            <w:tcW w:w="390" w:type="pct"/>
            <w:tcBorders>
              <w:top w:val="single" w:color="auto" w:sz="4" w:space="0"/>
              <w:left w:val="single" w:color="auto" w:sz="4" w:space="0"/>
              <w:bottom w:val="single" w:color="auto" w:sz="4" w:space="0"/>
              <w:right w:val="single" w:color="auto" w:sz="4" w:space="0"/>
            </w:tcBorders>
            <w:vAlign w:val="center"/>
          </w:tcPr>
          <w:p w14:paraId="2E93BEE3">
            <w:pPr>
              <w:pStyle w:val="64"/>
            </w:pPr>
            <w:r>
              <w:rPr>
                <w:rFonts w:hint="eastAsia"/>
              </w:rPr>
              <w:t>序号</w:t>
            </w:r>
          </w:p>
        </w:tc>
        <w:tc>
          <w:tcPr>
            <w:tcW w:w="859" w:type="pct"/>
            <w:tcBorders>
              <w:top w:val="single" w:color="auto" w:sz="4" w:space="0"/>
              <w:left w:val="single" w:color="auto" w:sz="4" w:space="0"/>
              <w:bottom w:val="single" w:color="auto" w:sz="4" w:space="0"/>
              <w:right w:val="single" w:color="auto" w:sz="4" w:space="0"/>
            </w:tcBorders>
            <w:vAlign w:val="center"/>
          </w:tcPr>
          <w:p w14:paraId="750EC44E">
            <w:pPr>
              <w:pStyle w:val="64"/>
            </w:pPr>
            <w:r>
              <w:rPr>
                <w:rFonts w:hint="eastAsia"/>
              </w:rPr>
              <w:t>污染物</w:t>
            </w:r>
          </w:p>
        </w:tc>
        <w:tc>
          <w:tcPr>
            <w:tcW w:w="1409" w:type="pct"/>
            <w:tcBorders>
              <w:top w:val="single" w:color="auto" w:sz="4" w:space="0"/>
              <w:left w:val="single" w:color="auto" w:sz="4" w:space="0"/>
              <w:bottom w:val="single" w:color="auto" w:sz="4" w:space="0"/>
              <w:right w:val="single" w:color="auto" w:sz="4" w:space="0"/>
            </w:tcBorders>
            <w:vAlign w:val="center"/>
          </w:tcPr>
          <w:p w14:paraId="528DED3B">
            <w:pPr>
              <w:pStyle w:val="64"/>
            </w:pPr>
            <w:r>
              <w:rPr>
                <w:rFonts w:hint="eastAsia"/>
              </w:rPr>
              <w:t>日均值标准限值</w:t>
            </w:r>
            <w:r>
              <w:t>(mg/L)</w:t>
            </w:r>
          </w:p>
        </w:tc>
        <w:tc>
          <w:tcPr>
            <w:tcW w:w="1329" w:type="pct"/>
          </w:tcPr>
          <w:p w14:paraId="29D2C4E1">
            <w:pPr>
              <w:pStyle w:val="64"/>
            </w:pPr>
            <w:r>
              <w:rPr>
                <w:rFonts w:hint="eastAsia"/>
              </w:rPr>
              <w:t>瞬时值标准限值</w:t>
            </w:r>
            <w:r>
              <w:t>(mg/L)</w:t>
            </w:r>
          </w:p>
        </w:tc>
        <w:tc>
          <w:tcPr>
            <w:tcW w:w="1013" w:type="pct"/>
            <w:tcBorders>
              <w:top w:val="single" w:color="auto" w:sz="4" w:space="0"/>
              <w:left w:val="single" w:color="auto" w:sz="4" w:space="0"/>
              <w:bottom w:val="single" w:color="auto" w:sz="4" w:space="0"/>
              <w:right w:val="single" w:color="auto" w:sz="4" w:space="0"/>
            </w:tcBorders>
            <w:vAlign w:val="center"/>
          </w:tcPr>
          <w:p w14:paraId="15D7BA6A">
            <w:pPr>
              <w:pStyle w:val="64"/>
            </w:pPr>
            <w:r>
              <w:rPr>
                <w:rFonts w:hint="eastAsia"/>
              </w:rPr>
              <w:t>标准来源</w:t>
            </w:r>
          </w:p>
        </w:tc>
      </w:tr>
      <w:tr w14:paraId="087C69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9" w:hRule="atLeast"/>
          <w:jc w:val="center"/>
        </w:trPr>
        <w:tc>
          <w:tcPr>
            <w:tcW w:w="390" w:type="pct"/>
            <w:tcBorders>
              <w:top w:val="single" w:color="auto" w:sz="4" w:space="0"/>
              <w:left w:val="single" w:color="auto" w:sz="4" w:space="0"/>
              <w:bottom w:val="single" w:color="auto" w:sz="4" w:space="0"/>
              <w:right w:val="single" w:color="auto" w:sz="4" w:space="0"/>
            </w:tcBorders>
            <w:vAlign w:val="center"/>
          </w:tcPr>
          <w:p w14:paraId="678D505E">
            <w:pPr>
              <w:pStyle w:val="64"/>
            </w:pPr>
            <w:r>
              <w:t>1</w:t>
            </w:r>
          </w:p>
        </w:tc>
        <w:tc>
          <w:tcPr>
            <w:tcW w:w="859" w:type="pct"/>
            <w:tcBorders>
              <w:top w:val="single" w:color="auto" w:sz="4" w:space="0"/>
              <w:left w:val="single" w:color="auto" w:sz="4" w:space="0"/>
              <w:bottom w:val="single" w:color="auto" w:sz="4" w:space="0"/>
              <w:right w:val="single" w:color="auto" w:sz="4" w:space="0"/>
            </w:tcBorders>
            <w:vAlign w:val="center"/>
          </w:tcPr>
          <w:p w14:paraId="33510948">
            <w:pPr>
              <w:pStyle w:val="64"/>
            </w:pPr>
            <w:r>
              <w:t>pH</w:t>
            </w:r>
            <w:r>
              <w:rPr>
                <w:rFonts w:hint="eastAsia"/>
              </w:rPr>
              <w:t>(无量纲)</w:t>
            </w:r>
          </w:p>
        </w:tc>
        <w:tc>
          <w:tcPr>
            <w:tcW w:w="1409" w:type="pct"/>
            <w:tcBorders>
              <w:top w:val="single" w:color="auto" w:sz="4" w:space="0"/>
              <w:left w:val="single" w:color="auto" w:sz="4" w:space="0"/>
              <w:bottom w:val="single" w:color="auto" w:sz="4" w:space="0"/>
              <w:right w:val="single" w:color="auto" w:sz="4" w:space="0"/>
            </w:tcBorders>
            <w:vAlign w:val="center"/>
          </w:tcPr>
          <w:p w14:paraId="46DDCE8C">
            <w:pPr>
              <w:pStyle w:val="64"/>
              <w:rPr>
                <w:szCs w:val="21"/>
              </w:rPr>
            </w:pPr>
            <w:r>
              <w:rPr>
                <w:szCs w:val="21"/>
              </w:rPr>
              <w:t>6~9</w:t>
            </w:r>
          </w:p>
        </w:tc>
        <w:tc>
          <w:tcPr>
            <w:tcW w:w="1329" w:type="pct"/>
            <w:vAlign w:val="center"/>
          </w:tcPr>
          <w:p w14:paraId="46499DF6">
            <w:pPr>
              <w:pStyle w:val="64"/>
              <w:rPr>
                <w:szCs w:val="21"/>
              </w:rPr>
            </w:pPr>
            <w:r>
              <w:rPr>
                <w:szCs w:val="21"/>
              </w:rPr>
              <w:t>6~9</w:t>
            </w:r>
          </w:p>
        </w:tc>
        <w:tc>
          <w:tcPr>
            <w:tcW w:w="1013" w:type="pct"/>
            <w:vMerge w:val="restart"/>
            <w:tcBorders>
              <w:top w:val="single" w:color="auto" w:sz="4" w:space="0"/>
              <w:left w:val="single" w:color="auto" w:sz="4" w:space="0"/>
              <w:right w:val="single" w:color="auto" w:sz="4" w:space="0"/>
            </w:tcBorders>
            <w:vAlign w:val="center"/>
          </w:tcPr>
          <w:p w14:paraId="113DBCB0">
            <w:pPr>
              <w:pStyle w:val="64"/>
            </w:pPr>
            <w:r>
              <w:rPr>
                <w:rFonts w:hint="eastAsia"/>
              </w:rPr>
              <w:t>《城镇污水处理厂污染物排放标准》</w:t>
            </w:r>
            <w:bookmarkStart w:id="38" w:name="_Hlk218864898"/>
            <w:r>
              <w:rPr>
                <w:rFonts w:hint="eastAsia"/>
              </w:rPr>
              <w:t>(GB18918-2002)及其修改单</w:t>
            </w:r>
            <w:bookmarkEnd w:id="38"/>
            <w:r>
              <w:rPr>
                <w:rFonts w:hint="eastAsia"/>
              </w:rPr>
              <w:t>一级A标准</w:t>
            </w:r>
          </w:p>
        </w:tc>
      </w:tr>
      <w:tr w14:paraId="21F36D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4" w:hRule="atLeast"/>
          <w:jc w:val="center"/>
        </w:trPr>
        <w:tc>
          <w:tcPr>
            <w:tcW w:w="390" w:type="pct"/>
            <w:tcBorders>
              <w:top w:val="single" w:color="auto" w:sz="4" w:space="0"/>
              <w:left w:val="single" w:color="auto" w:sz="4" w:space="0"/>
              <w:bottom w:val="single" w:color="auto" w:sz="4" w:space="0"/>
              <w:right w:val="single" w:color="auto" w:sz="4" w:space="0"/>
            </w:tcBorders>
            <w:vAlign w:val="center"/>
          </w:tcPr>
          <w:p w14:paraId="27D526A1">
            <w:pPr>
              <w:pStyle w:val="64"/>
            </w:pPr>
            <w:r>
              <w:t>2</w:t>
            </w:r>
          </w:p>
        </w:tc>
        <w:tc>
          <w:tcPr>
            <w:tcW w:w="859" w:type="pct"/>
            <w:tcBorders>
              <w:top w:val="single" w:color="auto" w:sz="4" w:space="0"/>
              <w:left w:val="single" w:color="auto" w:sz="4" w:space="0"/>
              <w:bottom w:val="single" w:color="auto" w:sz="4" w:space="0"/>
              <w:right w:val="single" w:color="auto" w:sz="4" w:space="0"/>
            </w:tcBorders>
            <w:vAlign w:val="center"/>
          </w:tcPr>
          <w:p w14:paraId="3737AB1B">
            <w:pPr>
              <w:pStyle w:val="64"/>
            </w:pPr>
            <w:r>
              <w:t>COD</w:t>
            </w:r>
            <w:r>
              <w:rPr>
                <w:vertAlign w:val="subscript"/>
              </w:rPr>
              <w:t>cr</w:t>
            </w:r>
          </w:p>
        </w:tc>
        <w:tc>
          <w:tcPr>
            <w:tcW w:w="1409" w:type="pct"/>
            <w:tcBorders>
              <w:top w:val="single" w:color="auto" w:sz="4" w:space="0"/>
              <w:left w:val="single" w:color="auto" w:sz="4" w:space="0"/>
              <w:bottom w:val="single" w:color="auto" w:sz="4" w:space="0"/>
              <w:right w:val="single" w:color="auto" w:sz="4" w:space="0"/>
            </w:tcBorders>
            <w:vAlign w:val="center"/>
          </w:tcPr>
          <w:p w14:paraId="6DAC029F">
            <w:pPr>
              <w:pStyle w:val="64"/>
              <w:rPr>
                <w:szCs w:val="21"/>
              </w:rPr>
            </w:pPr>
            <w:r>
              <w:rPr>
                <w:szCs w:val="21"/>
              </w:rPr>
              <w:t>50</w:t>
            </w:r>
          </w:p>
        </w:tc>
        <w:tc>
          <w:tcPr>
            <w:tcW w:w="1329" w:type="pct"/>
            <w:vAlign w:val="center"/>
          </w:tcPr>
          <w:p w14:paraId="7AED8977">
            <w:pPr>
              <w:spacing w:line="240" w:lineRule="auto"/>
              <w:jc w:val="center"/>
              <w:rPr>
                <w:sz w:val="21"/>
                <w:szCs w:val="21"/>
              </w:rPr>
            </w:pPr>
            <w:r>
              <w:rPr>
                <w:rFonts w:hint="eastAsia"/>
                <w:sz w:val="21"/>
                <w:szCs w:val="21"/>
              </w:rPr>
              <w:t>75</w:t>
            </w:r>
          </w:p>
        </w:tc>
        <w:tc>
          <w:tcPr>
            <w:tcW w:w="1013" w:type="pct"/>
            <w:vMerge w:val="continue"/>
            <w:tcBorders>
              <w:left w:val="single" w:color="auto" w:sz="4" w:space="0"/>
              <w:right w:val="single" w:color="auto" w:sz="4" w:space="0"/>
            </w:tcBorders>
            <w:vAlign w:val="center"/>
          </w:tcPr>
          <w:p w14:paraId="05BF963E">
            <w:pPr>
              <w:spacing w:line="240" w:lineRule="auto"/>
            </w:pPr>
          </w:p>
        </w:tc>
      </w:tr>
      <w:tr w14:paraId="017705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9" w:hRule="atLeast"/>
          <w:jc w:val="center"/>
        </w:trPr>
        <w:tc>
          <w:tcPr>
            <w:tcW w:w="390" w:type="pct"/>
            <w:tcBorders>
              <w:top w:val="single" w:color="auto" w:sz="4" w:space="0"/>
              <w:left w:val="single" w:color="auto" w:sz="4" w:space="0"/>
              <w:bottom w:val="single" w:color="auto" w:sz="4" w:space="0"/>
              <w:right w:val="single" w:color="auto" w:sz="4" w:space="0"/>
            </w:tcBorders>
            <w:vAlign w:val="center"/>
          </w:tcPr>
          <w:p w14:paraId="12B57706">
            <w:pPr>
              <w:pStyle w:val="64"/>
            </w:pPr>
            <w:r>
              <w:t>3</w:t>
            </w:r>
          </w:p>
        </w:tc>
        <w:tc>
          <w:tcPr>
            <w:tcW w:w="859" w:type="pct"/>
            <w:tcBorders>
              <w:top w:val="single" w:color="auto" w:sz="4" w:space="0"/>
              <w:left w:val="single" w:color="auto" w:sz="4" w:space="0"/>
              <w:bottom w:val="single" w:color="auto" w:sz="4" w:space="0"/>
              <w:right w:val="single" w:color="auto" w:sz="4" w:space="0"/>
            </w:tcBorders>
            <w:vAlign w:val="center"/>
          </w:tcPr>
          <w:p w14:paraId="56A3D64E">
            <w:pPr>
              <w:pStyle w:val="64"/>
            </w:pPr>
            <w:r>
              <w:t>BOD</w:t>
            </w:r>
            <w:r>
              <w:rPr>
                <w:vertAlign w:val="subscript"/>
              </w:rPr>
              <w:t>5</w:t>
            </w:r>
          </w:p>
        </w:tc>
        <w:tc>
          <w:tcPr>
            <w:tcW w:w="1409" w:type="pct"/>
            <w:tcBorders>
              <w:top w:val="single" w:color="auto" w:sz="4" w:space="0"/>
              <w:left w:val="single" w:color="auto" w:sz="4" w:space="0"/>
              <w:bottom w:val="single" w:color="auto" w:sz="4" w:space="0"/>
              <w:right w:val="single" w:color="auto" w:sz="4" w:space="0"/>
            </w:tcBorders>
            <w:vAlign w:val="center"/>
          </w:tcPr>
          <w:p w14:paraId="66613FDB">
            <w:pPr>
              <w:pStyle w:val="64"/>
              <w:rPr>
                <w:szCs w:val="21"/>
              </w:rPr>
            </w:pPr>
            <w:r>
              <w:rPr>
                <w:szCs w:val="21"/>
              </w:rPr>
              <w:t>10</w:t>
            </w:r>
          </w:p>
        </w:tc>
        <w:tc>
          <w:tcPr>
            <w:tcW w:w="1329" w:type="pct"/>
            <w:vAlign w:val="center"/>
          </w:tcPr>
          <w:p w14:paraId="3BDBA660">
            <w:pPr>
              <w:spacing w:line="240" w:lineRule="auto"/>
              <w:jc w:val="center"/>
              <w:rPr>
                <w:sz w:val="21"/>
                <w:szCs w:val="21"/>
              </w:rPr>
            </w:pPr>
            <w:r>
              <w:rPr>
                <w:rFonts w:hint="eastAsia"/>
                <w:sz w:val="21"/>
                <w:szCs w:val="21"/>
              </w:rPr>
              <w:t>/</w:t>
            </w:r>
          </w:p>
        </w:tc>
        <w:tc>
          <w:tcPr>
            <w:tcW w:w="1013" w:type="pct"/>
            <w:vMerge w:val="continue"/>
            <w:tcBorders>
              <w:left w:val="single" w:color="auto" w:sz="4" w:space="0"/>
              <w:right w:val="single" w:color="auto" w:sz="4" w:space="0"/>
            </w:tcBorders>
            <w:vAlign w:val="center"/>
          </w:tcPr>
          <w:p w14:paraId="748A8757">
            <w:pPr>
              <w:spacing w:line="240" w:lineRule="auto"/>
            </w:pPr>
          </w:p>
        </w:tc>
      </w:tr>
      <w:tr w14:paraId="63DCD3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4" w:hRule="atLeast"/>
          <w:jc w:val="center"/>
        </w:trPr>
        <w:tc>
          <w:tcPr>
            <w:tcW w:w="390" w:type="pct"/>
            <w:tcBorders>
              <w:top w:val="single" w:color="auto" w:sz="4" w:space="0"/>
              <w:left w:val="single" w:color="auto" w:sz="4" w:space="0"/>
              <w:bottom w:val="single" w:color="auto" w:sz="4" w:space="0"/>
              <w:right w:val="single" w:color="auto" w:sz="4" w:space="0"/>
            </w:tcBorders>
            <w:vAlign w:val="center"/>
          </w:tcPr>
          <w:p w14:paraId="4E2CF48D">
            <w:pPr>
              <w:pStyle w:val="64"/>
            </w:pPr>
            <w:r>
              <w:t>4</w:t>
            </w:r>
          </w:p>
        </w:tc>
        <w:tc>
          <w:tcPr>
            <w:tcW w:w="859" w:type="pct"/>
            <w:tcBorders>
              <w:top w:val="single" w:color="auto" w:sz="4" w:space="0"/>
              <w:left w:val="single" w:color="auto" w:sz="4" w:space="0"/>
              <w:bottom w:val="single" w:color="auto" w:sz="4" w:space="0"/>
              <w:right w:val="single" w:color="auto" w:sz="4" w:space="0"/>
            </w:tcBorders>
            <w:vAlign w:val="center"/>
          </w:tcPr>
          <w:p w14:paraId="2DAEAFEC">
            <w:pPr>
              <w:pStyle w:val="64"/>
            </w:pPr>
            <w:r>
              <w:t>NH</w:t>
            </w:r>
            <w:r>
              <w:rPr>
                <w:vertAlign w:val="subscript"/>
              </w:rPr>
              <w:t>3</w:t>
            </w:r>
            <w:r>
              <w:t>-N</w:t>
            </w:r>
          </w:p>
        </w:tc>
        <w:tc>
          <w:tcPr>
            <w:tcW w:w="1409" w:type="pct"/>
            <w:tcBorders>
              <w:top w:val="single" w:color="auto" w:sz="4" w:space="0"/>
              <w:left w:val="single" w:color="auto" w:sz="4" w:space="0"/>
              <w:bottom w:val="single" w:color="auto" w:sz="4" w:space="0"/>
              <w:right w:val="single" w:color="auto" w:sz="4" w:space="0"/>
            </w:tcBorders>
            <w:vAlign w:val="center"/>
          </w:tcPr>
          <w:p w14:paraId="219FC8DA">
            <w:pPr>
              <w:pStyle w:val="64"/>
              <w:rPr>
                <w:szCs w:val="21"/>
              </w:rPr>
            </w:pPr>
            <w:r>
              <w:rPr>
                <w:szCs w:val="21"/>
              </w:rPr>
              <w:t>5</w:t>
            </w:r>
          </w:p>
        </w:tc>
        <w:tc>
          <w:tcPr>
            <w:tcW w:w="1329" w:type="pct"/>
            <w:vAlign w:val="center"/>
          </w:tcPr>
          <w:p w14:paraId="09E91E0D">
            <w:pPr>
              <w:spacing w:line="240" w:lineRule="auto"/>
              <w:jc w:val="center"/>
              <w:rPr>
                <w:sz w:val="21"/>
                <w:szCs w:val="21"/>
              </w:rPr>
            </w:pPr>
            <w:r>
              <w:rPr>
                <w:rFonts w:hint="eastAsia"/>
                <w:sz w:val="21"/>
                <w:szCs w:val="21"/>
              </w:rPr>
              <w:t>10</w:t>
            </w:r>
          </w:p>
        </w:tc>
        <w:tc>
          <w:tcPr>
            <w:tcW w:w="1013" w:type="pct"/>
            <w:vMerge w:val="continue"/>
            <w:tcBorders>
              <w:left w:val="single" w:color="auto" w:sz="4" w:space="0"/>
              <w:right w:val="single" w:color="auto" w:sz="4" w:space="0"/>
            </w:tcBorders>
            <w:vAlign w:val="center"/>
          </w:tcPr>
          <w:p w14:paraId="4F329DCE">
            <w:pPr>
              <w:spacing w:line="240" w:lineRule="auto"/>
            </w:pPr>
          </w:p>
        </w:tc>
      </w:tr>
      <w:tr w14:paraId="1E3D27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9" w:hRule="atLeast"/>
          <w:jc w:val="center"/>
        </w:trPr>
        <w:tc>
          <w:tcPr>
            <w:tcW w:w="390" w:type="pct"/>
            <w:tcBorders>
              <w:top w:val="single" w:color="auto" w:sz="4" w:space="0"/>
              <w:left w:val="single" w:color="auto" w:sz="4" w:space="0"/>
              <w:bottom w:val="single" w:color="auto" w:sz="4" w:space="0"/>
              <w:right w:val="single" w:color="auto" w:sz="4" w:space="0"/>
            </w:tcBorders>
            <w:vAlign w:val="center"/>
          </w:tcPr>
          <w:p w14:paraId="29B67C39">
            <w:pPr>
              <w:pStyle w:val="64"/>
            </w:pPr>
            <w:r>
              <w:rPr>
                <w:rFonts w:hint="eastAsia"/>
              </w:rPr>
              <w:t>5</w:t>
            </w:r>
          </w:p>
        </w:tc>
        <w:tc>
          <w:tcPr>
            <w:tcW w:w="859" w:type="pct"/>
            <w:tcBorders>
              <w:top w:val="single" w:color="auto" w:sz="4" w:space="0"/>
              <w:left w:val="single" w:color="auto" w:sz="4" w:space="0"/>
              <w:bottom w:val="single" w:color="auto" w:sz="4" w:space="0"/>
              <w:right w:val="single" w:color="auto" w:sz="4" w:space="0"/>
            </w:tcBorders>
            <w:vAlign w:val="center"/>
          </w:tcPr>
          <w:p w14:paraId="58C8703F">
            <w:pPr>
              <w:pStyle w:val="64"/>
            </w:pPr>
            <w:r>
              <w:t>SS</w:t>
            </w:r>
          </w:p>
        </w:tc>
        <w:tc>
          <w:tcPr>
            <w:tcW w:w="1409" w:type="pct"/>
            <w:tcBorders>
              <w:top w:val="single" w:color="auto" w:sz="4" w:space="0"/>
              <w:left w:val="single" w:color="auto" w:sz="4" w:space="0"/>
              <w:bottom w:val="single" w:color="auto" w:sz="4" w:space="0"/>
              <w:right w:val="single" w:color="auto" w:sz="4" w:space="0"/>
            </w:tcBorders>
            <w:vAlign w:val="center"/>
          </w:tcPr>
          <w:p w14:paraId="1C86FD0D">
            <w:pPr>
              <w:pStyle w:val="64"/>
              <w:rPr>
                <w:szCs w:val="21"/>
              </w:rPr>
            </w:pPr>
            <w:r>
              <w:rPr>
                <w:szCs w:val="21"/>
              </w:rPr>
              <w:t>10</w:t>
            </w:r>
          </w:p>
        </w:tc>
        <w:tc>
          <w:tcPr>
            <w:tcW w:w="1329" w:type="pct"/>
            <w:vAlign w:val="center"/>
          </w:tcPr>
          <w:p w14:paraId="01A69F3D">
            <w:pPr>
              <w:spacing w:line="240" w:lineRule="auto"/>
              <w:jc w:val="center"/>
              <w:rPr>
                <w:sz w:val="21"/>
                <w:szCs w:val="21"/>
              </w:rPr>
            </w:pPr>
            <w:r>
              <w:rPr>
                <w:rFonts w:hint="eastAsia"/>
                <w:sz w:val="21"/>
                <w:szCs w:val="21"/>
              </w:rPr>
              <w:t>/</w:t>
            </w:r>
          </w:p>
        </w:tc>
        <w:tc>
          <w:tcPr>
            <w:tcW w:w="1013" w:type="pct"/>
            <w:vMerge w:val="continue"/>
            <w:tcBorders>
              <w:left w:val="single" w:color="auto" w:sz="4" w:space="0"/>
              <w:right w:val="single" w:color="auto" w:sz="4" w:space="0"/>
            </w:tcBorders>
            <w:vAlign w:val="center"/>
          </w:tcPr>
          <w:p w14:paraId="70378D85">
            <w:pPr>
              <w:spacing w:line="240" w:lineRule="auto"/>
            </w:pPr>
          </w:p>
        </w:tc>
      </w:tr>
      <w:tr w14:paraId="29EB76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4" w:hRule="atLeast"/>
          <w:jc w:val="center"/>
        </w:trPr>
        <w:tc>
          <w:tcPr>
            <w:tcW w:w="390" w:type="pct"/>
            <w:tcBorders>
              <w:top w:val="single" w:color="auto" w:sz="4" w:space="0"/>
              <w:left w:val="single" w:color="auto" w:sz="4" w:space="0"/>
              <w:bottom w:val="single" w:color="auto" w:sz="4" w:space="0"/>
              <w:right w:val="single" w:color="auto" w:sz="4" w:space="0"/>
            </w:tcBorders>
            <w:vAlign w:val="center"/>
          </w:tcPr>
          <w:p w14:paraId="2B21F69B">
            <w:pPr>
              <w:pStyle w:val="64"/>
            </w:pPr>
            <w:r>
              <w:rPr>
                <w:rFonts w:hint="eastAsia"/>
              </w:rPr>
              <w:t>6</w:t>
            </w:r>
          </w:p>
        </w:tc>
        <w:tc>
          <w:tcPr>
            <w:tcW w:w="859" w:type="pct"/>
            <w:tcBorders>
              <w:top w:val="single" w:color="auto" w:sz="4" w:space="0"/>
              <w:left w:val="single" w:color="auto" w:sz="4" w:space="0"/>
              <w:bottom w:val="single" w:color="auto" w:sz="4" w:space="0"/>
              <w:right w:val="single" w:color="auto" w:sz="4" w:space="0"/>
            </w:tcBorders>
            <w:vAlign w:val="center"/>
          </w:tcPr>
          <w:p w14:paraId="50FE5141">
            <w:pPr>
              <w:pStyle w:val="64"/>
            </w:pPr>
            <w:r>
              <w:rPr>
                <w:rFonts w:hint="eastAsia"/>
              </w:rPr>
              <w:t>石油类</w:t>
            </w:r>
          </w:p>
        </w:tc>
        <w:tc>
          <w:tcPr>
            <w:tcW w:w="1409" w:type="pct"/>
            <w:tcBorders>
              <w:top w:val="single" w:color="auto" w:sz="4" w:space="0"/>
              <w:left w:val="single" w:color="auto" w:sz="4" w:space="0"/>
              <w:bottom w:val="single" w:color="auto" w:sz="4" w:space="0"/>
              <w:right w:val="single" w:color="auto" w:sz="4" w:space="0"/>
            </w:tcBorders>
            <w:vAlign w:val="center"/>
          </w:tcPr>
          <w:p w14:paraId="47800640">
            <w:pPr>
              <w:pStyle w:val="64"/>
              <w:rPr>
                <w:szCs w:val="21"/>
              </w:rPr>
            </w:pPr>
            <w:r>
              <w:rPr>
                <w:rFonts w:hint="eastAsia"/>
                <w:szCs w:val="21"/>
              </w:rPr>
              <w:t>1.0</w:t>
            </w:r>
          </w:p>
        </w:tc>
        <w:tc>
          <w:tcPr>
            <w:tcW w:w="1329" w:type="pct"/>
            <w:vAlign w:val="center"/>
          </w:tcPr>
          <w:p w14:paraId="157CA4B6">
            <w:pPr>
              <w:spacing w:line="240" w:lineRule="auto"/>
              <w:jc w:val="center"/>
              <w:rPr>
                <w:sz w:val="21"/>
                <w:szCs w:val="21"/>
              </w:rPr>
            </w:pPr>
            <w:r>
              <w:rPr>
                <w:rFonts w:hint="eastAsia"/>
                <w:sz w:val="21"/>
                <w:szCs w:val="21"/>
              </w:rPr>
              <w:t>/</w:t>
            </w:r>
          </w:p>
        </w:tc>
        <w:tc>
          <w:tcPr>
            <w:tcW w:w="1013" w:type="pct"/>
            <w:vMerge w:val="continue"/>
            <w:tcBorders>
              <w:left w:val="single" w:color="auto" w:sz="4" w:space="0"/>
              <w:right w:val="single" w:color="auto" w:sz="4" w:space="0"/>
            </w:tcBorders>
            <w:vAlign w:val="center"/>
          </w:tcPr>
          <w:p w14:paraId="69C79D53">
            <w:pPr>
              <w:spacing w:line="240" w:lineRule="auto"/>
            </w:pPr>
          </w:p>
        </w:tc>
      </w:tr>
      <w:tr w14:paraId="52DC8C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4" w:hRule="atLeast"/>
          <w:jc w:val="center"/>
        </w:trPr>
        <w:tc>
          <w:tcPr>
            <w:tcW w:w="390" w:type="pct"/>
            <w:tcBorders>
              <w:top w:val="single" w:color="auto" w:sz="4" w:space="0"/>
              <w:left w:val="single" w:color="auto" w:sz="4" w:space="0"/>
              <w:bottom w:val="single" w:color="auto" w:sz="4" w:space="0"/>
              <w:right w:val="single" w:color="auto" w:sz="4" w:space="0"/>
            </w:tcBorders>
            <w:vAlign w:val="center"/>
          </w:tcPr>
          <w:p w14:paraId="4936CE42">
            <w:pPr>
              <w:pStyle w:val="64"/>
            </w:pPr>
            <w:r>
              <w:rPr>
                <w:rFonts w:hint="eastAsia"/>
              </w:rPr>
              <w:t>7</w:t>
            </w:r>
          </w:p>
        </w:tc>
        <w:tc>
          <w:tcPr>
            <w:tcW w:w="859" w:type="pct"/>
            <w:tcBorders>
              <w:top w:val="single" w:color="auto" w:sz="4" w:space="0"/>
              <w:left w:val="single" w:color="auto" w:sz="4" w:space="0"/>
              <w:bottom w:val="single" w:color="auto" w:sz="4" w:space="0"/>
              <w:right w:val="single" w:color="auto" w:sz="4" w:space="0"/>
            </w:tcBorders>
            <w:vAlign w:val="center"/>
          </w:tcPr>
          <w:p w14:paraId="56938A26">
            <w:pPr>
              <w:pStyle w:val="64"/>
            </w:pPr>
            <w:r>
              <w:rPr>
                <w:rFonts w:hint="eastAsia"/>
              </w:rPr>
              <w:t>挥发酚</w:t>
            </w:r>
          </w:p>
        </w:tc>
        <w:tc>
          <w:tcPr>
            <w:tcW w:w="1409" w:type="pct"/>
            <w:tcBorders>
              <w:top w:val="single" w:color="auto" w:sz="4" w:space="0"/>
              <w:left w:val="single" w:color="auto" w:sz="4" w:space="0"/>
              <w:bottom w:val="single" w:color="auto" w:sz="4" w:space="0"/>
              <w:right w:val="single" w:color="auto" w:sz="4" w:space="0"/>
            </w:tcBorders>
            <w:vAlign w:val="center"/>
          </w:tcPr>
          <w:p w14:paraId="7527BB47">
            <w:pPr>
              <w:pStyle w:val="64"/>
              <w:rPr>
                <w:szCs w:val="21"/>
              </w:rPr>
            </w:pPr>
            <w:r>
              <w:rPr>
                <w:rFonts w:hint="eastAsia"/>
                <w:szCs w:val="21"/>
              </w:rPr>
              <w:t>0.5</w:t>
            </w:r>
          </w:p>
        </w:tc>
        <w:tc>
          <w:tcPr>
            <w:tcW w:w="1329" w:type="pct"/>
            <w:vAlign w:val="center"/>
          </w:tcPr>
          <w:p w14:paraId="10488D14">
            <w:pPr>
              <w:spacing w:line="240" w:lineRule="auto"/>
              <w:jc w:val="center"/>
              <w:rPr>
                <w:sz w:val="21"/>
                <w:szCs w:val="21"/>
              </w:rPr>
            </w:pPr>
            <w:r>
              <w:rPr>
                <w:rFonts w:hint="eastAsia"/>
                <w:sz w:val="21"/>
                <w:szCs w:val="21"/>
              </w:rPr>
              <w:t>/</w:t>
            </w:r>
          </w:p>
        </w:tc>
        <w:tc>
          <w:tcPr>
            <w:tcW w:w="1013" w:type="pct"/>
            <w:vMerge w:val="continue"/>
            <w:tcBorders>
              <w:left w:val="single" w:color="auto" w:sz="4" w:space="0"/>
              <w:right w:val="single" w:color="auto" w:sz="4" w:space="0"/>
            </w:tcBorders>
            <w:vAlign w:val="center"/>
          </w:tcPr>
          <w:p w14:paraId="4A58FC86">
            <w:pPr>
              <w:spacing w:line="240" w:lineRule="auto"/>
            </w:pPr>
          </w:p>
        </w:tc>
      </w:tr>
    </w:tbl>
    <w:p w14:paraId="720F928F"/>
    <w:p w14:paraId="5A7673BB">
      <w:pPr>
        <w:ind w:firstLine="480" w:firstLineChars="200"/>
      </w:pPr>
      <w:r>
        <w:rPr>
          <w:rFonts w:hint="eastAsia"/>
        </w:rPr>
        <w:t>(3)噪声</w:t>
      </w:r>
    </w:p>
    <w:p w14:paraId="0D42A979">
      <w:pPr>
        <w:ind w:firstLine="480" w:firstLineChars="200"/>
      </w:pPr>
      <w:r>
        <w:rPr>
          <w:rFonts w:hint="eastAsia"/>
        </w:rPr>
        <w:t>施工期噪声执行《建筑施工噪声排放标准》(GB12523-2025)规定的排放标准限值要求，昼间为70dB(A)，夜间为55</w:t>
      </w:r>
      <w:r>
        <w:t>dB(A)</w:t>
      </w:r>
      <w:r>
        <w:rPr>
          <w:rFonts w:hint="eastAsia"/>
        </w:rPr>
        <w:t>。运行期噪声</w:t>
      </w:r>
      <w:r>
        <w:t>执行《工业企业厂界环境噪声排放标准》(GB12348-2008)中的3类标准，昼间为65dB(A)，夜间为55dB(A)。</w:t>
      </w:r>
    </w:p>
    <w:p w14:paraId="516C46F2">
      <w:pPr>
        <w:ind w:firstLine="480" w:firstLineChars="200"/>
      </w:pPr>
      <w:r>
        <w:rPr>
          <w:rFonts w:hint="eastAsia"/>
        </w:rPr>
        <w:t>(4)固体废物</w:t>
      </w:r>
    </w:p>
    <w:p w14:paraId="41EA9066">
      <w:pPr>
        <w:ind w:firstLine="480" w:firstLineChars="200"/>
      </w:pPr>
      <w:r>
        <w:rPr>
          <w:rFonts w:hint="eastAsia"/>
        </w:rPr>
        <w:t>技改</w:t>
      </w:r>
      <w:r>
        <w:t>项目一般工业固体废物和危险固废的暂存及污染控制分别执行《一般工业固体废物贮存和填埋污染控制标准》(GB18599-2020)和《危险废物贮存污染控制标准》(GB18597-2023)中的相关要求。</w:t>
      </w:r>
    </w:p>
    <w:p w14:paraId="5EB274C4">
      <w:pPr>
        <w:pStyle w:val="3"/>
        <w:spacing w:before="326"/>
        <w:rPr>
          <w:rFonts w:hint="eastAsia"/>
        </w:rPr>
      </w:pPr>
      <w:bookmarkStart w:id="39" w:name="_Toc221056330"/>
      <w:r>
        <w:rPr>
          <w:rFonts w:hint="eastAsia"/>
        </w:rPr>
        <w:t>2.6环境保护目标</w:t>
      </w:r>
      <w:bookmarkEnd w:id="39"/>
    </w:p>
    <w:p w14:paraId="7F3669A0">
      <w:pPr>
        <w:ind w:firstLine="468" w:firstLineChars="200"/>
        <w:rPr>
          <w:rFonts w:cs="Times New Roman"/>
          <w:spacing w:val="-3"/>
        </w:rPr>
      </w:pPr>
      <w:r>
        <w:rPr>
          <w:rFonts w:hint="eastAsia" w:cs="Times New Roman"/>
          <w:spacing w:val="-3"/>
        </w:rPr>
        <w:t>本项目位于安徽省蚌埠市淮上区精细化工高新技术产业基地安徽海华科技集团有限公司现有厂区内。环境保护目标分布见表2.6-1，具体见图2.6-1。</w:t>
      </w:r>
    </w:p>
    <w:p w14:paraId="657F2AF0">
      <w:pPr>
        <w:rPr>
          <w:rFonts w:cs="Times New Roman"/>
          <w:spacing w:val="-3"/>
        </w:rPr>
      </w:pPr>
    </w:p>
    <w:p w14:paraId="5A9F374A">
      <w:pPr>
        <w:rPr>
          <w:rFonts w:cs="Times New Roman"/>
          <w:spacing w:val="-3"/>
        </w:rPr>
      </w:pPr>
    </w:p>
    <w:p w14:paraId="2919069F">
      <w:pPr>
        <w:rPr>
          <w:rFonts w:cs="Times New Roman"/>
          <w:spacing w:val="-3"/>
        </w:rPr>
        <w:sectPr>
          <w:pgSz w:w="11906" w:h="16838"/>
          <w:pgMar w:top="1418" w:right="1418" w:bottom="1418" w:left="1418" w:header="851" w:footer="992" w:gutter="0"/>
          <w:cols w:space="425" w:num="1"/>
          <w:docGrid w:type="lines" w:linePitch="326" w:charSpace="0"/>
        </w:sectPr>
      </w:pPr>
    </w:p>
    <w:p w14:paraId="401FDB74">
      <w:pPr>
        <w:pStyle w:val="28"/>
        <w:rPr>
          <w:rFonts w:hint="eastAsia"/>
        </w:rPr>
      </w:pPr>
      <w:r>
        <w:rPr>
          <w:rFonts w:hint="eastAsia"/>
        </w:rPr>
        <w:t>表2.6-1  主要环境保护目标一览表</w:t>
      </w:r>
    </w:p>
    <w:tbl>
      <w:tblPr>
        <w:tblStyle w:val="3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46"/>
        <w:gridCol w:w="1962"/>
        <w:gridCol w:w="1237"/>
        <w:gridCol w:w="1240"/>
        <w:gridCol w:w="1328"/>
        <w:gridCol w:w="1248"/>
        <w:gridCol w:w="1427"/>
        <w:gridCol w:w="1427"/>
        <w:gridCol w:w="3203"/>
      </w:tblGrid>
      <w:tr w14:paraId="7BBCCF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4" w:hRule="atLeast"/>
          <w:jc w:val="center"/>
        </w:trPr>
        <w:tc>
          <w:tcPr>
            <w:tcW w:w="403" w:type="pct"/>
            <w:vMerge w:val="restart"/>
            <w:tcBorders>
              <w:top w:val="single" w:color="auto" w:sz="4" w:space="0"/>
              <w:left w:val="single" w:color="auto" w:sz="4" w:space="0"/>
              <w:right w:val="single" w:color="auto" w:sz="4" w:space="0"/>
            </w:tcBorders>
            <w:vAlign w:val="center"/>
          </w:tcPr>
          <w:p w14:paraId="2132B4E1">
            <w:pPr>
              <w:spacing w:line="240" w:lineRule="auto"/>
              <w:jc w:val="center"/>
              <w:rPr>
                <w:rFonts w:cs="Times New Roman"/>
                <w:sz w:val="21"/>
                <w:szCs w:val="21"/>
              </w:rPr>
            </w:pPr>
            <w:r>
              <w:rPr>
                <w:rFonts w:cs="Times New Roman"/>
                <w:sz w:val="21"/>
                <w:szCs w:val="21"/>
              </w:rPr>
              <w:t>环境要素</w:t>
            </w:r>
          </w:p>
        </w:tc>
        <w:tc>
          <w:tcPr>
            <w:tcW w:w="690" w:type="pct"/>
            <w:vMerge w:val="restart"/>
            <w:tcBorders>
              <w:top w:val="single" w:color="auto" w:sz="4" w:space="0"/>
              <w:left w:val="single" w:color="auto" w:sz="4" w:space="0"/>
              <w:right w:val="single" w:color="auto" w:sz="4" w:space="0"/>
            </w:tcBorders>
            <w:vAlign w:val="center"/>
          </w:tcPr>
          <w:p w14:paraId="3151D702">
            <w:pPr>
              <w:spacing w:line="240" w:lineRule="auto"/>
              <w:jc w:val="center"/>
              <w:rPr>
                <w:rFonts w:cs="Times New Roman"/>
                <w:sz w:val="21"/>
                <w:szCs w:val="21"/>
              </w:rPr>
            </w:pPr>
            <w:r>
              <w:rPr>
                <w:rFonts w:cs="Times New Roman"/>
                <w:sz w:val="21"/>
                <w:szCs w:val="21"/>
              </w:rPr>
              <w:t>环境保护目标名称</w:t>
            </w:r>
          </w:p>
        </w:tc>
        <w:tc>
          <w:tcPr>
            <w:tcW w:w="871" w:type="pct"/>
            <w:gridSpan w:val="2"/>
            <w:tcBorders>
              <w:top w:val="single" w:color="auto" w:sz="4" w:space="0"/>
              <w:left w:val="single" w:color="auto" w:sz="4" w:space="0"/>
              <w:bottom w:val="single" w:color="auto" w:sz="4" w:space="0"/>
              <w:right w:val="single" w:color="auto" w:sz="4" w:space="0"/>
            </w:tcBorders>
            <w:vAlign w:val="center"/>
          </w:tcPr>
          <w:p w14:paraId="2BB23534">
            <w:pPr>
              <w:spacing w:line="240" w:lineRule="auto"/>
              <w:jc w:val="center"/>
              <w:rPr>
                <w:rFonts w:cs="Times New Roman"/>
                <w:sz w:val="21"/>
                <w:szCs w:val="21"/>
              </w:rPr>
            </w:pPr>
            <w:r>
              <w:rPr>
                <w:rFonts w:cs="Times New Roman"/>
                <w:sz w:val="21"/>
                <w:szCs w:val="21"/>
              </w:rPr>
              <w:t>坐标</w:t>
            </w:r>
          </w:p>
        </w:tc>
        <w:tc>
          <w:tcPr>
            <w:tcW w:w="467" w:type="pct"/>
            <w:vMerge w:val="restart"/>
            <w:tcBorders>
              <w:top w:val="single" w:color="auto" w:sz="4" w:space="0"/>
              <w:left w:val="single" w:color="auto" w:sz="4" w:space="0"/>
              <w:right w:val="single" w:color="auto" w:sz="4" w:space="0"/>
            </w:tcBorders>
            <w:vAlign w:val="center"/>
          </w:tcPr>
          <w:p w14:paraId="6EAFDEAF">
            <w:pPr>
              <w:spacing w:line="240" w:lineRule="auto"/>
              <w:jc w:val="center"/>
              <w:rPr>
                <w:rFonts w:cs="Times New Roman"/>
                <w:sz w:val="21"/>
                <w:szCs w:val="21"/>
              </w:rPr>
            </w:pPr>
            <w:r>
              <w:rPr>
                <w:rFonts w:cs="Times New Roman"/>
                <w:sz w:val="21"/>
                <w:szCs w:val="21"/>
              </w:rPr>
              <w:t>方位</w:t>
            </w:r>
          </w:p>
        </w:tc>
        <w:tc>
          <w:tcPr>
            <w:tcW w:w="439" w:type="pct"/>
            <w:vMerge w:val="restart"/>
            <w:tcBorders>
              <w:top w:val="single" w:color="auto" w:sz="4" w:space="0"/>
              <w:left w:val="single" w:color="auto" w:sz="4" w:space="0"/>
              <w:right w:val="single" w:color="auto" w:sz="4" w:space="0"/>
            </w:tcBorders>
            <w:vAlign w:val="center"/>
          </w:tcPr>
          <w:p w14:paraId="6BFED4C2">
            <w:pPr>
              <w:spacing w:line="240" w:lineRule="auto"/>
              <w:jc w:val="center"/>
              <w:rPr>
                <w:rFonts w:cs="Times New Roman"/>
                <w:sz w:val="21"/>
                <w:szCs w:val="21"/>
              </w:rPr>
            </w:pPr>
            <w:r>
              <w:rPr>
                <w:rFonts w:cs="Times New Roman"/>
                <w:sz w:val="21"/>
                <w:szCs w:val="21"/>
              </w:rPr>
              <w:t>距离</w:t>
            </w:r>
            <w:r>
              <w:rPr>
                <w:rFonts w:hint="eastAsia" w:cs="Times New Roman"/>
                <w:sz w:val="21"/>
                <w:szCs w:val="21"/>
              </w:rPr>
              <w:t>(</w:t>
            </w:r>
            <w:r>
              <w:rPr>
                <w:rFonts w:cs="Times New Roman"/>
                <w:sz w:val="21"/>
                <w:szCs w:val="21"/>
              </w:rPr>
              <w:t>m</w:t>
            </w:r>
            <w:r>
              <w:rPr>
                <w:rFonts w:hint="eastAsia" w:cs="Times New Roman"/>
                <w:sz w:val="21"/>
                <w:szCs w:val="21"/>
              </w:rPr>
              <w:t>)</w:t>
            </w:r>
          </w:p>
        </w:tc>
        <w:tc>
          <w:tcPr>
            <w:tcW w:w="502" w:type="pct"/>
            <w:vMerge w:val="restart"/>
            <w:tcBorders>
              <w:top w:val="single" w:color="auto" w:sz="4" w:space="0"/>
              <w:left w:val="single" w:color="auto" w:sz="4" w:space="0"/>
              <w:right w:val="single" w:color="auto" w:sz="4" w:space="0"/>
            </w:tcBorders>
            <w:vAlign w:val="center"/>
          </w:tcPr>
          <w:p w14:paraId="2A3519FA">
            <w:pPr>
              <w:spacing w:line="240" w:lineRule="auto"/>
              <w:jc w:val="center"/>
              <w:rPr>
                <w:rFonts w:cs="Times New Roman"/>
                <w:sz w:val="21"/>
                <w:szCs w:val="21"/>
              </w:rPr>
            </w:pPr>
            <w:r>
              <w:rPr>
                <w:rFonts w:hint="eastAsia" w:cs="Times New Roman"/>
                <w:sz w:val="21"/>
                <w:szCs w:val="21"/>
              </w:rPr>
              <w:t>保护对象及内容</w:t>
            </w:r>
          </w:p>
        </w:tc>
        <w:tc>
          <w:tcPr>
            <w:tcW w:w="502" w:type="pct"/>
            <w:vMerge w:val="restart"/>
            <w:tcBorders>
              <w:top w:val="single" w:color="auto" w:sz="4" w:space="0"/>
              <w:left w:val="single" w:color="auto" w:sz="4" w:space="0"/>
              <w:right w:val="single" w:color="auto" w:sz="4" w:space="0"/>
            </w:tcBorders>
            <w:vAlign w:val="center"/>
          </w:tcPr>
          <w:p w14:paraId="52325D44">
            <w:pPr>
              <w:spacing w:line="240" w:lineRule="auto"/>
              <w:jc w:val="center"/>
              <w:rPr>
                <w:rFonts w:cs="Times New Roman"/>
                <w:sz w:val="21"/>
                <w:szCs w:val="21"/>
              </w:rPr>
            </w:pPr>
            <w:r>
              <w:rPr>
                <w:rFonts w:cs="Times New Roman"/>
                <w:sz w:val="21"/>
                <w:szCs w:val="21"/>
              </w:rPr>
              <w:t>规模</w:t>
            </w:r>
            <w:r>
              <w:rPr>
                <w:rFonts w:hint="eastAsia" w:cs="Times New Roman"/>
                <w:sz w:val="21"/>
                <w:szCs w:val="21"/>
              </w:rPr>
              <w:t>(人)</w:t>
            </w:r>
          </w:p>
        </w:tc>
        <w:tc>
          <w:tcPr>
            <w:tcW w:w="1126" w:type="pct"/>
            <w:vMerge w:val="restart"/>
            <w:tcBorders>
              <w:top w:val="single" w:color="auto" w:sz="4" w:space="0"/>
              <w:left w:val="single" w:color="auto" w:sz="4" w:space="0"/>
              <w:right w:val="single" w:color="auto" w:sz="4" w:space="0"/>
            </w:tcBorders>
            <w:vAlign w:val="center"/>
          </w:tcPr>
          <w:p w14:paraId="7130E48C">
            <w:pPr>
              <w:spacing w:line="240" w:lineRule="auto"/>
              <w:jc w:val="center"/>
              <w:rPr>
                <w:rFonts w:cs="Times New Roman"/>
                <w:sz w:val="21"/>
                <w:szCs w:val="21"/>
              </w:rPr>
            </w:pPr>
            <w:r>
              <w:rPr>
                <w:rFonts w:cs="Times New Roman"/>
                <w:sz w:val="21"/>
                <w:szCs w:val="21"/>
              </w:rPr>
              <w:t>环境功能及保护级别</w:t>
            </w:r>
          </w:p>
        </w:tc>
      </w:tr>
      <w:tr w14:paraId="7B5A94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4" w:hRule="atLeast"/>
          <w:jc w:val="center"/>
        </w:trPr>
        <w:tc>
          <w:tcPr>
            <w:tcW w:w="403" w:type="pct"/>
            <w:vMerge w:val="continue"/>
            <w:tcBorders>
              <w:left w:val="single" w:color="auto" w:sz="4" w:space="0"/>
              <w:bottom w:val="single" w:color="auto" w:sz="4" w:space="0"/>
              <w:right w:val="single" w:color="auto" w:sz="4" w:space="0"/>
            </w:tcBorders>
            <w:vAlign w:val="center"/>
          </w:tcPr>
          <w:p w14:paraId="157D2945">
            <w:pPr>
              <w:spacing w:line="240" w:lineRule="auto"/>
              <w:jc w:val="center"/>
              <w:rPr>
                <w:rFonts w:cs="Times New Roman"/>
                <w:sz w:val="21"/>
                <w:szCs w:val="21"/>
              </w:rPr>
            </w:pPr>
          </w:p>
        </w:tc>
        <w:tc>
          <w:tcPr>
            <w:tcW w:w="690" w:type="pct"/>
            <w:vMerge w:val="continue"/>
            <w:tcBorders>
              <w:left w:val="single" w:color="auto" w:sz="4" w:space="0"/>
              <w:bottom w:val="single" w:color="auto" w:sz="4" w:space="0"/>
              <w:right w:val="single" w:color="auto" w:sz="4" w:space="0"/>
            </w:tcBorders>
            <w:vAlign w:val="center"/>
          </w:tcPr>
          <w:p w14:paraId="7DA4F349">
            <w:pPr>
              <w:spacing w:line="240" w:lineRule="auto"/>
              <w:jc w:val="center"/>
              <w:rPr>
                <w:rFonts w:cs="Times New Roman"/>
                <w:sz w:val="21"/>
                <w:szCs w:val="21"/>
              </w:rPr>
            </w:pPr>
          </w:p>
        </w:tc>
        <w:tc>
          <w:tcPr>
            <w:tcW w:w="435" w:type="pct"/>
            <w:tcBorders>
              <w:top w:val="single" w:color="auto" w:sz="4" w:space="0"/>
              <w:left w:val="single" w:color="auto" w:sz="4" w:space="0"/>
              <w:bottom w:val="single" w:color="auto" w:sz="4" w:space="0"/>
              <w:right w:val="single" w:color="auto" w:sz="4" w:space="0"/>
            </w:tcBorders>
            <w:vAlign w:val="center"/>
          </w:tcPr>
          <w:p w14:paraId="3C1632B4">
            <w:pPr>
              <w:spacing w:line="240" w:lineRule="auto"/>
              <w:jc w:val="center"/>
              <w:rPr>
                <w:rFonts w:cs="Times New Roman"/>
                <w:sz w:val="21"/>
                <w:szCs w:val="21"/>
              </w:rPr>
            </w:pPr>
            <w:r>
              <w:rPr>
                <w:rFonts w:hint="eastAsia" w:cs="Times New Roman"/>
                <w:sz w:val="21"/>
                <w:szCs w:val="21"/>
              </w:rPr>
              <w:t>X(m)</w:t>
            </w:r>
          </w:p>
        </w:tc>
        <w:tc>
          <w:tcPr>
            <w:tcW w:w="436" w:type="pct"/>
            <w:tcBorders>
              <w:top w:val="single" w:color="auto" w:sz="4" w:space="0"/>
              <w:left w:val="single" w:color="auto" w:sz="4" w:space="0"/>
              <w:bottom w:val="single" w:color="auto" w:sz="4" w:space="0"/>
              <w:right w:val="single" w:color="auto" w:sz="4" w:space="0"/>
            </w:tcBorders>
            <w:vAlign w:val="center"/>
          </w:tcPr>
          <w:p w14:paraId="3AA3EE8B">
            <w:pPr>
              <w:spacing w:line="240" w:lineRule="auto"/>
              <w:jc w:val="center"/>
              <w:rPr>
                <w:rFonts w:cs="Times New Roman"/>
                <w:sz w:val="21"/>
                <w:szCs w:val="21"/>
              </w:rPr>
            </w:pPr>
            <w:r>
              <w:rPr>
                <w:rFonts w:hint="eastAsia" w:cs="Times New Roman"/>
                <w:sz w:val="21"/>
                <w:szCs w:val="21"/>
              </w:rPr>
              <w:t>Y(m)</w:t>
            </w:r>
          </w:p>
        </w:tc>
        <w:tc>
          <w:tcPr>
            <w:tcW w:w="467" w:type="pct"/>
            <w:vMerge w:val="continue"/>
            <w:tcBorders>
              <w:left w:val="single" w:color="auto" w:sz="4" w:space="0"/>
              <w:bottom w:val="single" w:color="auto" w:sz="4" w:space="0"/>
              <w:right w:val="single" w:color="auto" w:sz="4" w:space="0"/>
            </w:tcBorders>
            <w:vAlign w:val="center"/>
          </w:tcPr>
          <w:p w14:paraId="3E032B74">
            <w:pPr>
              <w:spacing w:line="240" w:lineRule="auto"/>
              <w:jc w:val="center"/>
              <w:rPr>
                <w:rFonts w:cs="Times New Roman"/>
                <w:sz w:val="21"/>
                <w:szCs w:val="21"/>
              </w:rPr>
            </w:pPr>
          </w:p>
        </w:tc>
        <w:tc>
          <w:tcPr>
            <w:tcW w:w="439" w:type="pct"/>
            <w:vMerge w:val="continue"/>
            <w:tcBorders>
              <w:left w:val="single" w:color="auto" w:sz="4" w:space="0"/>
              <w:bottom w:val="single" w:color="auto" w:sz="4" w:space="0"/>
              <w:right w:val="single" w:color="auto" w:sz="4" w:space="0"/>
            </w:tcBorders>
            <w:vAlign w:val="center"/>
          </w:tcPr>
          <w:p w14:paraId="1AA6DCA1">
            <w:pPr>
              <w:spacing w:line="240" w:lineRule="auto"/>
              <w:jc w:val="center"/>
              <w:rPr>
                <w:rFonts w:cs="Times New Roman"/>
                <w:sz w:val="21"/>
                <w:szCs w:val="21"/>
              </w:rPr>
            </w:pPr>
          </w:p>
        </w:tc>
        <w:tc>
          <w:tcPr>
            <w:tcW w:w="502" w:type="pct"/>
            <w:vMerge w:val="continue"/>
            <w:tcBorders>
              <w:left w:val="single" w:color="auto" w:sz="4" w:space="0"/>
              <w:bottom w:val="single" w:color="auto" w:sz="4" w:space="0"/>
              <w:right w:val="single" w:color="auto" w:sz="4" w:space="0"/>
            </w:tcBorders>
            <w:vAlign w:val="center"/>
          </w:tcPr>
          <w:p w14:paraId="0E6ADE03">
            <w:pPr>
              <w:spacing w:line="240" w:lineRule="auto"/>
              <w:jc w:val="center"/>
              <w:rPr>
                <w:rFonts w:cs="Times New Roman"/>
                <w:sz w:val="21"/>
                <w:szCs w:val="21"/>
              </w:rPr>
            </w:pPr>
          </w:p>
        </w:tc>
        <w:tc>
          <w:tcPr>
            <w:tcW w:w="502" w:type="pct"/>
            <w:vMerge w:val="continue"/>
            <w:tcBorders>
              <w:left w:val="single" w:color="auto" w:sz="4" w:space="0"/>
              <w:bottom w:val="single" w:color="auto" w:sz="4" w:space="0"/>
              <w:right w:val="single" w:color="auto" w:sz="4" w:space="0"/>
            </w:tcBorders>
            <w:vAlign w:val="center"/>
          </w:tcPr>
          <w:p w14:paraId="34D3E48B">
            <w:pPr>
              <w:spacing w:line="240" w:lineRule="auto"/>
              <w:jc w:val="center"/>
              <w:rPr>
                <w:rFonts w:cs="Times New Roman"/>
                <w:sz w:val="21"/>
                <w:szCs w:val="21"/>
              </w:rPr>
            </w:pPr>
          </w:p>
        </w:tc>
        <w:tc>
          <w:tcPr>
            <w:tcW w:w="1126" w:type="pct"/>
            <w:vMerge w:val="continue"/>
            <w:tcBorders>
              <w:left w:val="single" w:color="auto" w:sz="4" w:space="0"/>
              <w:bottom w:val="single" w:color="auto" w:sz="4" w:space="0"/>
              <w:right w:val="single" w:color="auto" w:sz="4" w:space="0"/>
            </w:tcBorders>
            <w:vAlign w:val="center"/>
          </w:tcPr>
          <w:p w14:paraId="3FF37EF7">
            <w:pPr>
              <w:spacing w:line="240" w:lineRule="auto"/>
              <w:jc w:val="center"/>
              <w:rPr>
                <w:rFonts w:cs="Times New Roman"/>
                <w:sz w:val="21"/>
                <w:szCs w:val="21"/>
              </w:rPr>
            </w:pPr>
          </w:p>
        </w:tc>
      </w:tr>
      <w:tr w14:paraId="0599F4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03" w:type="pct"/>
            <w:vMerge w:val="restart"/>
            <w:tcBorders>
              <w:top w:val="nil"/>
              <w:left w:val="single" w:color="auto" w:sz="4" w:space="0"/>
              <w:bottom w:val="single" w:color="auto" w:sz="4" w:space="0"/>
              <w:right w:val="single" w:color="auto" w:sz="4" w:space="0"/>
            </w:tcBorders>
            <w:vAlign w:val="center"/>
          </w:tcPr>
          <w:p w14:paraId="5D08C351">
            <w:pPr>
              <w:spacing w:line="240" w:lineRule="auto"/>
              <w:jc w:val="center"/>
              <w:rPr>
                <w:rFonts w:cs="Times New Roman"/>
                <w:sz w:val="21"/>
                <w:szCs w:val="21"/>
              </w:rPr>
            </w:pPr>
            <w:r>
              <w:rPr>
                <w:rFonts w:cs="Times New Roman"/>
                <w:sz w:val="21"/>
                <w:szCs w:val="21"/>
              </w:rPr>
              <w:t>环境空气</w:t>
            </w:r>
          </w:p>
        </w:tc>
        <w:tc>
          <w:tcPr>
            <w:tcW w:w="690" w:type="pct"/>
            <w:tcBorders>
              <w:top w:val="single" w:color="auto" w:sz="4" w:space="0"/>
              <w:left w:val="single" w:color="auto" w:sz="4" w:space="0"/>
              <w:bottom w:val="single" w:color="auto" w:sz="4" w:space="0"/>
              <w:right w:val="single" w:color="auto" w:sz="4" w:space="0"/>
            </w:tcBorders>
          </w:tcPr>
          <w:p w14:paraId="3439DE28">
            <w:pPr>
              <w:spacing w:line="240" w:lineRule="auto"/>
              <w:jc w:val="center"/>
              <w:rPr>
                <w:rFonts w:cs="Times New Roman"/>
                <w:sz w:val="21"/>
                <w:szCs w:val="21"/>
              </w:rPr>
            </w:pPr>
            <w:r>
              <w:rPr>
                <w:rFonts w:hint="eastAsia"/>
                <w:sz w:val="21"/>
                <w:szCs w:val="21"/>
              </w:rPr>
              <w:t>三铺村</w:t>
            </w:r>
          </w:p>
        </w:tc>
        <w:tc>
          <w:tcPr>
            <w:tcW w:w="435" w:type="pct"/>
            <w:tcBorders>
              <w:top w:val="single" w:color="auto" w:sz="4" w:space="0"/>
              <w:left w:val="single" w:color="auto" w:sz="4" w:space="0"/>
              <w:bottom w:val="single" w:color="auto" w:sz="4" w:space="0"/>
              <w:right w:val="single" w:color="auto" w:sz="4" w:space="0"/>
            </w:tcBorders>
            <w:vAlign w:val="center"/>
          </w:tcPr>
          <w:p w14:paraId="2B0C754E">
            <w:pPr>
              <w:spacing w:line="240" w:lineRule="auto"/>
              <w:jc w:val="center"/>
              <w:rPr>
                <w:rFonts w:cs="Times New Roman"/>
                <w:sz w:val="21"/>
                <w:szCs w:val="21"/>
              </w:rPr>
            </w:pPr>
            <w:r>
              <w:rPr>
                <w:rFonts w:hint="eastAsia" w:cs="Times New Roman"/>
                <w:sz w:val="21"/>
                <w:szCs w:val="21"/>
              </w:rPr>
              <w:t>-416</w:t>
            </w:r>
          </w:p>
        </w:tc>
        <w:tc>
          <w:tcPr>
            <w:tcW w:w="436" w:type="pct"/>
            <w:tcBorders>
              <w:top w:val="single" w:color="auto" w:sz="4" w:space="0"/>
              <w:left w:val="single" w:color="auto" w:sz="4" w:space="0"/>
              <w:bottom w:val="single" w:color="auto" w:sz="4" w:space="0"/>
              <w:right w:val="single" w:color="auto" w:sz="4" w:space="0"/>
            </w:tcBorders>
            <w:vAlign w:val="center"/>
          </w:tcPr>
          <w:p w14:paraId="17FD03D6">
            <w:pPr>
              <w:spacing w:line="240" w:lineRule="auto"/>
              <w:jc w:val="center"/>
              <w:rPr>
                <w:rFonts w:cs="Times New Roman"/>
                <w:sz w:val="21"/>
                <w:szCs w:val="21"/>
              </w:rPr>
            </w:pPr>
            <w:r>
              <w:rPr>
                <w:rFonts w:hint="eastAsia" w:cs="Times New Roman"/>
                <w:sz w:val="21"/>
                <w:szCs w:val="21"/>
              </w:rPr>
              <w:t>822</w:t>
            </w:r>
          </w:p>
        </w:tc>
        <w:tc>
          <w:tcPr>
            <w:tcW w:w="467" w:type="pct"/>
            <w:tcBorders>
              <w:top w:val="single" w:color="auto" w:sz="4" w:space="0"/>
              <w:left w:val="single" w:color="auto" w:sz="4" w:space="0"/>
              <w:bottom w:val="single" w:color="auto" w:sz="4" w:space="0"/>
              <w:right w:val="single" w:color="auto" w:sz="4" w:space="0"/>
            </w:tcBorders>
            <w:vAlign w:val="center"/>
          </w:tcPr>
          <w:p w14:paraId="6088DBB1">
            <w:pPr>
              <w:spacing w:line="240" w:lineRule="auto"/>
              <w:jc w:val="center"/>
              <w:rPr>
                <w:rFonts w:cs="Times New Roman"/>
                <w:sz w:val="21"/>
                <w:szCs w:val="21"/>
              </w:rPr>
            </w:pPr>
            <w:r>
              <w:rPr>
                <w:rFonts w:hint="eastAsia" w:cs="Times New Roman"/>
                <w:sz w:val="21"/>
                <w:szCs w:val="21"/>
              </w:rPr>
              <w:t>NW</w:t>
            </w:r>
          </w:p>
        </w:tc>
        <w:tc>
          <w:tcPr>
            <w:tcW w:w="439" w:type="pct"/>
            <w:tcBorders>
              <w:top w:val="single" w:color="auto" w:sz="4" w:space="0"/>
              <w:left w:val="single" w:color="auto" w:sz="4" w:space="0"/>
              <w:bottom w:val="single" w:color="auto" w:sz="4" w:space="0"/>
              <w:right w:val="single" w:color="auto" w:sz="4" w:space="0"/>
            </w:tcBorders>
            <w:vAlign w:val="center"/>
          </w:tcPr>
          <w:p w14:paraId="7D6102EB">
            <w:pPr>
              <w:spacing w:line="240" w:lineRule="auto"/>
              <w:jc w:val="center"/>
              <w:rPr>
                <w:rFonts w:cs="Times New Roman"/>
                <w:sz w:val="21"/>
                <w:szCs w:val="21"/>
              </w:rPr>
            </w:pPr>
            <w:r>
              <w:rPr>
                <w:rFonts w:hint="eastAsia" w:cs="Times New Roman"/>
                <w:sz w:val="21"/>
                <w:szCs w:val="21"/>
              </w:rPr>
              <w:t>1108</w:t>
            </w:r>
          </w:p>
        </w:tc>
        <w:tc>
          <w:tcPr>
            <w:tcW w:w="502" w:type="pct"/>
            <w:tcBorders>
              <w:top w:val="single" w:color="auto" w:sz="4" w:space="0"/>
              <w:left w:val="single" w:color="auto" w:sz="4" w:space="0"/>
              <w:bottom w:val="single" w:color="auto" w:sz="4" w:space="0"/>
              <w:right w:val="single" w:color="auto" w:sz="4" w:space="0"/>
            </w:tcBorders>
            <w:vAlign w:val="center"/>
          </w:tcPr>
          <w:p w14:paraId="0DB9E79D">
            <w:pPr>
              <w:spacing w:line="240" w:lineRule="auto"/>
              <w:jc w:val="center"/>
              <w:rPr>
                <w:rFonts w:cs="Times New Roman"/>
                <w:sz w:val="21"/>
                <w:szCs w:val="21"/>
              </w:rPr>
            </w:pPr>
            <w:r>
              <w:rPr>
                <w:rFonts w:hint="eastAsia" w:cs="Times New Roman"/>
                <w:sz w:val="21"/>
                <w:szCs w:val="21"/>
              </w:rPr>
              <w:t>居民</w:t>
            </w:r>
          </w:p>
        </w:tc>
        <w:tc>
          <w:tcPr>
            <w:tcW w:w="502" w:type="pct"/>
            <w:tcBorders>
              <w:top w:val="single" w:color="auto" w:sz="4" w:space="0"/>
              <w:left w:val="single" w:color="auto" w:sz="4" w:space="0"/>
              <w:bottom w:val="single" w:color="auto" w:sz="4" w:space="0"/>
              <w:right w:val="single" w:color="auto" w:sz="4" w:space="0"/>
            </w:tcBorders>
            <w:vAlign w:val="center"/>
          </w:tcPr>
          <w:p w14:paraId="2FF7176D">
            <w:pPr>
              <w:spacing w:line="240" w:lineRule="auto"/>
              <w:jc w:val="center"/>
              <w:rPr>
                <w:rFonts w:cs="Times New Roman"/>
                <w:sz w:val="21"/>
                <w:szCs w:val="21"/>
              </w:rPr>
            </w:pPr>
            <w:r>
              <w:rPr>
                <w:rFonts w:hint="eastAsia" w:cs="Times New Roman"/>
                <w:sz w:val="21"/>
                <w:szCs w:val="21"/>
              </w:rPr>
              <w:t>1000</w:t>
            </w:r>
          </w:p>
        </w:tc>
        <w:tc>
          <w:tcPr>
            <w:tcW w:w="1126" w:type="pct"/>
            <w:vMerge w:val="restart"/>
            <w:tcBorders>
              <w:top w:val="single" w:color="auto" w:sz="4" w:space="0"/>
              <w:left w:val="single" w:color="auto" w:sz="4" w:space="0"/>
              <w:bottom w:val="single" w:color="auto" w:sz="4" w:space="0"/>
              <w:right w:val="single" w:color="auto" w:sz="4" w:space="0"/>
            </w:tcBorders>
            <w:vAlign w:val="center"/>
          </w:tcPr>
          <w:p w14:paraId="354A7C93">
            <w:pPr>
              <w:spacing w:line="240" w:lineRule="auto"/>
              <w:jc w:val="center"/>
              <w:rPr>
                <w:rFonts w:cs="Times New Roman"/>
                <w:sz w:val="21"/>
                <w:szCs w:val="21"/>
              </w:rPr>
            </w:pPr>
            <w:r>
              <w:rPr>
                <w:rFonts w:cs="Times New Roman"/>
                <w:sz w:val="21"/>
                <w:szCs w:val="21"/>
              </w:rPr>
              <w:t>环境空气满足《环境空气质量标准》(GB3095-2012)</w:t>
            </w:r>
            <w:r>
              <w:rPr>
                <w:rFonts w:hint="eastAsia" w:cs="Times New Roman"/>
                <w:sz w:val="21"/>
                <w:szCs w:val="21"/>
              </w:rPr>
              <w:t>及其修改单</w:t>
            </w:r>
            <w:r>
              <w:rPr>
                <w:rFonts w:cs="Times New Roman"/>
                <w:sz w:val="21"/>
                <w:szCs w:val="21"/>
              </w:rPr>
              <w:t>中二类区功能要求</w:t>
            </w:r>
          </w:p>
        </w:tc>
      </w:tr>
      <w:tr w14:paraId="23B78E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03" w:type="pct"/>
            <w:vMerge w:val="continue"/>
            <w:tcBorders>
              <w:top w:val="nil"/>
              <w:left w:val="single" w:color="auto" w:sz="4" w:space="0"/>
              <w:bottom w:val="single" w:color="auto" w:sz="4" w:space="0"/>
              <w:right w:val="single" w:color="auto" w:sz="4" w:space="0"/>
            </w:tcBorders>
            <w:vAlign w:val="center"/>
          </w:tcPr>
          <w:p w14:paraId="7E3D6909">
            <w:pPr>
              <w:spacing w:line="240" w:lineRule="auto"/>
              <w:jc w:val="center"/>
              <w:rPr>
                <w:rFonts w:cs="Times New Roman"/>
                <w:sz w:val="21"/>
                <w:szCs w:val="21"/>
              </w:rPr>
            </w:pPr>
          </w:p>
        </w:tc>
        <w:tc>
          <w:tcPr>
            <w:tcW w:w="690" w:type="pct"/>
            <w:tcBorders>
              <w:top w:val="single" w:color="auto" w:sz="4" w:space="0"/>
              <w:left w:val="single" w:color="auto" w:sz="4" w:space="0"/>
              <w:bottom w:val="single" w:color="auto" w:sz="4" w:space="0"/>
              <w:right w:val="single" w:color="auto" w:sz="4" w:space="0"/>
            </w:tcBorders>
          </w:tcPr>
          <w:p w14:paraId="14F37A47">
            <w:pPr>
              <w:spacing w:line="240" w:lineRule="auto"/>
              <w:jc w:val="center"/>
              <w:rPr>
                <w:sz w:val="21"/>
                <w:szCs w:val="21"/>
              </w:rPr>
            </w:pPr>
            <w:r>
              <w:rPr>
                <w:rFonts w:hint="eastAsia"/>
                <w:sz w:val="21"/>
                <w:szCs w:val="21"/>
              </w:rPr>
              <w:t>三铺小学</w:t>
            </w:r>
          </w:p>
        </w:tc>
        <w:tc>
          <w:tcPr>
            <w:tcW w:w="435" w:type="pct"/>
            <w:tcBorders>
              <w:top w:val="single" w:color="auto" w:sz="4" w:space="0"/>
              <w:left w:val="single" w:color="auto" w:sz="4" w:space="0"/>
              <w:bottom w:val="single" w:color="auto" w:sz="4" w:space="0"/>
              <w:right w:val="single" w:color="auto" w:sz="4" w:space="0"/>
            </w:tcBorders>
            <w:vAlign w:val="center"/>
          </w:tcPr>
          <w:p w14:paraId="5BA6C0F2">
            <w:pPr>
              <w:spacing w:line="240" w:lineRule="auto"/>
              <w:jc w:val="center"/>
              <w:rPr>
                <w:rFonts w:cs="Times New Roman"/>
                <w:sz w:val="21"/>
                <w:szCs w:val="21"/>
              </w:rPr>
            </w:pPr>
            <w:r>
              <w:rPr>
                <w:rFonts w:hint="eastAsia" w:cs="Times New Roman"/>
                <w:sz w:val="21"/>
                <w:szCs w:val="21"/>
              </w:rPr>
              <w:t>-814</w:t>
            </w:r>
          </w:p>
        </w:tc>
        <w:tc>
          <w:tcPr>
            <w:tcW w:w="436" w:type="pct"/>
            <w:tcBorders>
              <w:top w:val="single" w:color="auto" w:sz="4" w:space="0"/>
              <w:left w:val="single" w:color="auto" w:sz="4" w:space="0"/>
              <w:bottom w:val="single" w:color="auto" w:sz="4" w:space="0"/>
              <w:right w:val="single" w:color="auto" w:sz="4" w:space="0"/>
            </w:tcBorders>
            <w:vAlign w:val="center"/>
          </w:tcPr>
          <w:p w14:paraId="2744E4E0">
            <w:pPr>
              <w:spacing w:line="240" w:lineRule="auto"/>
              <w:jc w:val="center"/>
              <w:rPr>
                <w:rFonts w:cs="Times New Roman"/>
                <w:sz w:val="21"/>
                <w:szCs w:val="21"/>
              </w:rPr>
            </w:pPr>
            <w:r>
              <w:rPr>
                <w:rFonts w:hint="eastAsia" w:cs="Times New Roman"/>
                <w:sz w:val="21"/>
                <w:szCs w:val="21"/>
              </w:rPr>
              <w:t>1587</w:t>
            </w:r>
          </w:p>
        </w:tc>
        <w:tc>
          <w:tcPr>
            <w:tcW w:w="467" w:type="pct"/>
            <w:tcBorders>
              <w:top w:val="single" w:color="auto" w:sz="4" w:space="0"/>
              <w:left w:val="single" w:color="auto" w:sz="4" w:space="0"/>
              <w:bottom w:val="single" w:color="auto" w:sz="4" w:space="0"/>
              <w:right w:val="single" w:color="auto" w:sz="4" w:space="0"/>
            </w:tcBorders>
          </w:tcPr>
          <w:p w14:paraId="190D1A80">
            <w:pPr>
              <w:spacing w:line="240" w:lineRule="auto"/>
              <w:jc w:val="center"/>
              <w:rPr>
                <w:rFonts w:cs="Times New Roman"/>
                <w:sz w:val="21"/>
                <w:szCs w:val="21"/>
              </w:rPr>
            </w:pPr>
            <w:r>
              <w:rPr>
                <w:rFonts w:hint="eastAsia" w:cs="Times New Roman"/>
                <w:sz w:val="21"/>
                <w:szCs w:val="21"/>
              </w:rPr>
              <w:t>NW</w:t>
            </w:r>
          </w:p>
        </w:tc>
        <w:tc>
          <w:tcPr>
            <w:tcW w:w="439" w:type="pct"/>
            <w:tcBorders>
              <w:top w:val="single" w:color="auto" w:sz="4" w:space="0"/>
              <w:left w:val="single" w:color="auto" w:sz="4" w:space="0"/>
              <w:bottom w:val="single" w:color="auto" w:sz="4" w:space="0"/>
              <w:right w:val="single" w:color="auto" w:sz="4" w:space="0"/>
            </w:tcBorders>
            <w:vAlign w:val="center"/>
          </w:tcPr>
          <w:p w14:paraId="26BE7206">
            <w:pPr>
              <w:spacing w:line="240" w:lineRule="auto"/>
              <w:jc w:val="center"/>
              <w:rPr>
                <w:rFonts w:cs="Times New Roman"/>
                <w:sz w:val="21"/>
                <w:szCs w:val="21"/>
              </w:rPr>
            </w:pPr>
            <w:r>
              <w:rPr>
                <w:rFonts w:hint="eastAsia" w:cs="Times New Roman"/>
                <w:sz w:val="21"/>
                <w:szCs w:val="21"/>
              </w:rPr>
              <w:t>1803</w:t>
            </w:r>
          </w:p>
        </w:tc>
        <w:tc>
          <w:tcPr>
            <w:tcW w:w="502" w:type="pct"/>
            <w:tcBorders>
              <w:top w:val="single" w:color="auto" w:sz="4" w:space="0"/>
              <w:left w:val="single" w:color="auto" w:sz="4" w:space="0"/>
              <w:bottom w:val="single" w:color="auto" w:sz="4" w:space="0"/>
              <w:right w:val="single" w:color="auto" w:sz="4" w:space="0"/>
            </w:tcBorders>
          </w:tcPr>
          <w:p w14:paraId="73291BA1">
            <w:pPr>
              <w:spacing w:line="240" w:lineRule="auto"/>
              <w:jc w:val="center"/>
              <w:rPr>
                <w:rFonts w:cs="Times New Roman"/>
                <w:sz w:val="21"/>
                <w:szCs w:val="21"/>
              </w:rPr>
            </w:pPr>
            <w:r>
              <w:rPr>
                <w:rFonts w:hint="eastAsia" w:cs="Times New Roman"/>
                <w:sz w:val="21"/>
                <w:szCs w:val="21"/>
              </w:rPr>
              <w:t>师生</w:t>
            </w:r>
          </w:p>
        </w:tc>
        <w:tc>
          <w:tcPr>
            <w:tcW w:w="502" w:type="pct"/>
            <w:tcBorders>
              <w:top w:val="single" w:color="auto" w:sz="4" w:space="0"/>
              <w:left w:val="single" w:color="auto" w:sz="4" w:space="0"/>
              <w:bottom w:val="single" w:color="auto" w:sz="4" w:space="0"/>
              <w:right w:val="single" w:color="auto" w:sz="4" w:space="0"/>
            </w:tcBorders>
            <w:vAlign w:val="center"/>
          </w:tcPr>
          <w:p w14:paraId="0B15EC53">
            <w:pPr>
              <w:spacing w:line="240" w:lineRule="auto"/>
              <w:jc w:val="center"/>
              <w:rPr>
                <w:rFonts w:cs="Times New Roman"/>
                <w:sz w:val="21"/>
                <w:szCs w:val="21"/>
              </w:rPr>
            </w:pPr>
            <w:r>
              <w:rPr>
                <w:rFonts w:hint="eastAsia" w:cs="Times New Roman"/>
                <w:sz w:val="21"/>
                <w:szCs w:val="21"/>
              </w:rPr>
              <w:t>500</w:t>
            </w:r>
          </w:p>
        </w:tc>
        <w:tc>
          <w:tcPr>
            <w:tcW w:w="1126" w:type="pct"/>
            <w:vMerge w:val="continue"/>
            <w:tcBorders>
              <w:top w:val="single" w:color="auto" w:sz="4" w:space="0"/>
              <w:left w:val="single" w:color="auto" w:sz="4" w:space="0"/>
              <w:bottom w:val="single" w:color="auto" w:sz="4" w:space="0"/>
              <w:right w:val="single" w:color="auto" w:sz="4" w:space="0"/>
            </w:tcBorders>
            <w:vAlign w:val="center"/>
          </w:tcPr>
          <w:p w14:paraId="6317D0F1">
            <w:pPr>
              <w:spacing w:line="240" w:lineRule="auto"/>
              <w:jc w:val="center"/>
              <w:rPr>
                <w:rFonts w:cs="Times New Roman"/>
                <w:sz w:val="21"/>
                <w:szCs w:val="21"/>
              </w:rPr>
            </w:pPr>
          </w:p>
        </w:tc>
      </w:tr>
      <w:tr w14:paraId="298756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03" w:type="pct"/>
            <w:vMerge w:val="continue"/>
            <w:tcBorders>
              <w:top w:val="nil"/>
              <w:left w:val="single" w:color="auto" w:sz="4" w:space="0"/>
              <w:bottom w:val="single" w:color="auto" w:sz="4" w:space="0"/>
              <w:right w:val="single" w:color="auto" w:sz="4" w:space="0"/>
            </w:tcBorders>
            <w:vAlign w:val="center"/>
          </w:tcPr>
          <w:p w14:paraId="53E2ECB7">
            <w:pPr>
              <w:spacing w:line="240" w:lineRule="auto"/>
              <w:jc w:val="center"/>
              <w:rPr>
                <w:rFonts w:cs="Times New Roman"/>
                <w:sz w:val="21"/>
                <w:szCs w:val="21"/>
              </w:rPr>
            </w:pPr>
          </w:p>
        </w:tc>
        <w:tc>
          <w:tcPr>
            <w:tcW w:w="690" w:type="pct"/>
            <w:tcBorders>
              <w:top w:val="single" w:color="auto" w:sz="4" w:space="0"/>
              <w:left w:val="single" w:color="auto" w:sz="4" w:space="0"/>
              <w:bottom w:val="single" w:color="auto" w:sz="4" w:space="0"/>
              <w:right w:val="single" w:color="auto" w:sz="4" w:space="0"/>
            </w:tcBorders>
          </w:tcPr>
          <w:p w14:paraId="439FFA01">
            <w:pPr>
              <w:spacing w:line="240" w:lineRule="auto"/>
              <w:jc w:val="center"/>
              <w:rPr>
                <w:sz w:val="21"/>
                <w:szCs w:val="21"/>
              </w:rPr>
            </w:pPr>
            <w:r>
              <w:rPr>
                <w:rFonts w:hint="eastAsia"/>
                <w:sz w:val="21"/>
                <w:szCs w:val="21"/>
              </w:rPr>
              <w:t>三铺中学</w:t>
            </w:r>
          </w:p>
        </w:tc>
        <w:tc>
          <w:tcPr>
            <w:tcW w:w="435" w:type="pct"/>
            <w:tcBorders>
              <w:top w:val="single" w:color="auto" w:sz="4" w:space="0"/>
              <w:left w:val="single" w:color="auto" w:sz="4" w:space="0"/>
              <w:bottom w:val="single" w:color="auto" w:sz="4" w:space="0"/>
              <w:right w:val="single" w:color="auto" w:sz="4" w:space="0"/>
            </w:tcBorders>
            <w:vAlign w:val="center"/>
          </w:tcPr>
          <w:p w14:paraId="6B46C3D0">
            <w:pPr>
              <w:spacing w:line="240" w:lineRule="auto"/>
              <w:jc w:val="center"/>
              <w:rPr>
                <w:rFonts w:cs="Times New Roman"/>
                <w:sz w:val="21"/>
                <w:szCs w:val="21"/>
              </w:rPr>
            </w:pPr>
            <w:r>
              <w:rPr>
                <w:rFonts w:hint="eastAsia" w:cs="Times New Roman"/>
                <w:sz w:val="21"/>
                <w:szCs w:val="21"/>
              </w:rPr>
              <w:t>-146</w:t>
            </w:r>
          </w:p>
        </w:tc>
        <w:tc>
          <w:tcPr>
            <w:tcW w:w="436" w:type="pct"/>
            <w:tcBorders>
              <w:top w:val="single" w:color="auto" w:sz="4" w:space="0"/>
              <w:left w:val="single" w:color="auto" w:sz="4" w:space="0"/>
              <w:bottom w:val="single" w:color="auto" w:sz="4" w:space="0"/>
              <w:right w:val="single" w:color="auto" w:sz="4" w:space="0"/>
            </w:tcBorders>
            <w:vAlign w:val="center"/>
          </w:tcPr>
          <w:p w14:paraId="14D2FF65">
            <w:pPr>
              <w:spacing w:line="240" w:lineRule="auto"/>
              <w:jc w:val="center"/>
              <w:rPr>
                <w:rFonts w:cs="Times New Roman"/>
                <w:sz w:val="21"/>
                <w:szCs w:val="21"/>
              </w:rPr>
            </w:pPr>
            <w:r>
              <w:rPr>
                <w:rFonts w:hint="eastAsia" w:cs="Times New Roman"/>
                <w:sz w:val="21"/>
                <w:szCs w:val="21"/>
              </w:rPr>
              <w:t>1386</w:t>
            </w:r>
          </w:p>
        </w:tc>
        <w:tc>
          <w:tcPr>
            <w:tcW w:w="467" w:type="pct"/>
            <w:tcBorders>
              <w:top w:val="single" w:color="auto" w:sz="4" w:space="0"/>
              <w:left w:val="single" w:color="auto" w:sz="4" w:space="0"/>
              <w:bottom w:val="single" w:color="auto" w:sz="4" w:space="0"/>
              <w:right w:val="single" w:color="auto" w:sz="4" w:space="0"/>
            </w:tcBorders>
          </w:tcPr>
          <w:p w14:paraId="7D9C90D7">
            <w:pPr>
              <w:spacing w:line="240" w:lineRule="auto"/>
              <w:jc w:val="center"/>
              <w:rPr>
                <w:rFonts w:cs="Times New Roman"/>
                <w:sz w:val="21"/>
                <w:szCs w:val="21"/>
              </w:rPr>
            </w:pPr>
            <w:r>
              <w:rPr>
                <w:rFonts w:hint="eastAsia" w:cs="Times New Roman"/>
                <w:sz w:val="21"/>
                <w:szCs w:val="21"/>
              </w:rPr>
              <w:t>NW</w:t>
            </w:r>
          </w:p>
        </w:tc>
        <w:tc>
          <w:tcPr>
            <w:tcW w:w="439" w:type="pct"/>
            <w:tcBorders>
              <w:top w:val="single" w:color="auto" w:sz="4" w:space="0"/>
              <w:left w:val="single" w:color="auto" w:sz="4" w:space="0"/>
              <w:bottom w:val="single" w:color="auto" w:sz="4" w:space="0"/>
              <w:right w:val="single" w:color="auto" w:sz="4" w:space="0"/>
            </w:tcBorders>
            <w:vAlign w:val="center"/>
          </w:tcPr>
          <w:p w14:paraId="7A6D8F6C">
            <w:pPr>
              <w:spacing w:line="240" w:lineRule="auto"/>
              <w:jc w:val="center"/>
              <w:rPr>
                <w:rFonts w:cs="Times New Roman"/>
                <w:sz w:val="21"/>
                <w:szCs w:val="21"/>
              </w:rPr>
            </w:pPr>
            <w:r>
              <w:rPr>
                <w:rFonts w:hint="eastAsia" w:cs="Times New Roman"/>
                <w:sz w:val="21"/>
                <w:szCs w:val="21"/>
              </w:rPr>
              <w:t>1410</w:t>
            </w:r>
          </w:p>
        </w:tc>
        <w:tc>
          <w:tcPr>
            <w:tcW w:w="502" w:type="pct"/>
            <w:tcBorders>
              <w:top w:val="single" w:color="auto" w:sz="4" w:space="0"/>
              <w:left w:val="single" w:color="auto" w:sz="4" w:space="0"/>
              <w:bottom w:val="single" w:color="auto" w:sz="4" w:space="0"/>
              <w:right w:val="single" w:color="auto" w:sz="4" w:space="0"/>
            </w:tcBorders>
          </w:tcPr>
          <w:p w14:paraId="5824243C">
            <w:pPr>
              <w:spacing w:line="240" w:lineRule="auto"/>
              <w:jc w:val="center"/>
              <w:rPr>
                <w:rFonts w:cs="Times New Roman"/>
                <w:sz w:val="21"/>
                <w:szCs w:val="21"/>
              </w:rPr>
            </w:pPr>
            <w:r>
              <w:rPr>
                <w:rFonts w:hint="eastAsia" w:cs="Times New Roman"/>
                <w:sz w:val="21"/>
                <w:szCs w:val="21"/>
              </w:rPr>
              <w:t>师生</w:t>
            </w:r>
          </w:p>
        </w:tc>
        <w:tc>
          <w:tcPr>
            <w:tcW w:w="502" w:type="pct"/>
            <w:tcBorders>
              <w:top w:val="single" w:color="auto" w:sz="4" w:space="0"/>
              <w:left w:val="single" w:color="auto" w:sz="4" w:space="0"/>
              <w:bottom w:val="single" w:color="auto" w:sz="4" w:space="0"/>
              <w:right w:val="single" w:color="auto" w:sz="4" w:space="0"/>
            </w:tcBorders>
            <w:vAlign w:val="center"/>
          </w:tcPr>
          <w:p w14:paraId="7D8EF154">
            <w:pPr>
              <w:spacing w:line="240" w:lineRule="auto"/>
              <w:jc w:val="center"/>
              <w:rPr>
                <w:rFonts w:cs="Times New Roman"/>
                <w:sz w:val="21"/>
                <w:szCs w:val="21"/>
              </w:rPr>
            </w:pPr>
            <w:r>
              <w:rPr>
                <w:rFonts w:hint="eastAsia" w:cs="Times New Roman"/>
                <w:sz w:val="21"/>
                <w:szCs w:val="21"/>
              </w:rPr>
              <w:t>1200</w:t>
            </w:r>
          </w:p>
        </w:tc>
        <w:tc>
          <w:tcPr>
            <w:tcW w:w="1126" w:type="pct"/>
            <w:vMerge w:val="continue"/>
            <w:tcBorders>
              <w:top w:val="single" w:color="auto" w:sz="4" w:space="0"/>
              <w:left w:val="single" w:color="auto" w:sz="4" w:space="0"/>
              <w:bottom w:val="single" w:color="auto" w:sz="4" w:space="0"/>
              <w:right w:val="single" w:color="auto" w:sz="4" w:space="0"/>
            </w:tcBorders>
            <w:vAlign w:val="center"/>
          </w:tcPr>
          <w:p w14:paraId="6FCD140E">
            <w:pPr>
              <w:spacing w:line="240" w:lineRule="auto"/>
              <w:jc w:val="center"/>
              <w:rPr>
                <w:rFonts w:cs="Times New Roman"/>
                <w:sz w:val="21"/>
                <w:szCs w:val="21"/>
              </w:rPr>
            </w:pPr>
          </w:p>
        </w:tc>
      </w:tr>
      <w:tr w14:paraId="5D7BD7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03" w:type="pct"/>
            <w:vMerge w:val="continue"/>
            <w:tcBorders>
              <w:top w:val="nil"/>
              <w:left w:val="single" w:color="auto" w:sz="4" w:space="0"/>
              <w:bottom w:val="single" w:color="auto" w:sz="4" w:space="0"/>
              <w:right w:val="single" w:color="auto" w:sz="4" w:space="0"/>
            </w:tcBorders>
            <w:vAlign w:val="center"/>
          </w:tcPr>
          <w:p w14:paraId="4815BD03">
            <w:pPr>
              <w:spacing w:line="240" w:lineRule="auto"/>
              <w:jc w:val="center"/>
              <w:rPr>
                <w:rFonts w:cs="Times New Roman"/>
                <w:sz w:val="21"/>
                <w:szCs w:val="21"/>
              </w:rPr>
            </w:pPr>
          </w:p>
        </w:tc>
        <w:tc>
          <w:tcPr>
            <w:tcW w:w="690" w:type="pct"/>
            <w:tcBorders>
              <w:top w:val="single" w:color="auto" w:sz="4" w:space="0"/>
              <w:left w:val="single" w:color="auto" w:sz="4" w:space="0"/>
              <w:bottom w:val="single" w:color="auto" w:sz="4" w:space="0"/>
              <w:right w:val="single" w:color="auto" w:sz="4" w:space="0"/>
            </w:tcBorders>
          </w:tcPr>
          <w:p w14:paraId="0500E779">
            <w:pPr>
              <w:spacing w:line="240" w:lineRule="auto"/>
              <w:jc w:val="center"/>
              <w:rPr>
                <w:sz w:val="21"/>
                <w:szCs w:val="21"/>
              </w:rPr>
            </w:pPr>
            <w:r>
              <w:rPr>
                <w:rFonts w:hint="eastAsia"/>
                <w:sz w:val="21"/>
                <w:szCs w:val="21"/>
              </w:rPr>
              <w:t>高王家</w:t>
            </w:r>
          </w:p>
        </w:tc>
        <w:tc>
          <w:tcPr>
            <w:tcW w:w="435" w:type="pct"/>
            <w:tcBorders>
              <w:top w:val="single" w:color="auto" w:sz="4" w:space="0"/>
              <w:left w:val="single" w:color="auto" w:sz="4" w:space="0"/>
              <w:bottom w:val="single" w:color="auto" w:sz="4" w:space="0"/>
              <w:right w:val="single" w:color="auto" w:sz="4" w:space="0"/>
            </w:tcBorders>
            <w:vAlign w:val="center"/>
          </w:tcPr>
          <w:p w14:paraId="0EBCB619">
            <w:pPr>
              <w:spacing w:line="240" w:lineRule="auto"/>
              <w:jc w:val="center"/>
              <w:rPr>
                <w:rFonts w:cs="Times New Roman"/>
                <w:sz w:val="21"/>
                <w:szCs w:val="21"/>
              </w:rPr>
            </w:pPr>
            <w:r>
              <w:rPr>
                <w:rFonts w:hint="eastAsia" w:cs="Times New Roman"/>
                <w:sz w:val="21"/>
                <w:szCs w:val="21"/>
              </w:rPr>
              <w:t>/</w:t>
            </w:r>
          </w:p>
        </w:tc>
        <w:tc>
          <w:tcPr>
            <w:tcW w:w="436" w:type="pct"/>
            <w:tcBorders>
              <w:top w:val="single" w:color="auto" w:sz="4" w:space="0"/>
              <w:left w:val="single" w:color="auto" w:sz="4" w:space="0"/>
              <w:bottom w:val="single" w:color="auto" w:sz="4" w:space="0"/>
              <w:right w:val="single" w:color="auto" w:sz="4" w:space="0"/>
            </w:tcBorders>
            <w:vAlign w:val="center"/>
          </w:tcPr>
          <w:p w14:paraId="78A285D7">
            <w:pPr>
              <w:spacing w:line="240" w:lineRule="auto"/>
              <w:jc w:val="center"/>
              <w:rPr>
                <w:rFonts w:cs="Times New Roman"/>
                <w:sz w:val="21"/>
                <w:szCs w:val="21"/>
              </w:rPr>
            </w:pPr>
            <w:r>
              <w:rPr>
                <w:rFonts w:hint="eastAsia" w:cs="Times New Roman"/>
                <w:sz w:val="21"/>
                <w:szCs w:val="21"/>
              </w:rPr>
              <w:t>2372</w:t>
            </w:r>
          </w:p>
        </w:tc>
        <w:tc>
          <w:tcPr>
            <w:tcW w:w="467" w:type="pct"/>
            <w:tcBorders>
              <w:top w:val="single" w:color="auto" w:sz="4" w:space="0"/>
              <w:left w:val="single" w:color="auto" w:sz="4" w:space="0"/>
              <w:bottom w:val="single" w:color="auto" w:sz="4" w:space="0"/>
              <w:right w:val="single" w:color="auto" w:sz="4" w:space="0"/>
            </w:tcBorders>
            <w:vAlign w:val="center"/>
          </w:tcPr>
          <w:p w14:paraId="0DF5821E">
            <w:pPr>
              <w:spacing w:line="240" w:lineRule="auto"/>
              <w:jc w:val="center"/>
              <w:rPr>
                <w:rFonts w:cs="Times New Roman"/>
                <w:sz w:val="21"/>
                <w:szCs w:val="21"/>
              </w:rPr>
            </w:pPr>
            <w:r>
              <w:rPr>
                <w:rFonts w:hint="eastAsia" w:cs="Times New Roman"/>
                <w:sz w:val="21"/>
                <w:szCs w:val="21"/>
              </w:rPr>
              <w:t>N</w:t>
            </w:r>
          </w:p>
        </w:tc>
        <w:tc>
          <w:tcPr>
            <w:tcW w:w="439" w:type="pct"/>
            <w:tcBorders>
              <w:top w:val="single" w:color="auto" w:sz="4" w:space="0"/>
              <w:left w:val="single" w:color="auto" w:sz="4" w:space="0"/>
              <w:bottom w:val="single" w:color="auto" w:sz="4" w:space="0"/>
              <w:right w:val="single" w:color="auto" w:sz="4" w:space="0"/>
            </w:tcBorders>
            <w:vAlign w:val="center"/>
          </w:tcPr>
          <w:p w14:paraId="1E8D79DD">
            <w:pPr>
              <w:spacing w:line="240" w:lineRule="auto"/>
              <w:jc w:val="center"/>
              <w:rPr>
                <w:rFonts w:cs="Times New Roman"/>
                <w:sz w:val="21"/>
                <w:szCs w:val="21"/>
              </w:rPr>
            </w:pPr>
            <w:r>
              <w:rPr>
                <w:rFonts w:hint="eastAsia" w:cs="Times New Roman"/>
                <w:sz w:val="21"/>
                <w:szCs w:val="21"/>
              </w:rPr>
              <w:t>2372</w:t>
            </w:r>
          </w:p>
        </w:tc>
        <w:tc>
          <w:tcPr>
            <w:tcW w:w="502" w:type="pct"/>
            <w:tcBorders>
              <w:top w:val="single" w:color="auto" w:sz="4" w:space="0"/>
              <w:left w:val="single" w:color="auto" w:sz="4" w:space="0"/>
              <w:bottom w:val="single" w:color="auto" w:sz="4" w:space="0"/>
              <w:right w:val="single" w:color="auto" w:sz="4" w:space="0"/>
            </w:tcBorders>
          </w:tcPr>
          <w:p w14:paraId="3488D945">
            <w:pPr>
              <w:spacing w:line="240" w:lineRule="auto"/>
              <w:jc w:val="center"/>
              <w:rPr>
                <w:rFonts w:cs="Times New Roman"/>
                <w:sz w:val="21"/>
                <w:szCs w:val="21"/>
              </w:rPr>
            </w:pPr>
            <w:r>
              <w:rPr>
                <w:rFonts w:hint="eastAsia" w:cs="Times New Roman"/>
                <w:sz w:val="21"/>
                <w:szCs w:val="21"/>
              </w:rPr>
              <w:t>居民</w:t>
            </w:r>
          </w:p>
        </w:tc>
        <w:tc>
          <w:tcPr>
            <w:tcW w:w="502" w:type="pct"/>
            <w:tcBorders>
              <w:top w:val="single" w:color="auto" w:sz="4" w:space="0"/>
              <w:left w:val="single" w:color="auto" w:sz="4" w:space="0"/>
              <w:bottom w:val="single" w:color="auto" w:sz="4" w:space="0"/>
              <w:right w:val="single" w:color="auto" w:sz="4" w:space="0"/>
            </w:tcBorders>
            <w:vAlign w:val="center"/>
          </w:tcPr>
          <w:p w14:paraId="0103F893">
            <w:pPr>
              <w:spacing w:line="240" w:lineRule="auto"/>
              <w:jc w:val="center"/>
              <w:rPr>
                <w:rFonts w:cs="Times New Roman"/>
                <w:sz w:val="21"/>
                <w:szCs w:val="21"/>
              </w:rPr>
            </w:pPr>
            <w:r>
              <w:rPr>
                <w:rFonts w:hint="eastAsia" w:cs="Times New Roman"/>
                <w:sz w:val="21"/>
                <w:szCs w:val="21"/>
              </w:rPr>
              <w:t>390</w:t>
            </w:r>
          </w:p>
        </w:tc>
        <w:tc>
          <w:tcPr>
            <w:tcW w:w="1126" w:type="pct"/>
            <w:vMerge w:val="continue"/>
            <w:tcBorders>
              <w:top w:val="single" w:color="auto" w:sz="4" w:space="0"/>
              <w:left w:val="single" w:color="auto" w:sz="4" w:space="0"/>
              <w:bottom w:val="single" w:color="auto" w:sz="4" w:space="0"/>
              <w:right w:val="single" w:color="auto" w:sz="4" w:space="0"/>
            </w:tcBorders>
            <w:vAlign w:val="center"/>
          </w:tcPr>
          <w:p w14:paraId="1063BDFA">
            <w:pPr>
              <w:spacing w:line="240" w:lineRule="auto"/>
              <w:jc w:val="center"/>
              <w:rPr>
                <w:rFonts w:cs="Times New Roman"/>
                <w:sz w:val="21"/>
                <w:szCs w:val="21"/>
              </w:rPr>
            </w:pPr>
          </w:p>
        </w:tc>
      </w:tr>
      <w:tr w14:paraId="5F42BF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03" w:type="pct"/>
            <w:vMerge w:val="continue"/>
            <w:tcBorders>
              <w:top w:val="nil"/>
              <w:left w:val="single" w:color="auto" w:sz="4" w:space="0"/>
              <w:bottom w:val="single" w:color="auto" w:sz="4" w:space="0"/>
              <w:right w:val="single" w:color="auto" w:sz="4" w:space="0"/>
            </w:tcBorders>
            <w:vAlign w:val="center"/>
          </w:tcPr>
          <w:p w14:paraId="7306E08A">
            <w:pPr>
              <w:spacing w:line="240" w:lineRule="auto"/>
              <w:jc w:val="center"/>
              <w:rPr>
                <w:rFonts w:cs="Times New Roman"/>
                <w:sz w:val="21"/>
                <w:szCs w:val="21"/>
              </w:rPr>
            </w:pPr>
          </w:p>
        </w:tc>
        <w:tc>
          <w:tcPr>
            <w:tcW w:w="690" w:type="pct"/>
            <w:tcBorders>
              <w:top w:val="single" w:color="auto" w:sz="4" w:space="0"/>
              <w:left w:val="single" w:color="auto" w:sz="4" w:space="0"/>
              <w:bottom w:val="single" w:color="auto" w:sz="4" w:space="0"/>
              <w:right w:val="single" w:color="auto" w:sz="4" w:space="0"/>
            </w:tcBorders>
          </w:tcPr>
          <w:p w14:paraId="69E0F588">
            <w:pPr>
              <w:spacing w:line="240" w:lineRule="auto"/>
              <w:jc w:val="center"/>
              <w:rPr>
                <w:sz w:val="21"/>
                <w:szCs w:val="21"/>
              </w:rPr>
            </w:pPr>
            <w:r>
              <w:rPr>
                <w:rFonts w:hint="eastAsia"/>
                <w:sz w:val="21"/>
                <w:szCs w:val="21"/>
              </w:rPr>
              <w:t>大柏村</w:t>
            </w:r>
          </w:p>
        </w:tc>
        <w:tc>
          <w:tcPr>
            <w:tcW w:w="435" w:type="pct"/>
            <w:tcBorders>
              <w:top w:val="single" w:color="auto" w:sz="4" w:space="0"/>
              <w:left w:val="single" w:color="auto" w:sz="4" w:space="0"/>
              <w:bottom w:val="single" w:color="auto" w:sz="4" w:space="0"/>
              <w:right w:val="single" w:color="auto" w:sz="4" w:space="0"/>
            </w:tcBorders>
            <w:vAlign w:val="center"/>
          </w:tcPr>
          <w:p w14:paraId="763855B8">
            <w:pPr>
              <w:spacing w:line="240" w:lineRule="auto"/>
              <w:jc w:val="center"/>
              <w:rPr>
                <w:rFonts w:cs="Times New Roman"/>
                <w:sz w:val="21"/>
                <w:szCs w:val="21"/>
              </w:rPr>
            </w:pPr>
            <w:r>
              <w:rPr>
                <w:rFonts w:hint="eastAsia" w:cs="Times New Roman"/>
                <w:sz w:val="21"/>
                <w:szCs w:val="21"/>
              </w:rPr>
              <w:t>1374</w:t>
            </w:r>
          </w:p>
        </w:tc>
        <w:tc>
          <w:tcPr>
            <w:tcW w:w="436" w:type="pct"/>
            <w:tcBorders>
              <w:top w:val="single" w:color="auto" w:sz="4" w:space="0"/>
              <w:left w:val="single" w:color="auto" w:sz="4" w:space="0"/>
              <w:bottom w:val="single" w:color="auto" w:sz="4" w:space="0"/>
              <w:right w:val="single" w:color="auto" w:sz="4" w:space="0"/>
            </w:tcBorders>
            <w:vAlign w:val="center"/>
          </w:tcPr>
          <w:p w14:paraId="6A3D6296">
            <w:pPr>
              <w:spacing w:line="240" w:lineRule="auto"/>
              <w:jc w:val="center"/>
              <w:rPr>
                <w:rFonts w:cs="Times New Roman"/>
                <w:sz w:val="21"/>
                <w:szCs w:val="21"/>
              </w:rPr>
            </w:pPr>
            <w:r>
              <w:rPr>
                <w:rFonts w:hint="eastAsia" w:cs="Times New Roman"/>
                <w:sz w:val="21"/>
                <w:szCs w:val="21"/>
              </w:rPr>
              <w:t>1222</w:t>
            </w:r>
          </w:p>
        </w:tc>
        <w:tc>
          <w:tcPr>
            <w:tcW w:w="467" w:type="pct"/>
            <w:tcBorders>
              <w:top w:val="single" w:color="auto" w:sz="4" w:space="0"/>
              <w:left w:val="single" w:color="auto" w:sz="4" w:space="0"/>
              <w:bottom w:val="single" w:color="auto" w:sz="4" w:space="0"/>
              <w:right w:val="single" w:color="auto" w:sz="4" w:space="0"/>
            </w:tcBorders>
            <w:vAlign w:val="center"/>
          </w:tcPr>
          <w:p w14:paraId="4FFC0050">
            <w:pPr>
              <w:spacing w:line="240" w:lineRule="auto"/>
              <w:jc w:val="center"/>
              <w:rPr>
                <w:rFonts w:cs="Times New Roman"/>
                <w:sz w:val="21"/>
                <w:szCs w:val="21"/>
              </w:rPr>
            </w:pPr>
            <w:r>
              <w:rPr>
                <w:rFonts w:hint="eastAsia" w:cs="Times New Roman"/>
                <w:sz w:val="21"/>
                <w:szCs w:val="21"/>
              </w:rPr>
              <w:t>NE</w:t>
            </w:r>
          </w:p>
        </w:tc>
        <w:tc>
          <w:tcPr>
            <w:tcW w:w="439" w:type="pct"/>
            <w:tcBorders>
              <w:top w:val="single" w:color="auto" w:sz="4" w:space="0"/>
              <w:left w:val="single" w:color="auto" w:sz="4" w:space="0"/>
              <w:bottom w:val="single" w:color="auto" w:sz="4" w:space="0"/>
              <w:right w:val="single" w:color="auto" w:sz="4" w:space="0"/>
            </w:tcBorders>
            <w:vAlign w:val="center"/>
          </w:tcPr>
          <w:p w14:paraId="11A4E584">
            <w:pPr>
              <w:spacing w:line="240" w:lineRule="auto"/>
              <w:jc w:val="center"/>
              <w:rPr>
                <w:rFonts w:cs="Times New Roman"/>
                <w:sz w:val="21"/>
                <w:szCs w:val="21"/>
              </w:rPr>
            </w:pPr>
            <w:r>
              <w:rPr>
                <w:rFonts w:hint="eastAsia" w:cs="Times New Roman"/>
                <w:sz w:val="21"/>
                <w:szCs w:val="21"/>
              </w:rPr>
              <w:t>1943</w:t>
            </w:r>
          </w:p>
        </w:tc>
        <w:tc>
          <w:tcPr>
            <w:tcW w:w="502" w:type="pct"/>
            <w:tcBorders>
              <w:top w:val="single" w:color="auto" w:sz="4" w:space="0"/>
              <w:left w:val="single" w:color="auto" w:sz="4" w:space="0"/>
              <w:bottom w:val="single" w:color="auto" w:sz="4" w:space="0"/>
              <w:right w:val="single" w:color="auto" w:sz="4" w:space="0"/>
            </w:tcBorders>
          </w:tcPr>
          <w:p w14:paraId="7E05B45E">
            <w:pPr>
              <w:spacing w:line="240" w:lineRule="auto"/>
              <w:jc w:val="center"/>
              <w:rPr>
                <w:rFonts w:cs="Times New Roman"/>
                <w:sz w:val="21"/>
                <w:szCs w:val="21"/>
              </w:rPr>
            </w:pPr>
            <w:r>
              <w:rPr>
                <w:rFonts w:hint="eastAsia" w:cs="Times New Roman"/>
                <w:sz w:val="21"/>
                <w:szCs w:val="21"/>
              </w:rPr>
              <w:t>居民</w:t>
            </w:r>
          </w:p>
        </w:tc>
        <w:tc>
          <w:tcPr>
            <w:tcW w:w="502" w:type="pct"/>
            <w:tcBorders>
              <w:top w:val="single" w:color="auto" w:sz="4" w:space="0"/>
              <w:left w:val="single" w:color="auto" w:sz="4" w:space="0"/>
              <w:bottom w:val="single" w:color="auto" w:sz="4" w:space="0"/>
              <w:right w:val="single" w:color="auto" w:sz="4" w:space="0"/>
            </w:tcBorders>
            <w:vAlign w:val="center"/>
          </w:tcPr>
          <w:p w14:paraId="3BE57BED">
            <w:pPr>
              <w:spacing w:line="240" w:lineRule="auto"/>
              <w:jc w:val="center"/>
              <w:rPr>
                <w:rFonts w:cs="Times New Roman"/>
                <w:sz w:val="21"/>
                <w:szCs w:val="21"/>
              </w:rPr>
            </w:pPr>
            <w:r>
              <w:rPr>
                <w:rFonts w:hint="eastAsia" w:cs="Times New Roman"/>
                <w:sz w:val="21"/>
                <w:szCs w:val="21"/>
              </w:rPr>
              <w:t>231</w:t>
            </w:r>
          </w:p>
        </w:tc>
        <w:tc>
          <w:tcPr>
            <w:tcW w:w="1126" w:type="pct"/>
            <w:vMerge w:val="continue"/>
            <w:tcBorders>
              <w:top w:val="single" w:color="auto" w:sz="4" w:space="0"/>
              <w:left w:val="single" w:color="auto" w:sz="4" w:space="0"/>
              <w:bottom w:val="single" w:color="auto" w:sz="4" w:space="0"/>
              <w:right w:val="single" w:color="auto" w:sz="4" w:space="0"/>
            </w:tcBorders>
            <w:vAlign w:val="center"/>
          </w:tcPr>
          <w:p w14:paraId="6DCFFDA6">
            <w:pPr>
              <w:spacing w:line="240" w:lineRule="auto"/>
              <w:jc w:val="center"/>
              <w:rPr>
                <w:rFonts w:cs="Times New Roman"/>
                <w:sz w:val="21"/>
                <w:szCs w:val="21"/>
              </w:rPr>
            </w:pPr>
          </w:p>
        </w:tc>
      </w:tr>
      <w:tr w14:paraId="34BB4E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03" w:type="pct"/>
            <w:vMerge w:val="continue"/>
            <w:tcBorders>
              <w:top w:val="nil"/>
              <w:left w:val="single" w:color="auto" w:sz="4" w:space="0"/>
              <w:bottom w:val="single" w:color="auto" w:sz="4" w:space="0"/>
              <w:right w:val="single" w:color="auto" w:sz="4" w:space="0"/>
            </w:tcBorders>
            <w:vAlign w:val="center"/>
          </w:tcPr>
          <w:p w14:paraId="1EAF83C5">
            <w:pPr>
              <w:spacing w:line="240" w:lineRule="auto"/>
              <w:jc w:val="center"/>
              <w:rPr>
                <w:rFonts w:cs="Times New Roman"/>
                <w:sz w:val="21"/>
                <w:szCs w:val="21"/>
              </w:rPr>
            </w:pPr>
          </w:p>
        </w:tc>
        <w:tc>
          <w:tcPr>
            <w:tcW w:w="690" w:type="pct"/>
            <w:tcBorders>
              <w:top w:val="single" w:color="auto" w:sz="4" w:space="0"/>
              <w:left w:val="single" w:color="auto" w:sz="4" w:space="0"/>
              <w:bottom w:val="single" w:color="auto" w:sz="4" w:space="0"/>
              <w:right w:val="single" w:color="auto" w:sz="4" w:space="0"/>
            </w:tcBorders>
          </w:tcPr>
          <w:p w14:paraId="4E5ED2AA">
            <w:pPr>
              <w:spacing w:line="240" w:lineRule="auto"/>
              <w:jc w:val="center"/>
              <w:rPr>
                <w:sz w:val="21"/>
                <w:szCs w:val="21"/>
              </w:rPr>
            </w:pPr>
            <w:r>
              <w:rPr>
                <w:rFonts w:hint="eastAsia"/>
                <w:sz w:val="21"/>
                <w:szCs w:val="21"/>
              </w:rPr>
              <w:t>草杨家</w:t>
            </w:r>
          </w:p>
        </w:tc>
        <w:tc>
          <w:tcPr>
            <w:tcW w:w="435" w:type="pct"/>
            <w:tcBorders>
              <w:top w:val="single" w:color="auto" w:sz="4" w:space="0"/>
              <w:left w:val="single" w:color="auto" w:sz="4" w:space="0"/>
              <w:bottom w:val="single" w:color="auto" w:sz="4" w:space="0"/>
              <w:right w:val="single" w:color="auto" w:sz="4" w:space="0"/>
            </w:tcBorders>
            <w:vAlign w:val="center"/>
          </w:tcPr>
          <w:p w14:paraId="26C4A325">
            <w:pPr>
              <w:spacing w:line="240" w:lineRule="auto"/>
              <w:jc w:val="center"/>
              <w:rPr>
                <w:rFonts w:cs="Times New Roman"/>
                <w:sz w:val="21"/>
                <w:szCs w:val="21"/>
              </w:rPr>
            </w:pPr>
            <w:r>
              <w:rPr>
                <w:rFonts w:hint="eastAsia" w:cs="Times New Roman"/>
                <w:sz w:val="21"/>
                <w:szCs w:val="21"/>
              </w:rPr>
              <w:t>1787</w:t>
            </w:r>
          </w:p>
        </w:tc>
        <w:tc>
          <w:tcPr>
            <w:tcW w:w="436" w:type="pct"/>
            <w:tcBorders>
              <w:top w:val="single" w:color="auto" w:sz="4" w:space="0"/>
              <w:left w:val="single" w:color="auto" w:sz="4" w:space="0"/>
              <w:bottom w:val="single" w:color="auto" w:sz="4" w:space="0"/>
              <w:right w:val="single" w:color="auto" w:sz="4" w:space="0"/>
            </w:tcBorders>
            <w:vAlign w:val="center"/>
          </w:tcPr>
          <w:p w14:paraId="60B37EAF">
            <w:pPr>
              <w:spacing w:line="240" w:lineRule="auto"/>
              <w:jc w:val="center"/>
              <w:rPr>
                <w:rFonts w:cs="Times New Roman"/>
                <w:sz w:val="21"/>
                <w:szCs w:val="21"/>
              </w:rPr>
            </w:pPr>
            <w:r>
              <w:rPr>
                <w:rFonts w:hint="eastAsia" w:cs="Times New Roman"/>
                <w:sz w:val="21"/>
                <w:szCs w:val="21"/>
              </w:rPr>
              <w:t>545</w:t>
            </w:r>
          </w:p>
        </w:tc>
        <w:tc>
          <w:tcPr>
            <w:tcW w:w="467" w:type="pct"/>
            <w:tcBorders>
              <w:top w:val="single" w:color="auto" w:sz="4" w:space="0"/>
              <w:left w:val="single" w:color="auto" w:sz="4" w:space="0"/>
              <w:bottom w:val="single" w:color="auto" w:sz="4" w:space="0"/>
              <w:right w:val="single" w:color="auto" w:sz="4" w:space="0"/>
            </w:tcBorders>
            <w:vAlign w:val="center"/>
          </w:tcPr>
          <w:p w14:paraId="610FDAE9">
            <w:pPr>
              <w:spacing w:line="240" w:lineRule="auto"/>
              <w:jc w:val="center"/>
              <w:rPr>
                <w:rFonts w:cs="Times New Roman"/>
                <w:sz w:val="21"/>
                <w:szCs w:val="21"/>
              </w:rPr>
            </w:pPr>
            <w:r>
              <w:rPr>
                <w:rFonts w:hint="eastAsia" w:cs="Times New Roman"/>
                <w:sz w:val="21"/>
                <w:szCs w:val="21"/>
              </w:rPr>
              <w:t>NE</w:t>
            </w:r>
          </w:p>
        </w:tc>
        <w:tc>
          <w:tcPr>
            <w:tcW w:w="439" w:type="pct"/>
            <w:tcBorders>
              <w:top w:val="single" w:color="auto" w:sz="4" w:space="0"/>
              <w:left w:val="single" w:color="auto" w:sz="4" w:space="0"/>
              <w:bottom w:val="single" w:color="auto" w:sz="4" w:space="0"/>
              <w:right w:val="single" w:color="auto" w:sz="4" w:space="0"/>
            </w:tcBorders>
            <w:vAlign w:val="center"/>
          </w:tcPr>
          <w:p w14:paraId="384E0698">
            <w:pPr>
              <w:spacing w:line="240" w:lineRule="auto"/>
              <w:jc w:val="center"/>
              <w:rPr>
                <w:rFonts w:cs="Times New Roman"/>
                <w:sz w:val="21"/>
                <w:szCs w:val="21"/>
              </w:rPr>
            </w:pPr>
            <w:r>
              <w:rPr>
                <w:rFonts w:hint="eastAsia" w:cs="Times New Roman"/>
                <w:sz w:val="21"/>
                <w:szCs w:val="21"/>
              </w:rPr>
              <w:t>1921</w:t>
            </w:r>
          </w:p>
        </w:tc>
        <w:tc>
          <w:tcPr>
            <w:tcW w:w="502" w:type="pct"/>
            <w:tcBorders>
              <w:top w:val="single" w:color="auto" w:sz="4" w:space="0"/>
              <w:left w:val="single" w:color="auto" w:sz="4" w:space="0"/>
              <w:bottom w:val="single" w:color="auto" w:sz="4" w:space="0"/>
              <w:right w:val="single" w:color="auto" w:sz="4" w:space="0"/>
            </w:tcBorders>
          </w:tcPr>
          <w:p w14:paraId="245FC8EA">
            <w:pPr>
              <w:spacing w:line="240" w:lineRule="auto"/>
              <w:jc w:val="center"/>
              <w:rPr>
                <w:rFonts w:cs="Times New Roman"/>
                <w:sz w:val="21"/>
                <w:szCs w:val="21"/>
              </w:rPr>
            </w:pPr>
            <w:r>
              <w:rPr>
                <w:rFonts w:hint="eastAsia" w:cs="Times New Roman"/>
                <w:sz w:val="21"/>
                <w:szCs w:val="21"/>
              </w:rPr>
              <w:t>居民</w:t>
            </w:r>
          </w:p>
        </w:tc>
        <w:tc>
          <w:tcPr>
            <w:tcW w:w="502" w:type="pct"/>
            <w:tcBorders>
              <w:top w:val="single" w:color="auto" w:sz="4" w:space="0"/>
              <w:left w:val="single" w:color="auto" w:sz="4" w:space="0"/>
              <w:bottom w:val="single" w:color="auto" w:sz="4" w:space="0"/>
              <w:right w:val="single" w:color="auto" w:sz="4" w:space="0"/>
            </w:tcBorders>
            <w:vAlign w:val="center"/>
          </w:tcPr>
          <w:p w14:paraId="09AB8EBB">
            <w:pPr>
              <w:spacing w:line="240" w:lineRule="auto"/>
              <w:jc w:val="center"/>
              <w:rPr>
                <w:rFonts w:cs="Times New Roman"/>
                <w:sz w:val="21"/>
                <w:szCs w:val="21"/>
              </w:rPr>
            </w:pPr>
            <w:r>
              <w:rPr>
                <w:rFonts w:hint="eastAsia" w:cs="Times New Roman"/>
                <w:sz w:val="21"/>
                <w:szCs w:val="21"/>
              </w:rPr>
              <w:t>158</w:t>
            </w:r>
          </w:p>
        </w:tc>
        <w:tc>
          <w:tcPr>
            <w:tcW w:w="1126" w:type="pct"/>
            <w:vMerge w:val="continue"/>
            <w:tcBorders>
              <w:top w:val="single" w:color="auto" w:sz="4" w:space="0"/>
              <w:left w:val="single" w:color="auto" w:sz="4" w:space="0"/>
              <w:bottom w:val="single" w:color="auto" w:sz="4" w:space="0"/>
              <w:right w:val="single" w:color="auto" w:sz="4" w:space="0"/>
            </w:tcBorders>
            <w:vAlign w:val="center"/>
          </w:tcPr>
          <w:p w14:paraId="158F479F">
            <w:pPr>
              <w:spacing w:line="240" w:lineRule="auto"/>
              <w:jc w:val="center"/>
              <w:rPr>
                <w:rFonts w:cs="Times New Roman"/>
                <w:sz w:val="21"/>
                <w:szCs w:val="21"/>
              </w:rPr>
            </w:pPr>
          </w:p>
        </w:tc>
      </w:tr>
      <w:tr w14:paraId="1E1E7F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03" w:type="pct"/>
            <w:vMerge w:val="continue"/>
            <w:tcBorders>
              <w:top w:val="nil"/>
              <w:left w:val="single" w:color="auto" w:sz="4" w:space="0"/>
              <w:bottom w:val="single" w:color="auto" w:sz="4" w:space="0"/>
              <w:right w:val="single" w:color="auto" w:sz="4" w:space="0"/>
            </w:tcBorders>
            <w:vAlign w:val="center"/>
          </w:tcPr>
          <w:p w14:paraId="10B666B1">
            <w:pPr>
              <w:spacing w:line="240" w:lineRule="auto"/>
              <w:jc w:val="center"/>
              <w:rPr>
                <w:rFonts w:cs="Times New Roman"/>
                <w:sz w:val="21"/>
                <w:szCs w:val="21"/>
              </w:rPr>
            </w:pPr>
          </w:p>
        </w:tc>
        <w:tc>
          <w:tcPr>
            <w:tcW w:w="690" w:type="pct"/>
            <w:tcBorders>
              <w:top w:val="single" w:color="auto" w:sz="4" w:space="0"/>
              <w:left w:val="single" w:color="auto" w:sz="4" w:space="0"/>
              <w:bottom w:val="single" w:color="auto" w:sz="4" w:space="0"/>
              <w:right w:val="single" w:color="auto" w:sz="4" w:space="0"/>
            </w:tcBorders>
          </w:tcPr>
          <w:p w14:paraId="408E3B90">
            <w:pPr>
              <w:spacing w:line="240" w:lineRule="auto"/>
              <w:jc w:val="center"/>
              <w:rPr>
                <w:sz w:val="21"/>
                <w:szCs w:val="21"/>
              </w:rPr>
            </w:pPr>
            <w:r>
              <w:rPr>
                <w:rFonts w:hint="eastAsia"/>
                <w:sz w:val="21"/>
                <w:szCs w:val="21"/>
              </w:rPr>
              <w:t>夏家湖</w:t>
            </w:r>
          </w:p>
        </w:tc>
        <w:tc>
          <w:tcPr>
            <w:tcW w:w="435" w:type="pct"/>
            <w:tcBorders>
              <w:top w:val="single" w:color="auto" w:sz="4" w:space="0"/>
              <w:left w:val="single" w:color="auto" w:sz="4" w:space="0"/>
              <w:bottom w:val="single" w:color="auto" w:sz="4" w:space="0"/>
              <w:right w:val="single" w:color="auto" w:sz="4" w:space="0"/>
            </w:tcBorders>
            <w:vAlign w:val="center"/>
          </w:tcPr>
          <w:p w14:paraId="2B8FE40C">
            <w:pPr>
              <w:spacing w:line="240" w:lineRule="auto"/>
              <w:jc w:val="center"/>
              <w:rPr>
                <w:rFonts w:cs="Times New Roman"/>
                <w:sz w:val="21"/>
                <w:szCs w:val="21"/>
              </w:rPr>
            </w:pPr>
            <w:r>
              <w:rPr>
                <w:rFonts w:hint="eastAsia" w:cs="Times New Roman"/>
                <w:sz w:val="21"/>
                <w:szCs w:val="21"/>
              </w:rPr>
              <w:t>1703</w:t>
            </w:r>
          </w:p>
        </w:tc>
        <w:tc>
          <w:tcPr>
            <w:tcW w:w="436" w:type="pct"/>
            <w:tcBorders>
              <w:top w:val="single" w:color="auto" w:sz="4" w:space="0"/>
              <w:left w:val="single" w:color="auto" w:sz="4" w:space="0"/>
              <w:bottom w:val="single" w:color="auto" w:sz="4" w:space="0"/>
              <w:right w:val="single" w:color="auto" w:sz="4" w:space="0"/>
            </w:tcBorders>
            <w:vAlign w:val="center"/>
          </w:tcPr>
          <w:p w14:paraId="4A2C66F1">
            <w:pPr>
              <w:spacing w:line="240" w:lineRule="auto"/>
              <w:jc w:val="center"/>
              <w:rPr>
                <w:rFonts w:cs="Times New Roman"/>
                <w:sz w:val="21"/>
                <w:szCs w:val="21"/>
              </w:rPr>
            </w:pPr>
            <w:r>
              <w:rPr>
                <w:rFonts w:hint="eastAsia" w:cs="Times New Roman"/>
                <w:sz w:val="21"/>
                <w:szCs w:val="21"/>
              </w:rPr>
              <w:t>/</w:t>
            </w:r>
          </w:p>
        </w:tc>
        <w:tc>
          <w:tcPr>
            <w:tcW w:w="467" w:type="pct"/>
            <w:tcBorders>
              <w:top w:val="single" w:color="auto" w:sz="4" w:space="0"/>
              <w:left w:val="single" w:color="auto" w:sz="4" w:space="0"/>
              <w:bottom w:val="single" w:color="auto" w:sz="4" w:space="0"/>
              <w:right w:val="single" w:color="auto" w:sz="4" w:space="0"/>
            </w:tcBorders>
            <w:vAlign w:val="center"/>
          </w:tcPr>
          <w:p w14:paraId="24760970">
            <w:pPr>
              <w:spacing w:line="240" w:lineRule="auto"/>
              <w:jc w:val="center"/>
              <w:rPr>
                <w:rFonts w:cs="Times New Roman"/>
                <w:sz w:val="21"/>
                <w:szCs w:val="21"/>
              </w:rPr>
            </w:pPr>
            <w:r>
              <w:rPr>
                <w:rFonts w:hint="eastAsia" w:cs="Times New Roman"/>
                <w:sz w:val="21"/>
                <w:szCs w:val="21"/>
              </w:rPr>
              <w:t>E</w:t>
            </w:r>
          </w:p>
        </w:tc>
        <w:tc>
          <w:tcPr>
            <w:tcW w:w="439" w:type="pct"/>
            <w:tcBorders>
              <w:top w:val="single" w:color="auto" w:sz="4" w:space="0"/>
              <w:left w:val="single" w:color="auto" w:sz="4" w:space="0"/>
              <w:bottom w:val="single" w:color="auto" w:sz="4" w:space="0"/>
              <w:right w:val="single" w:color="auto" w:sz="4" w:space="0"/>
            </w:tcBorders>
            <w:vAlign w:val="center"/>
          </w:tcPr>
          <w:p w14:paraId="5F54D804">
            <w:pPr>
              <w:spacing w:line="240" w:lineRule="auto"/>
              <w:jc w:val="center"/>
              <w:rPr>
                <w:rFonts w:cs="Times New Roman"/>
                <w:sz w:val="21"/>
                <w:szCs w:val="21"/>
              </w:rPr>
            </w:pPr>
            <w:r>
              <w:rPr>
                <w:rFonts w:hint="eastAsia" w:cs="Times New Roman"/>
                <w:sz w:val="21"/>
                <w:szCs w:val="21"/>
              </w:rPr>
              <w:t>1703</w:t>
            </w:r>
          </w:p>
        </w:tc>
        <w:tc>
          <w:tcPr>
            <w:tcW w:w="502" w:type="pct"/>
            <w:tcBorders>
              <w:top w:val="single" w:color="auto" w:sz="4" w:space="0"/>
              <w:left w:val="single" w:color="auto" w:sz="4" w:space="0"/>
              <w:bottom w:val="single" w:color="auto" w:sz="4" w:space="0"/>
              <w:right w:val="single" w:color="auto" w:sz="4" w:space="0"/>
            </w:tcBorders>
            <w:vAlign w:val="center"/>
          </w:tcPr>
          <w:p w14:paraId="54EFF27C">
            <w:pPr>
              <w:spacing w:line="240" w:lineRule="auto"/>
              <w:jc w:val="center"/>
              <w:rPr>
                <w:rFonts w:cs="Times New Roman"/>
                <w:sz w:val="21"/>
                <w:szCs w:val="21"/>
              </w:rPr>
            </w:pPr>
            <w:r>
              <w:rPr>
                <w:rFonts w:hint="eastAsia" w:cs="Times New Roman"/>
                <w:sz w:val="21"/>
                <w:szCs w:val="21"/>
              </w:rPr>
              <w:t>居民</w:t>
            </w:r>
          </w:p>
        </w:tc>
        <w:tc>
          <w:tcPr>
            <w:tcW w:w="502" w:type="pct"/>
            <w:tcBorders>
              <w:top w:val="single" w:color="auto" w:sz="4" w:space="0"/>
              <w:left w:val="single" w:color="auto" w:sz="4" w:space="0"/>
              <w:bottom w:val="single" w:color="auto" w:sz="4" w:space="0"/>
              <w:right w:val="single" w:color="auto" w:sz="4" w:space="0"/>
            </w:tcBorders>
            <w:vAlign w:val="center"/>
          </w:tcPr>
          <w:p w14:paraId="14366181">
            <w:pPr>
              <w:spacing w:line="240" w:lineRule="auto"/>
              <w:jc w:val="center"/>
              <w:rPr>
                <w:rFonts w:cs="Times New Roman"/>
                <w:sz w:val="21"/>
                <w:szCs w:val="21"/>
              </w:rPr>
            </w:pPr>
            <w:r>
              <w:rPr>
                <w:rFonts w:hint="eastAsia" w:cs="Times New Roman"/>
                <w:sz w:val="21"/>
                <w:szCs w:val="21"/>
              </w:rPr>
              <w:t>300</w:t>
            </w:r>
          </w:p>
        </w:tc>
        <w:tc>
          <w:tcPr>
            <w:tcW w:w="1126" w:type="pct"/>
            <w:vMerge w:val="continue"/>
            <w:tcBorders>
              <w:top w:val="single" w:color="auto" w:sz="4" w:space="0"/>
              <w:left w:val="single" w:color="auto" w:sz="4" w:space="0"/>
              <w:bottom w:val="single" w:color="auto" w:sz="4" w:space="0"/>
              <w:right w:val="single" w:color="auto" w:sz="4" w:space="0"/>
            </w:tcBorders>
            <w:vAlign w:val="center"/>
          </w:tcPr>
          <w:p w14:paraId="05475F45">
            <w:pPr>
              <w:spacing w:line="240" w:lineRule="auto"/>
              <w:jc w:val="center"/>
              <w:rPr>
                <w:rFonts w:cs="Times New Roman"/>
                <w:sz w:val="21"/>
                <w:szCs w:val="21"/>
              </w:rPr>
            </w:pPr>
          </w:p>
        </w:tc>
      </w:tr>
      <w:tr w14:paraId="7C8C45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03" w:type="pct"/>
            <w:vMerge w:val="continue"/>
            <w:tcBorders>
              <w:top w:val="nil"/>
              <w:left w:val="single" w:color="auto" w:sz="4" w:space="0"/>
              <w:bottom w:val="single" w:color="auto" w:sz="4" w:space="0"/>
              <w:right w:val="single" w:color="auto" w:sz="4" w:space="0"/>
            </w:tcBorders>
            <w:vAlign w:val="center"/>
          </w:tcPr>
          <w:p w14:paraId="130F575B">
            <w:pPr>
              <w:spacing w:line="240" w:lineRule="auto"/>
              <w:jc w:val="center"/>
              <w:rPr>
                <w:rFonts w:cs="Times New Roman"/>
                <w:sz w:val="21"/>
                <w:szCs w:val="21"/>
              </w:rPr>
            </w:pPr>
          </w:p>
        </w:tc>
        <w:tc>
          <w:tcPr>
            <w:tcW w:w="690" w:type="pct"/>
            <w:tcBorders>
              <w:top w:val="single" w:color="auto" w:sz="4" w:space="0"/>
              <w:left w:val="single" w:color="auto" w:sz="4" w:space="0"/>
              <w:bottom w:val="single" w:color="auto" w:sz="4" w:space="0"/>
              <w:right w:val="single" w:color="auto" w:sz="4" w:space="0"/>
            </w:tcBorders>
          </w:tcPr>
          <w:p w14:paraId="4E96F475">
            <w:pPr>
              <w:spacing w:line="240" w:lineRule="auto"/>
              <w:jc w:val="center"/>
              <w:rPr>
                <w:rFonts w:cs="Times New Roman"/>
                <w:sz w:val="21"/>
                <w:szCs w:val="21"/>
              </w:rPr>
            </w:pPr>
            <w:r>
              <w:rPr>
                <w:rFonts w:hint="eastAsia"/>
                <w:sz w:val="21"/>
                <w:szCs w:val="21"/>
              </w:rPr>
              <w:t>二铺</w:t>
            </w:r>
          </w:p>
        </w:tc>
        <w:tc>
          <w:tcPr>
            <w:tcW w:w="435" w:type="pct"/>
            <w:tcBorders>
              <w:top w:val="single" w:color="auto" w:sz="4" w:space="0"/>
              <w:left w:val="single" w:color="auto" w:sz="4" w:space="0"/>
              <w:bottom w:val="single" w:color="auto" w:sz="4" w:space="0"/>
              <w:right w:val="single" w:color="auto" w:sz="4" w:space="0"/>
            </w:tcBorders>
            <w:vAlign w:val="center"/>
          </w:tcPr>
          <w:p w14:paraId="102D0167">
            <w:pPr>
              <w:spacing w:line="240" w:lineRule="auto"/>
              <w:jc w:val="center"/>
              <w:rPr>
                <w:rFonts w:cs="Times New Roman"/>
                <w:sz w:val="21"/>
                <w:szCs w:val="21"/>
              </w:rPr>
            </w:pPr>
            <w:r>
              <w:rPr>
                <w:rFonts w:hint="eastAsia" w:cs="Times New Roman"/>
                <w:sz w:val="21"/>
                <w:szCs w:val="21"/>
              </w:rPr>
              <w:t>829</w:t>
            </w:r>
          </w:p>
        </w:tc>
        <w:tc>
          <w:tcPr>
            <w:tcW w:w="436" w:type="pct"/>
            <w:tcBorders>
              <w:top w:val="single" w:color="auto" w:sz="4" w:space="0"/>
              <w:left w:val="single" w:color="auto" w:sz="4" w:space="0"/>
              <w:bottom w:val="single" w:color="auto" w:sz="4" w:space="0"/>
              <w:right w:val="single" w:color="auto" w:sz="4" w:space="0"/>
            </w:tcBorders>
            <w:vAlign w:val="center"/>
          </w:tcPr>
          <w:p w14:paraId="299B782E">
            <w:pPr>
              <w:spacing w:line="240" w:lineRule="auto"/>
              <w:jc w:val="center"/>
              <w:rPr>
                <w:rFonts w:cs="Times New Roman"/>
                <w:sz w:val="21"/>
                <w:szCs w:val="21"/>
              </w:rPr>
            </w:pPr>
            <w:r>
              <w:rPr>
                <w:rFonts w:hint="eastAsia" w:cs="Times New Roman"/>
                <w:sz w:val="21"/>
                <w:szCs w:val="21"/>
              </w:rPr>
              <w:t>-2143</w:t>
            </w:r>
          </w:p>
        </w:tc>
        <w:tc>
          <w:tcPr>
            <w:tcW w:w="467" w:type="pct"/>
            <w:tcBorders>
              <w:top w:val="single" w:color="auto" w:sz="4" w:space="0"/>
              <w:left w:val="single" w:color="auto" w:sz="4" w:space="0"/>
              <w:bottom w:val="single" w:color="auto" w:sz="4" w:space="0"/>
              <w:right w:val="single" w:color="auto" w:sz="4" w:space="0"/>
            </w:tcBorders>
            <w:vAlign w:val="center"/>
          </w:tcPr>
          <w:p w14:paraId="4C5E332F">
            <w:pPr>
              <w:spacing w:line="240" w:lineRule="auto"/>
              <w:jc w:val="center"/>
              <w:rPr>
                <w:rFonts w:cs="Times New Roman"/>
                <w:sz w:val="21"/>
                <w:szCs w:val="21"/>
              </w:rPr>
            </w:pPr>
            <w:r>
              <w:rPr>
                <w:rFonts w:hint="eastAsia" w:cs="Times New Roman"/>
                <w:sz w:val="21"/>
                <w:szCs w:val="21"/>
              </w:rPr>
              <w:t>SE</w:t>
            </w:r>
          </w:p>
        </w:tc>
        <w:tc>
          <w:tcPr>
            <w:tcW w:w="439" w:type="pct"/>
            <w:tcBorders>
              <w:top w:val="single" w:color="auto" w:sz="4" w:space="0"/>
              <w:left w:val="single" w:color="auto" w:sz="4" w:space="0"/>
              <w:bottom w:val="single" w:color="auto" w:sz="4" w:space="0"/>
              <w:right w:val="single" w:color="auto" w:sz="4" w:space="0"/>
            </w:tcBorders>
            <w:vAlign w:val="center"/>
          </w:tcPr>
          <w:p w14:paraId="54DE6DEF">
            <w:pPr>
              <w:spacing w:line="240" w:lineRule="auto"/>
              <w:jc w:val="center"/>
              <w:rPr>
                <w:rFonts w:cs="Times New Roman"/>
                <w:sz w:val="21"/>
                <w:szCs w:val="21"/>
              </w:rPr>
            </w:pPr>
            <w:r>
              <w:rPr>
                <w:rFonts w:hint="eastAsia" w:cs="Times New Roman"/>
                <w:sz w:val="21"/>
                <w:szCs w:val="21"/>
              </w:rPr>
              <w:t>2272</w:t>
            </w:r>
          </w:p>
        </w:tc>
        <w:tc>
          <w:tcPr>
            <w:tcW w:w="502" w:type="pct"/>
            <w:tcBorders>
              <w:top w:val="single" w:color="auto" w:sz="4" w:space="0"/>
              <w:left w:val="single" w:color="auto" w:sz="4" w:space="0"/>
              <w:bottom w:val="single" w:color="auto" w:sz="4" w:space="0"/>
              <w:right w:val="single" w:color="auto" w:sz="4" w:space="0"/>
            </w:tcBorders>
          </w:tcPr>
          <w:p w14:paraId="742C5E2F">
            <w:pPr>
              <w:spacing w:line="240" w:lineRule="auto"/>
              <w:jc w:val="center"/>
              <w:rPr>
                <w:rFonts w:cs="Times New Roman"/>
                <w:sz w:val="21"/>
                <w:szCs w:val="21"/>
              </w:rPr>
            </w:pPr>
            <w:r>
              <w:rPr>
                <w:rFonts w:hint="eastAsia" w:cs="Times New Roman"/>
                <w:sz w:val="21"/>
                <w:szCs w:val="21"/>
              </w:rPr>
              <w:t>居民</w:t>
            </w:r>
          </w:p>
        </w:tc>
        <w:tc>
          <w:tcPr>
            <w:tcW w:w="502" w:type="pct"/>
            <w:tcBorders>
              <w:top w:val="single" w:color="auto" w:sz="4" w:space="0"/>
              <w:left w:val="single" w:color="auto" w:sz="4" w:space="0"/>
              <w:bottom w:val="single" w:color="auto" w:sz="4" w:space="0"/>
              <w:right w:val="single" w:color="auto" w:sz="4" w:space="0"/>
            </w:tcBorders>
            <w:vAlign w:val="center"/>
          </w:tcPr>
          <w:p w14:paraId="652634A5">
            <w:pPr>
              <w:spacing w:line="240" w:lineRule="auto"/>
              <w:jc w:val="center"/>
              <w:rPr>
                <w:rFonts w:cs="Times New Roman"/>
                <w:sz w:val="21"/>
                <w:szCs w:val="21"/>
              </w:rPr>
            </w:pPr>
            <w:r>
              <w:rPr>
                <w:rFonts w:hint="eastAsia" w:cs="Times New Roman"/>
                <w:sz w:val="21"/>
                <w:szCs w:val="21"/>
              </w:rPr>
              <w:t>220</w:t>
            </w:r>
          </w:p>
        </w:tc>
        <w:tc>
          <w:tcPr>
            <w:tcW w:w="1126" w:type="pct"/>
            <w:vMerge w:val="continue"/>
            <w:tcBorders>
              <w:top w:val="single" w:color="auto" w:sz="4" w:space="0"/>
              <w:left w:val="single" w:color="auto" w:sz="4" w:space="0"/>
              <w:bottom w:val="single" w:color="auto" w:sz="4" w:space="0"/>
              <w:right w:val="single" w:color="auto" w:sz="4" w:space="0"/>
            </w:tcBorders>
            <w:vAlign w:val="center"/>
          </w:tcPr>
          <w:p w14:paraId="05BE9CA6">
            <w:pPr>
              <w:spacing w:line="240" w:lineRule="auto"/>
              <w:jc w:val="center"/>
              <w:rPr>
                <w:rFonts w:cs="Times New Roman"/>
                <w:sz w:val="21"/>
                <w:szCs w:val="21"/>
              </w:rPr>
            </w:pPr>
          </w:p>
        </w:tc>
      </w:tr>
      <w:tr w14:paraId="1AA9A9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03" w:type="pct"/>
            <w:vMerge w:val="continue"/>
            <w:tcBorders>
              <w:top w:val="nil"/>
              <w:left w:val="single" w:color="auto" w:sz="4" w:space="0"/>
              <w:bottom w:val="single" w:color="auto" w:sz="4" w:space="0"/>
              <w:right w:val="single" w:color="auto" w:sz="4" w:space="0"/>
            </w:tcBorders>
            <w:vAlign w:val="center"/>
          </w:tcPr>
          <w:p w14:paraId="2C5AC31D">
            <w:pPr>
              <w:spacing w:line="240" w:lineRule="auto"/>
              <w:jc w:val="center"/>
              <w:rPr>
                <w:rFonts w:cs="Times New Roman"/>
                <w:sz w:val="21"/>
                <w:szCs w:val="21"/>
              </w:rPr>
            </w:pPr>
          </w:p>
        </w:tc>
        <w:tc>
          <w:tcPr>
            <w:tcW w:w="690" w:type="pct"/>
            <w:tcBorders>
              <w:top w:val="single" w:color="auto" w:sz="4" w:space="0"/>
              <w:left w:val="single" w:color="auto" w:sz="4" w:space="0"/>
              <w:bottom w:val="single" w:color="auto" w:sz="4" w:space="0"/>
              <w:right w:val="single" w:color="auto" w:sz="4" w:space="0"/>
            </w:tcBorders>
          </w:tcPr>
          <w:p w14:paraId="30FBF658">
            <w:pPr>
              <w:spacing w:line="240" w:lineRule="auto"/>
              <w:jc w:val="center"/>
              <w:rPr>
                <w:rFonts w:cs="Times New Roman"/>
                <w:sz w:val="21"/>
                <w:szCs w:val="21"/>
              </w:rPr>
            </w:pPr>
            <w:r>
              <w:rPr>
                <w:rFonts w:hint="eastAsia" w:cs="Times New Roman"/>
                <w:sz w:val="21"/>
                <w:szCs w:val="21"/>
              </w:rPr>
              <w:t>于家村</w:t>
            </w:r>
          </w:p>
        </w:tc>
        <w:tc>
          <w:tcPr>
            <w:tcW w:w="435" w:type="pct"/>
            <w:tcBorders>
              <w:top w:val="single" w:color="auto" w:sz="4" w:space="0"/>
              <w:left w:val="single" w:color="auto" w:sz="4" w:space="0"/>
              <w:bottom w:val="single" w:color="auto" w:sz="4" w:space="0"/>
              <w:right w:val="single" w:color="auto" w:sz="4" w:space="0"/>
            </w:tcBorders>
            <w:vAlign w:val="center"/>
          </w:tcPr>
          <w:p w14:paraId="4D265A65">
            <w:pPr>
              <w:spacing w:line="240" w:lineRule="auto"/>
              <w:jc w:val="center"/>
              <w:rPr>
                <w:rFonts w:cs="Times New Roman"/>
                <w:sz w:val="21"/>
                <w:szCs w:val="21"/>
              </w:rPr>
            </w:pPr>
            <w:r>
              <w:rPr>
                <w:rFonts w:hint="eastAsia" w:cs="Times New Roman"/>
                <w:sz w:val="21"/>
                <w:szCs w:val="21"/>
              </w:rPr>
              <w:t>-1276</w:t>
            </w:r>
          </w:p>
        </w:tc>
        <w:tc>
          <w:tcPr>
            <w:tcW w:w="436" w:type="pct"/>
            <w:tcBorders>
              <w:top w:val="single" w:color="auto" w:sz="4" w:space="0"/>
              <w:left w:val="single" w:color="auto" w:sz="4" w:space="0"/>
              <w:bottom w:val="single" w:color="auto" w:sz="4" w:space="0"/>
              <w:right w:val="single" w:color="auto" w:sz="4" w:space="0"/>
            </w:tcBorders>
            <w:vAlign w:val="center"/>
          </w:tcPr>
          <w:p w14:paraId="5366B905">
            <w:pPr>
              <w:spacing w:line="240" w:lineRule="auto"/>
              <w:jc w:val="center"/>
              <w:rPr>
                <w:rFonts w:cs="Times New Roman"/>
                <w:sz w:val="21"/>
                <w:szCs w:val="21"/>
              </w:rPr>
            </w:pPr>
            <w:r>
              <w:rPr>
                <w:rFonts w:hint="eastAsia" w:cs="Times New Roman"/>
                <w:sz w:val="21"/>
                <w:szCs w:val="21"/>
              </w:rPr>
              <w:t>-2729</w:t>
            </w:r>
          </w:p>
        </w:tc>
        <w:tc>
          <w:tcPr>
            <w:tcW w:w="467" w:type="pct"/>
            <w:tcBorders>
              <w:top w:val="single" w:color="auto" w:sz="4" w:space="0"/>
              <w:left w:val="single" w:color="auto" w:sz="4" w:space="0"/>
              <w:bottom w:val="single" w:color="auto" w:sz="4" w:space="0"/>
              <w:right w:val="single" w:color="auto" w:sz="4" w:space="0"/>
            </w:tcBorders>
            <w:vAlign w:val="center"/>
          </w:tcPr>
          <w:p w14:paraId="26D4D6F9">
            <w:pPr>
              <w:spacing w:line="240" w:lineRule="auto"/>
              <w:jc w:val="center"/>
              <w:rPr>
                <w:rFonts w:cs="Times New Roman"/>
                <w:sz w:val="21"/>
                <w:szCs w:val="21"/>
              </w:rPr>
            </w:pPr>
            <w:r>
              <w:rPr>
                <w:rFonts w:hint="eastAsia" w:cs="Times New Roman"/>
                <w:sz w:val="21"/>
                <w:szCs w:val="21"/>
              </w:rPr>
              <w:t>SW</w:t>
            </w:r>
          </w:p>
        </w:tc>
        <w:tc>
          <w:tcPr>
            <w:tcW w:w="439" w:type="pct"/>
            <w:tcBorders>
              <w:top w:val="single" w:color="auto" w:sz="4" w:space="0"/>
              <w:left w:val="single" w:color="auto" w:sz="4" w:space="0"/>
              <w:bottom w:val="single" w:color="auto" w:sz="4" w:space="0"/>
              <w:right w:val="single" w:color="auto" w:sz="4" w:space="0"/>
            </w:tcBorders>
            <w:vAlign w:val="center"/>
          </w:tcPr>
          <w:p w14:paraId="4E47E659">
            <w:pPr>
              <w:spacing w:line="240" w:lineRule="auto"/>
              <w:jc w:val="center"/>
              <w:rPr>
                <w:rFonts w:cs="Times New Roman"/>
                <w:sz w:val="21"/>
                <w:szCs w:val="21"/>
              </w:rPr>
            </w:pPr>
            <w:r>
              <w:rPr>
                <w:rFonts w:hint="eastAsia" w:cs="Times New Roman"/>
                <w:sz w:val="21"/>
                <w:szCs w:val="21"/>
              </w:rPr>
              <w:t>3001</w:t>
            </w:r>
          </w:p>
        </w:tc>
        <w:tc>
          <w:tcPr>
            <w:tcW w:w="502" w:type="pct"/>
            <w:tcBorders>
              <w:top w:val="single" w:color="auto" w:sz="4" w:space="0"/>
              <w:left w:val="single" w:color="auto" w:sz="4" w:space="0"/>
              <w:bottom w:val="single" w:color="auto" w:sz="4" w:space="0"/>
              <w:right w:val="single" w:color="auto" w:sz="4" w:space="0"/>
            </w:tcBorders>
          </w:tcPr>
          <w:p w14:paraId="375CC0A5">
            <w:pPr>
              <w:spacing w:line="240" w:lineRule="auto"/>
              <w:jc w:val="center"/>
              <w:rPr>
                <w:rFonts w:cs="Times New Roman"/>
                <w:sz w:val="21"/>
                <w:szCs w:val="21"/>
              </w:rPr>
            </w:pPr>
            <w:r>
              <w:rPr>
                <w:rFonts w:hint="eastAsia" w:cs="Times New Roman"/>
                <w:sz w:val="21"/>
                <w:szCs w:val="21"/>
              </w:rPr>
              <w:t>居民</w:t>
            </w:r>
          </w:p>
        </w:tc>
        <w:tc>
          <w:tcPr>
            <w:tcW w:w="502" w:type="pct"/>
            <w:tcBorders>
              <w:top w:val="single" w:color="auto" w:sz="4" w:space="0"/>
              <w:left w:val="single" w:color="auto" w:sz="4" w:space="0"/>
              <w:bottom w:val="single" w:color="auto" w:sz="4" w:space="0"/>
              <w:right w:val="single" w:color="auto" w:sz="4" w:space="0"/>
            </w:tcBorders>
            <w:vAlign w:val="center"/>
          </w:tcPr>
          <w:p w14:paraId="7C574B63">
            <w:pPr>
              <w:spacing w:line="240" w:lineRule="auto"/>
              <w:jc w:val="center"/>
              <w:rPr>
                <w:rFonts w:cs="Times New Roman"/>
                <w:sz w:val="21"/>
                <w:szCs w:val="21"/>
              </w:rPr>
            </w:pPr>
            <w:r>
              <w:rPr>
                <w:rFonts w:hint="eastAsia" w:cs="Times New Roman"/>
                <w:sz w:val="21"/>
                <w:szCs w:val="21"/>
              </w:rPr>
              <w:t>460</w:t>
            </w:r>
          </w:p>
        </w:tc>
        <w:tc>
          <w:tcPr>
            <w:tcW w:w="1126" w:type="pct"/>
            <w:vMerge w:val="continue"/>
            <w:tcBorders>
              <w:top w:val="single" w:color="auto" w:sz="4" w:space="0"/>
              <w:left w:val="single" w:color="auto" w:sz="4" w:space="0"/>
              <w:bottom w:val="single" w:color="auto" w:sz="4" w:space="0"/>
              <w:right w:val="single" w:color="auto" w:sz="4" w:space="0"/>
            </w:tcBorders>
            <w:vAlign w:val="center"/>
          </w:tcPr>
          <w:p w14:paraId="3BF3FFD0">
            <w:pPr>
              <w:spacing w:line="240" w:lineRule="auto"/>
              <w:jc w:val="center"/>
              <w:rPr>
                <w:rFonts w:cs="Times New Roman"/>
                <w:sz w:val="21"/>
                <w:szCs w:val="21"/>
              </w:rPr>
            </w:pPr>
          </w:p>
        </w:tc>
      </w:tr>
      <w:tr w14:paraId="04F964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03" w:type="pct"/>
            <w:vMerge w:val="continue"/>
            <w:tcBorders>
              <w:top w:val="nil"/>
              <w:left w:val="single" w:color="auto" w:sz="4" w:space="0"/>
              <w:bottom w:val="single" w:color="auto" w:sz="4" w:space="0"/>
              <w:right w:val="single" w:color="auto" w:sz="4" w:space="0"/>
            </w:tcBorders>
            <w:vAlign w:val="center"/>
          </w:tcPr>
          <w:p w14:paraId="79D0C789">
            <w:pPr>
              <w:spacing w:line="240" w:lineRule="auto"/>
              <w:jc w:val="center"/>
              <w:rPr>
                <w:rFonts w:cs="Times New Roman"/>
                <w:sz w:val="21"/>
                <w:szCs w:val="21"/>
              </w:rPr>
            </w:pPr>
          </w:p>
        </w:tc>
        <w:tc>
          <w:tcPr>
            <w:tcW w:w="690" w:type="pct"/>
            <w:tcBorders>
              <w:top w:val="single" w:color="auto" w:sz="4" w:space="0"/>
              <w:left w:val="single" w:color="auto" w:sz="4" w:space="0"/>
              <w:bottom w:val="single" w:color="auto" w:sz="4" w:space="0"/>
              <w:right w:val="single" w:color="auto" w:sz="4" w:space="0"/>
            </w:tcBorders>
          </w:tcPr>
          <w:p w14:paraId="5983C76F">
            <w:pPr>
              <w:spacing w:line="240" w:lineRule="auto"/>
              <w:jc w:val="center"/>
              <w:rPr>
                <w:rFonts w:cs="Times New Roman"/>
                <w:sz w:val="21"/>
                <w:szCs w:val="21"/>
              </w:rPr>
            </w:pPr>
            <w:r>
              <w:rPr>
                <w:rFonts w:hint="eastAsia" w:cs="Times New Roman"/>
                <w:sz w:val="21"/>
                <w:szCs w:val="21"/>
              </w:rPr>
              <w:t>陈巷</w:t>
            </w:r>
          </w:p>
        </w:tc>
        <w:tc>
          <w:tcPr>
            <w:tcW w:w="435" w:type="pct"/>
            <w:tcBorders>
              <w:top w:val="single" w:color="auto" w:sz="4" w:space="0"/>
              <w:left w:val="single" w:color="auto" w:sz="4" w:space="0"/>
              <w:bottom w:val="single" w:color="auto" w:sz="4" w:space="0"/>
              <w:right w:val="single" w:color="auto" w:sz="4" w:space="0"/>
            </w:tcBorders>
            <w:vAlign w:val="center"/>
          </w:tcPr>
          <w:p w14:paraId="2F86C01F">
            <w:pPr>
              <w:spacing w:line="240" w:lineRule="auto"/>
              <w:jc w:val="center"/>
              <w:rPr>
                <w:rFonts w:cs="Times New Roman"/>
                <w:sz w:val="21"/>
                <w:szCs w:val="21"/>
              </w:rPr>
            </w:pPr>
            <w:r>
              <w:rPr>
                <w:rFonts w:hint="eastAsia" w:cs="Times New Roman"/>
                <w:sz w:val="21"/>
                <w:szCs w:val="21"/>
              </w:rPr>
              <w:t>-1968</w:t>
            </w:r>
          </w:p>
        </w:tc>
        <w:tc>
          <w:tcPr>
            <w:tcW w:w="436" w:type="pct"/>
            <w:tcBorders>
              <w:top w:val="single" w:color="auto" w:sz="4" w:space="0"/>
              <w:left w:val="single" w:color="auto" w:sz="4" w:space="0"/>
              <w:bottom w:val="single" w:color="auto" w:sz="4" w:space="0"/>
              <w:right w:val="single" w:color="auto" w:sz="4" w:space="0"/>
            </w:tcBorders>
            <w:vAlign w:val="center"/>
          </w:tcPr>
          <w:p w14:paraId="5F853416">
            <w:pPr>
              <w:spacing w:line="240" w:lineRule="auto"/>
              <w:jc w:val="center"/>
              <w:rPr>
                <w:rFonts w:cs="Times New Roman"/>
                <w:sz w:val="21"/>
                <w:szCs w:val="21"/>
              </w:rPr>
            </w:pPr>
            <w:r>
              <w:rPr>
                <w:rFonts w:hint="eastAsia" w:cs="Times New Roman"/>
                <w:sz w:val="21"/>
                <w:szCs w:val="21"/>
              </w:rPr>
              <w:t>-2074</w:t>
            </w:r>
          </w:p>
        </w:tc>
        <w:tc>
          <w:tcPr>
            <w:tcW w:w="467" w:type="pct"/>
            <w:tcBorders>
              <w:top w:val="single" w:color="auto" w:sz="4" w:space="0"/>
              <w:left w:val="single" w:color="auto" w:sz="4" w:space="0"/>
              <w:bottom w:val="single" w:color="auto" w:sz="4" w:space="0"/>
              <w:right w:val="single" w:color="auto" w:sz="4" w:space="0"/>
            </w:tcBorders>
            <w:vAlign w:val="center"/>
          </w:tcPr>
          <w:p w14:paraId="142C0D22">
            <w:pPr>
              <w:spacing w:line="240" w:lineRule="auto"/>
              <w:jc w:val="center"/>
              <w:rPr>
                <w:rFonts w:cs="Times New Roman"/>
                <w:sz w:val="21"/>
                <w:szCs w:val="21"/>
              </w:rPr>
            </w:pPr>
            <w:r>
              <w:rPr>
                <w:rFonts w:hint="eastAsia" w:cs="Times New Roman"/>
                <w:sz w:val="21"/>
                <w:szCs w:val="21"/>
              </w:rPr>
              <w:t>SW</w:t>
            </w:r>
          </w:p>
        </w:tc>
        <w:tc>
          <w:tcPr>
            <w:tcW w:w="439" w:type="pct"/>
            <w:tcBorders>
              <w:top w:val="single" w:color="auto" w:sz="4" w:space="0"/>
              <w:left w:val="single" w:color="auto" w:sz="4" w:space="0"/>
              <w:bottom w:val="single" w:color="auto" w:sz="4" w:space="0"/>
              <w:right w:val="single" w:color="auto" w:sz="4" w:space="0"/>
            </w:tcBorders>
            <w:vAlign w:val="center"/>
          </w:tcPr>
          <w:p w14:paraId="79007C5B">
            <w:pPr>
              <w:spacing w:line="240" w:lineRule="auto"/>
              <w:jc w:val="center"/>
              <w:rPr>
                <w:rFonts w:cs="Times New Roman"/>
                <w:sz w:val="21"/>
                <w:szCs w:val="21"/>
              </w:rPr>
            </w:pPr>
            <w:r>
              <w:rPr>
                <w:rFonts w:hint="eastAsia" w:cs="Times New Roman"/>
                <w:sz w:val="21"/>
                <w:szCs w:val="21"/>
              </w:rPr>
              <w:t>3107</w:t>
            </w:r>
          </w:p>
        </w:tc>
        <w:tc>
          <w:tcPr>
            <w:tcW w:w="502" w:type="pct"/>
            <w:tcBorders>
              <w:top w:val="single" w:color="auto" w:sz="4" w:space="0"/>
              <w:left w:val="single" w:color="auto" w:sz="4" w:space="0"/>
              <w:bottom w:val="single" w:color="auto" w:sz="4" w:space="0"/>
              <w:right w:val="single" w:color="auto" w:sz="4" w:space="0"/>
            </w:tcBorders>
          </w:tcPr>
          <w:p w14:paraId="22AFB94E">
            <w:pPr>
              <w:spacing w:line="240" w:lineRule="auto"/>
              <w:jc w:val="center"/>
              <w:rPr>
                <w:rFonts w:cs="Times New Roman"/>
                <w:sz w:val="21"/>
                <w:szCs w:val="21"/>
              </w:rPr>
            </w:pPr>
            <w:r>
              <w:rPr>
                <w:rFonts w:hint="eastAsia" w:cs="Times New Roman"/>
                <w:sz w:val="21"/>
                <w:szCs w:val="21"/>
              </w:rPr>
              <w:t>居民</w:t>
            </w:r>
          </w:p>
        </w:tc>
        <w:tc>
          <w:tcPr>
            <w:tcW w:w="502" w:type="pct"/>
            <w:tcBorders>
              <w:top w:val="single" w:color="auto" w:sz="4" w:space="0"/>
              <w:left w:val="single" w:color="auto" w:sz="4" w:space="0"/>
              <w:bottom w:val="single" w:color="auto" w:sz="4" w:space="0"/>
              <w:right w:val="single" w:color="auto" w:sz="4" w:space="0"/>
            </w:tcBorders>
            <w:vAlign w:val="center"/>
          </w:tcPr>
          <w:p w14:paraId="4A649DC2">
            <w:pPr>
              <w:spacing w:line="240" w:lineRule="auto"/>
              <w:jc w:val="center"/>
              <w:rPr>
                <w:rFonts w:cs="Times New Roman"/>
                <w:sz w:val="21"/>
                <w:szCs w:val="21"/>
              </w:rPr>
            </w:pPr>
            <w:r>
              <w:rPr>
                <w:rFonts w:hint="eastAsia" w:cs="Times New Roman"/>
                <w:sz w:val="21"/>
                <w:szCs w:val="21"/>
              </w:rPr>
              <w:t>370</w:t>
            </w:r>
          </w:p>
        </w:tc>
        <w:tc>
          <w:tcPr>
            <w:tcW w:w="1126" w:type="pct"/>
            <w:vMerge w:val="continue"/>
            <w:tcBorders>
              <w:top w:val="single" w:color="auto" w:sz="4" w:space="0"/>
              <w:left w:val="single" w:color="auto" w:sz="4" w:space="0"/>
              <w:bottom w:val="single" w:color="auto" w:sz="4" w:space="0"/>
              <w:right w:val="single" w:color="auto" w:sz="4" w:space="0"/>
            </w:tcBorders>
            <w:vAlign w:val="center"/>
          </w:tcPr>
          <w:p w14:paraId="1104ECB4">
            <w:pPr>
              <w:spacing w:line="240" w:lineRule="auto"/>
              <w:jc w:val="center"/>
              <w:rPr>
                <w:rFonts w:cs="Times New Roman"/>
                <w:sz w:val="21"/>
                <w:szCs w:val="21"/>
              </w:rPr>
            </w:pPr>
          </w:p>
        </w:tc>
      </w:tr>
      <w:tr w14:paraId="573064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03" w:type="pct"/>
            <w:vMerge w:val="restart"/>
            <w:tcBorders>
              <w:top w:val="single" w:color="auto" w:sz="4" w:space="0"/>
              <w:left w:val="single" w:color="auto" w:sz="4" w:space="0"/>
              <w:bottom w:val="single" w:color="auto" w:sz="4" w:space="0"/>
              <w:right w:val="single" w:color="auto" w:sz="4" w:space="0"/>
            </w:tcBorders>
            <w:vAlign w:val="center"/>
          </w:tcPr>
          <w:p w14:paraId="6EA3650B">
            <w:pPr>
              <w:spacing w:line="240" w:lineRule="auto"/>
              <w:jc w:val="center"/>
              <w:rPr>
                <w:rFonts w:cs="Times New Roman"/>
                <w:sz w:val="21"/>
                <w:szCs w:val="21"/>
              </w:rPr>
            </w:pPr>
            <w:r>
              <w:rPr>
                <w:rFonts w:hint="eastAsia" w:cs="Times New Roman"/>
                <w:sz w:val="21"/>
                <w:szCs w:val="21"/>
              </w:rPr>
              <w:t>地表</w:t>
            </w:r>
            <w:r>
              <w:rPr>
                <w:rFonts w:cs="Times New Roman"/>
                <w:sz w:val="21"/>
                <w:szCs w:val="21"/>
              </w:rPr>
              <w:t>水环境</w:t>
            </w:r>
          </w:p>
        </w:tc>
        <w:tc>
          <w:tcPr>
            <w:tcW w:w="690" w:type="pct"/>
            <w:tcBorders>
              <w:top w:val="single" w:color="auto" w:sz="4" w:space="0"/>
              <w:left w:val="single" w:color="auto" w:sz="4" w:space="0"/>
              <w:bottom w:val="single" w:color="auto" w:sz="4" w:space="0"/>
              <w:right w:val="single" w:color="auto" w:sz="4" w:space="0"/>
            </w:tcBorders>
            <w:vAlign w:val="center"/>
          </w:tcPr>
          <w:p w14:paraId="0D6846DE">
            <w:pPr>
              <w:spacing w:line="240" w:lineRule="auto"/>
              <w:jc w:val="center"/>
              <w:rPr>
                <w:rFonts w:cs="Times New Roman"/>
                <w:sz w:val="21"/>
                <w:szCs w:val="21"/>
              </w:rPr>
            </w:pPr>
            <w:r>
              <w:rPr>
                <w:rFonts w:hint="eastAsia" w:cs="Times New Roman"/>
                <w:sz w:val="21"/>
                <w:szCs w:val="21"/>
              </w:rPr>
              <w:t>三铺大沟</w:t>
            </w:r>
          </w:p>
        </w:tc>
        <w:tc>
          <w:tcPr>
            <w:tcW w:w="435" w:type="pct"/>
            <w:tcBorders>
              <w:top w:val="single" w:color="auto" w:sz="4" w:space="0"/>
              <w:left w:val="single" w:color="auto" w:sz="4" w:space="0"/>
              <w:bottom w:val="single" w:color="auto" w:sz="4" w:space="0"/>
              <w:right w:val="single" w:color="auto" w:sz="4" w:space="0"/>
            </w:tcBorders>
            <w:vAlign w:val="center"/>
          </w:tcPr>
          <w:p w14:paraId="74736D77">
            <w:pPr>
              <w:spacing w:line="240" w:lineRule="auto"/>
              <w:jc w:val="center"/>
              <w:rPr>
                <w:rFonts w:cs="Times New Roman"/>
                <w:sz w:val="21"/>
                <w:szCs w:val="21"/>
              </w:rPr>
            </w:pPr>
            <w:r>
              <w:rPr>
                <w:rFonts w:hint="eastAsia" w:cs="Times New Roman"/>
                <w:sz w:val="21"/>
                <w:szCs w:val="21"/>
              </w:rPr>
              <w:t>/</w:t>
            </w:r>
          </w:p>
        </w:tc>
        <w:tc>
          <w:tcPr>
            <w:tcW w:w="436" w:type="pct"/>
            <w:tcBorders>
              <w:top w:val="single" w:color="auto" w:sz="4" w:space="0"/>
              <w:left w:val="single" w:color="auto" w:sz="4" w:space="0"/>
              <w:bottom w:val="single" w:color="auto" w:sz="4" w:space="0"/>
              <w:right w:val="single" w:color="auto" w:sz="4" w:space="0"/>
            </w:tcBorders>
            <w:vAlign w:val="center"/>
          </w:tcPr>
          <w:p w14:paraId="0B3B5EA0">
            <w:pPr>
              <w:spacing w:line="240" w:lineRule="auto"/>
              <w:jc w:val="center"/>
              <w:rPr>
                <w:rFonts w:cs="Times New Roman"/>
                <w:sz w:val="21"/>
                <w:szCs w:val="21"/>
              </w:rPr>
            </w:pPr>
            <w:r>
              <w:rPr>
                <w:rFonts w:hint="eastAsia" w:cs="Times New Roman"/>
                <w:sz w:val="21"/>
                <w:szCs w:val="21"/>
              </w:rPr>
              <w:t>/</w:t>
            </w:r>
          </w:p>
        </w:tc>
        <w:tc>
          <w:tcPr>
            <w:tcW w:w="467" w:type="pct"/>
            <w:tcBorders>
              <w:top w:val="single" w:color="auto" w:sz="4" w:space="0"/>
              <w:left w:val="single" w:color="auto" w:sz="4" w:space="0"/>
              <w:bottom w:val="single" w:color="auto" w:sz="4" w:space="0"/>
              <w:right w:val="single" w:color="auto" w:sz="4" w:space="0"/>
            </w:tcBorders>
            <w:vAlign w:val="center"/>
          </w:tcPr>
          <w:p w14:paraId="7FA9E548">
            <w:pPr>
              <w:spacing w:line="240" w:lineRule="auto"/>
              <w:jc w:val="center"/>
              <w:rPr>
                <w:rFonts w:cs="Times New Roman"/>
                <w:sz w:val="21"/>
                <w:szCs w:val="21"/>
              </w:rPr>
            </w:pPr>
            <w:r>
              <w:rPr>
                <w:rFonts w:cs="Times New Roman"/>
                <w:sz w:val="21"/>
                <w:szCs w:val="21"/>
              </w:rPr>
              <w:t>N</w:t>
            </w:r>
            <w:r>
              <w:rPr>
                <w:rFonts w:hint="eastAsia" w:cs="Times New Roman"/>
                <w:sz w:val="21"/>
                <w:szCs w:val="21"/>
              </w:rPr>
              <w:t>W</w:t>
            </w:r>
          </w:p>
        </w:tc>
        <w:tc>
          <w:tcPr>
            <w:tcW w:w="439" w:type="pct"/>
            <w:tcBorders>
              <w:top w:val="single" w:color="auto" w:sz="4" w:space="0"/>
              <w:left w:val="single" w:color="auto" w:sz="4" w:space="0"/>
              <w:bottom w:val="single" w:color="auto" w:sz="4" w:space="0"/>
              <w:right w:val="single" w:color="auto" w:sz="4" w:space="0"/>
            </w:tcBorders>
            <w:vAlign w:val="center"/>
          </w:tcPr>
          <w:p w14:paraId="33CDEE19">
            <w:pPr>
              <w:spacing w:line="240" w:lineRule="auto"/>
              <w:jc w:val="center"/>
              <w:rPr>
                <w:rFonts w:cs="Times New Roman"/>
                <w:sz w:val="21"/>
                <w:szCs w:val="21"/>
              </w:rPr>
            </w:pPr>
            <w:r>
              <w:rPr>
                <w:rFonts w:hint="eastAsia" w:cs="Times New Roman"/>
                <w:sz w:val="21"/>
                <w:szCs w:val="21"/>
              </w:rPr>
              <w:t>1927</w:t>
            </w:r>
          </w:p>
        </w:tc>
        <w:tc>
          <w:tcPr>
            <w:tcW w:w="1004" w:type="pct"/>
            <w:gridSpan w:val="2"/>
            <w:tcBorders>
              <w:top w:val="single" w:color="auto" w:sz="4" w:space="0"/>
              <w:left w:val="single" w:color="auto" w:sz="4" w:space="0"/>
              <w:bottom w:val="single" w:color="auto" w:sz="4" w:space="0"/>
              <w:right w:val="single" w:color="auto" w:sz="4" w:space="0"/>
            </w:tcBorders>
            <w:vAlign w:val="center"/>
          </w:tcPr>
          <w:p w14:paraId="7E340121">
            <w:pPr>
              <w:spacing w:line="240" w:lineRule="auto"/>
              <w:jc w:val="center"/>
              <w:rPr>
                <w:rFonts w:cs="Times New Roman"/>
                <w:sz w:val="21"/>
                <w:szCs w:val="21"/>
              </w:rPr>
            </w:pPr>
            <w:r>
              <w:rPr>
                <w:rFonts w:hint="eastAsia" w:cs="Times New Roman"/>
                <w:sz w:val="21"/>
                <w:szCs w:val="21"/>
              </w:rPr>
              <w:t>小型河流</w:t>
            </w:r>
          </w:p>
        </w:tc>
        <w:tc>
          <w:tcPr>
            <w:tcW w:w="1126" w:type="pct"/>
            <w:vMerge w:val="restart"/>
            <w:tcBorders>
              <w:top w:val="single" w:color="auto" w:sz="4" w:space="0"/>
              <w:left w:val="single" w:color="auto" w:sz="4" w:space="0"/>
              <w:right w:val="single" w:color="auto" w:sz="4" w:space="0"/>
            </w:tcBorders>
            <w:vAlign w:val="center"/>
          </w:tcPr>
          <w:p w14:paraId="2C1C5D34">
            <w:pPr>
              <w:spacing w:line="240" w:lineRule="auto"/>
              <w:jc w:val="center"/>
              <w:rPr>
                <w:rFonts w:cs="Times New Roman"/>
                <w:sz w:val="21"/>
                <w:szCs w:val="21"/>
              </w:rPr>
            </w:pPr>
            <w:r>
              <w:rPr>
                <w:rFonts w:cs="Times New Roman"/>
                <w:sz w:val="21"/>
                <w:szCs w:val="21"/>
              </w:rPr>
              <w:t>《地表水环境质量标准》(GB3838-2002)中Ⅳ类水功能区</w:t>
            </w:r>
          </w:p>
        </w:tc>
      </w:tr>
      <w:tr w14:paraId="44D486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03" w:type="pct"/>
            <w:vMerge w:val="continue"/>
            <w:tcBorders>
              <w:top w:val="single" w:color="auto" w:sz="4" w:space="0"/>
              <w:left w:val="single" w:color="auto" w:sz="4" w:space="0"/>
              <w:bottom w:val="single" w:color="auto" w:sz="4" w:space="0"/>
              <w:right w:val="single" w:color="auto" w:sz="4" w:space="0"/>
            </w:tcBorders>
            <w:vAlign w:val="center"/>
          </w:tcPr>
          <w:p w14:paraId="768A00A4">
            <w:pPr>
              <w:spacing w:line="240" w:lineRule="auto"/>
              <w:jc w:val="center"/>
              <w:rPr>
                <w:rFonts w:cs="Times New Roman"/>
                <w:sz w:val="21"/>
                <w:szCs w:val="21"/>
              </w:rPr>
            </w:pPr>
          </w:p>
        </w:tc>
        <w:tc>
          <w:tcPr>
            <w:tcW w:w="690" w:type="pct"/>
            <w:tcBorders>
              <w:top w:val="single" w:color="auto" w:sz="4" w:space="0"/>
              <w:left w:val="single" w:color="auto" w:sz="4" w:space="0"/>
              <w:bottom w:val="single" w:color="auto" w:sz="4" w:space="0"/>
              <w:right w:val="single" w:color="auto" w:sz="4" w:space="0"/>
            </w:tcBorders>
            <w:vAlign w:val="center"/>
          </w:tcPr>
          <w:p w14:paraId="27477942">
            <w:pPr>
              <w:spacing w:line="240" w:lineRule="auto"/>
              <w:jc w:val="center"/>
              <w:rPr>
                <w:rFonts w:cs="Times New Roman"/>
                <w:sz w:val="21"/>
                <w:szCs w:val="21"/>
              </w:rPr>
            </w:pPr>
            <w:r>
              <w:rPr>
                <w:rFonts w:hint="eastAsia" w:cs="Times New Roman"/>
                <w:sz w:val="21"/>
                <w:szCs w:val="21"/>
              </w:rPr>
              <w:t>沫冲引河</w:t>
            </w:r>
          </w:p>
        </w:tc>
        <w:tc>
          <w:tcPr>
            <w:tcW w:w="435" w:type="pct"/>
            <w:tcBorders>
              <w:top w:val="single" w:color="auto" w:sz="4" w:space="0"/>
              <w:left w:val="single" w:color="auto" w:sz="4" w:space="0"/>
              <w:bottom w:val="single" w:color="auto" w:sz="4" w:space="0"/>
              <w:right w:val="single" w:color="auto" w:sz="4" w:space="0"/>
            </w:tcBorders>
            <w:vAlign w:val="center"/>
          </w:tcPr>
          <w:p w14:paraId="7C039F2E">
            <w:pPr>
              <w:spacing w:line="240" w:lineRule="auto"/>
              <w:jc w:val="center"/>
              <w:rPr>
                <w:rFonts w:cs="Times New Roman"/>
                <w:sz w:val="21"/>
                <w:szCs w:val="21"/>
              </w:rPr>
            </w:pPr>
            <w:r>
              <w:rPr>
                <w:rFonts w:cs="Times New Roman"/>
                <w:sz w:val="21"/>
                <w:szCs w:val="21"/>
              </w:rPr>
              <w:t>/</w:t>
            </w:r>
          </w:p>
        </w:tc>
        <w:tc>
          <w:tcPr>
            <w:tcW w:w="436" w:type="pct"/>
            <w:tcBorders>
              <w:top w:val="single" w:color="auto" w:sz="4" w:space="0"/>
              <w:left w:val="single" w:color="auto" w:sz="4" w:space="0"/>
              <w:bottom w:val="single" w:color="auto" w:sz="4" w:space="0"/>
              <w:right w:val="single" w:color="auto" w:sz="4" w:space="0"/>
            </w:tcBorders>
            <w:vAlign w:val="center"/>
          </w:tcPr>
          <w:p w14:paraId="31FEAF7B">
            <w:pPr>
              <w:spacing w:line="240" w:lineRule="auto"/>
              <w:jc w:val="center"/>
              <w:rPr>
                <w:rFonts w:cs="Times New Roman"/>
                <w:sz w:val="21"/>
                <w:szCs w:val="21"/>
              </w:rPr>
            </w:pPr>
            <w:r>
              <w:rPr>
                <w:rFonts w:cs="Times New Roman"/>
                <w:sz w:val="21"/>
                <w:szCs w:val="21"/>
              </w:rPr>
              <w:t>/</w:t>
            </w:r>
          </w:p>
        </w:tc>
        <w:tc>
          <w:tcPr>
            <w:tcW w:w="467" w:type="pct"/>
            <w:tcBorders>
              <w:top w:val="single" w:color="auto" w:sz="4" w:space="0"/>
              <w:left w:val="single" w:color="auto" w:sz="4" w:space="0"/>
              <w:bottom w:val="single" w:color="auto" w:sz="4" w:space="0"/>
              <w:right w:val="single" w:color="auto" w:sz="4" w:space="0"/>
            </w:tcBorders>
            <w:vAlign w:val="center"/>
          </w:tcPr>
          <w:p w14:paraId="129EE09F">
            <w:pPr>
              <w:spacing w:line="240" w:lineRule="auto"/>
              <w:jc w:val="center"/>
              <w:rPr>
                <w:rFonts w:cs="Times New Roman"/>
                <w:sz w:val="21"/>
                <w:szCs w:val="21"/>
              </w:rPr>
            </w:pPr>
            <w:r>
              <w:rPr>
                <w:rFonts w:cs="Times New Roman"/>
                <w:sz w:val="21"/>
                <w:szCs w:val="21"/>
              </w:rPr>
              <w:t>S</w:t>
            </w:r>
          </w:p>
        </w:tc>
        <w:tc>
          <w:tcPr>
            <w:tcW w:w="439" w:type="pct"/>
            <w:tcBorders>
              <w:top w:val="single" w:color="auto" w:sz="4" w:space="0"/>
              <w:left w:val="single" w:color="auto" w:sz="4" w:space="0"/>
              <w:bottom w:val="single" w:color="auto" w:sz="4" w:space="0"/>
              <w:right w:val="single" w:color="auto" w:sz="4" w:space="0"/>
            </w:tcBorders>
            <w:vAlign w:val="center"/>
          </w:tcPr>
          <w:p w14:paraId="741BEC8E">
            <w:pPr>
              <w:spacing w:line="240" w:lineRule="auto"/>
              <w:jc w:val="center"/>
              <w:rPr>
                <w:rFonts w:cs="Times New Roman"/>
                <w:sz w:val="21"/>
                <w:szCs w:val="21"/>
              </w:rPr>
            </w:pPr>
            <w:r>
              <w:rPr>
                <w:rFonts w:hint="eastAsia" w:cs="Times New Roman"/>
                <w:sz w:val="21"/>
                <w:szCs w:val="21"/>
              </w:rPr>
              <w:t>1326</w:t>
            </w:r>
          </w:p>
        </w:tc>
        <w:tc>
          <w:tcPr>
            <w:tcW w:w="1004" w:type="pct"/>
            <w:gridSpan w:val="2"/>
            <w:tcBorders>
              <w:top w:val="single" w:color="auto" w:sz="4" w:space="0"/>
              <w:left w:val="single" w:color="auto" w:sz="4" w:space="0"/>
              <w:bottom w:val="single" w:color="auto" w:sz="4" w:space="0"/>
              <w:right w:val="single" w:color="auto" w:sz="4" w:space="0"/>
            </w:tcBorders>
            <w:vAlign w:val="center"/>
          </w:tcPr>
          <w:p w14:paraId="6E4EF7A6">
            <w:pPr>
              <w:spacing w:line="240" w:lineRule="auto"/>
              <w:jc w:val="center"/>
              <w:rPr>
                <w:rFonts w:cs="Times New Roman"/>
                <w:sz w:val="21"/>
                <w:szCs w:val="21"/>
              </w:rPr>
            </w:pPr>
            <w:r>
              <w:rPr>
                <w:rFonts w:cs="Times New Roman"/>
                <w:sz w:val="21"/>
                <w:szCs w:val="21"/>
              </w:rPr>
              <w:t>小型河流</w:t>
            </w:r>
          </w:p>
        </w:tc>
        <w:tc>
          <w:tcPr>
            <w:tcW w:w="1126" w:type="pct"/>
            <w:vMerge w:val="continue"/>
            <w:tcBorders>
              <w:left w:val="single" w:color="auto" w:sz="4" w:space="0"/>
              <w:right w:val="single" w:color="auto" w:sz="4" w:space="0"/>
            </w:tcBorders>
            <w:vAlign w:val="center"/>
          </w:tcPr>
          <w:p w14:paraId="667F8314">
            <w:pPr>
              <w:spacing w:line="240" w:lineRule="auto"/>
              <w:jc w:val="center"/>
              <w:rPr>
                <w:rFonts w:cs="Times New Roman"/>
                <w:sz w:val="21"/>
                <w:szCs w:val="21"/>
              </w:rPr>
            </w:pPr>
          </w:p>
        </w:tc>
      </w:tr>
      <w:tr w14:paraId="6B5436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03" w:type="pct"/>
            <w:vMerge w:val="continue"/>
            <w:tcBorders>
              <w:top w:val="single" w:color="auto" w:sz="4" w:space="0"/>
              <w:left w:val="single" w:color="auto" w:sz="4" w:space="0"/>
              <w:bottom w:val="single" w:color="auto" w:sz="4" w:space="0"/>
              <w:right w:val="single" w:color="auto" w:sz="4" w:space="0"/>
            </w:tcBorders>
            <w:vAlign w:val="center"/>
          </w:tcPr>
          <w:p w14:paraId="282AA776">
            <w:pPr>
              <w:spacing w:line="240" w:lineRule="auto"/>
              <w:jc w:val="center"/>
              <w:rPr>
                <w:rFonts w:cs="Times New Roman"/>
                <w:sz w:val="21"/>
                <w:szCs w:val="21"/>
              </w:rPr>
            </w:pPr>
          </w:p>
        </w:tc>
        <w:tc>
          <w:tcPr>
            <w:tcW w:w="690" w:type="pct"/>
            <w:tcBorders>
              <w:top w:val="single" w:color="auto" w:sz="4" w:space="0"/>
              <w:left w:val="single" w:color="auto" w:sz="4" w:space="0"/>
              <w:bottom w:val="single" w:color="auto" w:sz="4" w:space="0"/>
              <w:right w:val="single" w:color="auto" w:sz="4" w:space="0"/>
            </w:tcBorders>
            <w:vAlign w:val="center"/>
          </w:tcPr>
          <w:p w14:paraId="07671CEF">
            <w:pPr>
              <w:spacing w:line="240" w:lineRule="auto"/>
              <w:jc w:val="center"/>
              <w:rPr>
                <w:rFonts w:cs="Times New Roman"/>
                <w:sz w:val="21"/>
                <w:szCs w:val="21"/>
              </w:rPr>
            </w:pPr>
            <w:r>
              <w:rPr>
                <w:rFonts w:hint="eastAsia" w:cs="Times New Roman"/>
                <w:sz w:val="21"/>
                <w:szCs w:val="21"/>
              </w:rPr>
              <w:t>淮河(蚌埠段)</w:t>
            </w:r>
          </w:p>
        </w:tc>
        <w:tc>
          <w:tcPr>
            <w:tcW w:w="435" w:type="pct"/>
            <w:tcBorders>
              <w:top w:val="single" w:color="auto" w:sz="4" w:space="0"/>
              <w:left w:val="single" w:color="auto" w:sz="4" w:space="0"/>
              <w:bottom w:val="single" w:color="auto" w:sz="4" w:space="0"/>
              <w:right w:val="single" w:color="auto" w:sz="4" w:space="0"/>
            </w:tcBorders>
            <w:vAlign w:val="center"/>
          </w:tcPr>
          <w:p w14:paraId="19CD9FBE">
            <w:pPr>
              <w:spacing w:line="240" w:lineRule="auto"/>
              <w:jc w:val="center"/>
              <w:rPr>
                <w:rFonts w:cs="Times New Roman"/>
                <w:sz w:val="21"/>
                <w:szCs w:val="21"/>
              </w:rPr>
            </w:pPr>
            <w:r>
              <w:rPr>
                <w:rFonts w:cs="Times New Roman"/>
                <w:sz w:val="21"/>
                <w:szCs w:val="21"/>
              </w:rPr>
              <w:t>/</w:t>
            </w:r>
          </w:p>
        </w:tc>
        <w:tc>
          <w:tcPr>
            <w:tcW w:w="436" w:type="pct"/>
            <w:tcBorders>
              <w:top w:val="single" w:color="auto" w:sz="4" w:space="0"/>
              <w:left w:val="single" w:color="auto" w:sz="4" w:space="0"/>
              <w:bottom w:val="single" w:color="auto" w:sz="4" w:space="0"/>
              <w:right w:val="single" w:color="auto" w:sz="4" w:space="0"/>
            </w:tcBorders>
            <w:vAlign w:val="center"/>
          </w:tcPr>
          <w:p w14:paraId="0076083B">
            <w:pPr>
              <w:spacing w:line="240" w:lineRule="auto"/>
              <w:jc w:val="center"/>
              <w:rPr>
                <w:rFonts w:cs="Times New Roman"/>
                <w:sz w:val="21"/>
                <w:szCs w:val="21"/>
              </w:rPr>
            </w:pPr>
            <w:r>
              <w:rPr>
                <w:rFonts w:cs="Times New Roman"/>
                <w:sz w:val="21"/>
                <w:szCs w:val="21"/>
              </w:rPr>
              <w:t>/</w:t>
            </w:r>
          </w:p>
        </w:tc>
        <w:tc>
          <w:tcPr>
            <w:tcW w:w="467" w:type="pct"/>
            <w:tcBorders>
              <w:top w:val="single" w:color="auto" w:sz="4" w:space="0"/>
              <w:left w:val="single" w:color="auto" w:sz="4" w:space="0"/>
              <w:bottom w:val="single" w:color="auto" w:sz="4" w:space="0"/>
              <w:right w:val="single" w:color="auto" w:sz="4" w:space="0"/>
            </w:tcBorders>
            <w:vAlign w:val="center"/>
          </w:tcPr>
          <w:p w14:paraId="4B26687E">
            <w:pPr>
              <w:spacing w:line="240" w:lineRule="auto"/>
              <w:jc w:val="center"/>
              <w:rPr>
                <w:rFonts w:cs="Times New Roman"/>
                <w:sz w:val="21"/>
                <w:szCs w:val="21"/>
              </w:rPr>
            </w:pPr>
            <w:r>
              <w:rPr>
                <w:rFonts w:cs="Times New Roman"/>
                <w:sz w:val="21"/>
                <w:szCs w:val="21"/>
              </w:rPr>
              <w:t>S</w:t>
            </w:r>
          </w:p>
        </w:tc>
        <w:tc>
          <w:tcPr>
            <w:tcW w:w="439" w:type="pct"/>
            <w:tcBorders>
              <w:top w:val="single" w:color="auto" w:sz="4" w:space="0"/>
              <w:left w:val="single" w:color="auto" w:sz="4" w:space="0"/>
              <w:bottom w:val="single" w:color="auto" w:sz="4" w:space="0"/>
              <w:right w:val="single" w:color="auto" w:sz="4" w:space="0"/>
            </w:tcBorders>
            <w:vAlign w:val="center"/>
          </w:tcPr>
          <w:p w14:paraId="1B83984C">
            <w:pPr>
              <w:spacing w:line="240" w:lineRule="auto"/>
              <w:jc w:val="center"/>
              <w:rPr>
                <w:rFonts w:cs="Times New Roman"/>
                <w:sz w:val="21"/>
                <w:szCs w:val="21"/>
              </w:rPr>
            </w:pPr>
            <w:r>
              <w:rPr>
                <w:rFonts w:hint="eastAsia" w:cs="Times New Roman"/>
                <w:sz w:val="21"/>
                <w:szCs w:val="21"/>
              </w:rPr>
              <w:t>3976</w:t>
            </w:r>
          </w:p>
        </w:tc>
        <w:tc>
          <w:tcPr>
            <w:tcW w:w="1004" w:type="pct"/>
            <w:gridSpan w:val="2"/>
            <w:tcBorders>
              <w:top w:val="single" w:color="auto" w:sz="4" w:space="0"/>
              <w:left w:val="single" w:color="auto" w:sz="4" w:space="0"/>
              <w:bottom w:val="single" w:color="auto" w:sz="4" w:space="0"/>
              <w:right w:val="single" w:color="auto" w:sz="4" w:space="0"/>
            </w:tcBorders>
            <w:vAlign w:val="center"/>
          </w:tcPr>
          <w:p w14:paraId="2276577B">
            <w:pPr>
              <w:spacing w:line="240" w:lineRule="auto"/>
              <w:jc w:val="center"/>
              <w:rPr>
                <w:rFonts w:cs="Times New Roman"/>
                <w:sz w:val="21"/>
                <w:szCs w:val="21"/>
              </w:rPr>
            </w:pPr>
            <w:r>
              <w:rPr>
                <w:rFonts w:cs="Times New Roman"/>
                <w:sz w:val="21"/>
                <w:szCs w:val="21"/>
              </w:rPr>
              <w:t>中型河流</w:t>
            </w:r>
          </w:p>
        </w:tc>
        <w:tc>
          <w:tcPr>
            <w:tcW w:w="1126" w:type="pct"/>
            <w:vMerge w:val="restart"/>
            <w:tcBorders>
              <w:left w:val="single" w:color="auto" w:sz="4" w:space="0"/>
              <w:right w:val="single" w:color="auto" w:sz="4" w:space="0"/>
            </w:tcBorders>
            <w:vAlign w:val="center"/>
          </w:tcPr>
          <w:p w14:paraId="3106C22E">
            <w:pPr>
              <w:spacing w:line="240" w:lineRule="auto"/>
              <w:jc w:val="center"/>
              <w:rPr>
                <w:rFonts w:cs="Times New Roman"/>
                <w:sz w:val="21"/>
                <w:szCs w:val="21"/>
              </w:rPr>
            </w:pPr>
            <w:r>
              <w:rPr>
                <w:rFonts w:cs="Times New Roman"/>
                <w:sz w:val="21"/>
                <w:szCs w:val="21"/>
              </w:rPr>
              <w:t>《地表水环境质量标准》(GB3838-2002)中Ⅲ类水功能区</w:t>
            </w:r>
          </w:p>
        </w:tc>
      </w:tr>
      <w:tr w14:paraId="3FBD17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03" w:type="pct"/>
            <w:vMerge w:val="continue"/>
            <w:tcBorders>
              <w:top w:val="single" w:color="auto" w:sz="4" w:space="0"/>
              <w:left w:val="single" w:color="auto" w:sz="4" w:space="0"/>
              <w:bottom w:val="single" w:color="auto" w:sz="4" w:space="0"/>
              <w:right w:val="single" w:color="auto" w:sz="4" w:space="0"/>
            </w:tcBorders>
            <w:vAlign w:val="center"/>
          </w:tcPr>
          <w:p w14:paraId="18CB0DBE">
            <w:pPr>
              <w:spacing w:line="240" w:lineRule="auto"/>
              <w:jc w:val="center"/>
              <w:rPr>
                <w:rFonts w:cs="Times New Roman"/>
                <w:sz w:val="21"/>
                <w:szCs w:val="21"/>
              </w:rPr>
            </w:pPr>
          </w:p>
        </w:tc>
        <w:tc>
          <w:tcPr>
            <w:tcW w:w="690" w:type="pct"/>
            <w:tcBorders>
              <w:top w:val="single" w:color="auto" w:sz="4" w:space="0"/>
              <w:left w:val="single" w:color="auto" w:sz="4" w:space="0"/>
              <w:bottom w:val="single" w:color="auto" w:sz="4" w:space="0"/>
              <w:right w:val="single" w:color="auto" w:sz="4" w:space="0"/>
            </w:tcBorders>
            <w:vAlign w:val="center"/>
          </w:tcPr>
          <w:p w14:paraId="40DAF2FD">
            <w:pPr>
              <w:spacing w:line="240" w:lineRule="auto"/>
              <w:jc w:val="center"/>
              <w:rPr>
                <w:rFonts w:cs="Times New Roman"/>
                <w:sz w:val="21"/>
                <w:szCs w:val="21"/>
              </w:rPr>
            </w:pPr>
            <w:r>
              <w:rPr>
                <w:rFonts w:hint="eastAsia" w:cs="Times New Roman"/>
                <w:sz w:val="21"/>
                <w:szCs w:val="21"/>
              </w:rPr>
              <w:t>凤阳县经开区二水厂取水口(淮河)</w:t>
            </w:r>
          </w:p>
        </w:tc>
        <w:tc>
          <w:tcPr>
            <w:tcW w:w="435" w:type="pct"/>
            <w:tcBorders>
              <w:top w:val="single" w:color="auto" w:sz="4" w:space="0"/>
              <w:left w:val="single" w:color="auto" w:sz="4" w:space="0"/>
              <w:bottom w:val="single" w:color="auto" w:sz="4" w:space="0"/>
              <w:right w:val="single" w:color="auto" w:sz="4" w:space="0"/>
            </w:tcBorders>
            <w:vAlign w:val="center"/>
          </w:tcPr>
          <w:p w14:paraId="2AA899E5">
            <w:pPr>
              <w:spacing w:line="240" w:lineRule="auto"/>
              <w:jc w:val="center"/>
              <w:rPr>
                <w:rFonts w:cs="Times New Roman"/>
                <w:sz w:val="21"/>
                <w:szCs w:val="21"/>
              </w:rPr>
            </w:pPr>
            <w:r>
              <w:rPr>
                <w:rFonts w:hint="eastAsia" w:cs="Times New Roman"/>
                <w:sz w:val="21"/>
                <w:szCs w:val="21"/>
              </w:rPr>
              <w:t>/</w:t>
            </w:r>
          </w:p>
        </w:tc>
        <w:tc>
          <w:tcPr>
            <w:tcW w:w="436" w:type="pct"/>
            <w:tcBorders>
              <w:top w:val="single" w:color="auto" w:sz="4" w:space="0"/>
              <w:left w:val="single" w:color="auto" w:sz="4" w:space="0"/>
              <w:bottom w:val="single" w:color="auto" w:sz="4" w:space="0"/>
              <w:right w:val="single" w:color="auto" w:sz="4" w:space="0"/>
            </w:tcBorders>
            <w:vAlign w:val="center"/>
          </w:tcPr>
          <w:p w14:paraId="2124B2B2">
            <w:pPr>
              <w:spacing w:line="240" w:lineRule="auto"/>
              <w:jc w:val="center"/>
              <w:rPr>
                <w:rFonts w:cs="Times New Roman"/>
                <w:sz w:val="21"/>
                <w:szCs w:val="21"/>
              </w:rPr>
            </w:pPr>
            <w:r>
              <w:rPr>
                <w:rFonts w:hint="eastAsia" w:cs="Times New Roman"/>
                <w:sz w:val="21"/>
                <w:szCs w:val="21"/>
              </w:rPr>
              <w:t>/</w:t>
            </w:r>
          </w:p>
        </w:tc>
        <w:tc>
          <w:tcPr>
            <w:tcW w:w="467" w:type="pct"/>
            <w:tcBorders>
              <w:top w:val="single" w:color="auto" w:sz="4" w:space="0"/>
              <w:left w:val="single" w:color="auto" w:sz="4" w:space="0"/>
              <w:bottom w:val="single" w:color="auto" w:sz="4" w:space="0"/>
              <w:right w:val="single" w:color="auto" w:sz="4" w:space="0"/>
            </w:tcBorders>
            <w:vAlign w:val="center"/>
          </w:tcPr>
          <w:p w14:paraId="17E81B9A">
            <w:pPr>
              <w:spacing w:line="240" w:lineRule="auto"/>
              <w:jc w:val="center"/>
              <w:rPr>
                <w:rFonts w:cs="Times New Roman"/>
                <w:sz w:val="21"/>
                <w:szCs w:val="21"/>
              </w:rPr>
            </w:pPr>
            <w:r>
              <w:rPr>
                <w:rFonts w:hint="eastAsia" w:cs="Times New Roman"/>
                <w:sz w:val="21"/>
                <w:szCs w:val="21"/>
              </w:rPr>
              <w:t>SW</w:t>
            </w:r>
          </w:p>
        </w:tc>
        <w:tc>
          <w:tcPr>
            <w:tcW w:w="439" w:type="pct"/>
            <w:tcBorders>
              <w:top w:val="single" w:color="auto" w:sz="4" w:space="0"/>
              <w:left w:val="single" w:color="auto" w:sz="4" w:space="0"/>
              <w:bottom w:val="single" w:color="auto" w:sz="4" w:space="0"/>
              <w:right w:val="single" w:color="auto" w:sz="4" w:space="0"/>
            </w:tcBorders>
            <w:vAlign w:val="center"/>
          </w:tcPr>
          <w:p w14:paraId="3E779A9E">
            <w:pPr>
              <w:spacing w:line="240" w:lineRule="auto"/>
              <w:jc w:val="center"/>
              <w:rPr>
                <w:rFonts w:cs="Times New Roman"/>
                <w:sz w:val="21"/>
                <w:szCs w:val="21"/>
              </w:rPr>
            </w:pPr>
            <w:r>
              <w:rPr>
                <w:rFonts w:hint="eastAsia" w:cs="Times New Roman"/>
                <w:sz w:val="21"/>
                <w:szCs w:val="21"/>
              </w:rPr>
              <w:t>7481</w:t>
            </w:r>
          </w:p>
        </w:tc>
        <w:tc>
          <w:tcPr>
            <w:tcW w:w="1004" w:type="pct"/>
            <w:gridSpan w:val="2"/>
            <w:tcBorders>
              <w:top w:val="single" w:color="auto" w:sz="4" w:space="0"/>
              <w:left w:val="single" w:color="auto" w:sz="4" w:space="0"/>
              <w:bottom w:val="single" w:color="auto" w:sz="4" w:space="0"/>
              <w:right w:val="single" w:color="auto" w:sz="4" w:space="0"/>
            </w:tcBorders>
            <w:vAlign w:val="center"/>
          </w:tcPr>
          <w:p w14:paraId="0D7377AB">
            <w:pPr>
              <w:spacing w:line="240" w:lineRule="auto"/>
              <w:jc w:val="center"/>
              <w:rPr>
                <w:rFonts w:cs="Times New Roman"/>
                <w:sz w:val="21"/>
                <w:szCs w:val="21"/>
              </w:rPr>
            </w:pPr>
            <w:r>
              <w:rPr>
                <w:rFonts w:hint="eastAsia" w:cs="Times New Roman"/>
                <w:sz w:val="21"/>
                <w:szCs w:val="21"/>
              </w:rPr>
              <w:t>饮用水源地取水口</w:t>
            </w:r>
          </w:p>
        </w:tc>
        <w:tc>
          <w:tcPr>
            <w:tcW w:w="1126" w:type="pct"/>
            <w:vMerge w:val="continue"/>
            <w:tcBorders>
              <w:left w:val="single" w:color="auto" w:sz="4" w:space="0"/>
              <w:right w:val="single" w:color="auto" w:sz="4" w:space="0"/>
            </w:tcBorders>
            <w:vAlign w:val="center"/>
          </w:tcPr>
          <w:p w14:paraId="21C28D8D">
            <w:pPr>
              <w:spacing w:line="240" w:lineRule="auto"/>
              <w:jc w:val="center"/>
              <w:rPr>
                <w:rFonts w:cs="Times New Roman"/>
                <w:sz w:val="21"/>
                <w:szCs w:val="21"/>
              </w:rPr>
            </w:pPr>
          </w:p>
        </w:tc>
      </w:tr>
      <w:tr w14:paraId="4E98AB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10" w:hRule="atLeast"/>
          <w:jc w:val="center"/>
        </w:trPr>
        <w:tc>
          <w:tcPr>
            <w:tcW w:w="403" w:type="pct"/>
            <w:tcBorders>
              <w:top w:val="single" w:color="auto" w:sz="4" w:space="0"/>
              <w:left w:val="single" w:color="auto" w:sz="4" w:space="0"/>
              <w:bottom w:val="single" w:color="auto" w:sz="4" w:space="0"/>
              <w:right w:val="single" w:color="auto" w:sz="4" w:space="0"/>
            </w:tcBorders>
            <w:vAlign w:val="center"/>
          </w:tcPr>
          <w:p w14:paraId="542AAD88">
            <w:pPr>
              <w:spacing w:line="240" w:lineRule="auto"/>
              <w:jc w:val="center"/>
              <w:rPr>
                <w:rFonts w:cs="Times New Roman"/>
                <w:sz w:val="21"/>
                <w:szCs w:val="21"/>
              </w:rPr>
            </w:pPr>
            <w:r>
              <w:rPr>
                <w:rFonts w:cs="Times New Roman"/>
                <w:sz w:val="21"/>
                <w:szCs w:val="21"/>
              </w:rPr>
              <w:t>声环境</w:t>
            </w:r>
          </w:p>
        </w:tc>
        <w:tc>
          <w:tcPr>
            <w:tcW w:w="3471" w:type="pct"/>
            <w:gridSpan w:val="7"/>
            <w:tcBorders>
              <w:top w:val="single" w:color="auto" w:sz="4" w:space="0"/>
              <w:left w:val="single" w:color="auto" w:sz="4" w:space="0"/>
              <w:bottom w:val="single" w:color="auto" w:sz="4" w:space="0"/>
              <w:right w:val="single" w:color="auto" w:sz="4" w:space="0"/>
            </w:tcBorders>
            <w:vAlign w:val="center"/>
          </w:tcPr>
          <w:p w14:paraId="045029C1">
            <w:pPr>
              <w:spacing w:line="240" w:lineRule="auto"/>
              <w:jc w:val="center"/>
              <w:rPr>
                <w:rFonts w:cs="Times New Roman"/>
                <w:sz w:val="21"/>
                <w:szCs w:val="21"/>
              </w:rPr>
            </w:pPr>
            <w:r>
              <w:rPr>
                <w:rFonts w:cs="Times New Roman"/>
                <w:sz w:val="21"/>
                <w:szCs w:val="21"/>
              </w:rPr>
              <w:t>厂界外200m范围</w:t>
            </w:r>
          </w:p>
        </w:tc>
        <w:tc>
          <w:tcPr>
            <w:tcW w:w="1126" w:type="pct"/>
            <w:tcBorders>
              <w:top w:val="single" w:color="auto" w:sz="4" w:space="0"/>
              <w:left w:val="single" w:color="auto" w:sz="4" w:space="0"/>
              <w:bottom w:val="single" w:color="auto" w:sz="4" w:space="0"/>
              <w:right w:val="single" w:color="auto" w:sz="4" w:space="0"/>
            </w:tcBorders>
            <w:vAlign w:val="center"/>
          </w:tcPr>
          <w:p w14:paraId="125E8172">
            <w:pPr>
              <w:spacing w:line="240" w:lineRule="auto"/>
              <w:jc w:val="center"/>
              <w:rPr>
                <w:rFonts w:cs="Times New Roman"/>
                <w:sz w:val="21"/>
                <w:szCs w:val="21"/>
              </w:rPr>
            </w:pPr>
            <w:r>
              <w:rPr>
                <w:rFonts w:cs="Times New Roman"/>
                <w:sz w:val="21"/>
                <w:szCs w:val="21"/>
              </w:rPr>
              <w:t>《声环境质量标准》(GB3096-2008)中3类区</w:t>
            </w:r>
          </w:p>
        </w:tc>
      </w:tr>
      <w:tr w14:paraId="5D169E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0" w:hRule="atLeast"/>
          <w:jc w:val="center"/>
        </w:trPr>
        <w:tc>
          <w:tcPr>
            <w:tcW w:w="403" w:type="pct"/>
            <w:tcBorders>
              <w:top w:val="single" w:color="auto" w:sz="4" w:space="0"/>
              <w:left w:val="single" w:color="auto" w:sz="4" w:space="0"/>
              <w:bottom w:val="single" w:color="auto" w:sz="4" w:space="0"/>
              <w:right w:val="single" w:color="auto" w:sz="4" w:space="0"/>
            </w:tcBorders>
            <w:vAlign w:val="center"/>
          </w:tcPr>
          <w:p w14:paraId="5209C306">
            <w:pPr>
              <w:spacing w:line="240" w:lineRule="auto"/>
              <w:jc w:val="center"/>
              <w:rPr>
                <w:rFonts w:cs="Times New Roman"/>
                <w:sz w:val="21"/>
                <w:szCs w:val="21"/>
              </w:rPr>
            </w:pPr>
            <w:r>
              <w:rPr>
                <w:rFonts w:cs="Times New Roman"/>
                <w:sz w:val="21"/>
                <w:szCs w:val="21"/>
              </w:rPr>
              <w:t>地下水环境</w:t>
            </w:r>
          </w:p>
        </w:tc>
        <w:tc>
          <w:tcPr>
            <w:tcW w:w="3471" w:type="pct"/>
            <w:gridSpan w:val="7"/>
            <w:tcBorders>
              <w:top w:val="single" w:color="auto" w:sz="4" w:space="0"/>
              <w:left w:val="single" w:color="auto" w:sz="4" w:space="0"/>
              <w:bottom w:val="single" w:color="auto" w:sz="4" w:space="0"/>
              <w:right w:val="single" w:color="auto" w:sz="4" w:space="0"/>
            </w:tcBorders>
            <w:vAlign w:val="center"/>
          </w:tcPr>
          <w:p w14:paraId="5B8BA208">
            <w:pPr>
              <w:spacing w:line="240" w:lineRule="auto"/>
              <w:jc w:val="center"/>
              <w:rPr>
                <w:rFonts w:cs="Times New Roman"/>
                <w:sz w:val="21"/>
                <w:szCs w:val="21"/>
              </w:rPr>
            </w:pPr>
            <w:r>
              <w:rPr>
                <w:rFonts w:cs="Times New Roman"/>
                <w:sz w:val="21"/>
                <w:szCs w:val="21"/>
              </w:rPr>
              <w:t>评价范围内浅层地下水20km</w:t>
            </w:r>
            <w:r>
              <w:rPr>
                <w:rFonts w:cs="Times New Roman"/>
                <w:sz w:val="21"/>
                <w:szCs w:val="21"/>
                <w:vertAlign w:val="superscript"/>
              </w:rPr>
              <w:t>2</w:t>
            </w:r>
          </w:p>
        </w:tc>
        <w:tc>
          <w:tcPr>
            <w:tcW w:w="1126" w:type="pct"/>
            <w:tcBorders>
              <w:top w:val="single" w:color="auto" w:sz="4" w:space="0"/>
              <w:left w:val="single" w:color="auto" w:sz="4" w:space="0"/>
              <w:bottom w:val="single" w:color="auto" w:sz="4" w:space="0"/>
              <w:right w:val="single" w:color="auto" w:sz="4" w:space="0"/>
            </w:tcBorders>
            <w:vAlign w:val="center"/>
          </w:tcPr>
          <w:p w14:paraId="16D3F97B">
            <w:pPr>
              <w:spacing w:line="240" w:lineRule="auto"/>
              <w:jc w:val="center"/>
              <w:rPr>
                <w:rFonts w:cs="Times New Roman"/>
                <w:sz w:val="21"/>
                <w:szCs w:val="21"/>
              </w:rPr>
            </w:pPr>
            <w:r>
              <w:rPr>
                <w:rFonts w:cs="Times New Roman"/>
                <w:sz w:val="21"/>
                <w:szCs w:val="21"/>
              </w:rPr>
              <w:t>《地下水质量标准》(GB/T14848-2017)中Ⅲ类标准</w:t>
            </w:r>
          </w:p>
        </w:tc>
      </w:tr>
      <w:tr w14:paraId="25AC2E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0" w:hRule="atLeast"/>
          <w:jc w:val="center"/>
        </w:trPr>
        <w:tc>
          <w:tcPr>
            <w:tcW w:w="403" w:type="pct"/>
            <w:tcBorders>
              <w:top w:val="single" w:color="auto" w:sz="4" w:space="0"/>
              <w:left w:val="single" w:color="auto" w:sz="4" w:space="0"/>
              <w:bottom w:val="single" w:color="auto" w:sz="4" w:space="0"/>
              <w:right w:val="single" w:color="auto" w:sz="4" w:space="0"/>
            </w:tcBorders>
            <w:vAlign w:val="center"/>
          </w:tcPr>
          <w:p w14:paraId="47D42481">
            <w:pPr>
              <w:spacing w:line="240" w:lineRule="auto"/>
              <w:jc w:val="center"/>
              <w:rPr>
                <w:rFonts w:cs="Times New Roman"/>
                <w:sz w:val="21"/>
                <w:szCs w:val="21"/>
              </w:rPr>
            </w:pPr>
            <w:r>
              <w:rPr>
                <w:rFonts w:hint="eastAsia" w:cs="Times New Roman"/>
                <w:sz w:val="21"/>
                <w:szCs w:val="21"/>
              </w:rPr>
              <w:t>土壤环境</w:t>
            </w:r>
          </w:p>
        </w:tc>
        <w:tc>
          <w:tcPr>
            <w:tcW w:w="3471" w:type="pct"/>
            <w:gridSpan w:val="7"/>
            <w:tcBorders>
              <w:top w:val="single" w:color="auto" w:sz="4" w:space="0"/>
              <w:left w:val="single" w:color="auto" w:sz="4" w:space="0"/>
              <w:bottom w:val="single" w:color="auto" w:sz="4" w:space="0"/>
              <w:right w:val="single" w:color="auto" w:sz="4" w:space="0"/>
            </w:tcBorders>
            <w:vAlign w:val="center"/>
          </w:tcPr>
          <w:p w14:paraId="30894806">
            <w:pPr>
              <w:spacing w:line="240" w:lineRule="auto"/>
              <w:jc w:val="center"/>
              <w:rPr>
                <w:rFonts w:cs="Times New Roman"/>
                <w:sz w:val="21"/>
                <w:szCs w:val="21"/>
              </w:rPr>
            </w:pPr>
            <w:r>
              <w:rPr>
                <w:rFonts w:hint="eastAsia" w:cs="Times New Roman"/>
                <w:sz w:val="21"/>
                <w:szCs w:val="21"/>
              </w:rPr>
              <w:t>评价范围内耕地</w:t>
            </w:r>
          </w:p>
        </w:tc>
        <w:tc>
          <w:tcPr>
            <w:tcW w:w="1126" w:type="pct"/>
            <w:tcBorders>
              <w:top w:val="single" w:color="auto" w:sz="4" w:space="0"/>
              <w:left w:val="single" w:color="auto" w:sz="4" w:space="0"/>
              <w:bottom w:val="single" w:color="auto" w:sz="4" w:space="0"/>
              <w:right w:val="single" w:color="auto" w:sz="4" w:space="0"/>
            </w:tcBorders>
            <w:vAlign w:val="center"/>
          </w:tcPr>
          <w:p w14:paraId="1D9CDBE2">
            <w:pPr>
              <w:spacing w:line="240" w:lineRule="auto"/>
              <w:jc w:val="center"/>
              <w:rPr>
                <w:rFonts w:cs="Times New Roman"/>
                <w:sz w:val="21"/>
                <w:szCs w:val="21"/>
              </w:rPr>
            </w:pPr>
            <w:r>
              <w:rPr>
                <w:rFonts w:hint="eastAsia" w:cs="Times New Roman"/>
                <w:sz w:val="21"/>
                <w:szCs w:val="21"/>
              </w:rPr>
              <w:t>《土壤环境质量农用地土壤污染风险管控标准(试行)》(GB15618-2018)</w:t>
            </w:r>
          </w:p>
        </w:tc>
      </w:tr>
    </w:tbl>
    <w:p w14:paraId="597E6783">
      <w:pPr>
        <w:spacing w:line="360" w:lineRule="auto"/>
        <w:jc w:val="center"/>
      </w:pPr>
    </w:p>
    <w:p w14:paraId="6155EAD9">
      <w:pPr>
        <w:spacing w:line="360" w:lineRule="auto"/>
        <w:jc w:val="center"/>
      </w:pPr>
      <w:r>
        <w:drawing>
          <wp:inline distT="0" distB="0" distL="0" distR="0">
            <wp:extent cx="7284720" cy="5327650"/>
            <wp:effectExtent l="0" t="0" r="0" b="6350"/>
            <wp:docPr id="1480006562"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006562" name="图片 20"/>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0" y="0"/>
                      <a:ext cx="7284733" cy="5328000"/>
                    </a:xfrm>
                    <a:prstGeom prst="rect">
                      <a:avLst/>
                    </a:prstGeom>
                  </pic:spPr>
                </pic:pic>
              </a:graphicData>
            </a:graphic>
          </wp:inline>
        </w:drawing>
      </w:r>
    </w:p>
    <w:p w14:paraId="381F7401">
      <w:pPr>
        <w:pStyle w:val="28"/>
        <w:rPr>
          <w:rFonts w:hint="eastAsia"/>
        </w:rPr>
      </w:pPr>
      <w:r>
        <w:rPr>
          <w:rFonts w:hint="eastAsia"/>
        </w:rPr>
        <w:t>图2.6-1  拟建项目环境保护目标示意图</w:t>
      </w:r>
    </w:p>
    <w:p w14:paraId="29B216CB">
      <w:pPr>
        <w:spacing w:line="240" w:lineRule="auto"/>
        <w:rPr>
          <w:rFonts w:cs="Times New Roman"/>
          <w:spacing w:val="-3"/>
        </w:rPr>
      </w:pPr>
      <w:r>
        <w:drawing>
          <wp:inline distT="0" distB="0" distL="114300" distR="114300">
            <wp:extent cx="8686800" cy="5172075"/>
            <wp:effectExtent l="0" t="0" r="0" b="9525"/>
            <wp:docPr id="18"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20"/>
                    <pic:cNvPicPr>
                      <a:picLocks noChangeAspect="1"/>
                    </pic:cNvPicPr>
                  </pic:nvPicPr>
                  <pic:blipFill>
                    <a:blip r:embed="rId10"/>
                    <a:stretch>
                      <a:fillRect/>
                    </a:stretch>
                  </pic:blipFill>
                  <pic:spPr>
                    <a:xfrm>
                      <a:off x="0" y="0"/>
                      <a:ext cx="8686800" cy="5172075"/>
                    </a:xfrm>
                    <a:prstGeom prst="rect">
                      <a:avLst/>
                    </a:prstGeom>
                    <a:noFill/>
                    <a:ln>
                      <a:noFill/>
                    </a:ln>
                  </pic:spPr>
                </pic:pic>
              </a:graphicData>
            </a:graphic>
          </wp:inline>
        </w:drawing>
      </w:r>
    </w:p>
    <w:p w14:paraId="302127B7">
      <w:pPr>
        <w:pStyle w:val="28"/>
        <w:rPr>
          <w:rFonts w:hint="eastAsia"/>
        </w:rPr>
      </w:pPr>
      <w:r>
        <w:rPr>
          <w:rFonts w:hint="eastAsia"/>
        </w:rPr>
        <w:t>图2.6-2 凤阳县经开区二水厂取水口位置示意图</w:t>
      </w:r>
    </w:p>
    <w:p w14:paraId="02FD5347">
      <w:pPr>
        <w:rPr>
          <w:rFonts w:cs="Times New Roman"/>
          <w:spacing w:val="-3"/>
        </w:rPr>
        <w:sectPr>
          <w:pgSz w:w="16838" w:h="11906" w:orient="landscape"/>
          <w:pgMar w:top="1418" w:right="1418" w:bottom="1418" w:left="1418" w:header="851" w:footer="992" w:gutter="0"/>
          <w:cols w:space="425" w:num="1"/>
          <w:docGrid w:type="lines" w:linePitch="326" w:charSpace="0"/>
        </w:sectPr>
      </w:pPr>
    </w:p>
    <w:p w14:paraId="4B707C52">
      <w:pPr>
        <w:pStyle w:val="3"/>
        <w:spacing w:before="326"/>
        <w:rPr>
          <w:rFonts w:hint="eastAsia"/>
        </w:rPr>
      </w:pPr>
      <w:bookmarkStart w:id="40" w:name="_Toc48890895"/>
      <w:bookmarkStart w:id="41" w:name="_Toc221056331"/>
      <w:r>
        <w:rPr>
          <w:rFonts w:hint="eastAsia"/>
        </w:rPr>
        <w:t>2</w:t>
      </w:r>
      <w:r>
        <w:t>.</w:t>
      </w:r>
      <w:r>
        <w:rPr>
          <w:rFonts w:hint="eastAsia"/>
        </w:rPr>
        <w:t>7环境相关规划分析</w:t>
      </w:r>
      <w:bookmarkEnd w:id="40"/>
      <w:bookmarkEnd w:id="41"/>
    </w:p>
    <w:p w14:paraId="355E321B">
      <w:pPr>
        <w:pStyle w:val="4"/>
        <w:rPr>
          <w:rFonts w:hint="eastAsia"/>
        </w:rPr>
      </w:pPr>
      <w:bookmarkStart w:id="42" w:name="_Toc221056332"/>
      <w:r>
        <w:rPr>
          <w:rFonts w:hint="eastAsia"/>
        </w:rPr>
        <w:t>2</w:t>
      </w:r>
      <w:r>
        <w:t>.</w:t>
      </w:r>
      <w:r>
        <w:rPr>
          <w:rFonts w:hint="eastAsia"/>
        </w:rPr>
        <w:t>7</w:t>
      </w:r>
      <w:r>
        <w:t>.</w:t>
      </w:r>
      <w:r>
        <w:rPr>
          <w:rFonts w:hint="eastAsia"/>
        </w:rPr>
        <w:t>1产业政策分析</w:t>
      </w:r>
      <w:bookmarkEnd w:id="42"/>
    </w:p>
    <w:p w14:paraId="79B4F7E4">
      <w:pPr>
        <w:ind w:firstLine="480" w:firstLineChars="200"/>
      </w:pPr>
      <w:r>
        <w:rPr>
          <w:rFonts w:hint="eastAsia"/>
        </w:rPr>
        <w:t>对照《产业结构调整指导目录(2024年)》、安徽省经济委员会《安徽省工业产业结构调整指导目录(2007年)》，本项目工艺设备及产品不属于落后、淘汰及限制类，符合国家产业政策。</w:t>
      </w:r>
    </w:p>
    <w:p w14:paraId="2E96EDF9">
      <w:pPr>
        <w:ind w:firstLine="480" w:firstLineChars="200"/>
      </w:pPr>
      <w:r>
        <w:rPr>
          <w:rFonts w:hint="eastAsia"/>
        </w:rPr>
        <w:t>蚌埠市淮上区经济和发展改革委员会于2025年7月对该项目予以备案，项目代码为：2506-340311-07-02-731702。因此，本项目符合国家及地方产业政策。</w:t>
      </w:r>
    </w:p>
    <w:p w14:paraId="6F3444F1">
      <w:pPr>
        <w:pStyle w:val="4"/>
        <w:rPr>
          <w:rFonts w:hint="eastAsia"/>
        </w:rPr>
      </w:pPr>
      <w:bookmarkStart w:id="43" w:name="_Toc221056333"/>
      <w:r>
        <w:rPr>
          <w:rFonts w:hint="eastAsia"/>
        </w:rPr>
        <w:t>2</w:t>
      </w:r>
      <w:r>
        <w:t>.</w:t>
      </w:r>
      <w:r>
        <w:rPr>
          <w:rFonts w:hint="eastAsia"/>
        </w:rPr>
        <w:t>7</w:t>
      </w:r>
      <w:r>
        <w:t>.</w:t>
      </w:r>
      <w:r>
        <w:rPr>
          <w:rFonts w:hint="eastAsia"/>
        </w:rPr>
        <w:t>2与安徽蚌埠淮上经济开发区规划符合性分析</w:t>
      </w:r>
      <w:bookmarkEnd w:id="43"/>
    </w:p>
    <w:p w14:paraId="4345C970">
      <w:pPr>
        <w:ind w:firstLine="480" w:firstLineChars="200"/>
        <w:rPr>
          <w:rFonts w:cs="Times New Roman"/>
        </w:rPr>
      </w:pPr>
      <w:r>
        <w:rPr>
          <w:rFonts w:cs="Times New Roman"/>
        </w:rPr>
        <w:t>项目位于蚌埠精细化工高新技术产业基地，2021年7月，安徽蚌埠淮上经济开发区管委会委托安徽富煌建筑设计院有限公司编制《蚌埠精细化工高新技术产业基地规划(2021~2035)》，规划主导产业为精细化工、医药化工和生物基新材料，规范用地面积为8.6平方公里，四至范围为：东至金滨路，南至南环路，西至引河东路，北至现状五蚌路。</w:t>
      </w:r>
    </w:p>
    <w:p w14:paraId="674D9923">
      <w:pPr>
        <w:ind w:firstLine="480" w:firstLineChars="200"/>
      </w:pPr>
      <w:r>
        <w:rPr>
          <w:rFonts w:hint="eastAsia"/>
        </w:rPr>
        <w:t>(1)规划主导产业符合性</w:t>
      </w:r>
    </w:p>
    <w:p w14:paraId="26F8D08C">
      <w:pPr>
        <w:ind w:firstLine="480" w:firstLineChars="200"/>
      </w:pPr>
      <w:r>
        <w:rPr>
          <w:rFonts w:hint="eastAsia"/>
        </w:rPr>
        <w:t>蚌埠精细化工高新技术产业基地的总体发展目标为建设省级精细化工、化学原料药、生物基新材料生产基地，并争取列为国家级生产基地；发展定位为以产业升级和科技创新为导向，以产城融合为路径，以精细化工产业、生物产业、新材料产业系列产品的科技研发制造为特色的创新型工业示范开发区。蚌埠精细化工高新技术产业基地未来大力发展的主导产业为精细化工、医药化工、生物基新材料。技改项目产品为间甲酚，叔丁醇、二聚异丁烯、对甲酚等，属于精细化工行业，是蚌埠精细化工高新技术产业基地主导产业，因此本项目符合园区主导产业规划要求。</w:t>
      </w:r>
    </w:p>
    <w:p w14:paraId="326555DD">
      <w:pPr>
        <w:ind w:firstLine="480" w:firstLineChars="200"/>
      </w:pPr>
      <w:r>
        <w:rPr>
          <w:rFonts w:hint="eastAsia"/>
        </w:rPr>
        <w:t>(2)规划用地符合性</w:t>
      </w:r>
    </w:p>
    <w:p w14:paraId="749BD24E">
      <w:pPr>
        <w:ind w:firstLine="480" w:firstLineChars="200"/>
      </w:pPr>
      <w:r>
        <w:rPr>
          <w:rFonts w:hint="eastAsia"/>
        </w:rPr>
        <w:t>项目位于蚌埠精细化工高新技术产业基地，用地不属于《限制用地项目目录》(2012年本)和《禁止用地项目目录》(2012年本)中的限制类和禁止类，符合国家和地方用地规划。项目选址位于安徽省蚌埠市淮上区蚌埠精细化工高新技术产业基地金湘路西侧，用地性质为三类工业用地，项目选址符合蚌埠精细化工高新技术产业基地用地规划，具体见图2.7-1。</w:t>
      </w:r>
      <w:r>
        <w:t>项目建设位于在安徽海华</w:t>
      </w:r>
      <w:r>
        <w:rPr>
          <w:rFonts w:hint="eastAsia"/>
        </w:rPr>
        <w:t>科技集团有限</w:t>
      </w:r>
      <w:r>
        <w:t>公司现有厂区东侧用地，项目的建设符合蚌埠精细化工高新技术产业基地规划，符合安徽蚌埠淮上经济开发区相关规划要求。</w:t>
      </w:r>
    </w:p>
    <w:p w14:paraId="18DFDE11">
      <w:pPr>
        <w:spacing w:line="360" w:lineRule="auto"/>
        <w:jc w:val="center"/>
      </w:pPr>
      <w:r>
        <w:drawing>
          <wp:inline distT="0" distB="0" distL="0" distR="0">
            <wp:extent cx="5759450" cy="3783330"/>
            <wp:effectExtent l="0" t="0" r="0" b="7620"/>
            <wp:docPr id="2006056177"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6056177" name="图片 154"/>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59450" cy="3783330"/>
                    </a:xfrm>
                    <a:prstGeom prst="rect">
                      <a:avLst/>
                    </a:prstGeom>
                  </pic:spPr>
                </pic:pic>
              </a:graphicData>
            </a:graphic>
          </wp:inline>
        </w:drawing>
      </w:r>
    </w:p>
    <w:p w14:paraId="5F570306">
      <w:pPr>
        <w:spacing w:line="240" w:lineRule="auto"/>
        <w:jc w:val="center"/>
        <w:rPr>
          <w:rFonts w:hint="eastAsia" w:ascii="黑体" w:hAnsi="黑体" w:eastAsia="黑体" w:cs="Times New Roman"/>
        </w:rPr>
      </w:pPr>
      <w:r>
        <w:rPr>
          <w:rFonts w:ascii="黑体" w:hAnsi="黑体" w:eastAsia="黑体" w:cs="Times New Roman"/>
        </w:rPr>
        <w:t>图2.</w:t>
      </w:r>
      <w:r>
        <w:rPr>
          <w:rFonts w:hint="eastAsia" w:ascii="黑体" w:hAnsi="黑体" w:eastAsia="黑体" w:cs="Times New Roman"/>
        </w:rPr>
        <w:t>7</w:t>
      </w:r>
      <w:r>
        <w:rPr>
          <w:rFonts w:ascii="黑体" w:hAnsi="黑体" w:eastAsia="黑体" w:cs="Times New Roman"/>
        </w:rPr>
        <w:t>-</w:t>
      </w:r>
      <w:r>
        <w:rPr>
          <w:rFonts w:hint="eastAsia" w:ascii="黑体" w:hAnsi="黑体" w:eastAsia="黑体" w:cs="Times New Roman"/>
        </w:rPr>
        <w:t>1</w:t>
      </w:r>
      <w:r>
        <w:rPr>
          <w:rFonts w:ascii="黑体" w:hAnsi="黑体" w:eastAsia="黑体" w:cs="Times New Roman"/>
        </w:rPr>
        <w:t xml:space="preserve">  </w:t>
      </w:r>
      <w:r>
        <w:rPr>
          <w:rFonts w:hint="eastAsia" w:ascii="黑体" w:hAnsi="黑体" w:eastAsia="黑体" w:cs="Times New Roman"/>
        </w:rPr>
        <w:t>项目与蚌埠精细化工高新技术产业基地规划(2021-2035)位置关系图</w:t>
      </w:r>
    </w:p>
    <w:p w14:paraId="281BD6A5">
      <w:pPr>
        <w:pStyle w:val="4"/>
        <w:rPr>
          <w:rFonts w:hint="eastAsia"/>
        </w:rPr>
      </w:pPr>
      <w:bookmarkStart w:id="44" w:name="_Toc221056334"/>
      <w:r>
        <w:rPr>
          <w:rFonts w:hint="eastAsia"/>
        </w:rPr>
        <w:t>2</w:t>
      </w:r>
      <w:r>
        <w:t>.</w:t>
      </w:r>
      <w:r>
        <w:rPr>
          <w:rFonts w:hint="eastAsia"/>
        </w:rPr>
        <w:t>7</w:t>
      </w:r>
      <w:r>
        <w:t>.</w:t>
      </w:r>
      <w:r>
        <w:rPr>
          <w:rFonts w:hint="eastAsia"/>
        </w:rPr>
        <w:t>3生态环境分区管控符合性分析</w:t>
      </w:r>
      <w:bookmarkEnd w:id="44"/>
    </w:p>
    <w:p w14:paraId="4F064D22">
      <w:pPr>
        <w:ind w:firstLine="480" w:firstLineChars="200"/>
      </w:pPr>
      <w:r>
        <w:rPr>
          <w:rFonts w:hint="eastAsia"/>
        </w:rPr>
        <w:t>1、</w:t>
      </w:r>
      <w:r>
        <w:t>与《安徽省生态环境分区管控动态更新成果》相符性分析</w:t>
      </w:r>
    </w:p>
    <w:p w14:paraId="3FC9FF59">
      <w:pPr>
        <w:ind w:firstLine="480" w:firstLineChars="200"/>
      </w:pPr>
      <w:r>
        <w:t>根据安徽省“三线一单”公共服务平台(http://39.145.8.156:1509/ah/public/#/)查询结果，本项目位于重点管控单元</w:t>
      </w:r>
      <w:r>
        <w:rPr>
          <w:rFonts w:hint="eastAsia"/>
        </w:rPr>
        <w:t>20</w:t>
      </w:r>
      <w:r>
        <w:t>(ZH34031120020)，</w:t>
      </w:r>
      <w:r>
        <w:rPr>
          <w:rFonts w:hint="eastAsia"/>
        </w:rPr>
        <w:t>经</w:t>
      </w:r>
      <w:r>
        <w:t>对照《安徽“三线一单”管控要求查询报告》，本项目不在管控要求限制内，符合安徽省“三线一单”管控要求</w:t>
      </w:r>
      <w:r>
        <w:rPr>
          <w:rFonts w:hint="eastAsia"/>
        </w:rPr>
        <w:t>，见图2</w:t>
      </w:r>
      <w:r>
        <w:t>.7-2</w:t>
      </w:r>
      <w:r>
        <w:rPr>
          <w:rFonts w:hint="eastAsia"/>
        </w:rPr>
        <w:t>。</w:t>
      </w:r>
    </w:p>
    <w:p w14:paraId="4355C5AF">
      <w:pPr>
        <w:ind w:firstLine="480" w:firstLineChars="200"/>
      </w:pPr>
      <w:r>
        <w:rPr>
          <w:rFonts w:hint="eastAsia"/>
        </w:rPr>
        <w:t>2、</w:t>
      </w:r>
      <w:r>
        <w:t>与《蚌埠市生态环境分区管控动态更新成果》相符性分析</w:t>
      </w:r>
    </w:p>
    <w:p w14:paraId="4C8DA7EF">
      <w:pPr>
        <w:ind w:firstLine="480" w:firstLineChars="200"/>
      </w:pPr>
      <w:r>
        <w:t>(1)生态保护红线</w:t>
      </w:r>
    </w:p>
    <w:p w14:paraId="71706219">
      <w:pPr>
        <w:ind w:firstLine="480" w:firstLineChars="200"/>
      </w:pPr>
      <w:r>
        <w:t>项目位于蚌埠市</w:t>
      </w:r>
      <w:r>
        <w:rPr>
          <w:rFonts w:hint="eastAsia"/>
        </w:rPr>
        <w:t>淮上区蚌埠精细化工高新技术产业基地</w:t>
      </w:r>
      <w:r>
        <w:t>，根据蚌埠市</w:t>
      </w:r>
      <w:r>
        <w:rPr>
          <w:rFonts w:hint="eastAsia"/>
        </w:rPr>
        <w:t>生态空间</w:t>
      </w:r>
      <w:r>
        <w:t>图，项目用地不在划定的生态保护红线</w:t>
      </w:r>
      <w:r>
        <w:rPr>
          <w:rFonts w:hint="eastAsia"/>
        </w:rPr>
        <w:t>、一般生态空间</w:t>
      </w:r>
      <w:r>
        <w:t>范围内，详见图2.</w:t>
      </w:r>
      <w:r>
        <w:rPr>
          <w:rFonts w:hint="eastAsia"/>
        </w:rPr>
        <w:t>7</w:t>
      </w:r>
      <w:r>
        <w:t>-3。因此，项目的建设符合生态保护红线要求。</w:t>
      </w:r>
    </w:p>
    <w:p w14:paraId="7F7056F5">
      <w:pPr>
        <w:ind w:firstLine="480" w:firstLineChars="200"/>
      </w:pPr>
    </w:p>
    <w:p w14:paraId="13C4FB34">
      <w:pPr>
        <w:spacing w:line="240" w:lineRule="auto"/>
      </w:pPr>
      <w:r>
        <w:drawing>
          <wp:inline distT="0" distB="0" distL="0" distR="0">
            <wp:extent cx="5759450" cy="3326130"/>
            <wp:effectExtent l="0" t="0" r="0" b="7620"/>
            <wp:docPr id="955203211"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203211" name="图片 32"/>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59450" cy="3326130"/>
                    </a:xfrm>
                    <a:prstGeom prst="rect">
                      <a:avLst/>
                    </a:prstGeom>
                  </pic:spPr>
                </pic:pic>
              </a:graphicData>
            </a:graphic>
          </wp:inline>
        </w:drawing>
      </w:r>
    </w:p>
    <w:p w14:paraId="06E5B9A9">
      <w:pPr>
        <w:pStyle w:val="28"/>
        <w:rPr>
          <w:rFonts w:hint="eastAsia"/>
        </w:rPr>
      </w:pPr>
      <w:r>
        <w:t>图</w:t>
      </w:r>
      <w:r>
        <w:rPr>
          <w:rFonts w:hint="eastAsia"/>
        </w:rPr>
        <w:t>2</w:t>
      </w:r>
      <w:r>
        <w:t>.</w:t>
      </w:r>
      <w:r>
        <w:rPr>
          <w:rFonts w:hint="eastAsia"/>
        </w:rPr>
        <w:t>7-2</w:t>
      </w:r>
      <w:r>
        <w:t xml:space="preserve"> </w:t>
      </w:r>
      <w:r>
        <w:rPr>
          <w:rFonts w:hint="eastAsia"/>
        </w:rPr>
        <w:t>安徽省三线一单公共服务平台截</w:t>
      </w:r>
      <w:r>
        <w:t>图</w:t>
      </w:r>
    </w:p>
    <w:p w14:paraId="36102B9D">
      <w:pPr>
        <w:spacing w:line="360" w:lineRule="auto"/>
        <w:jc w:val="center"/>
      </w:pPr>
      <w:r>
        <w:drawing>
          <wp:inline distT="0" distB="0" distL="0" distR="0">
            <wp:extent cx="5673725" cy="4021455"/>
            <wp:effectExtent l="0" t="0" r="3175"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13"/>
                    <a:srcRect l="1488"/>
                    <a:stretch>
                      <a:fillRect/>
                    </a:stretch>
                  </pic:blipFill>
                  <pic:spPr>
                    <a:xfrm>
                      <a:off x="0" y="0"/>
                      <a:ext cx="5673725" cy="4021455"/>
                    </a:xfrm>
                    <a:prstGeom prst="rect">
                      <a:avLst/>
                    </a:prstGeom>
                    <a:ln>
                      <a:noFill/>
                    </a:ln>
                  </pic:spPr>
                </pic:pic>
              </a:graphicData>
            </a:graphic>
          </wp:inline>
        </w:drawing>
      </w:r>
    </w:p>
    <w:p w14:paraId="2565E7C0">
      <w:pPr>
        <w:jc w:val="center"/>
        <w:rPr>
          <w:rFonts w:hint="eastAsia" w:ascii="黑体" w:hAnsi="黑体" w:eastAsia="黑体" w:cs="Times New Roman"/>
        </w:rPr>
      </w:pPr>
      <w:r>
        <w:rPr>
          <w:rFonts w:ascii="黑体" w:hAnsi="黑体" w:eastAsia="黑体" w:cs="Times New Roman"/>
        </w:rPr>
        <w:t>图2.</w:t>
      </w:r>
      <w:r>
        <w:rPr>
          <w:rFonts w:hint="eastAsia" w:ascii="黑体" w:hAnsi="黑体" w:eastAsia="黑体" w:cs="Times New Roman"/>
        </w:rPr>
        <w:t>7</w:t>
      </w:r>
      <w:r>
        <w:rPr>
          <w:rFonts w:ascii="黑体" w:hAnsi="黑体" w:eastAsia="黑体" w:cs="Times New Roman"/>
        </w:rPr>
        <w:t xml:space="preserve">-3 </w:t>
      </w:r>
      <w:r>
        <w:rPr>
          <w:rFonts w:hint="eastAsia" w:ascii="黑体" w:hAnsi="黑体" w:eastAsia="黑体" w:cs="Times New Roman"/>
        </w:rPr>
        <w:t>蚌埠市</w:t>
      </w:r>
      <w:r>
        <w:rPr>
          <w:rFonts w:ascii="黑体" w:hAnsi="黑体" w:eastAsia="黑体" w:cs="Times New Roman"/>
        </w:rPr>
        <w:t>生态</w:t>
      </w:r>
      <w:r>
        <w:rPr>
          <w:rFonts w:hint="eastAsia" w:ascii="黑体" w:hAnsi="黑体" w:eastAsia="黑体" w:cs="Times New Roman"/>
        </w:rPr>
        <w:t>保护</w:t>
      </w:r>
      <w:r>
        <w:rPr>
          <w:rFonts w:ascii="黑体" w:hAnsi="黑体" w:eastAsia="黑体" w:cs="Times New Roman"/>
        </w:rPr>
        <w:t>红线图</w:t>
      </w:r>
    </w:p>
    <w:p w14:paraId="51786FB0">
      <w:pPr>
        <w:ind w:firstLine="480" w:firstLineChars="200"/>
      </w:pPr>
    </w:p>
    <w:p w14:paraId="1461A2F5">
      <w:pPr>
        <w:ind w:firstLine="480" w:firstLineChars="200"/>
      </w:pPr>
    </w:p>
    <w:p w14:paraId="00B559B0">
      <w:pPr>
        <w:ind w:firstLine="480" w:firstLineChars="200"/>
      </w:pPr>
      <w:r>
        <w:rPr>
          <w:rFonts w:hint="eastAsia"/>
        </w:rPr>
        <w:t>(2)环境质量底线</w:t>
      </w:r>
    </w:p>
    <w:p w14:paraId="483E6FC2">
      <w:pPr>
        <w:ind w:firstLine="480" w:firstLineChars="200"/>
      </w:pPr>
      <w:r>
        <w:rPr>
          <w:rFonts w:ascii="Cambria Math" w:hAnsi="Cambria Math" w:cs="Cambria Math"/>
        </w:rPr>
        <w:t>①</w:t>
      </w:r>
      <w:r>
        <w:rPr>
          <w:rFonts w:hint="eastAsia" w:ascii="Cambria Math" w:hAnsi="Cambria Math" w:cs="Cambria Math"/>
        </w:rPr>
        <w:t>地表水环境</w:t>
      </w:r>
    </w:p>
    <w:p w14:paraId="1E522F82">
      <w:pPr>
        <w:tabs>
          <w:tab w:val="left" w:pos="540"/>
        </w:tabs>
        <w:ind w:firstLine="460" w:firstLineChars="192"/>
        <w:rPr>
          <w:rFonts w:cs="Times New Roman"/>
        </w:rPr>
      </w:pPr>
      <w:r>
        <w:rPr>
          <w:rFonts w:cs="Times New Roman"/>
        </w:rPr>
        <w:t>项目区域淮河蚌埠段水质均能满足《地表水环境质量标准》</w:t>
      </w:r>
      <w:r>
        <w:rPr>
          <w:rFonts w:hint="eastAsia" w:cs="Times New Roman"/>
        </w:rPr>
        <w:t>(</w:t>
      </w:r>
      <w:r>
        <w:rPr>
          <w:rFonts w:cs="Times New Roman"/>
        </w:rPr>
        <w:t>GB3838</w:t>
      </w:r>
      <w:r>
        <w:rPr>
          <w:rFonts w:hint="eastAsia" w:cs="Times New Roman"/>
        </w:rPr>
        <w:t>-</w:t>
      </w:r>
      <w:r>
        <w:rPr>
          <w:rFonts w:cs="Times New Roman"/>
        </w:rPr>
        <w:t>2002)中Ⅲ类标准，</w:t>
      </w:r>
      <w:r>
        <w:rPr>
          <w:rFonts w:hint="eastAsia" w:cs="Times New Roman"/>
        </w:rPr>
        <w:t>三铺</w:t>
      </w:r>
      <w:r>
        <w:rPr>
          <w:rFonts w:cs="Times New Roman"/>
        </w:rPr>
        <w:t>大沟和沫冲引河水质均能满足《地表水环境质量标准》</w:t>
      </w:r>
      <w:r>
        <w:rPr>
          <w:rFonts w:hint="eastAsia" w:cs="Times New Roman"/>
        </w:rPr>
        <w:t>(</w:t>
      </w:r>
      <w:r>
        <w:rPr>
          <w:rFonts w:cs="Times New Roman"/>
        </w:rPr>
        <w:t>GB3838</w:t>
      </w:r>
      <w:r>
        <w:rPr>
          <w:rFonts w:hint="eastAsia" w:cs="Times New Roman"/>
        </w:rPr>
        <w:t>-</w:t>
      </w:r>
      <w:r>
        <w:rPr>
          <w:rFonts w:cs="Times New Roman"/>
        </w:rPr>
        <w:t>2002</w:t>
      </w:r>
      <w:r>
        <w:rPr>
          <w:rFonts w:hint="eastAsia" w:cs="Times New Roman"/>
        </w:rPr>
        <w:t>)</w:t>
      </w:r>
      <w:r>
        <w:rPr>
          <w:rFonts w:cs="Times New Roman"/>
        </w:rPr>
        <w:t>中IV类标准，评价范围内地表水环境质量较好。</w:t>
      </w:r>
      <w:r>
        <w:rPr>
          <w:rFonts w:hint="eastAsia" w:cs="Times New Roman"/>
        </w:rPr>
        <w:t>项目废水经厂区综合污水处理站处理后接管至园区污水处理厂，可达标排放，</w:t>
      </w:r>
      <w:r>
        <w:rPr>
          <w:rFonts w:cs="Times New Roman"/>
        </w:rPr>
        <w:t>不会涉及到环境质量底线。</w:t>
      </w:r>
    </w:p>
    <w:p w14:paraId="51F55ED9">
      <w:pPr>
        <w:tabs>
          <w:tab w:val="left" w:pos="540"/>
        </w:tabs>
        <w:ind w:firstLine="460" w:firstLineChars="192"/>
      </w:pPr>
      <w:r>
        <w:rPr>
          <w:rFonts w:hint="eastAsia" w:cs="Times New Roman"/>
        </w:rPr>
        <w:t>根据蚌埠市生态环境分区管控成果中水环境管控分区，项目位于工业污染重点管控区。重点管控区要求：依据《中华人民共和国水污染防治法》《水污染防治行动计划》《安徽省水污染防治工作方案》及各市水污染防治工作方案对重点管控区实施管控；依据《安徽省淮河流域水污染防治条例》对淮河流域实施管控；依据开发区规划、规划环评及审查意见相关要求对开发区实施管控；落实《“十四五”生态环境保护规划》《安徽省“十四五”环境保护规划》《安徽省“十四五”节能减排实施方案》等要求，新建、改建和扩建项目水污染物实施“等量替代”。</w:t>
      </w:r>
      <w:r>
        <w:t>蚌埠市水环境分区管控图见图2.</w:t>
      </w:r>
      <w:r>
        <w:rPr>
          <w:rFonts w:hint="eastAsia"/>
        </w:rPr>
        <w:t>7</w:t>
      </w:r>
      <w:r>
        <w:t>-4。</w:t>
      </w:r>
    </w:p>
    <w:p w14:paraId="4D4495C1">
      <w:pPr>
        <w:ind w:firstLine="480" w:firstLineChars="200"/>
        <w:rPr>
          <w:rFonts w:cs="Times New Roman"/>
        </w:rPr>
      </w:pPr>
      <w:r>
        <w:rPr>
          <w:rFonts w:hint="eastAsia" w:ascii="宋体" w:hAnsi="宋体" w:cs="宋体"/>
        </w:rPr>
        <w:t>②</w:t>
      </w:r>
      <w:r>
        <w:rPr>
          <w:rFonts w:cs="Times New Roman"/>
        </w:rPr>
        <w:t>环境空气</w:t>
      </w:r>
    </w:p>
    <w:p w14:paraId="5B31EEAB">
      <w:pPr>
        <w:tabs>
          <w:tab w:val="left" w:pos="540"/>
        </w:tabs>
        <w:ind w:firstLine="460" w:firstLineChars="192"/>
        <w:rPr>
          <w:rFonts w:cs="Times New Roman"/>
        </w:rPr>
      </w:pPr>
      <w:r>
        <w:rPr>
          <w:rFonts w:cs="Times New Roman"/>
        </w:rPr>
        <w:t>根据《2024年蚌埠市生态环境质量状况公报》，蚌埠市2024年PM</w:t>
      </w:r>
      <w:r>
        <w:rPr>
          <w:rFonts w:cs="Times New Roman"/>
          <w:vertAlign w:val="subscript"/>
        </w:rPr>
        <w:t>2.5</w:t>
      </w:r>
      <w:r>
        <w:rPr>
          <w:rFonts w:cs="Times New Roman"/>
        </w:rPr>
        <w:t>年平均浓度值、O</w:t>
      </w:r>
      <w:r>
        <w:rPr>
          <w:rFonts w:cs="Times New Roman"/>
          <w:vertAlign w:val="subscript"/>
        </w:rPr>
        <w:t>3</w:t>
      </w:r>
      <w:r>
        <w:rPr>
          <w:rFonts w:cs="Times New Roman"/>
        </w:rPr>
        <w:t>最大8小时平均值第90百分位数浓度值不达标。蚌埠市环境空气质量为不达标区。特征污染物酚类、硫酸和VOCs能够满足相应环境质量标准要求。项目技改后主要污染物为酚类和非甲烷总烃，引入东厂区现有2#RTO装置焚烧处理，通过采取有效的污染防治措施，以及区域总量调控，各类废气能够做到达标排放，不会涉及到环境质量底线。</w:t>
      </w:r>
    </w:p>
    <w:p w14:paraId="259E02FE">
      <w:pPr>
        <w:ind w:firstLine="480" w:firstLineChars="200"/>
      </w:pPr>
      <w:r>
        <w:rPr>
          <w:rFonts w:hint="eastAsia" w:cs="Times New Roman"/>
          <w:kern w:val="0"/>
        </w:rPr>
        <w:t>根据蚌埠市生态环境分区管控中大气环境管控分区划定，项目位于受体敏感重点管控区内。重点管控区要求：落实《“十四五”生态环境保护规划》《安徽省“十四五”环境保护规划》《蚌埠市“十四五”生态环境保护规划》、中共蚌埠市委 蚌埠市人民政府关于印发《深入打好污染防治攻坚战实施方案》的通知等要求，严格落实目标，加强环境监管，促进生态环境质量好转。上年度PM</w:t>
      </w:r>
      <w:r>
        <w:rPr>
          <w:rFonts w:hint="eastAsia" w:cs="Times New Roman"/>
          <w:kern w:val="0"/>
          <w:vertAlign w:val="subscript"/>
        </w:rPr>
        <w:t>2.5</w:t>
      </w:r>
      <w:r>
        <w:rPr>
          <w:rFonts w:hint="eastAsia" w:cs="Times New Roman"/>
          <w:kern w:val="0"/>
        </w:rPr>
        <w:t>不达标城市新建、改建和扩建项目大气污染物实施“倍量替代”，执行特别排放标准的行业实施提标升级改造。</w:t>
      </w:r>
      <w:r>
        <w:t>蚌埠市</w:t>
      </w:r>
      <w:r>
        <w:rPr>
          <w:rFonts w:hint="eastAsia"/>
        </w:rPr>
        <w:t>大气</w:t>
      </w:r>
      <w:r>
        <w:t>环境分区管控图见图2.</w:t>
      </w:r>
      <w:r>
        <w:rPr>
          <w:rFonts w:hint="eastAsia"/>
        </w:rPr>
        <w:t>7</w:t>
      </w:r>
      <w:r>
        <w:t>-5。</w:t>
      </w:r>
    </w:p>
    <w:p w14:paraId="39E5A131">
      <w:pPr>
        <w:spacing w:line="360" w:lineRule="auto"/>
      </w:pPr>
      <w:r>
        <w:drawing>
          <wp:inline distT="0" distB="0" distL="0" distR="0">
            <wp:extent cx="5759450" cy="4062730"/>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14"/>
                    <a:stretch>
                      <a:fillRect/>
                    </a:stretch>
                  </pic:blipFill>
                  <pic:spPr>
                    <a:xfrm>
                      <a:off x="0" y="0"/>
                      <a:ext cx="5759450" cy="4062730"/>
                    </a:xfrm>
                    <a:prstGeom prst="rect">
                      <a:avLst/>
                    </a:prstGeom>
                  </pic:spPr>
                </pic:pic>
              </a:graphicData>
            </a:graphic>
          </wp:inline>
        </w:drawing>
      </w:r>
    </w:p>
    <w:p w14:paraId="3965A340">
      <w:pPr>
        <w:widowControl/>
        <w:ind w:firstLine="480"/>
        <w:jc w:val="center"/>
        <w:rPr>
          <w:rFonts w:hint="eastAsia" w:ascii="黑体" w:hAnsi="黑体" w:eastAsia="黑体"/>
        </w:rPr>
      </w:pPr>
      <w:r>
        <w:rPr>
          <w:rFonts w:hint="eastAsia" w:ascii="黑体" w:hAnsi="黑体" w:eastAsia="黑体"/>
          <w:bCs/>
          <w:kern w:val="44"/>
          <w:szCs w:val="44"/>
        </w:rPr>
        <w:t>图</w:t>
      </w:r>
      <w:r>
        <w:rPr>
          <w:rFonts w:ascii="黑体" w:hAnsi="黑体" w:eastAsia="黑体"/>
          <w:bCs/>
          <w:kern w:val="44"/>
          <w:szCs w:val="44"/>
        </w:rPr>
        <w:t>2.</w:t>
      </w:r>
      <w:r>
        <w:rPr>
          <w:rFonts w:hint="eastAsia" w:ascii="黑体" w:hAnsi="黑体" w:eastAsia="黑体"/>
          <w:bCs/>
          <w:kern w:val="44"/>
          <w:szCs w:val="44"/>
        </w:rPr>
        <w:t>7</w:t>
      </w:r>
      <w:r>
        <w:rPr>
          <w:rFonts w:ascii="黑体" w:hAnsi="黑体" w:eastAsia="黑体"/>
          <w:bCs/>
          <w:kern w:val="44"/>
          <w:szCs w:val="44"/>
        </w:rPr>
        <w:t>-4</w:t>
      </w:r>
      <w:r>
        <w:rPr>
          <w:rFonts w:hint="eastAsia" w:ascii="黑体" w:hAnsi="黑体" w:eastAsia="黑体"/>
          <w:bCs/>
          <w:kern w:val="44"/>
          <w:szCs w:val="44"/>
        </w:rPr>
        <w:t xml:space="preserve"> 蚌埠市水环境分区管控图</w:t>
      </w:r>
    </w:p>
    <w:p w14:paraId="0B34AEE9">
      <w:pPr>
        <w:spacing w:line="360" w:lineRule="auto"/>
      </w:pPr>
      <w:r>
        <w:drawing>
          <wp:inline distT="0" distB="0" distL="0" distR="0">
            <wp:extent cx="5759450" cy="4068445"/>
            <wp:effectExtent l="0" t="0" r="0" b="825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15"/>
                    <a:stretch>
                      <a:fillRect/>
                    </a:stretch>
                  </pic:blipFill>
                  <pic:spPr>
                    <a:xfrm>
                      <a:off x="0" y="0"/>
                      <a:ext cx="5759450" cy="4068445"/>
                    </a:xfrm>
                    <a:prstGeom prst="rect">
                      <a:avLst/>
                    </a:prstGeom>
                  </pic:spPr>
                </pic:pic>
              </a:graphicData>
            </a:graphic>
          </wp:inline>
        </w:drawing>
      </w:r>
    </w:p>
    <w:p w14:paraId="7F26E041">
      <w:pPr>
        <w:widowControl/>
        <w:ind w:firstLine="480"/>
        <w:jc w:val="center"/>
        <w:rPr>
          <w:rFonts w:hint="eastAsia" w:ascii="黑体" w:hAnsi="黑体" w:eastAsia="黑体"/>
        </w:rPr>
      </w:pPr>
      <w:r>
        <w:rPr>
          <w:rFonts w:hint="eastAsia" w:ascii="黑体" w:hAnsi="黑体" w:eastAsia="黑体"/>
          <w:bCs/>
          <w:kern w:val="44"/>
          <w:szCs w:val="44"/>
        </w:rPr>
        <w:t>图</w:t>
      </w:r>
      <w:r>
        <w:rPr>
          <w:rFonts w:ascii="黑体" w:hAnsi="黑体" w:eastAsia="黑体"/>
          <w:bCs/>
          <w:kern w:val="44"/>
          <w:szCs w:val="44"/>
        </w:rPr>
        <w:t>2.</w:t>
      </w:r>
      <w:r>
        <w:rPr>
          <w:rFonts w:hint="eastAsia" w:ascii="黑体" w:hAnsi="黑体" w:eastAsia="黑体"/>
          <w:bCs/>
          <w:kern w:val="44"/>
          <w:szCs w:val="44"/>
        </w:rPr>
        <w:t>7</w:t>
      </w:r>
      <w:r>
        <w:rPr>
          <w:rFonts w:ascii="黑体" w:hAnsi="黑体" w:eastAsia="黑体"/>
          <w:bCs/>
          <w:kern w:val="44"/>
          <w:szCs w:val="44"/>
        </w:rPr>
        <w:t>-5</w:t>
      </w:r>
      <w:r>
        <w:rPr>
          <w:rFonts w:hint="eastAsia" w:ascii="黑体" w:hAnsi="黑体" w:eastAsia="黑体"/>
          <w:bCs/>
          <w:kern w:val="44"/>
          <w:szCs w:val="44"/>
        </w:rPr>
        <w:t xml:space="preserve"> 蚌埠市大气环境分区管控图</w:t>
      </w:r>
    </w:p>
    <w:p w14:paraId="117625FC">
      <w:pPr>
        <w:spacing w:line="360" w:lineRule="auto"/>
      </w:pPr>
      <w:r>
        <w:drawing>
          <wp:inline distT="0" distB="0" distL="0" distR="0">
            <wp:extent cx="5759450" cy="4008120"/>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16"/>
                    <a:stretch>
                      <a:fillRect/>
                    </a:stretch>
                  </pic:blipFill>
                  <pic:spPr>
                    <a:xfrm>
                      <a:off x="0" y="0"/>
                      <a:ext cx="5759450" cy="4008120"/>
                    </a:xfrm>
                    <a:prstGeom prst="rect">
                      <a:avLst/>
                    </a:prstGeom>
                  </pic:spPr>
                </pic:pic>
              </a:graphicData>
            </a:graphic>
          </wp:inline>
        </w:drawing>
      </w:r>
    </w:p>
    <w:p w14:paraId="7C9BFE7F">
      <w:pPr>
        <w:widowControl/>
        <w:ind w:firstLine="480"/>
        <w:jc w:val="center"/>
        <w:rPr>
          <w:rFonts w:hint="eastAsia" w:ascii="黑体" w:hAnsi="黑体" w:eastAsia="黑体"/>
        </w:rPr>
      </w:pPr>
      <w:r>
        <w:rPr>
          <w:rFonts w:hint="eastAsia" w:ascii="黑体" w:hAnsi="黑体" w:eastAsia="黑体"/>
          <w:bCs/>
          <w:kern w:val="44"/>
          <w:szCs w:val="44"/>
        </w:rPr>
        <w:t>图</w:t>
      </w:r>
      <w:r>
        <w:rPr>
          <w:rFonts w:ascii="黑体" w:hAnsi="黑体" w:eastAsia="黑体"/>
          <w:bCs/>
          <w:kern w:val="44"/>
          <w:szCs w:val="44"/>
        </w:rPr>
        <w:t>2.</w:t>
      </w:r>
      <w:r>
        <w:rPr>
          <w:rFonts w:hint="eastAsia" w:ascii="黑体" w:hAnsi="黑体" w:eastAsia="黑体"/>
          <w:bCs/>
          <w:kern w:val="44"/>
          <w:szCs w:val="44"/>
        </w:rPr>
        <w:t>7</w:t>
      </w:r>
      <w:r>
        <w:rPr>
          <w:rFonts w:ascii="黑体" w:hAnsi="黑体" w:eastAsia="黑体"/>
          <w:bCs/>
          <w:kern w:val="44"/>
          <w:szCs w:val="44"/>
        </w:rPr>
        <w:t>-6</w:t>
      </w:r>
      <w:r>
        <w:rPr>
          <w:rFonts w:hint="eastAsia" w:ascii="黑体" w:hAnsi="黑体" w:eastAsia="黑体"/>
          <w:bCs/>
          <w:kern w:val="44"/>
          <w:szCs w:val="44"/>
        </w:rPr>
        <w:t xml:space="preserve"> 蚌埠市土壤环境分区管控图</w:t>
      </w:r>
    </w:p>
    <w:p w14:paraId="077F590F">
      <w:pPr>
        <w:tabs>
          <w:tab w:val="left" w:pos="540"/>
        </w:tabs>
        <w:ind w:firstLine="460" w:firstLineChars="192"/>
        <w:rPr>
          <w:rFonts w:cs="Times New Roman"/>
          <w:kern w:val="0"/>
        </w:rPr>
      </w:pPr>
      <w:r>
        <w:rPr>
          <w:rFonts w:hint="eastAsia" w:ascii="宋体" w:hAnsi="宋体" w:cs="Times New Roman"/>
          <w:kern w:val="0"/>
        </w:rPr>
        <w:t>③</w:t>
      </w:r>
      <w:r>
        <w:rPr>
          <w:rFonts w:hint="eastAsia" w:cs="Times New Roman"/>
          <w:kern w:val="0"/>
        </w:rPr>
        <w:t>地下水及土壤</w:t>
      </w:r>
    </w:p>
    <w:p w14:paraId="3B883EEF">
      <w:pPr>
        <w:ind w:firstLine="480" w:firstLineChars="200"/>
      </w:pPr>
      <w:r>
        <w:rPr>
          <w:rFonts w:hint="eastAsia" w:cs="Times New Roman"/>
          <w:kern w:val="0"/>
        </w:rPr>
        <w:t>根据监测结果，</w:t>
      </w:r>
      <w:r>
        <w:rPr>
          <w:rFonts w:cs="Times New Roman"/>
          <w:kern w:val="0"/>
        </w:rPr>
        <w:t>项目地下水监测点位的各监测因子能满足《地下水质量标准》(GB/T14848-2017</w:t>
      </w:r>
      <w:r>
        <w:rPr>
          <w:rFonts w:hint="eastAsia" w:cs="Times New Roman"/>
          <w:sz w:val="21"/>
          <w:szCs w:val="21"/>
        </w:rPr>
        <w:t>)</w:t>
      </w:r>
      <w:r>
        <w:rPr>
          <w:rFonts w:cs="Times New Roman"/>
          <w:kern w:val="0"/>
        </w:rPr>
        <w:t>中Ⅲ类标准要求，</w:t>
      </w:r>
      <w:r>
        <w:rPr>
          <w:rFonts w:hint="eastAsia"/>
        </w:rPr>
        <w:t>建设用地各指标均满足《土壤环境质量 建设用地土壤污染风险管控标准》(试行)</w:t>
      </w:r>
      <w:r>
        <w:t>(</w:t>
      </w:r>
      <w:r>
        <w:rPr>
          <w:rFonts w:hint="eastAsia"/>
        </w:rPr>
        <w:t>GB36600-2018)中第二类用地风险筛选值标准，厂区外农用地能满足《土壤环境质量 农用地土壤污染风险管控标准》(试行)(GB15618-2018)筛选值要求，</w:t>
      </w:r>
      <w:r>
        <w:t>蚌埠市</w:t>
      </w:r>
      <w:r>
        <w:rPr>
          <w:rFonts w:hint="eastAsia"/>
        </w:rPr>
        <w:t>土壤</w:t>
      </w:r>
      <w:r>
        <w:t>分区管控图见图2.</w:t>
      </w:r>
      <w:r>
        <w:rPr>
          <w:rFonts w:hint="eastAsia"/>
        </w:rPr>
        <w:t>7</w:t>
      </w:r>
      <w:r>
        <w:t>-6。</w:t>
      </w:r>
    </w:p>
    <w:p w14:paraId="74E33049">
      <w:pPr>
        <w:tabs>
          <w:tab w:val="left" w:pos="540"/>
        </w:tabs>
        <w:ind w:firstLine="460" w:firstLineChars="192"/>
        <w:rPr>
          <w:rFonts w:cs="Times New Roman"/>
          <w:kern w:val="0"/>
        </w:rPr>
      </w:pPr>
      <w:r>
        <w:rPr>
          <w:rFonts w:hint="eastAsia" w:cs="Times New Roman"/>
          <w:kern w:val="0"/>
        </w:rPr>
        <w:t>根据蚌埠市生态环境分区管控成果，到2030年，蚌埠市土壤环境质量稳中向好，农用地和建设用地土壤环境安全得到有效保障，土壤环境风险得到全面管控。本项目位于建设用地污染风险重点管控区，重点管控区要求：落实《中华人民共和国土壤污染防治法》《土壤污染防治行动计划》《农用地土壤环境管理办法(试行)》《工矿用地土壤环境管理办法(试行)》《“十四五”生态环境保护规划》《安徽省“十四五”环境保护规划》《安徽省重金属污染防控工作方案》《蚌埠市“十四五”生态环境保护规划》《蚌埠市土壤污染防治规划(2021-2025年)》《蚌埠市“十四五”危险废物工业固体废物污染环境防治规划》《蚌埠市医疗废物管理条例》等要求，防止土壤污染风险。</w:t>
      </w:r>
    </w:p>
    <w:p w14:paraId="4AC05C13">
      <w:pPr>
        <w:tabs>
          <w:tab w:val="left" w:pos="540"/>
        </w:tabs>
        <w:ind w:firstLine="460" w:firstLineChars="192"/>
        <w:rPr>
          <w:rFonts w:cs="Times New Roman"/>
          <w:kern w:val="0"/>
        </w:rPr>
      </w:pPr>
      <w:r>
        <w:rPr>
          <w:rFonts w:hint="eastAsia" w:cs="Times New Roman"/>
          <w:kern w:val="0"/>
        </w:rPr>
        <w:t>项目生产依托现有已建生产装置、各类储罐，间甲酚车间已按照规范要求对污水处理设施、污水收集输送管线、危废临时贮存场所、储罐区等采取重点防渗，并加强对废水、固体废物和原辅料的管理，在正常运行工况下，不会对土壤和地下水环境质量造成显著的不利影响，不会降低区域环境质量的原有功能级别，满足环境质量底线控制要求。</w:t>
      </w:r>
    </w:p>
    <w:p w14:paraId="509932F9">
      <w:pPr>
        <w:ind w:firstLine="480" w:firstLineChars="200"/>
      </w:pPr>
      <w:r>
        <w:t>(3)资源利用上线分析</w:t>
      </w:r>
    </w:p>
    <w:p w14:paraId="20454DC8">
      <w:pPr>
        <w:tabs>
          <w:tab w:val="left" w:pos="540"/>
        </w:tabs>
        <w:ind w:firstLine="460" w:firstLineChars="192"/>
        <w:rPr>
          <w:rFonts w:cs="Times New Roman"/>
          <w:kern w:val="0"/>
        </w:rPr>
      </w:pPr>
      <w:bookmarkStart w:id="45" w:name="_Hlk166598469"/>
      <w:r>
        <w:rPr>
          <w:rFonts w:cs="Times New Roman"/>
          <w:kern w:val="0"/>
        </w:rPr>
        <w:t>根据《蚌埠精细化工高新技术产业基地规划(2021~2035</w:t>
      </w:r>
      <w:r>
        <w:rPr>
          <w:rFonts w:hint="eastAsia" w:cs="Times New Roman"/>
          <w:kern w:val="0"/>
        </w:rPr>
        <w:t>)</w:t>
      </w:r>
      <w:r>
        <w:rPr>
          <w:rFonts w:cs="Times New Roman"/>
          <w:kern w:val="0"/>
        </w:rPr>
        <w:t>环境影响报告书》，土地资源、水资源及环境承载力分析结论，水资源利用上限用水总量上限7.83万m</w:t>
      </w:r>
      <w:r>
        <w:rPr>
          <w:rFonts w:cs="Times New Roman"/>
          <w:kern w:val="0"/>
          <w:vertAlign w:val="superscript"/>
        </w:rPr>
        <w:t>3</w:t>
      </w:r>
      <w:r>
        <w:rPr>
          <w:rFonts w:cs="Times New Roman"/>
          <w:kern w:val="0"/>
        </w:rPr>
        <w:t>/d，电力资源上限229MW/h，燃气利用上限2760万立方米/年，热负荷上限181.5t/h</w:t>
      </w:r>
      <w:r>
        <w:rPr>
          <w:rFonts w:hint="eastAsia" w:cs="Times New Roman"/>
          <w:kern w:val="0"/>
        </w:rPr>
        <w:t>(</w:t>
      </w:r>
      <w:r>
        <w:rPr>
          <w:rFonts w:cs="Times New Roman"/>
          <w:kern w:val="0"/>
        </w:rPr>
        <w:t>工业负荷</w:t>
      </w:r>
      <w:r>
        <w:rPr>
          <w:rFonts w:hint="eastAsia" w:cs="Times New Roman"/>
          <w:kern w:val="0"/>
        </w:rPr>
        <w:t>)</w:t>
      </w:r>
      <w:r>
        <w:rPr>
          <w:rFonts w:cs="Times New Roman"/>
          <w:kern w:val="0"/>
        </w:rPr>
        <w:t>，土地资源利用上限860hm</w:t>
      </w:r>
      <w:r>
        <w:rPr>
          <w:rFonts w:cs="Times New Roman"/>
          <w:kern w:val="0"/>
          <w:vertAlign w:val="superscript"/>
        </w:rPr>
        <w:t>2</w:t>
      </w:r>
      <w:r>
        <w:rPr>
          <w:rFonts w:cs="Times New Roman"/>
          <w:kern w:val="0"/>
        </w:rPr>
        <w:t>。</w:t>
      </w:r>
    </w:p>
    <w:p w14:paraId="1DC5A489">
      <w:pPr>
        <w:ind w:firstLine="480" w:firstLineChars="200"/>
      </w:pPr>
      <w:r>
        <w:rPr>
          <w:rFonts w:cs="Times New Roman"/>
        </w:rPr>
        <w:t>项目位于蚌埠精细化工高新技术产业基地海华</w:t>
      </w:r>
      <w:r>
        <w:rPr>
          <w:rFonts w:hint="eastAsia" w:cs="Times New Roman"/>
        </w:rPr>
        <w:t>科技集团现有厂区内</w:t>
      </w:r>
      <w:r>
        <w:rPr>
          <w:rFonts w:cs="Times New Roman"/>
        </w:rPr>
        <w:t>，</w:t>
      </w:r>
      <w:r>
        <w:rPr>
          <w:rFonts w:hint="eastAsia" w:cs="Times New Roman"/>
        </w:rPr>
        <w:t>项目的建设不新增用地，供热由现有外购蒸汽供给，新鲜水用量较小，</w:t>
      </w:r>
      <w:bookmarkEnd w:id="45"/>
      <w:r>
        <w:rPr>
          <w:rFonts w:hint="eastAsia" w:cs="Times New Roman"/>
        </w:rPr>
        <w:t>技改项目实施后蒸汽、耗电量等与现有工程相比较均有所降低，技改项目建设符合资源利用上线的要求。</w:t>
      </w:r>
    </w:p>
    <w:p w14:paraId="4245DC0F">
      <w:pPr>
        <w:ind w:firstLine="480" w:firstLineChars="200"/>
      </w:pPr>
      <w:r>
        <w:rPr>
          <w:rFonts w:hint="eastAsia"/>
        </w:rPr>
        <w:t>(</w:t>
      </w:r>
      <w:r>
        <w:t>4)</w:t>
      </w:r>
      <w:r>
        <w:rPr>
          <w:rFonts w:hint="eastAsia"/>
        </w:rPr>
        <w:t>生态环境准入清单</w:t>
      </w:r>
    </w:p>
    <w:p w14:paraId="0D17FF73">
      <w:pPr>
        <w:ind w:firstLine="480" w:firstLineChars="200"/>
      </w:pPr>
      <w:r>
        <w:rPr>
          <w:rFonts w:hint="eastAsia"/>
        </w:rPr>
        <w:t>根据《蚌埠精细化工高新技术产业基地规划(2021~2035</w:t>
      </w:r>
      <w:r>
        <w:rPr>
          <w:rFonts w:hint="eastAsia" w:cs="Times New Roman"/>
          <w:sz w:val="21"/>
          <w:szCs w:val="21"/>
        </w:rPr>
        <w:t>)</w:t>
      </w:r>
      <w:r>
        <w:rPr>
          <w:rFonts w:hint="eastAsia"/>
        </w:rPr>
        <w:t>环境影响评价报告书》中蚌埠精细化工高新技术产业基地生态环境准入清单，本项目属于蚌埠精细化工高新技术产业基地中鼓励类项目，不属于其中禁止类和限制类负面清单。与蚌埠精细化工高新技术产业基地生态环境准入清单见表</w:t>
      </w:r>
      <w:r>
        <w:t>2.</w:t>
      </w:r>
      <w:r>
        <w:rPr>
          <w:rFonts w:hint="eastAsia"/>
        </w:rPr>
        <w:t>7</w:t>
      </w:r>
      <w:r>
        <w:t>-1</w:t>
      </w:r>
      <w:r>
        <w:rPr>
          <w:rFonts w:hint="eastAsia"/>
        </w:rPr>
        <w:t>。</w:t>
      </w:r>
    </w:p>
    <w:p w14:paraId="6CAF83A4">
      <w:pPr>
        <w:ind w:firstLine="480" w:firstLineChars="200"/>
      </w:pPr>
      <w:r>
        <w:rPr>
          <w:rFonts w:hint="eastAsia"/>
        </w:rPr>
        <w:t>根据</w:t>
      </w:r>
      <w:bookmarkStart w:id="46" w:name="_Hlk140779283"/>
      <w:r>
        <w:rPr>
          <w:rFonts w:hint="eastAsia"/>
        </w:rPr>
        <w:t>长江经济带战略环境评价蚌埠市生态环境分区管控成果</w:t>
      </w:r>
      <w:bookmarkEnd w:id="46"/>
      <w:r>
        <w:rPr>
          <w:rFonts w:hint="eastAsia"/>
        </w:rPr>
        <w:t>，本项目位于蚌埠精细化工高新技术产业基地，属于大气、水、土重点管控区，与生态环境准入清单相符性分析见表</w:t>
      </w:r>
      <w:r>
        <w:t>2.</w:t>
      </w:r>
      <w:r>
        <w:rPr>
          <w:rFonts w:hint="eastAsia"/>
        </w:rPr>
        <w:t>7</w:t>
      </w:r>
      <w:r>
        <w:t>-2</w:t>
      </w:r>
      <w:r>
        <w:rPr>
          <w:rFonts w:hint="eastAsia"/>
        </w:rPr>
        <w:t>。</w:t>
      </w:r>
    </w:p>
    <w:p w14:paraId="245A1281">
      <w:pPr>
        <w:pStyle w:val="28"/>
        <w:rPr>
          <w:rFonts w:hint="eastAsia"/>
        </w:rPr>
      </w:pPr>
      <w:r>
        <w:t>表2.</w:t>
      </w:r>
      <w:r>
        <w:rPr>
          <w:rFonts w:hint="eastAsia"/>
        </w:rPr>
        <w:t>7</w:t>
      </w:r>
      <w:r>
        <w:t>-1</w:t>
      </w:r>
      <w:r>
        <w:rPr>
          <w:rFonts w:hint="eastAsia"/>
        </w:rPr>
        <w:t xml:space="preserve">  </w:t>
      </w:r>
      <w:r>
        <w:t>项目与蚌埠精细化工高新技术产业基地生态环境准入清单相符性</w:t>
      </w:r>
    </w:p>
    <w:tbl>
      <w:tblPr>
        <w:tblStyle w:val="192"/>
        <w:tblW w:w="9072"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57" w:type="dxa"/>
          <w:bottom w:w="0" w:type="dxa"/>
          <w:right w:w="57" w:type="dxa"/>
        </w:tblCellMar>
      </w:tblPr>
      <w:tblGrid>
        <w:gridCol w:w="658"/>
        <w:gridCol w:w="1027"/>
        <w:gridCol w:w="2134"/>
        <w:gridCol w:w="3404"/>
        <w:gridCol w:w="1834"/>
        <w:gridCol w:w="15"/>
      </w:tblGrid>
      <w:tr w14:paraId="176EC6A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gridAfter w:val="1"/>
          <w:wAfter w:w="9" w:type="pct"/>
          <w:trHeight w:val="340" w:hRule="atLeast"/>
          <w:jc w:val="center"/>
        </w:trPr>
        <w:tc>
          <w:tcPr>
            <w:tcW w:w="363" w:type="pct"/>
            <w:vAlign w:val="center"/>
          </w:tcPr>
          <w:p w14:paraId="2E84B64E">
            <w:pPr>
              <w:adjustRightInd/>
              <w:snapToGrid/>
              <w:spacing w:line="240" w:lineRule="auto"/>
              <w:jc w:val="center"/>
              <w:rPr>
                <w:rFonts w:cs="Times New Roman"/>
                <w:bCs/>
                <w:sz w:val="21"/>
                <w:szCs w:val="21"/>
                <w14:ligatures w14:val="none"/>
              </w:rPr>
            </w:pPr>
            <w:r>
              <w:rPr>
                <w:rFonts w:cs="Times New Roman"/>
                <w:bCs/>
                <w:sz w:val="21"/>
                <w:szCs w:val="21"/>
                <w14:ligatures w14:val="none"/>
              </w:rPr>
              <w:t>管控类别</w:t>
            </w:r>
          </w:p>
        </w:tc>
        <w:tc>
          <w:tcPr>
            <w:tcW w:w="566" w:type="pct"/>
            <w:vAlign w:val="center"/>
          </w:tcPr>
          <w:p w14:paraId="3452A734">
            <w:pPr>
              <w:adjustRightInd/>
              <w:snapToGrid/>
              <w:spacing w:line="240" w:lineRule="auto"/>
              <w:jc w:val="center"/>
              <w:rPr>
                <w:rFonts w:cs="Times New Roman"/>
                <w:bCs/>
                <w:sz w:val="21"/>
                <w:szCs w:val="21"/>
                <w14:ligatures w14:val="none"/>
              </w:rPr>
            </w:pPr>
            <w:r>
              <w:rPr>
                <w:rFonts w:cs="Times New Roman"/>
                <w:bCs/>
                <w:sz w:val="21"/>
                <w:szCs w:val="21"/>
                <w14:ligatures w14:val="none"/>
              </w:rPr>
              <w:t>产业</w:t>
            </w:r>
          </w:p>
          <w:p w14:paraId="61E539B3">
            <w:pPr>
              <w:adjustRightInd/>
              <w:snapToGrid/>
              <w:spacing w:line="240" w:lineRule="auto"/>
              <w:jc w:val="center"/>
              <w:rPr>
                <w:rFonts w:cs="Times New Roman"/>
                <w:bCs/>
                <w:sz w:val="21"/>
                <w:szCs w:val="21"/>
                <w14:ligatures w14:val="none"/>
              </w:rPr>
            </w:pPr>
            <w:r>
              <w:rPr>
                <w:rFonts w:cs="Times New Roman"/>
                <w:bCs/>
                <w:sz w:val="21"/>
                <w:szCs w:val="21"/>
                <w14:ligatures w14:val="none"/>
              </w:rPr>
              <w:t>类别</w:t>
            </w:r>
          </w:p>
        </w:tc>
        <w:tc>
          <w:tcPr>
            <w:tcW w:w="3052" w:type="pct"/>
            <w:gridSpan w:val="2"/>
            <w:vAlign w:val="center"/>
          </w:tcPr>
          <w:p w14:paraId="31E370A1">
            <w:pPr>
              <w:adjustRightInd/>
              <w:snapToGrid/>
              <w:spacing w:line="240" w:lineRule="auto"/>
              <w:jc w:val="center"/>
              <w:rPr>
                <w:rFonts w:cs="Times New Roman"/>
                <w:bCs/>
                <w:sz w:val="21"/>
                <w:szCs w:val="21"/>
                <w14:ligatures w14:val="none"/>
              </w:rPr>
            </w:pPr>
            <w:r>
              <w:rPr>
                <w:rFonts w:cs="Times New Roman"/>
                <w:bCs/>
                <w:sz w:val="21"/>
                <w:szCs w:val="21"/>
                <w14:ligatures w14:val="none"/>
              </w:rPr>
              <w:t>准入要求</w:t>
            </w:r>
          </w:p>
        </w:tc>
        <w:tc>
          <w:tcPr>
            <w:tcW w:w="1011" w:type="pct"/>
            <w:vAlign w:val="center"/>
          </w:tcPr>
          <w:p w14:paraId="7D6499D7">
            <w:pPr>
              <w:adjustRightInd/>
              <w:snapToGrid/>
              <w:spacing w:line="240" w:lineRule="auto"/>
              <w:jc w:val="center"/>
              <w:rPr>
                <w:rFonts w:cs="Times New Roman"/>
                <w:bCs/>
                <w:sz w:val="21"/>
                <w:szCs w:val="21"/>
                <w14:ligatures w14:val="none"/>
              </w:rPr>
            </w:pPr>
            <w:r>
              <w:rPr>
                <w:rFonts w:cs="Times New Roman"/>
                <w:bCs/>
                <w:sz w:val="21"/>
                <w:szCs w:val="21"/>
                <w14:ligatures w14:val="none"/>
              </w:rPr>
              <w:t>相符性分析</w:t>
            </w:r>
          </w:p>
        </w:tc>
      </w:tr>
      <w:tr w14:paraId="4F5F46C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gridAfter w:val="1"/>
          <w:wAfter w:w="9" w:type="pct"/>
          <w:trHeight w:val="340" w:hRule="atLeast"/>
          <w:jc w:val="center"/>
        </w:trPr>
        <w:tc>
          <w:tcPr>
            <w:tcW w:w="363" w:type="pct"/>
            <w:vMerge w:val="restart"/>
            <w:vAlign w:val="center"/>
          </w:tcPr>
          <w:p w14:paraId="0FC74D09">
            <w:pPr>
              <w:adjustRightInd/>
              <w:snapToGrid/>
              <w:spacing w:line="240" w:lineRule="auto"/>
              <w:jc w:val="center"/>
              <w:rPr>
                <w:rFonts w:cs="Times New Roman"/>
                <w:sz w:val="21"/>
                <w:szCs w:val="21"/>
                <w14:ligatures w14:val="none"/>
              </w:rPr>
            </w:pPr>
            <w:r>
              <w:rPr>
                <w:rFonts w:cs="Times New Roman"/>
                <w:sz w:val="21"/>
                <w:szCs w:val="21"/>
                <w14:ligatures w14:val="none"/>
              </w:rPr>
              <w:t>鼓励类</w:t>
            </w:r>
          </w:p>
        </w:tc>
        <w:tc>
          <w:tcPr>
            <w:tcW w:w="566" w:type="pct"/>
            <w:vAlign w:val="center"/>
          </w:tcPr>
          <w:p w14:paraId="6BE3025F">
            <w:pPr>
              <w:adjustRightInd/>
              <w:snapToGrid/>
              <w:spacing w:line="240" w:lineRule="auto"/>
              <w:jc w:val="center"/>
              <w:rPr>
                <w:rFonts w:cs="Times New Roman"/>
                <w:sz w:val="21"/>
                <w:szCs w:val="21"/>
                <w14:ligatures w14:val="none"/>
              </w:rPr>
            </w:pPr>
            <w:r>
              <w:rPr>
                <w:rFonts w:cs="Times New Roman"/>
                <w:sz w:val="21"/>
                <w:szCs w:val="21"/>
                <w14:ligatures w14:val="none"/>
              </w:rPr>
              <w:t>生物基新材料</w:t>
            </w:r>
          </w:p>
        </w:tc>
        <w:tc>
          <w:tcPr>
            <w:tcW w:w="1176" w:type="pct"/>
            <w:vAlign w:val="center"/>
          </w:tcPr>
          <w:p w14:paraId="7EDEE7E0">
            <w:pPr>
              <w:adjustRightInd/>
              <w:snapToGrid/>
              <w:spacing w:line="240" w:lineRule="auto"/>
              <w:jc w:val="center"/>
              <w:rPr>
                <w:rFonts w:cs="Times New Roman"/>
                <w:sz w:val="21"/>
                <w:szCs w:val="21"/>
                <w14:ligatures w14:val="none"/>
              </w:rPr>
            </w:pPr>
            <w:r>
              <w:rPr>
                <w:rFonts w:cs="Times New Roman"/>
                <w:sz w:val="21"/>
                <w:szCs w:val="21"/>
                <w14:ligatures w14:val="none"/>
              </w:rPr>
              <w:t>C28化学纤维制造业</w:t>
            </w:r>
          </w:p>
        </w:tc>
        <w:tc>
          <w:tcPr>
            <w:tcW w:w="1876" w:type="pct"/>
            <w:vAlign w:val="center"/>
          </w:tcPr>
          <w:p w14:paraId="487275D5">
            <w:pPr>
              <w:adjustRightInd/>
              <w:snapToGrid/>
              <w:spacing w:line="240" w:lineRule="auto"/>
              <w:jc w:val="center"/>
              <w:rPr>
                <w:rFonts w:cs="Times New Roman"/>
                <w:sz w:val="21"/>
                <w:szCs w:val="21"/>
                <w14:ligatures w14:val="none"/>
              </w:rPr>
            </w:pPr>
            <w:r>
              <w:rPr>
                <w:rFonts w:cs="Times New Roman"/>
                <w:sz w:val="21"/>
                <w:szCs w:val="21"/>
                <w14:ligatures w14:val="none"/>
              </w:rPr>
              <w:t>C283生物基材料制造</w:t>
            </w:r>
          </w:p>
        </w:tc>
        <w:tc>
          <w:tcPr>
            <w:tcW w:w="1011" w:type="pct"/>
            <w:vMerge w:val="restart"/>
            <w:vAlign w:val="center"/>
          </w:tcPr>
          <w:p w14:paraId="6A1F5726">
            <w:pPr>
              <w:adjustRightInd/>
              <w:snapToGrid/>
              <w:spacing w:line="240" w:lineRule="auto"/>
              <w:rPr>
                <w:rFonts w:cs="Times New Roman"/>
                <w:sz w:val="21"/>
                <w:szCs w:val="21"/>
                <w14:ligatures w14:val="none"/>
              </w:rPr>
            </w:pPr>
            <w:r>
              <w:rPr>
                <w:rFonts w:cs="Times New Roman"/>
                <w:sz w:val="21"/>
                <w:szCs w:val="21"/>
                <w14:ligatures w14:val="none"/>
              </w:rPr>
              <w:t>项目属于</w:t>
            </w:r>
            <w:r>
              <w:rPr>
                <w:rFonts w:hint="eastAsia" w:cs="Times New Roman"/>
                <w:sz w:val="21"/>
                <w:szCs w:val="21"/>
                <w14:ligatures w14:val="none"/>
              </w:rPr>
              <w:t>有机化学原料制造(C2614)</w:t>
            </w:r>
            <w:r>
              <w:rPr>
                <w:rFonts w:cs="Times New Roman"/>
                <w:sz w:val="21"/>
                <w:szCs w:val="21"/>
                <w14:ligatures w14:val="none"/>
              </w:rPr>
              <w:t>，属于鼓励类项目</w:t>
            </w:r>
          </w:p>
        </w:tc>
      </w:tr>
      <w:tr w14:paraId="0D02E0B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gridAfter w:val="1"/>
          <w:wAfter w:w="9" w:type="pct"/>
          <w:trHeight w:val="340" w:hRule="atLeast"/>
          <w:jc w:val="center"/>
        </w:trPr>
        <w:tc>
          <w:tcPr>
            <w:tcW w:w="363" w:type="pct"/>
            <w:vMerge w:val="continue"/>
            <w:vAlign w:val="center"/>
          </w:tcPr>
          <w:p w14:paraId="152B8223">
            <w:pPr>
              <w:adjustRightInd/>
              <w:snapToGrid/>
              <w:spacing w:line="240" w:lineRule="auto"/>
              <w:jc w:val="center"/>
              <w:rPr>
                <w:rFonts w:cs="Times New Roman"/>
                <w:sz w:val="21"/>
                <w:szCs w:val="21"/>
                <w14:ligatures w14:val="none"/>
              </w:rPr>
            </w:pPr>
          </w:p>
        </w:tc>
        <w:tc>
          <w:tcPr>
            <w:tcW w:w="566" w:type="pct"/>
            <w:vMerge w:val="restart"/>
            <w:vAlign w:val="center"/>
          </w:tcPr>
          <w:p w14:paraId="412C2885">
            <w:pPr>
              <w:adjustRightInd/>
              <w:snapToGrid/>
              <w:spacing w:line="240" w:lineRule="auto"/>
              <w:jc w:val="center"/>
              <w:rPr>
                <w:rFonts w:cs="Times New Roman"/>
                <w:sz w:val="21"/>
                <w:szCs w:val="21"/>
                <w14:ligatures w14:val="none"/>
              </w:rPr>
            </w:pPr>
            <w:r>
              <w:rPr>
                <w:rFonts w:cs="Times New Roman"/>
                <w:sz w:val="21"/>
                <w:szCs w:val="21"/>
                <w14:ligatures w14:val="none"/>
              </w:rPr>
              <w:t>医药化工</w:t>
            </w:r>
          </w:p>
        </w:tc>
        <w:tc>
          <w:tcPr>
            <w:tcW w:w="1176" w:type="pct"/>
            <w:vMerge w:val="restart"/>
            <w:vAlign w:val="center"/>
          </w:tcPr>
          <w:p w14:paraId="561B4BCF">
            <w:pPr>
              <w:adjustRightInd/>
              <w:snapToGrid/>
              <w:spacing w:line="240" w:lineRule="auto"/>
              <w:jc w:val="center"/>
              <w:rPr>
                <w:rFonts w:cs="Times New Roman"/>
                <w:sz w:val="21"/>
                <w:szCs w:val="21"/>
                <w14:ligatures w14:val="none"/>
              </w:rPr>
            </w:pPr>
            <w:r>
              <w:rPr>
                <w:rFonts w:cs="Times New Roman"/>
                <w:sz w:val="21"/>
                <w:szCs w:val="21"/>
                <w14:ligatures w14:val="none"/>
              </w:rPr>
              <w:t>C27医药制造业</w:t>
            </w:r>
          </w:p>
        </w:tc>
        <w:tc>
          <w:tcPr>
            <w:tcW w:w="1876" w:type="pct"/>
            <w:vAlign w:val="center"/>
          </w:tcPr>
          <w:p w14:paraId="703827B4">
            <w:pPr>
              <w:adjustRightInd/>
              <w:snapToGrid/>
              <w:spacing w:line="240" w:lineRule="auto"/>
              <w:jc w:val="center"/>
              <w:rPr>
                <w:rFonts w:cs="Times New Roman"/>
                <w:sz w:val="21"/>
                <w:szCs w:val="21"/>
                <w14:ligatures w14:val="none"/>
              </w:rPr>
            </w:pPr>
            <w:r>
              <w:rPr>
                <w:rFonts w:cs="Times New Roman"/>
                <w:sz w:val="21"/>
                <w:szCs w:val="21"/>
                <w14:ligatures w14:val="none"/>
              </w:rPr>
              <w:t>C271化学药品原料药制造</w:t>
            </w:r>
          </w:p>
        </w:tc>
        <w:tc>
          <w:tcPr>
            <w:tcW w:w="1011" w:type="pct"/>
            <w:vMerge w:val="continue"/>
            <w:vAlign w:val="center"/>
          </w:tcPr>
          <w:p w14:paraId="3558069F">
            <w:pPr>
              <w:adjustRightInd/>
              <w:snapToGrid/>
              <w:spacing w:line="240" w:lineRule="auto"/>
              <w:jc w:val="center"/>
              <w:rPr>
                <w:rFonts w:cs="Times New Roman"/>
                <w:sz w:val="21"/>
                <w:szCs w:val="21"/>
                <w14:ligatures w14:val="none"/>
              </w:rPr>
            </w:pPr>
          </w:p>
        </w:tc>
      </w:tr>
      <w:tr w14:paraId="440F84A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gridAfter w:val="1"/>
          <w:wAfter w:w="9" w:type="pct"/>
          <w:trHeight w:val="340" w:hRule="atLeast"/>
          <w:jc w:val="center"/>
        </w:trPr>
        <w:tc>
          <w:tcPr>
            <w:tcW w:w="363" w:type="pct"/>
            <w:vMerge w:val="continue"/>
            <w:vAlign w:val="center"/>
          </w:tcPr>
          <w:p w14:paraId="4272EBD3">
            <w:pPr>
              <w:adjustRightInd/>
              <w:snapToGrid/>
              <w:spacing w:line="240" w:lineRule="auto"/>
              <w:jc w:val="center"/>
              <w:rPr>
                <w:rFonts w:cs="Times New Roman"/>
                <w:sz w:val="21"/>
                <w:szCs w:val="21"/>
                <w14:ligatures w14:val="none"/>
              </w:rPr>
            </w:pPr>
          </w:p>
        </w:tc>
        <w:tc>
          <w:tcPr>
            <w:tcW w:w="566" w:type="pct"/>
            <w:vMerge w:val="continue"/>
            <w:vAlign w:val="center"/>
          </w:tcPr>
          <w:p w14:paraId="4DCDCB5A">
            <w:pPr>
              <w:adjustRightInd/>
              <w:snapToGrid/>
              <w:spacing w:line="240" w:lineRule="auto"/>
              <w:jc w:val="center"/>
              <w:rPr>
                <w:rFonts w:cs="Times New Roman"/>
                <w:sz w:val="21"/>
                <w:szCs w:val="21"/>
                <w14:ligatures w14:val="none"/>
              </w:rPr>
            </w:pPr>
          </w:p>
        </w:tc>
        <w:tc>
          <w:tcPr>
            <w:tcW w:w="1176" w:type="pct"/>
            <w:vMerge w:val="continue"/>
            <w:vAlign w:val="center"/>
          </w:tcPr>
          <w:p w14:paraId="6AFF2365">
            <w:pPr>
              <w:adjustRightInd/>
              <w:snapToGrid/>
              <w:spacing w:line="240" w:lineRule="auto"/>
              <w:jc w:val="center"/>
              <w:rPr>
                <w:rFonts w:cs="Times New Roman"/>
                <w:sz w:val="21"/>
                <w:szCs w:val="21"/>
                <w14:ligatures w14:val="none"/>
              </w:rPr>
            </w:pPr>
          </w:p>
        </w:tc>
        <w:tc>
          <w:tcPr>
            <w:tcW w:w="1876" w:type="pct"/>
            <w:vAlign w:val="center"/>
          </w:tcPr>
          <w:p w14:paraId="58FDC284">
            <w:pPr>
              <w:adjustRightInd/>
              <w:snapToGrid/>
              <w:spacing w:line="240" w:lineRule="auto"/>
              <w:jc w:val="center"/>
              <w:rPr>
                <w:rFonts w:cs="Times New Roman"/>
                <w:sz w:val="21"/>
                <w:szCs w:val="21"/>
                <w14:ligatures w14:val="none"/>
              </w:rPr>
            </w:pPr>
            <w:r>
              <w:rPr>
                <w:rFonts w:cs="Times New Roman"/>
                <w:sz w:val="21"/>
                <w:szCs w:val="21"/>
                <w14:ligatures w14:val="none"/>
              </w:rPr>
              <w:t>C272化学药品制剂制造</w:t>
            </w:r>
          </w:p>
        </w:tc>
        <w:tc>
          <w:tcPr>
            <w:tcW w:w="1011" w:type="pct"/>
            <w:vMerge w:val="continue"/>
            <w:vAlign w:val="center"/>
          </w:tcPr>
          <w:p w14:paraId="1A1C204A">
            <w:pPr>
              <w:adjustRightInd/>
              <w:snapToGrid/>
              <w:spacing w:line="240" w:lineRule="auto"/>
              <w:jc w:val="center"/>
              <w:rPr>
                <w:rFonts w:cs="Times New Roman"/>
                <w:sz w:val="21"/>
                <w:szCs w:val="21"/>
                <w14:ligatures w14:val="none"/>
              </w:rPr>
            </w:pPr>
          </w:p>
        </w:tc>
      </w:tr>
      <w:tr w14:paraId="2CB7DD9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gridAfter w:val="1"/>
          <w:wAfter w:w="9" w:type="pct"/>
          <w:trHeight w:val="340" w:hRule="atLeast"/>
          <w:jc w:val="center"/>
        </w:trPr>
        <w:tc>
          <w:tcPr>
            <w:tcW w:w="363" w:type="pct"/>
            <w:vMerge w:val="continue"/>
            <w:vAlign w:val="center"/>
          </w:tcPr>
          <w:p w14:paraId="22610FB4">
            <w:pPr>
              <w:adjustRightInd/>
              <w:snapToGrid/>
              <w:spacing w:line="240" w:lineRule="auto"/>
              <w:jc w:val="center"/>
              <w:rPr>
                <w:rFonts w:cs="Times New Roman"/>
                <w:sz w:val="21"/>
                <w:szCs w:val="21"/>
                <w14:ligatures w14:val="none"/>
              </w:rPr>
            </w:pPr>
          </w:p>
        </w:tc>
        <w:tc>
          <w:tcPr>
            <w:tcW w:w="566" w:type="pct"/>
            <w:vMerge w:val="continue"/>
            <w:vAlign w:val="center"/>
          </w:tcPr>
          <w:p w14:paraId="00A42ABC">
            <w:pPr>
              <w:adjustRightInd/>
              <w:snapToGrid/>
              <w:spacing w:line="240" w:lineRule="auto"/>
              <w:jc w:val="center"/>
              <w:rPr>
                <w:rFonts w:cs="Times New Roman"/>
                <w:sz w:val="21"/>
                <w:szCs w:val="21"/>
                <w14:ligatures w14:val="none"/>
              </w:rPr>
            </w:pPr>
          </w:p>
        </w:tc>
        <w:tc>
          <w:tcPr>
            <w:tcW w:w="1176" w:type="pct"/>
            <w:vMerge w:val="continue"/>
            <w:vAlign w:val="center"/>
          </w:tcPr>
          <w:p w14:paraId="35082692">
            <w:pPr>
              <w:adjustRightInd/>
              <w:snapToGrid/>
              <w:spacing w:line="240" w:lineRule="auto"/>
              <w:jc w:val="center"/>
              <w:rPr>
                <w:rFonts w:cs="Times New Roman"/>
                <w:sz w:val="21"/>
                <w:szCs w:val="21"/>
                <w14:ligatures w14:val="none"/>
              </w:rPr>
            </w:pPr>
          </w:p>
        </w:tc>
        <w:tc>
          <w:tcPr>
            <w:tcW w:w="1876" w:type="pct"/>
            <w:vAlign w:val="center"/>
          </w:tcPr>
          <w:p w14:paraId="14BC7254">
            <w:pPr>
              <w:adjustRightInd/>
              <w:snapToGrid/>
              <w:spacing w:line="240" w:lineRule="auto"/>
              <w:jc w:val="center"/>
              <w:rPr>
                <w:rFonts w:cs="Times New Roman"/>
                <w:sz w:val="21"/>
                <w:szCs w:val="21"/>
                <w14:ligatures w14:val="none"/>
              </w:rPr>
            </w:pPr>
            <w:r>
              <w:rPr>
                <w:rFonts w:cs="Times New Roman"/>
                <w:sz w:val="21"/>
                <w:szCs w:val="21"/>
                <w14:ligatures w14:val="none"/>
              </w:rPr>
              <w:t>C273中药饮片加工</w:t>
            </w:r>
          </w:p>
        </w:tc>
        <w:tc>
          <w:tcPr>
            <w:tcW w:w="1011" w:type="pct"/>
            <w:vMerge w:val="continue"/>
            <w:vAlign w:val="center"/>
          </w:tcPr>
          <w:p w14:paraId="1C7AC3D7">
            <w:pPr>
              <w:adjustRightInd/>
              <w:snapToGrid/>
              <w:spacing w:line="240" w:lineRule="auto"/>
              <w:jc w:val="center"/>
              <w:rPr>
                <w:rFonts w:cs="Times New Roman"/>
                <w:sz w:val="21"/>
                <w:szCs w:val="21"/>
                <w14:ligatures w14:val="none"/>
              </w:rPr>
            </w:pPr>
          </w:p>
        </w:tc>
      </w:tr>
      <w:tr w14:paraId="23694F5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gridAfter w:val="1"/>
          <w:wAfter w:w="9" w:type="pct"/>
          <w:trHeight w:val="340" w:hRule="atLeast"/>
          <w:jc w:val="center"/>
        </w:trPr>
        <w:tc>
          <w:tcPr>
            <w:tcW w:w="363" w:type="pct"/>
            <w:vMerge w:val="continue"/>
            <w:vAlign w:val="center"/>
          </w:tcPr>
          <w:p w14:paraId="24BCE12E">
            <w:pPr>
              <w:adjustRightInd/>
              <w:snapToGrid/>
              <w:spacing w:line="240" w:lineRule="auto"/>
              <w:jc w:val="center"/>
              <w:rPr>
                <w:rFonts w:cs="Times New Roman"/>
                <w:sz w:val="21"/>
                <w:szCs w:val="21"/>
                <w14:ligatures w14:val="none"/>
              </w:rPr>
            </w:pPr>
          </w:p>
        </w:tc>
        <w:tc>
          <w:tcPr>
            <w:tcW w:w="566" w:type="pct"/>
            <w:vMerge w:val="continue"/>
            <w:vAlign w:val="center"/>
          </w:tcPr>
          <w:p w14:paraId="7D177271">
            <w:pPr>
              <w:adjustRightInd/>
              <w:snapToGrid/>
              <w:spacing w:line="240" w:lineRule="auto"/>
              <w:jc w:val="center"/>
              <w:rPr>
                <w:rFonts w:cs="Times New Roman"/>
                <w:sz w:val="21"/>
                <w:szCs w:val="21"/>
                <w14:ligatures w14:val="none"/>
              </w:rPr>
            </w:pPr>
          </w:p>
        </w:tc>
        <w:tc>
          <w:tcPr>
            <w:tcW w:w="1176" w:type="pct"/>
            <w:vMerge w:val="continue"/>
            <w:vAlign w:val="center"/>
          </w:tcPr>
          <w:p w14:paraId="078E619D">
            <w:pPr>
              <w:adjustRightInd/>
              <w:snapToGrid/>
              <w:spacing w:line="240" w:lineRule="auto"/>
              <w:jc w:val="center"/>
              <w:rPr>
                <w:rFonts w:cs="Times New Roman"/>
                <w:sz w:val="21"/>
                <w:szCs w:val="21"/>
                <w14:ligatures w14:val="none"/>
              </w:rPr>
            </w:pPr>
          </w:p>
        </w:tc>
        <w:tc>
          <w:tcPr>
            <w:tcW w:w="1876" w:type="pct"/>
            <w:vAlign w:val="center"/>
          </w:tcPr>
          <w:p w14:paraId="7C4365F9">
            <w:pPr>
              <w:adjustRightInd/>
              <w:snapToGrid/>
              <w:spacing w:line="240" w:lineRule="auto"/>
              <w:jc w:val="center"/>
              <w:rPr>
                <w:rFonts w:cs="Times New Roman"/>
                <w:sz w:val="21"/>
                <w:szCs w:val="21"/>
                <w14:ligatures w14:val="none"/>
              </w:rPr>
            </w:pPr>
            <w:r>
              <w:rPr>
                <w:rFonts w:cs="Times New Roman"/>
                <w:sz w:val="21"/>
                <w:szCs w:val="21"/>
                <w14:ligatures w14:val="none"/>
              </w:rPr>
              <w:t>C274中成药生产</w:t>
            </w:r>
          </w:p>
        </w:tc>
        <w:tc>
          <w:tcPr>
            <w:tcW w:w="1011" w:type="pct"/>
            <w:vMerge w:val="continue"/>
            <w:vAlign w:val="center"/>
          </w:tcPr>
          <w:p w14:paraId="40AC0C86">
            <w:pPr>
              <w:adjustRightInd/>
              <w:snapToGrid/>
              <w:spacing w:line="240" w:lineRule="auto"/>
              <w:jc w:val="center"/>
              <w:rPr>
                <w:rFonts w:cs="Times New Roman"/>
                <w:sz w:val="21"/>
                <w:szCs w:val="21"/>
                <w14:ligatures w14:val="none"/>
              </w:rPr>
            </w:pPr>
          </w:p>
        </w:tc>
      </w:tr>
      <w:tr w14:paraId="25F0691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gridAfter w:val="1"/>
          <w:wAfter w:w="9" w:type="pct"/>
          <w:trHeight w:val="340" w:hRule="atLeast"/>
          <w:jc w:val="center"/>
        </w:trPr>
        <w:tc>
          <w:tcPr>
            <w:tcW w:w="363" w:type="pct"/>
            <w:vMerge w:val="continue"/>
            <w:vAlign w:val="center"/>
          </w:tcPr>
          <w:p w14:paraId="1A1499B7">
            <w:pPr>
              <w:adjustRightInd/>
              <w:snapToGrid/>
              <w:spacing w:line="240" w:lineRule="auto"/>
              <w:jc w:val="center"/>
              <w:rPr>
                <w:rFonts w:cs="Times New Roman"/>
                <w:sz w:val="21"/>
                <w:szCs w:val="21"/>
                <w14:ligatures w14:val="none"/>
              </w:rPr>
            </w:pPr>
          </w:p>
        </w:tc>
        <w:tc>
          <w:tcPr>
            <w:tcW w:w="566" w:type="pct"/>
            <w:vMerge w:val="continue"/>
            <w:vAlign w:val="center"/>
          </w:tcPr>
          <w:p w14:paraId="2359B94E">
            <w:pPr>
              <w:adjustRightInd/>
              <w:snapToGrid/>
              <w:spacing w:line="240" w:lineRule="auto"/>
              <w:jc w:val="center"/>
              <w:rPr>
                <w:rFonts w:cs="Times New Roman"/>
                <w:sz w:val="21"/>
                <w:szCs w:val="21"/>
                <w14:ligatures w14:val="none"/>
              </w:rPr>
            </w:pPr>
          </w:p>
        </w:tc>
        <w:tc>
          <w:tcPr>
            <w:tcW w:w="1176" w:type="pct"/>
            <w:vMerge w:val="continue"/>
            <w:vAlign w:val="center"/>
          </w:tcPr>
          <w:p w14:paraId="4426A52D">
            <w:pPr>
              <w:adjustRightInd/>
              <w:snapToGrid/>
              <w:spacing w:line="240" w:lineRule="auto"/>
              <w:jc w:val="center"/>
              <w:rPr>
                <w:rFonts w:cs="Times New Roman"/>
                <w:sz w:val="21"/>
                <w:szCs w:val="21"/>
                <w14:ligatures w14:val="none"/>
              </w:rPr>
            </w:pPr>
          </w:p>
        </w:tc>
        <w:tc>
          <w:tcPr>
            <w:tcW w:w="1876" w:type="pct"/>
            <w:vAlign w:val="center"/>
          </w:tcPr>
          <w:p w14:paraId="199B7FE6">
            <w:pPr>
              <w:adjustRightInd/>
              <w:snapToGrid/>
              <w:spacing w:line="240" w:lineRule="auto"/>
              <w:jc w:val="center"/>
              <w:rPr>
                <w:rFonts w:cs="Times New Roman"/>
                <w:sz w:val="21"/>
                <w:szCs w:val="21"/>
                <w14:ligatures w14:val="none"/>
              </w:rPr>
            </w:pPr>
            <w:r>
              <w:rPr>
                <w:rFonts w:cs="Times New Roman"/>
                <w:sz w:val="21"/>
                <w:szCs w:val="21"/>
                <w14:ligatures w14:val="none"/>
              </w:rPr>
              <w:t>C275兽用药品制造</w:t>
            </w:r>
          </w:p>
        </w:tc>
        <w:tc>
          <w:tcPr>
            <w:tcW w:w="1011" w:type="pct"/>
            <w:vMerge w:val="continue"/>
            <w:vAlign w:val="center"/>
          </w:tcPr>
          <w:p w14:paraId="7D865824">
            <w:pPr>
              <w:adjustRightInd/>
              <w:snapToGrid/>
              <w:spacing w:line="240" w:lineRule="auto"/>
              <w:jc w:val="center"/>
              <w:rPr>
                <w:rFonts w:cs="Times New Roman"/>
                <w:sz w:val="21"/>
                <w:szCs w:val="21"/>
                <w14:ligatures w14:val="none"/>
              </w:rPr>
            </w:pPr>
          </w:p>
        </w:tc>
      </w:tr>
      <w:tr w14:paraId="41B37FA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gridAfter w:val="1"/>
          <w:wAfter w:w="9" w:type="pct"/>
          <w:trHeight w:val="340" w:hRule="atLeast"/>
          <w:jc w:val="center"/>
        </w:trPr>
        <w:tc>
          <w:tcPr>
            <w:tcW w:w="363" w:type="pct"/>
            <w:vMerge w:val="continue"/>
            <w:vAlign w:val="center"/>
          </w:tcPr>
          <w:p w14:paraId="12FD9079">
            <w:pPr>
              <w:adjustRightInd/>
              <w:snapToGrid/>
              <w:spacing w:line="240" w:lineRule="auto"/>
              <w:jc w:val="center"/>
              <w:rPr>
                <w:rFonts w:cs="Times New Roman"/>
                <w:sz w:val="21"/>
                <w:szCs w:val="21"/>
                <w14:ligatures w14:val="none"/>
              </w:rPr>
            </w:pPr>
          </w:p>
        </w:tc>
        <w:tc>
          <w:tcPr>
            <w:tcW w:w="566" w:type="pct"/>
            <w:vMerge w:val="continue"/>
            <w:vAlign w:val="center"/>
          </w:tcPr>
          <w:p w14:paraId="249C2D01">
            <w:pPr>
              <w:adjustRightInd/>
              <w:snapToGrid/>
              <w:spacing w:line="240" w:lineRule="auto"/>
              <w:jc w:val="center"/>
              <w:rPr>
                <w:rFonts w:cs="Times New Roman"/>
                <w:sz w:val="21"/>
                <w:szCs w:val="21"/>
                <w14:ligatures w14:val="none"/>
              </w:rPr>
            </w:pPr>
          </w:p>
        </w:tc>
        <w:tc>
          <w:tcPr>
            <w:tcW w:w="1176" w:type="pct"/>
            <w:vMerge w:val="continue"/>
            <w:vAlign w:val="center"/>
          </w:tcPr>
          <w:p w14:paraId="167737F0">
            <w:pPr>
              <w:adjustRightInd/>
              <w:snapToGrid/>
              <w:spacing w:line="240" w:lineRule="auto"/>
              <w:jc w:val="center"/>
              <w:rPr>
                <w:rFonts w:cs="Times New Roman"/>
                <w:sz w:val="21"/>
                <w:szCs w:val="21"/>
                <w14:ligatures w14:val="none"/>
              </w:rPr>
            </w:pPr>
          </w:p>
        </w:tc>
        <w:tc>
          <w:tcPr>
            <w:tcW w:w="1876" w:type="pct"/>
            <w:vAlign w:val="center"/>
          </w:tcPr>
          <w:p w14:paraId="76A9AAFB">
            <w:pPr>
              <w:adjustRightInd/>
              <w:snapToGrid/>
              <w:spacing w:line="240" w:lineRule="auto"/>
              <w:jc w:val="center"/>
              <w:rPr>
                <w:rFonts w:cs="Times New Roman"/>
                <w:sz w:val="21"/>
                <w:szCs w:val="21"/>
                <w14:ligatures w14:val="none"/>
              </w:rPr>
            </w:pPr>
            <w:r>
              <w:rPr>
                <w:rFonts w:cs="Times New Roman"/>
                <w:sz w:val="21"/>
                <w:szCs w:val="21"/>
                <w14:ligatures w14:val="none"/>
              </w:rPr>
              <w:t>C276生物药品制品制造</w:t>
            </w:r>
          </w:p>
        </w:tc>
        <w:tc>
          <w:tcPr>
            <w:tcW w:w="1011" w:type="pct"/>
            <w:vMerge w:val="continue"/>
            <w:vAlign w:val="center"/>
          </w:tcPr>
          <w:p w14:paraId="6611533F">
            <w:pPr>
              <w:adjustRightInd/>
              <w:snapToGrid/>
              <w:spacing w:line="240" w:lineRule="auto"/>
              <w:jc w:val="center"/>
              <w:rPr>
                <w:rFonts w:cs="Times New Roman"/>
                <w:sz w:val="21"/>
                <w:szCs w:val="21"/>
                <w14:ligatures w14:val="none"/>
              </w:rPr>
            </w:pPr>
          </w:p>
        </w:tc>
      </w:tr>
      <w:tr w14:paraId="1F2F1C4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gridAfter w:val="1"/>
          <w:wAfter w:w="9" w:type="pct"/>
          <w:trHeight w:val="340" w:hRule="atLeast"/>
          <w:jc w:val="center"/>
        </w:trPr>
        <w:tc>
          <w:tcPr>
            <w:tcW w:w="363" w:type="pct"/>
            <w:vMerge w:val="continue"/>
            <w:vAlign w:val="center"/>
          </w:tcPr>
          <w:p w14:paraId="1E356631">
            <w:pPr>
              <w:adjustRightInd/>
              <w:snapToGrid/>
              <w:spacing w:line="240" w:lineRule="auto"/>
              <w:jc w:val="center"/>
              <w:rPr>
                <w:rFonts w:cs="Times New Roman"/>
                <w:sz w:val="21"/>
                <w:szCs w:val="21"/>
                <w14:ligatures w14:val="none"/>
              </w:rPr>
            </w:pPr>
          </w:p>
        </w:tc>
        <w:tc>
          <w:tcPr>
            <w:tcW w:w="566" w:type="pct"/>
            <w:vMerge w:val="continue"/>
            <w:vAlign w:val="center"/>
          </w:tcPr>
          <w:p w14:paraId="019E1995">
            <w:pPr>
              <w:adjustRightInd/>
              <w:snapToGrid/>
              <w:spacing w:line="240" w:lineRule="auto"/>
              <w:jc w:val="center"/>
              <w:rPr>
                <w:rFonts w:cs="Times New Roman"/>
                <w:sz w:val="21"/>
                <w:szCs w:val="21"/>
                <w14:ligatures w14:val="none"/>
              </w:rPr>
            </w:pPr>
          </w:p>
        </w:tc>
        <w:tc>
          <w:tcPr>
            <w:tcW w:w="1176" w:type="pct"/>
            <w:vMerge w:val="continue"/>
            <w:vAlign w:val="center"/>
          </w:tcPr>
          <w:p w14:paraId="294809F3">
            <w:pPr>
              <w:adjustRightInd/>
              <w:snapToGrid/>
              <w:spacing w:line="240" w:lineRule="auto"/>
              <w:jc w:val="center"/>
              <w:rPr>
                <w:rFonts w:cs="Times New Roman"/>
                <w:sz w:val="21"/>
                <w:szCs w:val="21"/>
                <w14:ligatures w14:val="none"/>
              </w:rPr>
            </w:pPr>
          </w:p>
        </w:tc>
        <w:tc>
          <w:tcPr>
            <w:tcW w:w="1876" w:type="pct"/>
            <w:vAlign w:val="center"/>
          </w:tcPr>
          <w:p w14:paraId="4BB2782F">
            <w:pPr>
              <w:adjustRightInd/>
              <w:snapToGrid/>
              <w:spacing w:line="240" w:lineRule="auto"/>
              <w:jc w:val="center"/>
              <w:rPr>
                <w:rFonts w:cs="Times New Roman"/>
                <w:sz w:val="21"/>
                <w:szCs w:val="21"/>
                <w14:ligatures w14:val="none"/>
              </w:rPr>
            </w:pPr>
            <w:r>
              <w:rPr>
                <w:rFonts w:cs="Times New Roman"/>
                <w:sz w:val="21"/>
                <w:szCs w:val="21"/>
                <w14:ligatures w14:val="none"/>
              </w:rPr>
              <w:t>C277卫生材料及医药用品制造</w:t>
            </w:r>
          </w:p>
        </w:tc>
        <w:tc>
          <w:tcPr>
            <w:tcW w:w="1011" w:type="pct"/>
            <w:vMerge w:val="continue"/>
            <w:vAlign w:val="center"/>
          </w:tcPr>
          <w:p w14:paraId="18B97E4D">
            <w:pPr>
              <w:adjustRightInd/>
              <w:snapToGrid/>
              <w:spacing w:line="240" w:lineRule="auto"/>
              <w:jc w:val="center"/>
              <w:rPr>
                <w:rFonts w:cs="Times New Roman"/>
                <w:sz w:val="21"/>
                <w:szCs w:val="21"/>
                <w14:ligatures w14:val="none"/>
              </w:rPr>
            </w:pPr>
          </w:p>
        </w:tc>
      </w:tr>
      <w:tr w14:paraId="6B11AB7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gridAfter w:val="1"/>
          <w:wAfter w:w="9" w:type="pct"/>
          <w:trHeight w:val="340" w:hRule="atLeast"/>
          <w:jc w:val="center"/>
        </w:trPr>
        <w:tc>
          <w:tcPr>
            <w:tcW w:w="363" w:type="pct"/>
            <w:vMerge w:val="continue"/>
            <w:vAlign w:val="center"/>
          </w:tcPr>
          <w:p w14:paraId="6D5B99A4">
            <w:pPr>
              <w:adjustRightInd/>
              <w:snapToGrid/>
              <w:spacing w:line="240" w:lineRule="auto"/>
              <w:jc w:val="center"/>
              <w:rPr>
                <w:rFonts w:cs="Times New Roman"/>
                <w:sz w:val="21"/>
                <w:szCs w:val="21"/>
                <w14:ligatures w14:val="none"/>
              </w:rPr>
            </w:pPr>
          </w:p>
        </w:tc>
        <w:tc>
          <w:tcPr>
            <w:tcW w:w="566" w:type="pct"/>
            <w:vMerge w:val="continue"/>
            <w:vAlign w:val="center"/>
          </w:tcPr>
          <w:p w14:paraId="6E2212F9">
            <w:pPr>
              <w:adjustRightInd/>
              <w:snapToGrid/>
              <w:spacing w:line="240" w:lineRule="auto"/>
              <w:jc w:val="center"/>
              <w:rPr>
                <w:rFonts w:cs="Times New Roman"/>
                <w:sz w:val="21"/>
                <w:szCs w:val="21"/>
                <w14:ligatures w14:val="none"/>
              </w:rPr>
            </w:pPr>
          </w:p>
        </w:tc>
        <w:tc>
          <w:tcPr>
            <w:tcW w:w="1176" w:type="pct"/>
            <w:vMerge w:val="continue"/>
            <w:vAlign w:val="center"/>
          </w:tcPr>
          <w:p w14:paraId="2C3ED7F7">
            <w:pPr>
              <w:adjustRightInd/>
              <w:snapToGrid/>
              <w:spacing w:line="240" w:lineRule="auto"/>
              <w:jc w:val="center"/>
              <w:rPr>
                <w:rFonts w:cs="Times New Roman"/>
                <w:sz w:val="21"/>
                <w:szCs w:val="21"/>
                <w14:ligatures w14:val="none"/>
              </w:rPr>
            </w:pPr>
          </w:p>
        </w:tc>
        <w:tc>
          <w:tcPr>
            <w:tcW w:w="1876" w:type="pct"/>
            <w:vAlign w:val="center"/>
          </w:tcPr>
          <w:p w14:paraId="01EFDBCD">
            <w:pPr>
              <w:adjustRightInd/>
              <w:snapToGrid/>
              <w:spacing w:line="240" w:lineRule="auto"/>
              <w:jc w:val="center"/>
              <w:rPr>
                <w:rFonts w:cs="Times New Roman"/>
                <w:sz w:val="21"/>
                <w:szCs w:val="21"/>
                <w14:ligatures w14:val="none"/>
              </w:rPr>
            </w:pPr>
            <w:r>
              <w:rPr>
                <w:rFonts w:cs="Times New Roman"/>
                <w:sz w:val="21"/>
                <w:szCs w:val="21"/>
                <w14:ligatures w14:val="none"/>
              </w:rPr>
              <w:t>C278药用辅料及包装材料</w:t>
            </w:r>
          </w:p>
        </w:tc>
        <w:tc>
          <w:tcPr>
            <w:tcW w:w="1011" w:type="pct"/>
            <w:vMerge w:val="continue"/>
            <w:vAlign w:val="center"/>
          </w:tcPr>
          <w:p w14:paraId="69CFFC5F">
            <w:pPr>
              <w:adjustRightInd/>
              <w:snapToGrid/>
              <w:spacing w:line="240" w:lineRule="auto"/>
              <w:jc w:val="center"/>
              <w:rPr>
                <w:rFonts w:cs="Times New Roman"/>
                <w:sz w:val="21"/>
                <w:szCs w:val="21"/>
                <w14:ligatures w14:val="none"/>
              </w:rPr>
            </w:pPr>
          </w:p>
        </w:tc>
      </w:tr>
      <w:tr w14:paraId="065DA98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gridAfter w:val="1"/>
          <w:wAfter w:w="9" w:type="pct"/>
          <w:trHeight w:val="340" w:hRule="atLeast"/>
          <w:jc w:val="center"/>
        </w:trPr>
        <w:tc>
          <w:tcPr>
            <w:tcW w:w="363" w:type="pct"/>
            <w:vMerge w:val="continue"/>
            <w:vAlign w:val="center"/>
          </w:tcPr>
          <w:p w14:paraId="1FECEF98">
            <w:pPr>
              <w:adjustRightInd/>
              <w:snapToGrid/>
              <w:spacing w:line="240" w:lineRule="auto"/>
              <w:jc w:val="center"/>
              <w:rPr>
                <w:rFonts w:cs="Times New Roman"/>
                <w:sz w:val="21"/>
                <w:szCs w:val="21"/>
                <w14:ligatures w14:val="none"/>
              </w:rPr>
            </w:pPr>
          </w:p>
        </w:tc>
        <w:tc>
          <w:tcPr>
            <w:tcW w:w="566" w:type="pct"/>
            <w:vMerge w:val="restart"/>
            <w:vAlign w:val="center"/>
          </w:tcPr>
          <w:p w14:paraId="5FB06692">
            <w:pPr>
              <w:adjustRightInd/>
              <w:snapToGrid/>
              <w:spacing w:line="240" w:lineRule="auto"/>
              <w:jc w:val="center"/>
              <w:rPr>
                <w:rFonts w:cs="Times New Roman"/>
                <w:sz w:val="21"/>
                <w:szCs w:val="21"/>
                <w14:ligatures w14:val="none"/>
              </w:rPr>
            </w:pPr>
            <w:r>
              <w:rPr>
                <w:rFonts w:cs="Times New Roman"/>
                <w:sz w:val="21"/>
                <w:szCs w:val="21"/>
                <w14:ligatures w14:val="none"/>
              </w:rPr>
              <w:t>精细化工</w:t>
            </w:r>
          </w:p>
        </w:tc>
        <w:tc>
          <w:tcPr>
            <w:tcW w:w="1176" w:type="pct"/>
            <w:vMerge w:val="restart"/>
            <w:vAlign w:val="center"/>
          </w:tcPr>
          <w:p w14:paraId="0D5BCC67">
            <w:pPr>
              <w:adjustRightInd/>
              <w:snapToGrid/>
              <w:spacing w:line="240" w:lineRule="auto"/>
              <w:jc w:val="center"/>
              <w:rPr>
                <w:rFonts w:cs="Times New Roman"/>
                <w:sz w:val="21"/>
                <w:szCs w:val="21"/>
                <w14:ligatures w14:val="none"/>
              </w:rPr>
            </w:pPr>
            <w:r>
              <w:rPr>
                <w:rFonts w:cs="Times New Roman"/>
                <w:sz w:val="21"/>
                <w:szCs w:val="21"/>
                <w14:ligatures w14:val="none"/>
              </w:rPr>
              <w:t>C261基础化学原料制造</w:t>
            </w:r>
          </w:p>
        </w:tc>
        <w:tc>
          <w:tcPr>
            <w:tcW w:w="1876" w:type="pct"/>
            <w:vAlign w:val="center"/>
          </w:tcPr>
          <w:p w14:paraId="15BD4B56">
            <w:pPr>
              <w:adjustRightInd/>
              <w:snapToGrid/>
              <w:spacing w:line="240" w:lineRule="auto"/>
              <w:jc w:val="center"/>
              <w:rPr>
                <w:rFonts w:cs="Times New Roman"/>
                <w:sz w:val="21"/>
                <w:szCs w:val="21"/>
                <w14:ligatures w14:val="none"/>
              </w:rPr>
            </w:pPr>
            <w:r>
              <w:rPr>
                <w:rFonts w:cs="Times New Roman"/>
                <w:sz w:val="21"/>
                <w:szCs w:val="21"/>
                <w14:ligatures w14:val="none"/>
              </w:rPr>
              <w:t>C2614有机化学原料制造</w:t>
            </w:r>
          </w:p>
        </w:tc>
        <w:tc>
          <w:tcPr>
            <w:tcW w:w="1011" w:type="pct"/>
            <w:vMerge w:val="continue"/>
            <w:vAlign w:val="center"/>
          </w:tcPr>
          <w:p w14:paraId="19FFD366">
            <w:pPr>
              <w:adjustRightInd/>
              <w:snapToGrid/>
              <w:spacing w:line="240" w:lineRule="auto"/>
              <w:jc w:val="center"/>
              <w:rPr>
                <w:rFonts w:cs="Times New Roman"/>
                <w:sz w:val="21"/>
                <w:szCs w:val="21"/>
                <w14:ligatures w14:val="none"/>
              </w:rPr>
            </w:pPr>
          </w:p>
        </w:tc>
      </w:tr>
      <w:tr w14:paraId="2BFA8CE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gridAfter w:val="1"/>
          <w:wAfter w:w="9" w:type="pct"/>
          <w:trHeight w:val="340" w:hRule="atLeast"/>
          <w:jc w:val="center"/>
        </w:trPr>
        <w:tc>
          <w:tcPr>
            <w:tcW w:w="363" w:type="pct"/>
            <w:vMerge w:val="continue"/>
            <w:vAlign w:val="center"/>
          </w:tcPr>
          <w:p w14:paraId="523D5FBB">
            <w:pPr>
              <w:adjustRightInd/>
              <w:snapToGrid/>
              <w:spacing w:line="240" w:lineRule="auto"/>
              <w:jc w:val="center"/>
              <w:rPr>
                <w:rFonts w:cs="Times New Roman"/>
                <w:sz w:val="21"/>
                <w:szCs w:val="21"/>
                <w14:ligatures w14:val="none"/>
              </w:rPr>
            </w:pPr>
          </w:p>
        </w:tc>
        <w:tc>
          <w:tcPr>
            <w:tcW w:w="566" w:type="pct"/>
            <w:vMerge w:val="continue"/>
            <w:vAlign w:val="center"/>
          </w:tcPr>
          <w:p w14:paraId="178E71E9">
            <w:pPr>
              <w:adjustRightInd/>
              <w:snapToGrid/>
              <w:spacing w:line="240" w:lineRule="auto"/>
              <w:jc w:val="center"/>
              <w:rPr>
                <w:rFonts w:cs="Times New Roman"/>
                <w:sz w:val="21"/>
                <w:szCs w:val="21"/>
                <w14:ligatures w14:val="none"/>
              </w:rPr>
            </w:pPr>
          </w:p>
        </w:tc>
        <w:tc>
          <w:tcPr>
            <w:tcW w:w="1176" w:type="pct"/>
            <w:vMerge w:val="continue"/>
            <w:vAlign w:val="center"/>
          </w:tcPr>
          <w:p w14:paraId="4EB4BD7A">
            <w:pPr>
              <w:adjustRightInd/>
              <w:snapToGrid/>
              <w:spacing w:line="240" w:lineRule="auto"/>
              <w:jc w:val="center"/>
              <w:rPr>
                <w:rFonts w:cs="Times New Roman"/>
                <w:sz w:val="21"/>
                <w:szCs w:val="21"/>
                <w14:ligatures w14:val="none"/>
              </w:rPr>
            </w:pPr>
          </w:p>
        </w:tc>
        <w:tc>
          <w:tcPr>
            <w:tcW w:w="1876" w:type="pct"/>
            <w:vAlign w:val="center"/>
          </w:tcPr>
          <w:p w14:paraId="06D5D641">
            <w:pPr>
              <w:adjustRightInd/>
              <w:snapToGrid/>
              <w:spacing w:line="240" w:lineRule="auto"/>
              <w:jc w:val="center"/>
              <w:rPr>
                <w:rFonts w:cs="Times New Roman"/>
                <w:sz w:val="21"/>
                <w:szCs w:val="21"/>
                <w14:ligatures w14:val="none"/>
              </w:rPr>
            </w:pPr>
            <w:r>
              <w:rPr>
                <w:rFonts w:cs="Times New Roman"/>
                <w:sz w:val="21"/>
                <w:szCs w:val="21"/>
                <w14:ligatures w14:val="none"/>
              </w:rPr>
              <w:t>C2619其它基础化学原料制造</w:t>
            </w:r>
          </w:p>
        </w:tc>
        <w:tc>
          <w:tcPr>
            <w:tcW w:w="1011" w:type="pct"/>
            <w:vMerge w:val="continue"/>
            <w:vAlign w:val="center"/>
          </w:tcPr>
          <w:p w14:paraId="5489226D">
            <w:pPr>
              <w:adjustRightInd/>
              <w:snapToGrid/>
              <w:spacing w:line="240" w:lineRule="auto"/>
              <w:jc w:val="center"/>
              <w:rPr>
                <w:rFonts w:cs="Times New Roman"/>
                <w:sz w:val="21"/>
                <w:szCs w:val="21"/>
                <w14:ligatures w14:val="none"/>
              </w:rPr>
            </w:pPr>
          </w:p>
        </w:tc>
      </w:tr>
      <w:tr w14:paraId="4BDFFB4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gridAfter w:val="1"/>
          <w:wAfter w:w="9" w:type="pct"/>
          <w:trHeight w:val="340" w:hRule="atLeast"/>
          <w:jc w:val="center"/>
        </w:trPr>
        <w:tc>
          <w:tcPr>
            <w:tcW w:w="363" w:type="pct"/>
            <w:vMerge w:val="continue"/>
            <w:vAlign w:val="center"/>
          </w:tcPr>
          <w:p w14:paraId="45FB9969">
            <w:pPr>
              <w:adjustRightInd/>
              <w:snapToGrid/>
              <w:spacing w:line="240" w:lineRule="auto"/>
              <w:jc w:val="center"/>
              <w:rPr>
                <w:rFonts w:cs="Times New Roman"/>
                <w:sz w:val="21"/>
                <w:szCs w:val="21"/>
                <w14:ligatures w14:val="none"/>
              </w:rPr>
            </w:pPr>
          </w:p>
        </w:tc>
        <w:tc>
          <w:tcPr>
            <w:tcW w:w="566" w:type="pct"/>
            <w:vMerge w:val="continue"/>
            <w:vAlign w:val="center"/>
          </w:tcPr>
          <w:p w14:paraId="60392CC8">
            <w:pPr>
              <w:adjustRightInd/>
              <w:snapToGrid/>
              <w:spacing w:line="240" w:lineRule="auto"/>
              <w:jc w:val="center"/>
              <w:rPr>
                <w:rFonts w:cs="Times New Roman"/>
                <w:sz w:val="21"/>
                <w:szCs w:val="21"/>
                <w14:ligatures w14:val="none"/>
              </w:rPr>
            </w:pPr>
          </w:p>
        </w:tc>
        <w:tc>
          <w:tcPr>
            <w:tcW w:w="1176" w:type="pct"/>
            <w:vMerge w:val="restart"/>
            <w:vAlign w:val="center"/>
          </w:tcPr>
          <w:p w14:paraId="0C77D41E">
            <w:pPr>
              <w:adjustRightInd/>
              <w:snapToGrid/>
              <w:spacing w:line="240" w:lineRule="auto"/>
              <w:jc w:val="center"/>
              <w:rPr>
                <w:rFonts w:cs="Times New Roman"/>
                <w:sz w:val="21"/>
                <w:szCs w:val="21"/>
                <w14:ligatures w14:val="none"/>
              </w:rPr>
            </w:pPr>
            <w:r>
              <w:rPr>
                <w:rFonts w:cs="Times New Roman"/>
                <w:sz w:val="21"/>
                <w:szCs w:val="21"/>
                <w14:ligatures w14:val="none"/>
              </w:rPr>
              <w:t>C262肥料制造</w:t>
            </w:r>
          </w:p>
        </w:tc>
        <w:tc>
          <w:tcPr>
            <w:tcW w:w="1876" w:type="pct"/>
            <w:vAlign w:val="center"/>
          </w:tcPr>
          <w:p w14:paraId="6C11461B">
            <w:pPr>
              <w:adjustRightInd/>
              <w:snapToGrid/>
              <w:spacing w:line="240" w:lineRule="auto"/>
              <w:jc w:val="center"/>
              <w:rPr>
                <w:rFonts w:cs="Times New Roman"/>
                <w:sz w:val="21"/>
                <w:szCs w:val="21"/>
                <w14:ligatures w14:val="none"/>
              </w:rPr>
            </w:pPr>
            <w:r>
              <w:rPr>
                <w:rFonts w:cs="Times New Roman"/>
                <w:sz w:val="21"/>
                <w:szCs w:val="21"/>
                <w14:ligatures w14:val="none"/>
              </w:rPr>
              <w:t>C2624复混肥料制造</w:t>
            </w:r>
          </w:p>
        </w:tc>
        <w:tc>
          <w:tcPr>
            <w:tcW w:w="1011" w:type="pct"/>
            <w:vMerge w:val="continue"/>
            <w:vAlign w:val="center"/>
          </w:tcPr>
          <w:p w14:paraId="6DBB7763">
            <w:pPr>
              <w:adjustRightInd/>
              <w:snapToGrid/>
              <w:spacing w:line="240" w:lineRule="auto"/>
              <w:jc w:val="center"/>
              <w:rPr>
                <w:rFonts w:cs="Times New Roman"/>
                <w:sz w:val="21"/>
                <w:szCs w:val="21"/>
                <w14:ligatures w14:val="none"/>
              </w:rPr>
            </w:pPr>
          </w:p>
        </w:tc>
      </w:tr>
      <w:tr w14:paraId="36B9BB5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gridAfter w:val="1"/>
          <w:wAfter w:w="9" w:type="pct"/>
          <w:trHeight w:val="340" w:hRule="atLeast"/>
          <w:jc w:val="center"/>
        </w:trPr>
        <w:tc>
          <w:tcPr>
            <w:tcW w:w="363" w:type="pct"/>
            <w:vMerge w:val="continue"/>
            <w:vAlign w:val="center"/>
          </w:tcPr>
          <w:p w14:paraId="6AB81621">
            <w:pPr>
              <w:adjustRightInd/>
              <w:snapToGrid/>
              <w:spacing w:line="240" w:lineRule="auto"/>
              <w:jc w:val="center"/>
              <w:rPr>
                <w:rFonts w:cs="Times New Roman"/>
                <w:sz w:val="21"/>
                <w:szCs w:val="21"/>
                <w14:ligatures w14:val="none"/>
              </w:rPr>
            </w:pPr>
          </w:p>
        </w:tc>
        <w:tc>
          <w:tcPr>
            <w:tcW w:w="566" w:type="pct"/>
            <w:vMerge w:val="continue"/>
            <w:vAlign w:val="center"/>
          </w:tcPr>
          <w:p w14:paraId="3335DE6F">
            <w:pPr>
              <w:adjustRightInd/>
              <w:snapToGrid/>
              <w:spacing w:line="240" w:lineRule="auto"/>
              <w:jc w:val="center"/>
              <w:rPr>
                <w:rFonts w:cs="Times New Roman"/>
                <w:sz w:val="21"/>
                <w:szCs w:val="21"/>
                <w14:ligatures w14:val="none"/>
              </w:rPr>
            </w:pPr>
          </w:p>
        </w:tc>
        <w:tc>
          <w:tcPr>
            <w:tcW w:w="1176" w:type="pct"/>
            <w:vMerge w:val="continue"/>
            <w:vAlign w:val="center"/>
          </w:tcPr>
          <w:p w14:paraId="34A31820">
            <w:pPr>
              <w:adjustRightInd/>
              <w:snapToGrid/>
              <w:spacing w:line="240" w:lineRule="auto"/>
              <w:jc w:val="center"/>
              <w:rPr>
                <w:rFonts w:cs="Times New Roman"/>
                <w:sz w:val="21"/>
                <w:szCs w:val="21"/>
                <w14:ligatures w14:val="none"/>
              </w:rPr>
            </w:pPr>
          </w:p>
        </w:tc>
        <w:tc>
          <w:tcPr>
            <w:tcW w:w="1876" w:type="pct"/>
            <w:vAlign w:val="center"/>
          </w:tcPr>
          <w:p w14:paraId="6FE14842">
            <w:pPr>
              <w:adjustRightInd/>
              <w:snapToGrid/>
              <w:spacing w:line="240" w:lineRule="auto"/>
              <w:jc w:val="center"/>
              <w:rPr>
                <w:rFonts w:cs="Times New Roman"/>
                <w:sz w:val="21"/>
                <w:szCs w:val="21"/>
                <w14:ligatures w14:val="none"/>
              </w:rPr>
            </w:pPr>
            <w:r>
              <w:rPr>
                <w:rFonts w:cs="Times New Roman"/>
                <w:sz w:val="21"/>
                <w:szCs w:val="21"/>
                <w14:ligatures w14:val="none"/>
              </w:rPr>
              <w:t>C2625有机肥料及微生物肥料制造</w:t>
            </w:r>
          </w:p>
        </w:tc>
        <w:tc>
          <w:tcPr>
            <w:tcW w:w="1011" w:type="pct"/>
            <w:vMerge w:val="continue"/>
            <w:vAlign w:val="center"/>
          </w:tcPr>
          <w:p w14:paraId="309DF481">
            <w:pPr>
              <w:adjustRightInd/>
              <w:snapToGrid/>
              <w:spacing w:line="240" w:lineRule="auto"/>
              <w:jc w:val="center"/>
              <w:rPr>
                <w:rFonts w:cs="Times New Roman"/>
                <w:sz w:val="21"/>
                <w:szCs w:val="21"/>
                <w14:ligatures w14:val="none"/>
              </w:rPr>
            </w:pPr>
          </w:p>
        </w:tc>
      </w:tr>
      <w:tr w14:paraId="6564ABA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gridAfter w:val="1"/>
          <w:wAfter w:w="9" w:type="pct"/>
          <w:trHeight w:val="340" w:hRule="atLeast"/>
          <w:jc w:val="center"/>
        </w:trPr>
        <w:tc>
          <w:tcPr>
            <w:tcW w:w="363" w:type="pct"/>
            <w:vMerge w:val="continue"/>
            <w:vAlign w:val="center"/>
          </w:tcPr>
          <w:p w14:paraId="0E543D6A">
            <w:pPr>
              <w:adjustRightInd/>
              <w:snapToGrid/>
              <w:spacing w:line="240" w:lineRule="auto"/>
              <w:jc w:val="center"/>
              <w:rPr>
                <w:rFonts w:cs="Times New Roman"/>
                <w:sz w:val="21"/>
                <w:szCs w:val="21"/>
                <w14:ligatures w14:val="none"/>
              </w:rPr>
            </w:pPr>
          </w:p>
        </w:tc>
        <w:tc>
          <w:tcPr>
            <w:tcW w:w="566" w:type="pct"/>
            <w:vMerge w:val="continue"/>
            <w:vAlign w:val="center"/>
          </w:tcPr>
          <w:p w14:paraId="50C4D250">
            <w:pPr>
              <w:adjustRightInd/>
              <w:snapToGrid/>
              <w:spacing w:line="240" w:lineRule="auto"/>
              <w:jc w:val="center"/>
              <w:rPr>
                <w:rFonts w:cs="Times New Roman"/>
                <w:sz w:val="21"/>
                <w:szCs w:val="21"/>
                <w14:ligatures w14:val="none"/>
              </w:rPr>
            </w:pPr>
          </w:p>
        </w:tc>
        <w:tc>
          <w:tcPr>
            <w:tcW w:w="1176" w:type="pct"/>
            <w:vMerge w:val="continue"/>
            <w:vAlign w:val="center"/>
          </w:tcPr>
          <w:p w14:paraId="29C539DB">
            <w:pPr>
              <w:adjustRightInd/>
              <w:snapToGrid/>
              <w:spacing w:line="240" w:lineRule="auto"/>
              <w:jc w:val="center"/>
              <w:rPr>
                <w:rFonts w:cs="Times New Roman"/>
                <w:sz w:val="21"/>
                <w:szCs w:val="21"/>
                <w14:ligatures w14:val="none"/>
              </w:rPr>
            </w:pPr>
          </w:p>
        </w:tc>
        <w:tc>
          <w:tcPr>
            <w:tcW w:w="1876" w:type="pct"/>
            <w:vAlign w:val="center"/>
          </w:tcPr>
          <w:p w14:paraId="0E494487">
            <w:pPr>
              <w:adjustRightInd/>
              <w:snapToGrid/>
              <w:spacing w:line="240" w:lineRule="auto"/>
              <w:jc w:val="center"/>
              <w:rPr>
                <w:rFonts w:cs="Times New Roman"/>
                <w:sz w:val="21"/>
                <w:szCs w:val="21"/>
                <w14:ligatures w14:val="none"/>
              </w:rPr>
            </w:pPr>
            <w:r>
              <w:rPr>
                <w:rFonts w:cs="Times New Roman"/>
                <w:sz w:val="21"/>
                <w:szCs w:val="21"/>
                <w14:ligatures w14:val="none"/>
              </w:rPr>
              <w:t>C2629其它肥料制造</w:t>
            </w:r>
          </w:p>
        </w:tc>
        <w:tc>
          <w:tcPr>
            <w:tcW w:w="1011" w:type="pct"/>
            <w:vMerge w:val="continue"/>
            <w:vAlign w:val="center"/>
          </w:tcPr>
          <w:p w14:paraId="2BD6AAD6">
            <w:pPr>
              <w:adjustRightInd/>
              <w:snapToGrid/>
              <w:spacing w:line="240" w:lineRule="auto"/>
              <w:jc w:val="center"/>
              <w:rPr>
                <w:rFonts w:cs="Times New Roman"/>
                <w:sz w:val="21"/>
                <w:szCs w:val="21"/>
                <w14:ligatures w14:val="none"/>
              </w:rPr>
            </w:pPr>
          </w:p>
        </w:tc>
      </w:tr>
      <w:tr w14:paraId="268B5B9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gridAfter w:val="1"/>
          <w:wAfter w:w="9" w:type="pct"/>
          <w:trHeight w:val="340" w:hRule="atLeast"/>
          <w:jc w:val="center"/>
        </w:trPr>
        <w:tc>
          <w:tcPr>
            <w:tcW w:w="363" w:type="pct"/>
            <w:vMerge w:val="continue"/>
            <w:vAlign w:val="center"/>
          </w:tcPr>
          <w:p w14:paraId="62194229">
            <w:pPr>
              <w:adjustRightInd/>
              <w:snapToGrid/>
              <w:spacing w:line="240" w:lineRule="auto"/>
              <w:jc w:val="center"/>
              <w:rPr>
                <w:rFonts w:cs="Times New Roman"/>
                <w:sz w:val="21"/>
                <w:szCs w:val="21"/>
                <w14:ligatures w14:val="none"/>
              </w:rPr>
            </w:pPr>
          </w:p>
        </w:tc>
        <w:tc>
          <w:tcPr>
            <w:tcW w:w="566" w:type="pct"/>
            <w:vMerge w:val="continue"/>
            <w:vAlign w:val="center"/>
          </w:tcPr>
          <w:p w14:paraId="7E0C16B4">
            <w:pPr>
              <w:adjustRightInd/>
              <w:snapToGrid/>
              <w:spacing w:line="240" w:lineRule="auto"/>
              <w:jc w:val="center"/>
              <w:rPr>
                <w:rFonts w:cs="Times New Roman"/>
                <w:sz w:val="21"/>
                <w:szCs w:val="21"/>
                <w14:ligatures w14:val="none"/>
              </w:rPr>
            </w:pPr>
          </w:p>
        </w:tc>
        <w:tc>
          <w:tcPr>
            <w:tcW w:w="1176" w:type="pct"/>
            <w:vAlign w:val="center"/>
          </w:tcPr>
          <w:p w14:paraId="30CFE23D">
            <w:pPr>
              <w:adjustRightInd/>
              <w:snapToGrid/>
              <w:spacing w:line="240" w:lineRule="auto"/>
              <w:jc w:val="center"/>
              <w:rPr>
                <w:rFonts w:cs="Times New Roman"/>
                <w:sz w:val="21"/>
                <w:szCs w:val="21"/>
                <w14:ligatures w14:val="none"/>
              </w:rPr>
            </w:pPr>
            <w:r>
              <w:rPr>
                <w:rFonts w:cs="Times New Roman"/>
                <w:sz w:val="21"/>
                <w:szCs w:val="21"/>
                <w14:ligatures w14:val="none"/>
              </w:rPr>
              <w:t>C263农药制造</w:t>
            </w:r>
          </w:p>
        </w:tc>
        <w:tc>
          <w:tcPr>
            <w:tcW w:w="1876" w:type="pct"/>
            <w:vAlign w:val="center"/>
          </w:tcPr>
          <w:p w14:paraId="322718E6">
            <w:pPr>
              <w:adjustRightInd/>
              <w:snapToGrid/>
              <w:spacing w:line="240" w:lineRule="auto"/>
              <w:jc w:val="center"/>
              <w:rPr>
                <w:rFonts w:cs="Times New Roman"/>
                <w:sz w:val="21"/>
                <w:szCs w:val="21"/>
                <w14:ligatures w14:val="none"/>
              </w:rPr>
            </w:pPr>
            <w:r>
              <w:rPr>
                <w:rFonts w:cs="Times New Roman"/>
                <w:sz w:val="21"/>
                <w:szCs w:val="21"/>
                <w14:ligatures w14:val="none"/>
              </w:rPr>
              <w:t>C2631化学农药制造</w:t>
            </w:r>
          </w:p>
        </w:tc>
        <w:tc>
          <w:tcPr>
            <w:tcW w:w="1011" w:type="pct"/>
            <w:vMerge w:val="continue"/>
            <w:vAlign w:val="center"/>
          </w:tcPr>
          <w:p w14:paraId="20F3081F">
            <w:pPr>
              <w:adjustRightInd/>
              <w:snapToGrid/>
              <w:spacing w:line="240" w:lineRule="auto"/>
              <w:jc w:val="center"/>
              <w:rPr>
                <w:rFonts w:cs="Times New Roman"/>
                <w:sz w:val="21"/>
                <w:szCs w:val="21"/>
                <w14:ligatures w14:val="none"/>
              </w:rPr>
            </w:pPr>
          </w:p>
        </w:tc>
      </w:tr>
      <w:tr w14:paraId="713BA1F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gridAfter w:val="1"/>
          <w:wAfter w:w="9" w:type="pct"/>
          <w:trHeight w:val="340" w:hRule="atLeast"/>
          <w:jc w:val="center"/>
        </w:trPr>
        <w:tc>
          <w:tcPr>
            <w:tcW w:w="363" w:type="pct"/>
            <w:vMerge w:val="continue"/>
            <w:vAlign w:val="center"/>
          </w:tcPr>
          <w:p w14:paraId="4B447608">
            <w:pPr>
              <w:adjustRightInd/>
              <w:snapToGrid/>
              <w:spacing w:line="240" w:lineRule="auto"/>
              <w:jc w:val="center"/>
              <w:rPr>
                <w:rFonts w:cs="Times New Roman"/>
                <w:sz w:val="21"/>
                <w:szCs w:val="21"/>
                <w14:ligatures w14:val="none"/>
              </w:rPr>
            </w:pPr>
          </w:p>
        </w:tc>
        <w:tc>
          <w:tcPr>
            <w:tcW w:w="566" w:type="pct"/>
            <w:vMerge w:val="continue"/>
            <w:vAlign w:val="center"/>
          </w:tcPr>
          <w:p w14:paraId="1C70FF21">
            <w:pPr>
              <w:adjustRightInd/>
              <w:snapToGrid/>
              <w:spacing w:line="240" w:lineRule="auto"/>
              <w:jc w:val="center"/>
              <w:rPr>
                <w:rFonts w:cs="Times New Roman"/>
                <w:sz w:val="21"/>
                <w:szCs w:val="21"/>
                <w14:ligatures w14:val="none"/>
              </w:rPr>
            </w:pPr>
          </w:p>
        </w:tc>
        <w:tc>
          <w:tcPr>
            <w:tcW w:w="1176" w:type="pct"/>
            <w:vMerge w:val="restart"/>
            <w:vAlign w:val="center"/>
          </w:tcPr>
          <w:p w14:paraId="35F84FE2">
            <w:pPr>
              <w:adjustRightInd/>
              <w:snapToGrid/>
              <w:spacing w:line="240" w:lineRule="auto"/>
              <w:jc w:val="center"/>
              <w:rPr>
                <w:rFonts w:cs="Times New Roman"/>
                <w:sz w:val="21"/>
                <w:szCs w:val="21"/>
                <w14:ligatures w14:val="none"/>
              </w:rPr>
            </w:pPr>
            <w:r>
              <w:rPr>
                <w:rFonts w:cs="Times New Roman"/>
                <w:sz w:val="21"/>
                <w:szCs w:val="21"/>
                <w14:ligatures w14:val="none"/>
              </w:rPr>
              <w:t>C264涂料、油墨、颜料及类似产品制造</w:t>
            </w:r>
          </w:p>
        </w:tc>
        <w:tc>
          <w:tcPr>
            <w:tcW w:w="1876" w:type="pct"/>
            <w:vAlign w:val="center"/>
          </w:tcPr>
          <w:p w14:paraId="121D621A">
            <w:pPr>
              <w:adjustRightInd/>
              <w:snapToGrid/>
              <w:spacing w:line="240" w:lineRule="auto"/>
              <w:jc w:val="center"/>
              <w:rPr>
                <w:rFonts w:cs="Times New Roman"/>
                <w:sz w:val="21"/>
                <w:szCs w:val="21"/>
                <w14:ligatures w14:val="none"/>
              </w:rPr>
            </w:pPr>
            <w:r>
              <w:rPr>
                <w:rFonts w:cs="Times New Roman"/>
                <w:sz w:val="21"/>
                <w:szCs w:val="21"/>
                <w14:ligatures w14:val="none"/>
              </w:rPr>
              <w:t>C2641涂料制造</w:t>
            </w:r>
          </w:p>
        </w:tc>
        <w:tc>
          <w:tcPr>
            <w:tcW w:w="1011" w:type="pct"/>
            <w:vMerge w:val="continue"/>
            <w:vAlign w:val="center"/>
          </w:tcPr>
          <w:p w14:paraId="0C49407D">
            <w:pPr>
              <w:adjustRightInd/>
              <w:snapToGrid/>
              <w:spacing w:line="240" w:lineRule="auto"/>
              <w:jc w:val="center"/>
              <w:rPr>
                <w:rFonts w:cs="Times New Roman"/>
                <w:sz w:val="21"/>
                <w:szCs w:val="21"/>
                <w14:ligatures w14:val="none"/>
              </w:rPr>
            </w:pPr>
          </w:p>
        </w:tc>
      </w:tr>
      <w:tr w14:paraId="53FF209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gridAfter w:val="1"/>
          <w:wAfter w:w="9" w:type="pct"/>
          <w:trHeight w:val="340" w:hRule="atLeast"/>
          <w:jc w:val="center"/>
        </w:trPr>
        <w:tc>
          <w:tcPr>
            <w:tcW w:w="363" w:type="pct"/>
            <w:vMerge w:val="continue"/>
            <w:vAlign w:val="center"/>
          </w:tcPr>
          <w:p w14:paraId="17C2A262">
            <w:pPr>
              <w:adjustRightInd/>
              <w:snapToGrid/>
              <w:spacing w:line="240" w:lineRule="auto"/>
              <w:jc w:val="center"/>
              <w:rPr>
                <w:rFonts w:cs="Times New Roman"/>
                <w:sz w:val="21"/>
                <w:szCs w:val="21"/>
                <w14:ligatures w14:val="none"/>
              </w:rPr>
            </w:pPr>
          </w:p>
        </w:tc>
        <w:tc>
          <w:tcPr>
            <w:tcW w:w="566" w:type="pct"/>
            <w:vMerge w:val="continue"/>
            <w:vAlign w:val="center"/>
          </w:tcPr>
          <w:p w14:paraId="20DC4F10">
            <w:pPr>
              <w:adjustRightInd/>
              <w:snapToGrid/>
              <w:spacing w:line="240" w:lineRule="auto"/>
              <w:jc w:val="center"/>
              <w:rPr>
                <w:rFonts w:cs="Times New Roman"/>
                <w:sz w:val="21"/>
                <w:szCs w:val="21"/>
                <w14:ligatures w14:val="none"/>
              </w:rPr>
            </w:pPr>
          </w:p>
        </w:tc>
        <w:tc>
          <w:tcPr>
            <w:tcW w:w="1176" w:type="pct"/>
            <w:vMerge w:val="continue"/>
            <w:vAlign w:val="center"/>
          </w:tcPr>
          <w:p w14:paraId="3ED1DAE6">
            <w:pPr>
              <w:adjustRightInd/>
              <w:snapToGrid/>
              <w:spacing w:line="240" w:lineRule="auto"/>
              <w:jc w:val="center"/>
              <w:rPr>
                <w:rFonts w:cs="Times New Roman"/>
                <w:sz w:val="21"/>
                <w:szCs w:val="21"/>
                <w14:ligatures w14:val="none"/>
              </w:rPr>
            </w:pPr>
          </w:p>
        </w:tc>
        <w:tc>
          <w:tcPr>
            <w:tcW w:w="1876" w:type="pct"/>
            <w:vAlign w:val="center"/>
          </w:tcPr>
          <w:p w14:paraId="13C78B57">
            <w:pPr>
              <w:adjustRightInd/>
              <w:snapToGrid/>
              <w:spacing w:line="240" w:lineRule="auto"/>
              <w:jc w:val="center"/>
              <w:rPr>
                <w:rFonts w:cs="Times New Roman"/>
                <w:sz w:val="21"/>
                <w:szCs w:val="21"/>
                <w14:ligatures w14:val="none"/>
              </w:rPr>
            </w:pPr>
            <w:r>
              <w:rPr>
                <w:rFonts w:cs="Times New Roman"/>
                <w:sz w:val="21"/>
                <w:szCs w:val="21"/>
                <w14:ligatures w14:val="none"/>
              </w:rPr>
              <w:t>C2642油墨及类似产品制造</w:t>
            </w:r>
          </w:p>
        </w:tc>
        <w:tc>
          <w:tcPr>
            <w:tcW w:w="1011" w:type="pct"/>
            <w:vMerge w:val="continue"/>
            <w:vAlign w:val="center"/>
          </w:tcPr>
          <w:p w14:paraId="69393DA7">
            <w:pPr>
              <w:adjustRightInd/>
              <w:snapToGrid/>
              <w:spacing w:line="240" w:lineRule="auto"/>
              <w:jc w:val="center"/>
              <w:rPr>
                <w:rFonts w:cs="Times New Roman"/>
                <w:sz w:val="21"/>
                <w:szCs w:val="21"/>
                <w14:ligatures w14:val="none"/>
              </w:rPr>
            </w:pPr>
          </w:p>
        </w:tc>
      </w:tr>
      <w:tr w14:paraId="384215C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gridAfter w:val="1"/>
          <w:wAfter w:w="9" w:type="pct"/>
          <w:trHeight w:val="340" w:hRule="atLeast"/>
          <w:jc w:val="center"/>
        </w:trPr>
        <w:tc>
          <w:tcPr>
            <w:tcW w:w="363" w:type="pct"/>
            <w:vMerge w:val="continue"/>
            <w:vAlign w:val="center"/>
          </w:tcPr>
          <w:p w14:paraId="7D91EA10">
            <w:pPr>
              <w:adjustRightInd/>
              <w:snapToGrid/>
              <w:spacing w:line="240" w:lineRule="auto"/>
              <w:jc w:val="center"/>
              <w:rPr>
                <w:rFonts w:cs="Times New Roman"/>
                <w:sz w:val="21"/>
                <w:szCs w:val="21"/>
                <w14:ligatures w14:val="none"/>
              </w:rPr>
            </w:pPr>
          </w:p>
        </w:tc>
        <w:tc>
          <w:tcPr>
            <w:tcW w:w="566" w:type="pct"/>
            <w:vMerge w:val="continue"/>
            <w:vAlign w:val="center"/>
          </w:tcPr>
          <w:p w14:paraId="61CD6444">
            <w:pPr>
              <w:adjustRightInd/>
              <w:snapToGrid/>
              <w:spacing w:line="240" w:lineRule="auto"/>
              <w:jc w:val="center"/>
              <w:rPr>
                <w:rFonts w:cs="Times New Roman"/>
                <w:sz w:val="21"/>
                <w:szCs w:val="21"/>
                <w14:ligatures w14:val="none"/>
              </w:rPr>
            </w:pPr>
          </w:p>
        </w:tc>
        <w:tc>
          <w:tcPr>
            <w:tcW w:w="1176" w:type="pct"/>
            <w:vMerge w:val="continue"/>
            <w:vAlign w:val="center"/>
          </w:tcPr>
          <w:p w14:paraId="1F8C79AB">
            <w:pPr>
              <w:adjustRightInd/>
              <w:snapToGrid/>
              <w:spacing w:line="240" w:lineRule="auto"/>
              <w:jc w:val="center"/>
              <w:rPr>
                <w:rFonts w:cs="Times New Roman"/>
                <w:sz w:val="21"/>
                <w:szCs w:val="21"/>
                <w14:ligatures w14:val="none"/>
              </w:rPr>
            </w:pPr>
          </w:p>
        </w:tc>
        <w:tc>
          <w:tcPr>
            <w:tcW w:w="1876" w:type="pct"/>
            <w:vAlign w:val="center"/>
          </w:tcPr>
          <w:p w14:paraId="6B245D5A">
            <w:pPr>
              <w:adjustRightInd/>
              <w:snapToGrid/>
              <w:spacing w:line="240" w:lineRule="auto"/>
              <w:jc w:val="center"/>
              <w:rPr>
                <w:rFonts w:cs="Times New Roman"/>
                <w:sz w:val="21"/>
                <w:szCs w:val="21"/>
                <w14:ligatures w14:val="none"/>
              </w:rPr>
            </w:pPr>
            <w:r>
              <w:rPr>
                <w:rFonts w:cs="Times New Roman"/>
                <w:sz w:val="21"/>
                <w:szCs w:val="21"/>
                <w14:ligatures w14:val="none"/>
              </w:rPr>
              <w:t>C2643工业颜料制造</w:t>
            </w:r>
          </w:p>
        </w:tc>
        <w:tc>
          <w:tcPr>
            <w:tcW w:w="1011" w:type="pct"/>
            <w:vMerge w:val="continue"/>
            <w:vAlign w:val="center"/>
          </w:tcPr>
          <w:p w14:paraId="6D1E236E">
            <w:pPr>
              <w:adjustRightInd/>
              <w:snapToGrid/>
              <w:spacing w:line="240" w:lineRule="auto"/>
              <w:jc w:val="center"/>
              <w:rPr>
                <w:rFonts w:cs="Times New Roman"/>
                <w:sz w:val="21"/>
                <w:szCs w:val="21"/>
                <w14:ligatures w14:val="none"/>
              </w:rPr>
            </w:pPr>
          </w:p>
        </w:tc>
      </w:tr>
      <w:tr w14:paraId="514E2DC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gridAfter w:val="1"/>
          <w:wAfter w:w="9" w:type="pct"/>
          <w:trHeight w:val="340" w:hRule="atLeast"/>
          <w:jc w:val="center"/>
        </w:trPr>
        <w:tc>
          <w:tcPr>
            <w:tcW w:w="363" w:type="pct"/>
            <w:vMerge w:val="continue"/>
            <w:vAlign w:val="center"/>
          </w:tcPr>
          <w:p w14:paraId="5A4AD6B3">
            <w:pPr>
              <w:adjustRightInd/>
              <w:snapToGrid/>
              <w:spacing w:line="240" w:lineRule="auto"/>
              <w:jc w:val="center"/>
              <w:rPr>
                <w:rFonts w:cs="Times New Roman"/>
                <w:sz w:val="21"/>
                <w:szCs w:val="21"/>
                <w14:ligatures w14:val="none"/>
              </w:rPr>
            </w:pPr>
          </w:p>
        </w:tc>
        <w:tc>
          <w:tcPr>
            <w:tcW w:w="566" w:type="pct"/>
            <w:vMerge w:val="continue"/>
            <w:vAlign w:val="center"/>
          </w:tcPr>
          <w:p w14:paraId="041B7596">
            <w:pPr>
              <w:adjustRightInd/>
              <w:snapToGrid/>
              <w:spacing w:line="240" w:lineRule="auto"/>
              <w:jc w:val="center"/>
              <w:rPr>
                <w:rFonts w:cs="Times New Roman"/>
                <w:sz w:val="21"/>
                <w:szCs w:val="21"/>
                <w14:ligatures w14:val="none"/>
              </w:rPr>
            </w:pPr>
          </w:p>
        </w:tc>
        <w:tc>
          <w:tcPr>
            <w:tcW w:w="1176" w:type="pct"/>
            <w:vMerge w:val="continue"/>
            <w:vAlign w:val="center"/>
          </w:tcPr>
          <w:p w14:paraId="2C7AA5D4">
            <w:pPr>
              <w:adjustRightInd/>
              <w:snapToGrid/>
              <w:spacing w:line="240" w:lineRule="auto"/>
              <w:jc w:val="center"/>
              <w:rPr>
                <w:rFonts w:cs="Times New Roman"/>
                <w:sz w:val="21"/>
                <w:szCs w:val="21"/>
                <w14:ligatures w14:val="none"/>
              </w:rPr>
            </w:pPr>
          </w:p>
        </w:tc>
        <w:tc>
          <w:tcPr>
            <w:tcW w:w="1876" w:type="pct"/>
            <w:vAlign w:val="center"/>
          </w:tcPr>
          <w:p w14:paraId="7838818A">
            <w:pPr>
              <w:adjustRightInd/>
              <w:snapToGrid/>
              <w:spacing w:line="240" w:lineRule="auto"/>
              <w:jc w:val="center"/>
              <w:rPr>
                <w:rFonts w:cs="Times New Roman"/>
                <w:sz w:val="21"/>
                <w:szCs w:val="21"/>
                <w14:ligatures w14:val="none"/>
              </w:rPr>
            </w:pPr>
            <w:r>
              <w:rPr>
                <w:rFonts w:cs="Times New Roman"/>
                <w:sz w:val="21"/>
                <w:szCs w:val="21"/>
                <w14:ligatures w14:val="none"/>
              </w:rPr>
              <w:t>C2645染料制造</w:t>
            </w:r>
          </w:p>
        </w:tc>
        <w:tc>
          <w:tcPr>
            <w:tcW w:w="1011" w:type="pct"/>
            <w:vMerge w:val="continue"/>
            <w:vAlign w:val="center"/>
          </w:tcPr>
          <w:p w14:paraId="2ACE8EEF">
            <w:pPr>
              <w:adjustRightInd/>
              <w:snapToGrid/>
              <w:spacing w:line="240" w:lineRule="auto"/>
              <w:jc w:val="center"/>
              <w:rPr>
                <w:rFonts w:cs="Times New Roman"/>
                <w:sz w:val="21"/>
                <w:szCs w:val="21"/>
                <w14:ligatures w14:val="none"/>
              </w:rPr>
            </w:pPr>
          </w:p>
        </w:tc>
      </w:tr>
      <w:tr w14:paraId="18E651E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gridAfter w:val="1"/>
          <w:wAfter w:w="9" w:type="pct"/>
          <w:trHeight w:val="340" w:hRule="atLeast"/>
          <w:jc w:val="center"/>
        </w:trPr>
        <w:tc>
          <w:tcPr>
            <w:tcW w:w="363" w:type="pct"/>
            <w:vMerge w:val="continue"/>
            <w:vAlign w:val="center"/>
          </w:tcPr>
          <w:p w14:paraId="3F3F2C05">
            <w:pPr>
              <w:adjustRightInd/>
              <w:snapToGrid/>
              <w:spacing w:line="240" w:lineRule="auto"/>
              <w:jc w:val="center"/>
              <w:rPr>
                <w:rFonts w:cs="Times New Roman"/>
                <w:sz w:val="21"/>
                <w:szCs w:val="21"/>
                <w14:ligatures w14:val="none"/>
              </w:rPr>
            </w:pPr>
          </w:p>
        </w:tc>
        <w:tc>
          <w:tcPr>
            <w:tcW w:w="566" w:type="pct"/>
            <w:vMerge w:val="continue"/>
            <w:vAlign w:val="center"/>
          </w:tcPr>
          <w:p w14:paraId="758897E6">
            <w:pPr>
              <w:adjustRightInd/>
              <w:snapToGrid/>
              <w:spacing w:line="240" w:lineRule="auto"/>
              <w:jc w:val="center"/>
              <w:rPr>
                <w:rFonts w:cs="Times New Roman"/>
                <w:sz w:val="21"/>
                <w:szCs w:val="21"/>
                <w14:ligatures w14:val="none"/>
              </w:rPr>
            </w:pPr>
          </w:p>
        </w:tc>
        <w:tc>
          <w:tcPr>
            <w:tcW w:w="1176" w:type="pct"/>
            <w:vMerge w:val="restart"/>
            <w:vAlign w:val="center"/>
          </w:tcPr>
          <w:p w14:paraId="14385BD4">
            <w:pPr>
              <w:adjustRightInd/>
              <w:snapToGrid/>
              <w:spacing w:line="240" w:lineRule="auto"/>
              <w:jc w:val="center"/>
              <w:rPr>
                <w:rFonts w:cs="Times New Roman"/>
                <w:sz w:val="21"/>
                <w:szCs w:val="21"/>
                <w14:ligatures w14:val="none"/>
              </w:rPr>
            </w:pPr>
            <w:r>
              <w:rPr>
                <w:rFonts w:cs="Times New Roman"/>
                <w:sz w:val="21"/>
                <w:szCs w:val="21"/>
                <w14:ligatures w14:val="none"/>
              </w:rPr>
              <w:t>C265合成材料制造</w:t>
            </w:r>
          </w:p>
        </w:tc>
        <w:tc>
          <w:tcPr>
            <w:tcW w:w="1876" w:type="pct"/>
            <w:vAlign w:val="center"/>
          </w:tcPr>
          <w:p w14:paraId="51277E80">
            <w:pPr>
              <w:adjustRightInd/>
              <w:snapToGrid/>
              <w:spacing w:line="240" w:lineRule="auto"/>
              <w:jc w:val="center"/>
              <w:rPr>
                <w:rFonts w:cs="Times New Roman"/>
                <w:sz w:val="21"/>
                <w:szCs w:val="21"/>
                <w14:ligatures w14:val="none"/>
              </w:rPr>
            </w:pPr>
            <w:r>
              <w:rPr>
                <w:rFonts w:cs="Times New Roman"/>
                <w:sz w:val="21"/>
                <w:szCs w:val="21"/>
                <w14:ligatures w14:val="none"/>
              </w:rPr>
              <w:t>C2651初级形态塑料及合成树脂制造</w:t>
            </w:r>
          </w:p>
        </w:tc>
        <w:tc>
          <w:tcPr>
            <w:tcW w:w="1011" w:type="pct"/>
            <w:vMerge w:val="continue"/>
            <w:vAlign w:val="center"/>
          </w:tcPr>
          <w:p w14:paraId="732CCDF6">
            <w:pPr>
              <w:adjustRightInd/>
              <w:snapToGrid/>
              <w:spacing w:line="240" w:lineRule="auto"/>
              <w:jc w:val="center"/>
              <w:rPr>
                <w:rFonts w:cs="Times New Roman"/>
                <w:sz w:val="21"/>
                <w:szCs w:val="21"/>
                <w14:ligatures w14:val="none"/>
              </w:rPr>
            </w:pPr>
          </w:p>
        </w:tc>
      </w:tr>
      <w:tr w14:paraId="0BE1D5D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gridAfter w:val="1"/>
          <w:wAfter w:w="9" w:type="pct"/>
          <w:trHeight w:val="340" w:hRule="atLeast"/>
          <w:jc w:val="center"/>
        </w:trPr>
        <w:tc>
          <w:tcPr>
            <w:tcW w:w="363" w:type="pct"/>
            <w:vMerge w:val="continue"/>
            <w:vAlign w:val="center"/>
          </w:tcPr>
          <w:p w14:paraId="56E1B8CE">
            <w:pPr>
              <w:adjustRightInd/>
              <w:snapToGrid/>
              <w:spacing w:line="240" w:lineRule="auto"/>
              <w:jc w:val="center"/>
              <w:rPr>
                <w:rFonts w:cs="Times New Roman"/>
                <w:sz w:val="21"/>
                <w:szCs w:val="21"/>
                <w14:ligatures w14:val="none"/>
              </w:rPr>
            </w:pPr>
          </w:p>
        </w:tc>
        <w:tc>
          <w:tcPr>
            <w:tcW w:w="566" w:type="pct"/>
            <w:vMerge w:val="continue"/>
            <w:vAlign w:val="center"/>
          </w:tcPr>
          <w:p w14:paraId="2C7B8A28">
            <w:pPr>
              <w:adjustRightInd/>
              <w:snapToGrid/>
              <w:spacing w:line="240" w:lineRule="auto"/>
              <w:jc w:val="center"/>
              <w:rPr>
                <w:rFonts w:cs="Times New Roman"/>
                <w:sz w:val="21"/>
                <w:szCs w:val="21"/>
                <w14:ligatures w14:val="none"/>
              </w:rPr>
            </w:pPr>
          </w:p>
        </w:tc>
        <w:tc>
          <w:tcPr>
            <w:tcW w:w="1176" w:type="pct"/>
            <w:vMerge w:val="continue"/>
            <w:vAlign w:val="center"/>
          </w:tcPr>
          <w:p w14:paraId="1A6FF9C6">
            <w:pPr>
              <w:adjustRightInd/>
              <w:snapToGrid/>
              <w:spacing w:line="240" w:lineRule="auto"/>
              <w:jc w:val="center"/>
              <w:rPr>
                <w:rFonts w:cs="Times New Roman"/>
                <w:sz w:val="21"/>
                <w:szCs w:val="21"/>
                <w14:ligatures w14:val="none"/>
              </w:rPr>
            </w:pPr>
          </w:p>
        </w:tc>
        <w:tc>
          <w:tcPr>
            <w:tcW w:w="1876" w:type="pct"/>
            <w:vAlign w:val="center"/>
          </w:tcPr>
          <w:p w14:paraId="54CDE138">
            <w:pPr>
              <w:adjustRightInd/>
              <w:snapToGrid/>
              <w:spacing w:line="240" w:lineRule="auto"/>
              <w:jc w:val="center"/>
              <w:rPr>
                <w:rFonts w:cs="Times New Roman"/>
                <w:sz w:val="21"/>
                <w:szCs w:val="21"/>
                <w14:ligatures w14:val="none"/>
              </w:rPr>
            </w:pPr>
            <w:r>
              <w:rPr>
                <w:rFonts w:cs="Times New Roman"/>
                <w:sz w:val="21"/>
                <w:szCs w:val="21"/>
                <w14:ligatures w14:val="none"/>
              </w:rPr>
              <w:t>C2653合成纤维单(聚合</w:t>
            </w:r>
            <w:r>
              <w:rPr>
                <w:rFonts w:hint="eastAsia" w:cs="Times New Roman"/>
                <w:sz w:val="21"/>
                <w:szCs w:val="21"/>
                <w14:ligatures w14:val="none"/>
              </w:rPr>
              <w:t>)</w:t>
            </w:r>
            <w:r>
              <w:rPr>
                <w:rFonts w:cs="Times New Roman"/>
                <w:sz w:val="21"/>
                <w:szCs w:val="21"/>
                <w14:ligatures w14:val="none"/>
              </w:rPr>
              <w:t>体制造</w:t>
            </w:r>
          </w:p>
        </w:tc>
        <w:tc>
          <w:tcPr>
            <w:tcW w:w="1011" w:type="pct"/>
            <w:vMerge w:val="continue"/>
            <w:vAlign w:val="center"/>
          </w:tcPr>
          <w:p w14:paraId="7945F556">
            <w:pPr>
              <w:adjustRightInd/>
              <w:snapToGrid/>
              <w:spacing w:line="240" w:lineRule="auto"/>
              <w:jc w:val="center"/>
              <w:rPr>
                <w:rFonts w:cs="Times New Roman"/>
                <w:sz w:val="21"/>
                <w:szCs w:val="21"/>
                <w14:ligatures w14:val="none"/>
              </w:rPr>
            </w:pPr>
          </w:p>
        </w:tc>
      </w:tr>
      <w:tr w14:paraId="2B8339A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gridAfter w:val="1"/>
          <w:wAfter w:w="9" w:type="pct"/>
          <w:trHeight w:val="340" w:hRule="atLeast"/>
          <w:jc w:val="center"/>
        </w:trPr>
        <w:tc>
          <w:tcPr>
            <w:tcW w:w="363" w:type="pct"/>
            <w:vMerge w:val="continue"/>
            <w:vAlign w:val="center"/>
          </w:tcPr>
          <w:p w14:paraId="71D5344D">
            <w:pPr>
              <w:adjustRightInd/>
              <w:snapToGrid/>
              <w:spacing w:line="240" w:lineRule="auto"/>
              <w:jc w:val="center"/>
              <w:rPr>
                <w:rFonts w:cs="Times New Roman"/>
                <w:sz w:val="21"/>
                <w:szCs w:val="21"/>
                <w14:ligatures w14:val="none"/>
              </w:rPr>
            </w:pPr>
          </w:p>
        </w:tc>
        <w:tc>
          <w:tcPr>
            <w:tcW w:w="566" w:type="pct"/>
            <w:vMerge w:val="continue"/>
            <w:vAlign w:val="center"/>
          </w:tcPr>
          <w:p w14:paraId="1B446BB4">
            <w:pPr>
              <w:adjustRightInd/>
              <w:snapToGrid/>
              <w:spacing w:line="240" w:lineRule="auto"/>
              <w:jc w:val="center"/>
              <w:rPr>
                <w:rFonts w:cs="Times New Roman"/>
                <w:sz w:val="21"/>
                <w:szCs w:val="21"/>
                <w14:ligatures w14:val="none"/>
              </w:rPr>
            </w:pPr>
          </w:p>
        </w:tc>
        <w:tc>
          <w:tcPr>
            <w:tcW w:w="1176" w:type="pct"/>
            <w:vMerge w:val="continue"/>
            <w:vAlign w:val="center"/>
          </w:tcPr>
          <w:p w14:paraId="2AE4AA70">
            <w:pPr>
              <w:adjustRightInd/>
              <w:snapToGrid/>
              <w:spacing w:line="240" w:lineRule="auto"/>
              <w:jc w:val="center"/>
              <w:rPr>
                <w:rFonts w:cs="Times New Roman"/>
                <w:sz w:val="21"/>
                <w:szCs w:val="21"/>
                <w14:ligatures w14:val="none"/>
              </w:rPr>
            </w:pPr>
          </w:p>
        </w:tc>
        <w:tc>
          <w:tcPr>
            <w:tcW w:w="1876" w:type="pct"/>
            <w:vAlign w:val="center"/>
          </w:tcPr>
          <w:p w14:paraId="216B608F">
            <w:pPr>
              <w:adjustRightInd/>
              <w:snapToGrid/>
              <w:spacing w:line="240" w:lineRule="auto"/>
              <w:jc w:val="center"/>
              <w:rPr>
                <w:rFonts w:cs="Times New Roman"/>
                <w:sz w:val="21"/>
                <w:szCs w:val="21"/>
                <w14:ligatures w14:val="none"/>
              </w:rPr>
            </w:pPr>
            <w:r>
              <w:rPr>
                <w:rFonts w:cs="Times New Roman"/>
                <w:sz w:val="21"/>
                <w:szCs w:val="21"/>
                <w14:ligatures w14:val="none"/>
              </w:rPr>
              <w:t>C2659其它合成材料制造</w:t>
            </w:r>
          </w:p>
        </w:tc>
        <w:tc>
          <w:tcPr>
            <w:tcW w:w="1011" w:type="pct"/>
            <w:vMerge w:val="continue"/>
            <w:vAlign w:val="center"/>
          </w:tcPr>
          <w:p w14:paraId="2F640792">
            <w:pPr>
              <w:adjustRightInd/>
              <w:snapToGrid/>
              <w:spacing w:line="240" w:lineRule="auto"/>
              <w:jc w:val="center"/>
              <w:rPr>
                <w:rFonts w:cs="Times New Roman"/>
                <w:sz w:val="21"/>
                <w:szCs w:val="21"/>
                <w14:ligatures w14:val="none"/>
              </w:rPr>
            </w:pPr>
          </w:p>
        </w:tc>
      </w:tr>
      <w:tr w14:paraId="1406488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gridAfter w:val="1"/>
          <w:wAfter w:w="9" w:type="pct"/>
          <w:trHeight w:val="340" w:hRule="atLeast"/>
          <w:jc w:val="center"/>
        </w:trPr>
        <w:tc>
          <w:tcPr>
            <w:tcW w:w="363" w:type="pct"/>
            <w:vMerge w:val="continue"/>
            <w:vAlign w:val="center"/>
          </w:tcPr>
          <w:p w14:paraId="64480F7D">
            <w:pPr>
              <w:adjustRightInd/>
              <w:snapToGrid/>
              <w:spacing w:line="240" w:lineRule="auto"/>
              <w:jc w:val="center"/>
              <w:rPr>
                <w:rFonts w:cs="Times New Roman"/>
                <w:sz w:val="21"/>
                <w:szCs w:val="21"/>
                <w14:ligatures w14:val="none"/>
              </w:rPr>
            </w:pPr>
          </w:p>
        </w:tc>
        <w:tc>
          <w:tcPr>
            <w:tcW w:w="566" w:type="pct"/>
            <w:vMerge w:val="continue"/>
            <w:vAlign w:val="center"/>
          </w:tcPr>
          <w:p w14:paraId="3B871B5B">
            <w:pPr>
              <w:adjustRightInd/>
              <w:snapToGrid/>
              <w:spacing w:line="240" w:lineRule="auto"/>
              <w:jc w:val="center"/>
              <w:rPr>
                <w:rFonts w:cs="Times New Roman"/>
                <w:sz w:val="21"/>
                <w:szCs w:val="21"/>
                <w14:ligatures w14:val="none"/>
              </w:rPr>
            </w:pPr>
          </w:p>
        </w:tc>
        <w:tc>
          <w:tcPr>
            <w:tcW w:w="3052" w:type="pct"/>
            <w:gridSpan w:val="2"/>
            <w:vAlign w:val="center"/>
          </w:tcPr>
          <w:p w14:paraId="49314FF2">
            <w:pPr>
              <w:adjustRightInd/>
              <w:snapToGrid/>
              <w:spacing w:line="240" w:lineRule="auto"/>
              <w:jc w:val="center"/>
              <w:rPr>
                <w:rFonts w:cs="Times New Roman"/>
                <w:sz w:val="21"/>
                <w:szCs w:val="21"/>
                <w14:ligatures w14:val="none"/>
              </w:rPr>
            </w:pPr>
            <w:r>
              <w:rPr>
                <w:rFonts w:cs="Times New Roman"/>
                <w:sz w:val="21"/>
                <w:szCs w:val="21"/>
                <w14:ligatures w14:val="none"/>
              </w:rPr>
              <w:t>C266专用化学产品制造</w:t>
            </w:r>
          </w:p>
        </w:tc>
        <w:tc>
          <w:tcPr>
            <w:tcW w:w="1011" w:type="pct"/>
            <w:vMerge w:val="continue"/>
            <w:vAlign w:val="center"/>
          </w:tcPr>
          <w:p w14:paraId="03D4C13F">
            <w:pPr>
              <w:adjustRightInd/>
              <w:snapToGrid/>
              <w:spacing w:line="240" w:lineRule="auto"/>
              <w:jc w:val="center"/>
              <w:rPr>
                <w:rFonts w:cs="Times New Roman"/>
                <w:sz w:val="21"/>
                <w:szCs w:val="21"/>
                <w14:ligatures w14:val="none"/>
              </w:rPr>
            </w:pPr>
          </w:p>
        </w:tc>
      </w:tr>
      <w:tr w14:paraId="2FB5DB1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gridAfter w:val="1"/>
          <w:wAfter w:w="9" w:type="pct"/>
          <w:trHeight w:val="340" w:hRule="atLeast"/>
          <w:jc w:val="center"/>
        </w:trPr>
        <w:tc>
          <w:tcPr>
            <w:tcW w:w="363" w:type="pct"/>
            <w:vMerge w:val="continue"/>
            <w:vAlign w:val="center"/>
          </w:tcPr>
          <w:p w14:paraId="501A520B">
            <w:pPr>
              <w:adjustRightInd/>
              <w:snapToGrid/>
              <w:spacing w:line="240" w:lineRule="auto"/>
              <w:jc w:val="center"/>
              <w:rPr>
                <w:rFonts w:cs="Times New Roman"/>
                <w:sz w:val="21"/>
                <w:szCs w:val="21"/>
                <w14:ligatures w14:val="none"/>
              </w:rPr>
            </w:pPr>
          </w:p>
        </w:tc>
        <w:tc>
          <w:tcPr>
            <w:tcW w:w="566" w:type="pct"/>
            <w:vMerge w:val="continue"/>
            <w:vAlign w:val="center"/>
          </w:tcPr>
          <w:p w14:paraId="1CCA3D66">
            <w:pPr>
              <w:adjustRightInd/>
              <w:snapToGrid/>
              <w:spacing w:line="240" w:lineRule="auto"/>
              <w:jc w:val="center"/>
              <w:rPr>
                <w:rFonts w:cs="Times New Roman"/>
                <w:sz w:val="21"/>
                <w:szCs w:val="21"/>
                <w14:ligatures w14:val="none"/>
              </w:rPr>
            </w:pPr>
          </w:p>
        </w:tc>
        <w:tc>
          <w:tcPr>
            <w:tcW w:w="3052" w:type="pct"/>
            <w:gridSpan w:val="2"/>
            <w:vAlign w:val="center"/>
          </w:tcPr>
          <w:p w14:paraId="15A23DE3">
            <w:pPr>
              <w:adjustRightInd/>
              <w:snapToGrid/>
              <w:spacing w:line="240" w:lineRule="auto"/>
              <w:jc w:val="center"/>
              <w:rPr>
                <w:rFonts w:cs="Times New Roman"/>
                <w:sz w:val="21"/>
                <w:szCs w:val="21"/>
                <w14:ligatures w14:val="none"/>
              </w:rPr>
            </w:pPr>
            <w:r>
              <w:rPr>
                <w:rFonts w:cs="Times New Roman"/>
                <w:sz w:val="21"/>
                <w:szCs w:val="21"/>
                <w14:ligatures w14:val="none"/>
              </w:rPr>
              <w:t>C268日用化学产品制造</w:t>
            </w:r>
          </w:p>
        </w:tc>
        <w:tc>
          <w:tcPr>
            <w:tcW w:w="1011" w:type="pct"/>
            <w:vMerge w:val="continue"/>
            <w:vAlign w:val="center"/>
          </w:tcPr>
          <w:p w14:paraId="0C2CDA0D">
            <w:pPr>
              <w:adjustRightInd/>
              <w:snapToGrid/>
              <w:spacing w:line="240" w:lineRule="auto"/>
              <w:jc w:val="center"/>
              <w:rPr>
                <w:rFonts w:cs="Times New Roman"/>
                <w:sz w:val="21"/>
                <w:szCs w:val="21"/>
                <w14:ligatures w14:val="none"/>
              </w:rPr>
            </w:pPr>
          </w:p>
        </w:tc>
      </w:tr>
      <w:tr w14:paraId="4AEC9AF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gridAfter w:val="1"/>
          <w:wAfter w:w="9" w:type="pct"/>
          <w:trHeight w:val="340" w:hRule="atLeast"/>
          <w:jc w:val="center"/>
        </w:trPr>
        <w:tc>
          <w:tcPr>
            <w:tcW w:w="363" w:type="pct"/>
            <w:vMerge w:val="continue"/>
            <w:vAlign w:val="center"/>
          </w:tcPr>
          <w:p w14:paraId="6EA40927">
            <w:pPr>
              <w:adjustRightInd/>
              <w:snapToGrid/>
              <w:spacing w:line="240" w:lineRule="auto"/>
              <w:jc w:val="center"/>
              <w:rPr>
                <w:rFonts w:cs="Times New Roman"/>
                <w:sz w:val="21"/>
                <w:szCs w:val="21"/>
                <w14:ligatures w14:val="none"/>
              </w:rPr>
            </w:pPr>
          </w:p>
        </w:tc>
        <w:tc>
          <w:tcPr>
            <w:tcW w:w="566" w:type="pct"/>
            <w:vAlign w:val="center"/>
          </w:tcPr>
          <w:p w14:paraId="260015A8">
            <w:pPr>
              <w:adjustRightInd/>
              <w:snapToGrid/>
              <w:spacing w:line="240" w:lineRule="auto"/>
              <w:jc w:val="center"/>
              <w:rPr>
                <w:rFonts w:cs="Times New Roman"/>
                <w:sz w:val="21"/>
                <w:szCs w:val="21"/>
                <w14:ligatures w14:val="none"/>
              </w:rPr>
            </w:pPr>
            <w:r>
              <w:rPr>
                <w:rFonts w:cs="Times New Roman"/>
                <w:sz w:val="21"/>
                <w:szCs w:val="21"/>
                <w14:ligatures w14:val="none"/>
              </w:rPr>
              <w:t>电子化学</w:t>
            </w:r>
          </w:p>
        </w:tc>
        <w:tc>
          <w:tcPr>
            <w:tcW w:w="1176" w:type="pct"/>
            <w:vAlign w:val="center"/>
          </w:tcPr>
          <w:p w14:paraId="6C4B8480">
            <w:pPr>
              <w:adjustRightInd/>
              <w:snapToGrid/>
              <w:spacing w:line="240" w:lineRule="auto"/>
              <w:jc w:val="center"/>
              <w:rPr>
                <w:rFonts w:cs="Times New Roman"/>
                <w:sz w:val="21"/>
                <w:szCs w:val="21"/>
                <w14:ligatures w14:val="none"/>
              </w:rPr>
            </w:pPr>
            <w:r>
              <w:rPr>
                <w:rFonts w:cs="Times New Roman"/>
                <w:sz w:val="21"/>
                <w:szCs w:val="21"/>
                <w14:ligatures w14:val="none"/>
              </w:rPr>
              <w:t>C39计算机、通信和其他电子设备制造业</w:t>
            </w:r>
          </w:p>
        </w:tc>
        <w:tc>
          <w:tcPr>
            <w:tcW w:w="1876" w:type="pct"/>
            <w:vAlign w:val="center"/>
          </w:tcPr>
          <w:p w14:paraId="282724BA">
            <w:pPr>
              <w:adjustRightInd/>
              <w:snapToGrid/>
              <w:spacing w:line="240" w:lineRule="auto"/>
              <w:jc w:val="center"/>
              <w:rPr>
                <w:rFonts w:cs="Times New Roman"/>
                <w:sz w:val="21"/>
                <w:szCs w:val="21"/>
                <w14:ligatures w14:val="none"/>
              </w:rPr>
            </w:pPr>
            <w:r>
              <w:rPr>
                <w:rFonts w:cs="Times New Roman"/>
                <w:sz w:val="21"/>
                <w:szCs w:val="21"/>
                <w14:ligatures w14:val="none"/>
              </w:rPr>
              <w:t>C398电子元件及电子专用材料制造</w:t>
            </w:r>
          </w:p>
        </w:tc>
        <w:tc>
          <w:tcPr>
            <w:tcW w:w="1011" w:type="pct"/>
            <w:vMerge w:val="continue"/>
            <w:vAlign w:val="center"/>
          </w:tcPr>
          <w:p w14:paraId="00B8C1BA">
            <w:pPr>
              <w:adjustRightInd/>
              <w:snapToGrid/>
              <w:spacing w:line="240" w:lineRule="auto"/>
              <w:jc w:val="center"/>
              <w:rPr>
                <w:rFonts w:cs="Times New Roman"/>
                <w:sz w:val="21"/>
                <w:szCs w:val="21"/>
                <w14:ligatures w14:val="none"/>
              </w:rPr>
            </w:pPr>
          </w:p>
        </w:tc>
      </w:tr>
      <w:tr w14:paraId="2E91883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gridAfter w:val="1"/>
          <w:wAfter w:w="9" w:type="pct"/>
          <w:trHeight w:val="340" w:hRule="atLeast"/>
          <w:jc w:val="center"/>
        </w:trPr>
        <w:tc>
          <w:tcPr>
            <w:tcW w:w="363" w:type="pct"/>
            <w:vMerge w:val="restart"/>
            <w:vAlign w:val="center"/>
          </w:tcPr>
          <w:p w14:paraId="7202D25F">
            <w:pPr>
              <w:adjustRightInd/>
              <w:snapToGrid/>
              <w:spacing w:line="240" w:lineRule="auto"/>
              <w:jc w:val="center"/>
              <w:rPr>
                <w:rFonts w:cs="Times New Roman"/>
                <w:sz w:val="21"/>
                <w:szCs w:val="21"/>
                <w14:ligatures w14:val="none"/>
              </w:rPr>
            </w:pPr>
            <w:r>
              <w:rPr>
                <w:rFonts w:cs="Times New Roman"/>
                <w:sz w:val="21"/>
                <w:szCs w:val="21"/>
                <w14:ligatures w14:val="none"/>
              </w:rPr>
              <w:t>禁止类</w:t>
            </w:r>
          </w:p>
        </w:tc>
        <w:tc>
          <w:tcPr>
            <w:tcW w:w="566" w:type="pct"/>
            <w:vMerge w:val="restart"/>
            <w:vAlign w:val="center"/>
          </w:tcPr>
          <w:p w14:paraId="714D727B">
            <w:pPr>
              <w:adjustRightInd/>
              <w:snapToGrid/>
              <w:spacing w:line="240" w:lineRule="auto"/>
              <w:jc w:val="center"/>
              <w:rPr>
                <w:rFonts w:cs="Times New Roman"/>
                <w:sz w:val="21"/>
                <w:szCs w:val="21"/>
                <w14:ligatures w14:val="none"/>
              </w:rPr>
            </w:pPr>
            <w:r>
              <w:rPr>
                <w:rFonts w:cs="Times New Roman"/>
                <w:sz w:val="21"/>
                <w:szCs w:val="21"/>
                <w14:ligatures w14:val="none"/>
              </w:rPr>
              <w:t>机械设备制造</w:t>
            </w:r>
          </w:p>
        </w:tc>
        <w:tc>
          <w:tcPr>
            <w:tcW w:w="3052" w:type="pct"/>
            <w:gridSpan w:val="2"/>
            <w:vAlign w:val="center"/>
          </w:tcPr>
          <w:p w14:paraId="432DCF25">
            <w:pPr>
              <w:adjustRightInd/>
              <w:snapToGrid/>
              <w:spacing w:line="240" w:lineRule="auto"/>
              <w:jc w:val="center"/>
              <w:rPr>
                <w:rFonts w:cs="Times New Roman"/>
                <w:sz w:val="21"/>
                <w:szCs w:val="21"/>
                <w14:ligatures w14:val="none"/>
              </w:rPr>
            </w:pPr>
            <w:r>
              <w:rPr>
                <w:rFonts w:cs="Times New Roman"/>
                <w:sz w:val="21"/>
                <w:szCs w:val="21"/>
                <w14:ligatures w14:val="none"/>
              </w:rPr>
              <w:t>C34通用设备制造业</w:t>
            </w:r>
          </w:p>
        </w:tc>
        <w:tc>
          <w:tcPr>
            <w:tcW w:w="1011" w:type="pct"/>
            <w:vMerge w:val="restart"/>
            <w:vAlign w:val="center"/>
          </w:tcPr>
          <w:p w14:paraId="4F709F06">
            <w:pPr>
              <w:adjustRightInd/>
              <w:snapToGrid/>
              <w:spacing w:line="240" w:lineRule="auto"/>
              <w:jc w:val="center"/>
              <w:rPr>
                <w:rFonts w:cs="Times New Roman"/>
                <w:sz w:val="21"/>
                <w:szCs w:val="21"/>
                <w14:ligatures w14:val="none"/>
              </w:rPr>
            </w:pPr>
            <w:r>
              <w:rPr>
                <w:rFonts w:cs="Times New Roman"/>
                <w:sz w:val="21"/>
                <w:szCs w:val="21"/>
                <w14:ligatures w14:val="none"/>
              </w:rPr>
              <w:t>项目不属于禁止类</w:t>
            </w:r>
          </w:p>
        </w:tc>
      </w:tr>
      <w:tr w14:paraId="2C3FF52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gridAfter w:val="1"/>
          <w:wAfter w:w="9" w:type="pct"/>
          <w:trHeight w:val="340" w:hRule="atLeast"/>
          <w:jc w:val="center"/>
        </w:trPr>
        <w:tc>
          <w:tcPr>
            <w:tcW w:w="363" w:type="pct"/>
            <w:vMerge w:val="continue"/>
            <w:vAlign w:val="center"/>
          </w:tcPr>
          <w:p w14:paraId="20227F91">
            <w:pPr>
              <w:adjustRightInd/>
              <w:snapToGrid/>
              <w:spacing w:line="240" w:lineRule="auto"/>
              <w:jc w:val="center"/>
              <w:rPr>
                <w:rFonts w:cs="Times New Roman"/>
                <w:sz w:val="21"/>
                <w:szCs w:val="21"/>
                <w14:ligatures w14:val="none"/>
              </w:rPr>
            </w:pPr>
          </w:p>
        </w:tc>
        <w:tc>
          <w:tcPr>
            <w:tcW w:w="566" w:type="pct"/>
            <w:vMerge w:val="continue"/>
            <w:vAlign w:val="center"/>
          </w:tcPr>
          <w:p w14:paraId="6684A741">
            <w:pPr>
              <w:adjustRightInd/>
              <w:snapToGrid/>
              <w:spacing w:line="240" w:lineRule="auto"/>
              <w:jc w:val="center"/>
              <w:rPr>
                <w:rFonts w:cs="Times New Roman"/>
                <w:sz w:val="21"/>
                <w:szCs w:val="21"/>
                <w14:ligatures w14:val="none"/>
              </w:rPr>
            </w:pPr>
          </w:p>
        </w:tc>
        <w:tc>
          <w:tcPr>
            <w:tcW w:w="3052" w:type="pct"/>
            <w:gridSpan w:val="2"/>
            <w:vAlign w:val="center"/>
          </w:tcPr>
          <w:p w14:paraId="0A1150B1">
            <w:pPr>
              <w:adjustRightInd/>
              <w:snapToGrid/>
              <w:spacing w:line="240" w:lineRule="auto"/>
              <w:jc w:val="center"/>
              <w:rPr>
                <w:rFonts w:cs="Times New Roman"/>
                <w:sz w:val="21"/>
                <w:szCs w:val="21"/>
                <w14:ligatures w14:val="none"/>
              </w:rPr>
            </w:pPr>
            <w:r>
              <w:rPr>
                <w:rFonts w:cs="Times New Roman"/>
                <w:sz w:val="21"/>
                <w:szCs w:val="21"/>
                <w14:ligatures w14:val="none"/>
              </w:rPr>
              <w:t>C35专用设备制造业</w:t>
            </w:r>
          </w:p>
        </w:tc>
        <w:tc>
          <w:tcPr>
            <w:tcW w:w="1011" w:type="pct"/>
            <w:vMerge w:val="continue"/>
            <w:vAlign w:val="center"/>
          </w:tcPr>
          <w:p w14:paraId="5551553D">
            <w:pPr>
              <w:adjustRightInd/>
              <w:snapToGrid/>
              <w:spacing w:line="240" w:lineRule="auto"/>
              <w:jc w:val="center"/>
              <w:rPr>
                <w:rFonts w:cs="Times New Roman"/>
                <w:sz w:val="21"/>
                <w:szCs w:val="21"/>
                <w14:ligatures w14:val="none"/>
              </w:rPr>
            </w:pPr>
          </w:p>
        </w:tc>
      </w:tr>
      <w:tr w14:paraId="047EC45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gridAfter w:val="1"/>
          <w:wAfter w:w="9" w:type="pct"/>
          <w:trHeight w:val="340" w:hRule="atLeast"/>
          <w:jc w:val="center"/>
        </w:trPr>
        <w:tc>
          <w:tcPr>
            <w:tcW w:w="363" w:type="pct"/>
            <w:vMerge w:val="continue"/>
            <w:vAlign w:val="center"/>
          </w:tcPr>
          <w:p w14:paraId="2CADAE65">
            <w:pPr>
              <w:adjustRightInd/>
              <w:snapToGrid/>
              <w:spacing w:line="240" w:lineRule="auto"/>
              <w:jc w:val="center"/>
              <w:rPr>
                <w:rFonts w:cs="Times New Roman"/>
                <w:sz w:val="21"/>
                <w:szCs w:val="21"/>
                <w14:ligatures w14:val="none"/>
              </w:rPr>
            </w:pPr>
          </w:p>
        </w:tc>
        <w:tc>
          <w:tcPr>
            <w:tcW w:w="566" w:type="pct"/>
            <w:vMerge w:val="restart"/>
            <w:vAlign w:val="center"/>
          </w:tcPr>
          <w:p w14:paraId="1E081383">
            <w:pPr>
              <w:adjustRightInd/>
              <w:snapToGrid/>
              <w:spacing w:line="240" w:lineRule="auto"/>
              <w:jc w:val="center"/>
              <w:rPr>
                <w:rFonts w:cs="Times New Roman"/>
                <w:sz w:val="21"/>
                <w:szCs w:val="21"/>
                <w14:ligatures w14:val="none"/>
              </w:rPr>
            </w:pPr>
            <w:r>
              <w:rPr>
                <w:rFonts w:cs="Times New Roman"/>
                <w:sz w:val="21"/>
                <w:szCs w:val="21"/>
                <w14:ligatures w14:val="none"/>
              </w:rPr>
              <w:t>E47房屋建筑业</w:t>
            </w:r>
          </w:p>
        </w:tc>
        <w:tc>
          <w:tcPr>
            <w:tcW w:w="3052" w:type="pct"/>
            <w:gridSpan w:val="2"/>
            <w:vAlign w:val="center"/>
          </w:tcPr>
          <w:p w14:paraId="36E1529F">
            <w:pPr>
              <w:adjustRightInd/>
              <w:snapToGrid/>
              <w:spacing w:line="240" w:lineRule="auto"/>
              <w:jc w:val="center"/>
              <w:rPr>
                <w:rFonts w:cs="Times New Roman"/>
                <w:sz w:val="21"/>
                <w:szCs w:val="21"/>
                <w14:ligatures w14:val="none"/>
              </w:rPr>
            </w:pPr>
            <w:r>
              <w:rPr>
                <w:rFonts w:cs="Times New Roman"/>
                <w:sz w:val="21"/>
                <w:szCs w:val="21"/>
                <w14:ligatures w14:val="none"/>
              </w:rPr>
              <w:t>C4710住宅房屋建筑</w:t>
            </w:r>
          </w:p>
        </w:tc>
        <w:tc>
          <w:tcPr>
            <w:tcW w:w="1011" w:type="pct"/>
            <w:vMerge w:val="continue"/>
            <w:vAlign w:val="center"/>
          </w:tcPr>
          <w:p w14:paraId="7D2B62EB">
            <w:pPr>
              <w:adjustRightInd/>
              <w:snapToGrid/>
              <w:spacing w:line="240" w:lineRule="auto"/>
              <w:jc w:val="center"/>
              <w:rPr>
                <w:rFonts w:cs="Times New Roman"/>
                <w:sz w:val="21"/>
                <w:szCs w:val="21"/>
                <w14:ligatures w14:val="none"/>
              </w:rPr>
            </w:pPr>
          </w:p>
        </w:tc>
      </w:tr>
      <w:tr w14:paraId="6C263A4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gridAfter w:val="1"/>
          <w:wAfter w:w="9" w:type="pct"/>
          <w:trHeight w:val="340" w:hRule="atLeast"/>
          <w:jc w:val="center"/>
        </w:trPr>
        <w:tc>
          <w:tcPr>
            <w:tcW w:w="363" w:type="pct"/>
            <w:vMerge w:val="continue"/>
            <w:vAlign w:val="center"/>
          </w:tcPr>
          <w:p w14:paraId="0E3DFD1E">
            <w:pPr>
              <w:adjustRightInd/>
              <w:snapToGrid/>
              <w:spacing w:line="240" w:lineRule="auto"/>
              <w:jc w:val="center"/>
              <w:rPr>
                <w:rFonts w:cs="Times New Roman"/>
                <w:sz w:val="21"/>
                <w:szCs w:val="21"/>
                <w14:ligatures w14:val="none"/>
              </w:rPr>
            </w:pPr>
          </w:p>
        </w:tc>
        <w:tc>
          <w:tcPr>
            <w:tcW w:w="566" w:type="pct"/>
            <w:vMerge w:val="continue"/>
            <w:vAlign w:val="center"/>
          </w:tcPr>
          <w:p w14:paraId="7B242962">
            <w:pPr>
              <w:adjustRightInd/>
              <w:snapToGrid/>
              <w:spacing w:line="240" w:lineRule="auto"/>
              <w:jc w:val="center"/>
              <w:rPr>
                <w:rFonts w:cs="Times New Roman"/>
                <w:sz w:val="21"/>
                <w:szCs w:val="21"/>
                <w14:ligatures w14:val="none"/>
              </w:rPr>
            </w:pPr>
          </w:p>
        </w:tc>
        <w:tc>
          <w:tcPr>
            <w:tcW w:w="3052" w:type="pct"/>
            <w:gridSpan w:val="2"/>
            <w:vAlign w:val="center"/>
          </w:tcPr>
          <w:p w14:paraId="35548B5D">
            <w:pPr>
              <w:adjustRightInd/>
              <w:snapToGrid/>
              <w:spacing w:line="240" w:lineRule="auto"/>
              <w:jc w:val="center"/>
              <w:rPr>
                <w:rFonts w:cs="Times New Roman"/>
                <w:sz w:val="21"/>
                <w:szCs w:val="21"/>
                <w14:ligatures w14:val="none"/>
              </w:rPr>
            </w:pPr>
            <w:r>
              <w:rPr>
                <w:rFonts w:cs="Times New Roman"/>
                <w:sz w:val="21"/>
                <w:szCs w:val="21"/>
                <w14:ligatures w14:val="none"/>
              </w:rPr>
              <w:t>C4720体育场馆建筑</w:t>
            </w:r>
          </w:p>
        </w:tc>
        <w:tc>
          <w:tcPr>
            <w:tcW w:w="1011" w:type="pct"/>
            <w:vMerge w:val="continue"/>
            <w:vAlign w:val="center"/>
          </w:tcPr>
          <w:p w14:paraId="077344E2">
            <w:pPr>
              <w:adjustRightInd/>
              <w:snapToGrid/>
              <w:spacing w:line="240" w:lineRule="auto"/>
              <w:jc w:val="center"/>
              <w:rPr>
                <w:rFonts w:cs="Times New Roman"/>
                <w:sz w:val="21"/>
                <w:szCs w:val="21"/>
                <w14:ligatures w14:val="none"/>
              </w:rPr>
            </w:pPr>
          </w:p>
        </w:tc>
      </w:tr>
      <w:tr w14:paraId="4575E85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gridAfter w:val="1"/>
          <w:wAfter w:w="9" w:type="pct"/>
          <w:trHeight w:val="340" w:hRule="atLeast"/>
          <w:jc w:val="center"/>
        </w:trPr>
        <w:tc>
          <w:tcPr>
            <w:tcW w:w="363" w:type="pct"/>
            <w:vMerge w:val="continue"/>
            <w:vAlign w:val="center"/>
          </w:tcPr>
          <w:p w14:paraId="119603F8">
            <w:pPr>
              <w:adjustRightInd/>
              <w:snapToGrid/>
              <w:spacing w:line="240" w:lineRule="auto"/>
              <w:jc w:val="center"/>
              <w:rPr>
                <w:rFonts w:cs="Times New Roman"/>
                <w:sz w:val="21"/>
                <w:szCs w:val="21"/>
                <w14:ligatures w14:val="none"/>
              </w:rPr>
            </w:pPr>
          </w:p>
        </w:tc>
        <w:tc>
          <w:tcPr>
            <w:tcW w:w="566" w:type="pct"/>
            <w:vMerge w:val="restart"/>
            <w:vAlign w:val="center"/>
          </w:tcPr>
          <w:p w14:paraId="4322FCA9">
            <w:pPr>
              <w:adjustRightInd/>
              <w:snapToGrid/>
              <w:spacing w:line="240" w:lineRule="auto"/>
              <w:jc w:val="center"/>
              <w:rPr>
                <w:rFonts w:cs="Times New Roman"/>
                <w:sz w:val="21"/>
                <w:szCs w:val="21"/>
                <w14:ligatures w14:val="none"/>
              </w:rPr>
            </w:pPr>
            <w:r>
              <w:rPr>
                <w:rFonts w:cs="Times New Roman"/>
                <w:sz w:val="21"/>
                <w:szCs w:val="21"/>
                <w14:ligatures w14:val="none"/>
              </w:rPr>
              <w:t>C32有色金属冶炼和压延加工业</w:t>
            </w:r>
          </w:p>
        </w:tc>
        <w:tc>
          <w:tcPr>
            <w:tcW w:w="3052" w:type="pct"/>
            <w:gridSpan w:val="2"/>
            <w:vAlign w:val="center"/>
          </w:tcPr>
          <w:p w14:paraId="3043C8BF">
            <w:pPr>
              <w:adjustRightInd/>
              <w:snapToGrid/>
              <w:spacing w:line="240" w:lineRule="auto"/>
              <w:jc w:val="center"/>
              <w:rPr>
                <w:rFonts w:cs="Times New Roman"/>
                <w:sz w:val="21"/>
                <w:szCs w:val="21"/>
                <w14:ligatures w14:val="none"/>
              </w:rPr>
            </w:pPr>
            <w:r>
              <w:rPr>
                <w:rFonts w:cs="Times New Roman"/>
                <w:sz w:val="21"/>
                <w:szCs w:val="21"/>
                <w14:ligatures w14:val="none"/>
              </w:rPr>
              <w:t>C321常用有色金属冶炼</w:t>
            </w:r>
          </w:p>
        </w:tc>
        <w:tc>
          <w:tcPr>
            <w:tcW w:w="1011" w:type="pct"/>
            <w:vMerge w:val="continue"/>
            <w:vAlign w:val="center"/>
          </w:tcPr>
          <w:p w14:paraId="337909B3">
            <w:pPr>
              <w:adjustRightInd/>
              <w:snapToGrid/>
              <w:spacing w:line="240" w:lineRule="auto"/>
              <w:jc w:val="center"/>
              <w:rPr>
                <w:rFonts w:cs="Times New Roman"/>
                <w:sz w:val="21"/>
                <w:szCs w:val="21"/>
                <w14:ligatures w14:val="none"/>
              </w:rPr>
            </w:pPr>
          </w:p>
        </w:tc>
      </w:tr>
      <w:tr w14:paraId="2154B66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gridAfter w:val="1"/>
          <w:wAfter w:w="9" w:type="pct"/>
          <w:trHeight w:val="340" w:hRule="atLeast"/>
          <w:jc w:val="center"/>
        </w:trPr>
        <w:tc>
          <w:tcPr>
            <w:tcW w:w="363" w:type="pct"/>
            <w:vMerge w:val="continue"/>
            <w:vAlign w:val="center"/>
          </w:tcPr>
          <w:p w14:paraId="575F93BE">
            <w:pPr>
              <w:adjustRightInd/>
              <w:snapToGrid/>
              <w:spacing w:line="240" w:lineRule="auto"/>
              <w:jc w:val="center"/>
              <w:rPr>
                <w:rFonts w:cs="Times New Roman"/>
                <w:sz w:val="21"/>
                <w:szCs w:val="21"/>
                <w14:ligatures w14:val="none"/>
              </w:rPr>
            </w:pPr>
          </w:p>
        </w:tc>
        <w:tc>
          <w:tcPr>
            <w:tcW w:w="566" w:type="pct"/>
            <w:vMerge w:val="continue"/>
            <w:vAlign w:val="center"/>
          </w:tcPr>
          <w:p w14:paraId="08B3D211">
            <w:pPr>
              <w:adjustRightInd/>
              <w:snapToGrid/>
              <w:spacing w:line="240" w:lineRule="auto"/>
              <w:jc w:val="center"/>
              <w:rPr>
                <w:rFonts w:cs="Times New Roman"/>
                <w:sz w:val="21"/>
                <w:szCs w:val="21"/>
                <w14:ligatures w14:val="none"/>
              </w:rPr>
            </w:pPr>
          </w:p>
        </w:tc>
        <w:tc>
          <w:tcPr>
            <w:tcW w:w="3052" w:type="pct"/>
            <w:gridSpan w:val="2"/>
            <w:vAlign w:val="center"/>
          </w:tcPr>
          <w:p w14:paraId="758E9B2F">
            <w:pPr>
              <w:adjustRightInd/>
              <w:snapToGrid/>
              <w:spacing w:line="240" w:lineRule="auto"/>
              <w:jc w:val="center"/>
              <w:rPr>
                <w:rFonts w:cs="Times New Roman"/>
                <w:sz w:val="21"/>
                <w:szCs w:val="21"/>
                <w14:ligatures w14:val="none"/>
              </w:rPr>
            </w:pPr>
            <w:r>
              <w:rPr>
                <w:rFonts w:cs="Times New Roman"/>
                <w:sz w:val="21"/>
                <w:szCs w:val="21"/>
                <w14:ligatures w14:val="none"/>
              </w:rPr>
              <w:t>C322贵金属冶炼</w:t>
            </w:r>
          </w:p>
        </w:tc>
        <w:tc>
          <w:tcPr>
            <w:tcW w:w="1011" w:type="pct"/>
            <w:vMerge w:val="continue"/>
            <w:vAlign w:val="center"/>
          </w:tcPr>
          <w:p w14:paraId="7AE43F13">
            <w:pPr>
              <w:adjustRightInd/>
              <w:snapToGrid/>
              <w:spacing w:line="240" w:lineRule="auto"/>
              <w:jc w:val="center"/>
              <w:rPr>
                <w:rFonts w:cs="Times New Roman"/>
                <w:sz w:val="21"/>
                <w:szCs w:val="21"/>
                <w14:ligatures w14:val="none"/>
              </w:rPr>
            </w:pPr>
          </w:p>
        </w:tc>
      </w:tr>
      <w:tr w14:paraId="3090E87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gridAfter w:val="1"/>
          <w:wAfter w:w="9" w:type="pct"/>
          <w:trHeight w:val="340" w:hRule="atLeast"/>
          <w:jc w:val="center"/>
        </w:trPr>
        <w:tc>
          <w:tcPr>
            <w:tcW w:w="363" w:type="pct"/>
            <w:vMerge w:val="continue"/>
            <w:vAlign w:val="center"/>
          </w:tcPr>
          <w:p w14:paraId="49E6B362">
            <w:pPr>
              <w:adjustRightInd/>
              <w:snapToGrid/>
              <w:spacing w:line="240" w:lineRule="auto"/>
              <w:jc w:val="center"/>
              <w:rPr>
                <w:rFonts w:cs="Times New Roman"/>
                <w:sz w:val="21"/>
                <w:szCs w:val="21"/>
                <w14:ligatures w14:val="none"/>
              </w:rPr>
            </w:pPr>
          </w:p>
        </w:tc>
        <w:tc>
          <w:tcPr>
            <w:tcW w:w="566" w:type="pct"/>
            <w:vMerge w:val="continue"/>
            <w:vAlign w:val="center"/>
          </w:tcPr>
          <w:p w14:paraId="327C9D41">
            <w:pPr>
              <w:adjustRightInd/>
              <w:snapToGrid/>
              <w:spacing w:line="240" w:lineRule="auto"/>
              <w:jc w:val="center"/>
              <w:rPr>
                <w:rFonts w:cs="Times New Roman"/>
                <w:sz w:val="21"/>
                <w:szCs w:val="21"/>
                <w14:ligatures w14:val="none"/>
              </w:rPr>
            </w:pPr>
          </w:p>
        </w:tc>
        <w:tc>
          <w:tcPr>
            <w:tcW w:w="3052" w:type="pct"/>
            <w:gridSpan w:val="2"/>
            <w:vAlign w:val="center"/>
          </w:tcPr>
          <w:p w14:paraId="71A99A9B">
            <w:pPr>
              <w:adjustRightInd/>
              <w:snapToGrid/>
              <w:spacing w:line="240" w:lineRule="auto"/>
              <w:jc w:val="center"/>
              <w:rPr>
                <w:rFonts w:cs="Times New Roman"/>
                <w:sz w:val="21"/>
                <w:szCs w:val="21"/>
                <w14:ligatures w14:val="none"/>
              </w:rPr>
            </w:pPr>
            <w:r>
              <w:rPr>
                <w:rFonts w:cs="Times New Roman"/>
                <w:sz w:val="21"/>
                <w:szCs w:val="21"/>
                <w14:ligatures w14:val="none"/>
              </w:rPr>
              <w:t>C323稀有稀土金属冶炼</w:t>
            </w:r>
          </w:p>
        </w:tc>
        <w:tc>
          <w:tcPr>
            <w:tcW w:w="1011" w:type="pct"/>
            <w:vMerge w:val="continue"/>
            <w:vAlign w:val="center"/>
          </w:tcPr>
          <w:p w14:paraId="129D1DE7">
            <w:pPr>
              <w:adjustRightInd/>
              <w:snapToGrid/>
              <w:spacing w:line="240" w:lineRule="auto"/>
              <w:jc w:val="center"/>
              <w:rPr>
                <w:rFonts w:cs="Times New Roman"/>
                <w:sz w:val="21"/>
                <w:szCs w:val="21"/>
                <w14:ligatures w14:val="none"/>
              </w:rPr>
            </w:pPr>
          </w:p>
        </w:tc>
      </w:tr>
      <w:tr w14:paraId="749772E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gridAfter w:val="1"/>
          <w:wAfter w:w="9" w:type="pct"/>
          <w:trHeight w:val="340" w:hRule="atLeast"/>
          <w:jc w:val="center"/>
        </w:trPr>
        <w:tc>
          <w:tcPr>
            <w:tcW w:w="363" w:type="pct"/>
            <w:vMerge w:val="continue"/>
            <w:vAlign w:val="center"/>
          </w:tcPr>
          <w:p w14:paraId="42338E0D">
            <w:pPr>
              <w:adjustRightInd/>
              <w:snapToGrid/>
              <w:spacing w:line="240" w:lineRule="auto"/>
              <w:jc w:val="center"/>
              <w:rPr>
                <w:rFonts w:cs="Times New Roman"/>
                <w:sz w:val="21"/>
                <w:szCs w:val="21"/>
                <w14:ligatures w14:val="none"/>
              </w:rPr>
            </w:pPr>
          </w:p>
        </w:tc>
        <w:tc>
          <w:tcPr>
            <w:tcW w:w="566" w:type="pct"/>
            <w:vMerge w:val="continue"/>
            <w:vAlign w:val="center"/>
          </w:tcPr>
          <w:p w14:paraId="4EDD5A9E">
            <w:pPr>
              <w:adjustRightInd/>
              <w:snapToGrid/>
              <w:spacing w:line="240" w:lineRule="auto"/>
              <w:jc w:val="center"/>
              <w:rPr>
                <w:rFonts w:cs="Times New Roman"/>
                <w:sz w:val="21"/>
                <w:szCs w:val="21"/>
                <w14:ligatures w14:val="none"/>
              </w:rPr>
            </w:pPr>
          </w:p>
        </w:tc>
        <w:tc>
          <w:tcPr>
            <w:tcW w:w="3052" w:type="pct"/>
            <w:gridSpan w:val="2"/>
            <w:vAlign w:val="center"/>
          </w:tcPr>
          <w:p w14:paraId="1CEA4DB2">
            <w:pPr>
              <w:adjustRightInd/>
              <w:snapToGrid/>
              <w:spacing w:line="240" w:lineRule="auto"/>
              <w:jc w:val="center"/>
              <w:rPr>
                <w:rFonts w:cs="Times New Roman"/>
                <w:sz w:val="21"/>
                <w:szCs w:val="21"/>
                <w14:ligatures w14:val="none"/>
              </w:rPr>
            </w:pPr>
            <w:r>
              <w:rPr>
                <w:rFonts w:cs="Times New Roman"/>
                <w:sz w:val="21"/>
                <w:szCs w:val="21"/>
                <w14:ligatures w14:val="none"/>
              </w:rPr>
              <w:t>C324有色金属合金制造</w:t>
            </w:r>
          </w:p>
        </w:tc>
        <w:tc>
          <w:tcPr>
            <w:tcW w:w="1011" w:type="pct"/>
            <w:vMerge w:val="continue"/>
            <w:vAlign w:val="center"/>
          </w:tcPr>
          <w:p w14:paraId="63B36786">
            <w:pPr>
              <w:adjustRightInd/>
              <w:snapToGrid/>
              <w:spacing w:line="240" w:lineRule="auto"/>
              <w:jc w:val="center"/>
              <w:rPr>
                <w:rFonts w:cs="Times New Roman"/>
                <w:sz w:val="21"/>
                <w:szCs w:val="21"/>
                <w14:ligatures w14:val="none"/>
              </w:rPr>
            </w:pPr>
          </w:p>
        </w:tc>
      </w:tr>
      <w:tr w14:paraId="619AD48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gridAfter w:val="1"/>
          <w:wAfter w:w="9" w:type="pct"/>
          <w:trHeight w:val="340" w:hRule="atLeast"/>
          <w:jc w:val="center"/>
        </w:trPr>
        <w:tc>
          <w:tcPr>
            <w:tcW w:w="363" w:type="pct"/>
            <w:vMerge w:val="continue"/>
            <w:vAlign w:val="center"/>
          </w:tcPr>
          <w:p w14:paraId="71208925">
            <w:pPr>
              <w:adjustRightInd/>
              <w:snapToGrid/>
              <w:spacing w:line="240" w:lineRule="auto"/>
              <w:jc w:val="center"/>
              <w:rPr>
                <w:rFonts w:cs="Times New Roman"/>
                <w:sz w:val="21"/>
                <w:szCs w:val="21"/>
                <w14:ligatures w14:val="none"/>
              </w:rPr>
            </w:pPr>
          </w:p>
        </w:tc>
        <w:tc>
          <w:tcPr>
            <w:tcW w:w="566" w:type="pct"/>
            <w:vAlign w:val="center"/>
          </w:tcPr>
          <w:p w14:paraId="083A4050">
            <w:pPr>
              <w:adjustRightInd/>
              <w:snapToGrid/>
              <w:spacing w:line="240" w:lineRule="auto"/>
              <w:jc w:val="center"/>
              <w:rPr>
                <w:rFonts w:cs="Times New Roman"/>
                <w:kern w:val="0"/>
                <w:sz w:val="21"/>
                <w:szCs w:val="21"/>
                <w:lang w:bidi="ar"/>
                <w14:ligatures w14:val="none"/>
              </w:rPr>
            </w:pPr>
            <w:r>
              <w:rPr>
                <w:rFonts w:cs="Times New Roman"/>
                <w:sz w:val="21"/>
                <w:szCs w:val="21"/>
                <w14:ligatures w14:val="none"/>
              </w:rPr>
              <w:t>C42废弃资源综合利用业</w:t>
            </w:r>
          </w:p>
        </w:tc>
        <w:tc>
          <w:tcPr>
            <w:tcW w:w="3052" w:type="pct"/>
            <w:gridSpan w:val="2"/>
            <w:vAlign w:val="center"/>
          </w:tcPr>
          <w:p w14:paraId="3DC1F7E2">
            <w:pPr>
              <w:adjustRightInd/>
              <w:snapToGrid/>
              <w:spacing w:line="240" w:lineRule="auto"/>
              <w:jc w:val="center"/>
              <w:rPr>
                <w:rFonts w:cs="Times New Roman"/>
                <w:sz w:val="21"/>
                <w:szCs w:val="21"/>
                <w14:ligatures w14:val="none"/>
              </w:rPr>
            </w:pPr>
            <w:r>
              <w:rPr>
                <w:rFonts w:cs="Times New Roman"/>
                <w:sz w:val="21"/>
                <w:szCs w:val="21"/>
                <w14:ligatures w14:val="none"/>
              </w:rPr>
              <w:t>废旧生铁熔炼；废旧轮胎加工</w:t>
            </w:r>
          </w:p>
        </w:tc>
        <w:tc>
          <w:tcPr>
            <w:tcW w:w="1011" w:type="pct"/>
            <w:vMerge w:val="continue"/>
            <w:vAlign w:val="center"/>
          </w:tcPr>
          <w:p w14:paraId="554F6321">
            <w:pPr>
              <w:adjustRightInd/>
              <w:snapToGrid/>
              <w:spacing w:line="240" w:lineRule="auto"/>
              <w:jc w:val="center"/>
              <w:rPr>
                <w:rFonts w:cs="Times New Roman"/>
                <w:sz w:val="21"/>
                <w:szCs w:val="21"/>
                <w14:ligatures w14:val="none"/>
              </w:rPr>
            </w:pPr>
          </w:p>
        </w:tc>
      </w:tr>
      <w:tr w14:paraId="54D734D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gridAfter w:val="1"/>
          <w:wAfter w:w="9" w:type="pct"/>
          <w:trHeight w:val="340" w:hRule="atLeast"/>
          <w:jc w:val="center"/>
        </w:trPr>
        <w:tc>
          <w:tcPr>
            <w:tcW w:w="363" w:type="pct"/>
            <w:vMerge w:val="continue"/>
            <w:vAlign w:val="center"/>
          </w:tcPr>
          <w:p w14:paraId="0BD7722C">
            <w:pPr>
              <w:adjustRightInd/>
              <w:snapToGrid/>
              <w:spacing w:line="240" w:lineRule="auto"/>
              <w:jc w:val="center"/>
              <w:rPr>
                <w:rFonts w:cs="Times New Roman"/>
                <w:sz w:val="21"/>
                <w:szCs w:val="21"/>
                <w14:ligatures w14:val="none"/>
              </w:rPr>
            </w:pPr>
          </w:p>
        </w:tc>
        <w:tc>
          <w:tcPr>
            <w:tcW w:w="3618" w:type="pct"/>
            <w:gridSpan w:val="3"/>
            <w:vAlign w:val="center"/>
          </w:tcPr>
          <w:p w14:paraId="6343A786">
            <w:pPr>
              <w:adjustRightInd/>
              <w:snapToGrid/>
              <w:spacing w:line="240" w:lineRule="auto"/>
              <w:jc w:val="center"/>
              <w:rPr>
                <w:rFonts w:cs="Times New Roman"/>
                <w:sz w:val="21"/>
                <w:szCs w:val="21"/>
                <w14:ligatures w14:val="none"/>
              </w:rPr>
            </w:pPr>
            <w:r>
              <w:rPr>
                <w:rFonts w:cs="Times New Roman"/>
                <w:sz w:val="21"/>
                <w:szCs w:val="21"/>
                <w14:ligatures w14:val="none"/>
              </w:rPr>
              <w:t>C14食品制造业</w:t>
            </w:r>
          </w:p>
        </w:tc>
        <w:tc>
          <w:tcPr>
            <w:tcW w:w="1011" w:type="pct"/>
            <w:vMerge w:val="continue"/>
            <w:vAlign w:val="center"/>
          </w:tcPr>
          <w:p w14:paraId="357E9998">
            <w:pPr>
              <w:adjustRightInd/>
              <w:snapToGrid/>
              <w:spacing w:line="240" w:lineRule="auto"/>
              <w:jc w:val="center"/>
              <w:rPr>
                <w:rFonts w:cs="Times New Roman"/>
                <w:sz w:val="21"/>
                <w:szCs w:val="21"/>
                <w14:ligatures w14:val="none"/>
              </w:rPr>
            </w:pPr>
          </w:p>
        </w:tc>
      </w:tr>
      <w:tr w14:paraId="421A040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gridAfter w:val="1"/>
          <w:wAfter w:w="9" w:type="pct"/>
          <w:trHeight w:val="340" w:hRule="atLeast"/>
          <w:jc w:val="center"/>
        </w:trPr>
        <w:tc>
          <w:tcPr>
            <w:tcW w:w="363" w:type="pct"/>
            <w:vMerge w:val="continue"/>
            <w:vAlign w:val="center"/>
          </w:tcPr>
          <w:p w14:paraId="5F13B130">
            <w:pPr>
              <w:adjustRightInd/>
              <w:snapToGrid/>
              <w:spacing w:line="240" w:lineRule="auto"/>
              <w:jc w:val="center"/>
              <w:rPr>
                <w:rFonts w:cs="Times New Roman"/>
                <w:sz w:val="21"/>
                <w:szCs w:val="21"/>
                <w14:ligatures w14:val="none"/>
              </w:rPr>
            </w:pPr>
          </w:p>
        </w:tc>
        <w:tc>
          <w:tcPr>
            <w:tcW w:w="3618" w:type="pct"/>
            <w:gridSpan w:val="3"/>
            <w:vAlign w:val="center"/>
          </w:tcPr>
          <w:p w14:paraId="11817367">
            <w:pPr>
              <w:adjustRightInd/>
              <w:snapToGrid/>
              <w:spacing w:line="240" w:lineRule="auto"/>
              <w:jc w:val="center"/>
              <w:rPr>
                <w:rFonts w:cs="Times New Roman"/>
                <w:sz w:val="21"/>
                <w:szCs w:val="21"/>
                <w14:ligatures w14:val="none"/>
              </w:rPr>
            </w:pPr>
            <w:r>
              <w:rPr>
                <w:rFonts w:cs="Times New Roman"/>
                <w:sz w:val="21"/>
                <w:szCs w:val="21"/>
                <w14:ligatures w14:val="none"/>
              </w:rPr>
              <w:t>C594危险品仓储</w:t>
            </w:r>
          </w:p>
        </w:tc>
        <w:tc>
          <w:tcPr>
            <w:tcW w:w="1011" w:type="pct"/>
            <w:vMerge w:val="continue"/>
            <w:vAlign w:val="center"/>
          </w:tcPr>
          <w:p w14:paraId="2E34FEA6">
            <w:pPr>
              <w:adjustRightInd/>
              <w:snapToGrid/>
              <w:spacing w:line="240" w:lineRule="auto"/>
              <w:jc w:val="center"/>
              <w:rPr>
                <w:rFonts w:cs="Times New Roman"/>
                <w:sz w:val="21"/>
                <w:szCs w:val="21"/>
                <w14:ligatures w14:val="none"/>
              </w:rPr>
            </w:pPr>
          </w:p>
        </w:tc>
      </w:tr>
      <w:tr w14:paraId="756BEEF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gridAfter w:val="1"/>
          <w:wAfter w:w="9" w:type="pct"/>
          <w:trHeight w:val="340" w:hRule="atLeast"/>
          <w:jc w:val="center"/>
        </w:trPr>
        <w:tc>
          <w:tcPr>
            <w:tcW w:w="363" w:type="pct"/>
            <w:vMerge w:val="continue"/>
            <w:vAlign w:val="center"/>
          </w:tcPr>
          <w:p w14:paraId="7B19D663">
            <w:pPr>
              <w:adjustRightInd/>
              <w:snapToGrid/>
              <w:spacing w:line="240" w:lineRule="auto"/>
              <w:jc w:val="center"/>
              <w:rPr>
                <w:rFonts w:cs="Times New Roman"/>
                <w:sz w:val="21"/>
                <w:szCs w:val="21"/>
                <w14:ligatures w14:val="none"/>
              </w:rPr>
            </w:pPr>
          </w:p>
        </w:tc>
        <w:tc>
          <w:tcPr>
            <w:tcW w:w="3618" w:type="pct"/>
            <w:gridSpan w:val="3"/>
            <w:vAlign w:val="center"/>
          </w:tcPr>
          <w:p w14:paraId="29427D3E">
            <w:pPr>
              <w:adjustRightInd/>
              <w:snapToGrid/>
              <w:spacing w:line="240" w:lineRule="auto"/>
              <w:jc w:val="center"/>
              <w:rPr>
                <w:rFonts w:cs="Times New Roman"/>
                <w:sz w:val="21"/>
                <w:szCs w:val="21"/>
                <w14:ligatures w14:val="none"/>
              </w:rPr>
            </w:pPr>
            <w:r>
              <w:rPr>
                <w:rFonts w:cs="Times New Roman"/>
                <w:sz w:val="21"/>
                <w:szCs w:val="21"/>
                <w14:ligatures w14:val="none"/>
              </w:rPr>
              <w:t>机制砂、烘干砂、酸洗石英砂类项目；建筑垃圾粉碎及加工项目；大理石加工项目；钢铁、水泥、原油加工、制浆造纸、平板玻璃、有色金属冶炼、多晶硅冶炼等以煤炭为主要原料的高耗能、重污染项目；禁止新建、扩建不符合国家产能置换要求的严重过剩产能行业的项目</w:t>
            </w:r>
          </w:p>
        </w:tc>
        <w:tc>
          <w:tcPr>
            <w:tcW w:w="1011" w:type="pct"/>
            <w:vMerge w:val="continue"/>
            <w:vAlign w:val="center"/>
          </w:tcPr>
          <w:p w14:paraId="76CB6EF0">
            <w:pPr>
              <w:adjustRightInd/>
              <w:snapToGrid/>
              <w:spacing w:line="240" w:lineRule="auto"/>
              <w:jc w:val="center"/>
              <w:rPr>
                <w:rFonts w:cs="Times New Roman"/>
                <w:sz w:val="21"/>
                <w:szCs w:val="21"/>
                <w14:ligatures w14:val="none"/>
              </w:rPr>
            </w:pPr>
          </w:p>
        </w:tc>
      </w:tr>
      <w:tr w14:paraId="21EC6DF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gridAfter w:val="1"/>
          <w:wAfter w:w="9" w:type="pct"/>
          <w:trHeight w:val="340" w:hRule="atLeast"/>
          <w:jc w:val="center"/>
        </w:trPr>
        <w:tc>
          <w:tcPr>
            <w:tcW w:w="363" w:type="pct"/>
            <w:vMerge w:val="continue"/>
            <w:vAlign w:val="center"/>
          </w:tcPr>
          <w:p w14:paraId="48BB4449">
            <w:pPr>
              <w:adjustRightInd/>
              <w:snapToGrid/>
              <w:spacing w:line="240" w:lineRule="auto"/>
              <w:jc w:val="center"/>
              <w:rPr>
                <w:rFonts w:cs="Times New Roman"/>
                <w:sz w:val="21"/>
                <w:szCs w:val="21"/>
                <w14:ligatures w14:val="none"/>
              </w:rPr>
            </w:pPr>
          </w:p>
        </w:tc>
        <w:tc>
          <w:tcPr>
            <w:tcW w:w="3618" w:type="pct"/>
            <w:gridSpan w:val="3"/>
            <w:vAlign w:val="center"/>
          </w:tcPr>
          <w:p w14:paraId="5337742B">
            <w:pPr>
              <w:adjustRightInd/>
              <w:snapToGrid/>
              <w:spacing w:line="240" w:lineRule="auto"/>
              <w:jc w:val="center"/>
              <w:rPr>
                <w:rFonts w:cs="Times New Roman"/>
                <w:kern w:val="0"/>
                <w:sz w:val="21"/>
                <w:szCs w:val="21"/>
                <w:lang w:bidi="ar"/>
                <w14:ligatures w14:val="none"/>
              </w:rPr>
            </w:pPr>
            <w:r>
              <w:rPr>
                <w:rFonts w:cs="Times New Roman"/>
                <w:sz w:val="21"/>
                <w:szCs w:val="21"/>
                <w14:ligatures w14:val="none"/>
              </w:rPr>
              <w:t>禁止引入列入《产业结构调整指导目录》、《外商投资产业指导目录》、《市场准入负面清单》、《蚌埠市化工园区项目准入条件(试行</w:t>
            </w:r>
            <w:r>
              <w:rPr>
                <w:rFonts w:hint="eastAsia" w:cs="Times New Roman"/>
                <w:sz w:val="21"/>
                <w:szCs w:val="21"/>
                <w14:ligatures w14:val="none"/>
              </w:rPr>
              <w:t>)</w:t>
            </w:r>
            <w:r>
              <w:rPr>
                <w:rFonts w:cs="Times New Roman"/>
                <w:sz w:val="21"/>
                <w:szCs w:val="21"/>
                <w14:ligatures w14:val="none"/>
              </w:rPr>
              <w:t>》等相关产业政策中禁止或淘汰类项目、产品、工艺和设备。</w:t>
            </w:r>
          </w:p>
        </w:tc>
        <w:tc>
          <w:tcPr>
            <w:tcW w:w="1011" w:type="pct"/>
            <w:vMerge w:val="continue"/>
            <w:vAlign w:val="center"/>
          </w:tcPr>
          <w:p w14:paraId="117072AF">
            <w:pPr>
              <w:adjustRightInd/>
              <w:snapToGrid/>
              <w:spacing w:line="240" w:lineRule="auto"/>
              <w:jc w:val="center"/>
              <w:rPr>
                <w:rFonts w:cs="Times New Roman"/>
                <w:sz w:val="21"/>
                <w:szCs w:val="21"/>
                <w14:ligatures w14:val="none"/>
              </w:rPr>
            </w:pPr>
          </w:p>
        </w:tc>
      </w:tr>
      <w:tr w14:paraId="13C07B8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gridAfter w:val="1"/>
          <w:wAfter w:w="9" w:type="pct"/>
          <w:trHeight w:val="340" w:hRule="atLeast"/>
          <w:jc w:val="center"/>
        </w:trPr>
        <w:tc>
          <w:tcPr>
            <w:tcW w:w="363" w:type="pct"/>
            <w:vAlign w:val="center"/>
          </w:tcPr>
          <w:p w14:paraId="0643F7D3">
            <w:pPr>
              <w:adjustRightInd/>
              <w:snapToGrid/>
              <w:spacing w:line="240" w:lineRule="auto"/>
              <w:jc w:val="center"/>
              <w:rPr>
                <w:rFonts w:cs="Times New Roman"/>
                <w:sz w:val="21"/>
                <w:szCs w:val="21"/>
                <w14:ligatures w14:val="none"/>
              </w:rPr>
            </w:pPr>
            <w:r>
              <w:rPr>
                <w:rFonts w:cs="Times New Roman"/>
                <w:sz w:val="21"/>
                <w:szCs w:val="21"/>
                <w14:ligatures w14:val="none"/>
              </w:rPr>
              <w:t>限制类</w:t>
            </w:r>
          </w:p>
        </w:tc>
        <w:tc>
          <w:tcPr>
            <w:tcW w:w="3618" w:type="pct"/>
            <w:gridSpan w:val="3"/>
            <w:vAlign w:val="center"/>
          </w:tcPr>
          <w:p w14:paraId="7887119F">
            <w:pPr>
              <w:adjustRightInd/>
              <w:snapToGrid/>
              <w:spacing w:line="240" w:lineRule="auto"/>
              <w:rPr>
                <w:rFonts w:cs="Times New Roman"/>
                <w:sz w:val="21"/>
                <w:szCs w:val="21"/>
                <w14:ligatures w14:val="none"/>
              </w:rPr>
            </w:pPr>
            <w:r>
              <w:rPr>
                <w:rFonts w:cs="Times New Roman"/>
                <w:sz w:val="21"/>
                <w:szCs w:val="21"/>
                <w14:ligatures w14:val="none"/>
              </w:rPr>
              <w:t>(1</w:t>
            </w:r>
            <w:r>
              <w:rPr>
                <w:rFonts w:hint="eastAsia" w:cs="Times New Roman"/>
                <w:sz w:val="21"/>
                <w:szCs w:val="21"/>
                <w14:ligatures w14:val="none"/>
              </w:rPr>
              <w:t>)</w:t>
            </w:r>
            <w:r>
              <w:rPr>
                <w:rFonts w:cs="Times New Roman"/>
                <w:sz w:val="21"/>
                <w:szCs w:val="21"/>
                <w14:ligatures w14:val="none"/>
              </w:rPr>
              <w:t>列入《环境保护综合名录》中(三</w:t>
            </w:r>
            <w:r>
              <w:rPr>
                <w:rFonts w:hint="eastAsia" w:cs="Times New Roman"/>
                <w:sz w:val="21"/>
                <w:szCs w:val="21"/>
                <w14:ligatures w14:val="none"/>
              </w:rPr>
              <w:t>)</w:t>
            </w:r>
            <w:r>
              <w:rPr>
                <w:rFonts w:cs="Times New Roman"/>
                <w:sz w:val="21"/>
                <w:szCs w:val="21"/>
                <w14:ligatures w14:val="none"/>
              </w:rPr>
              <w:t>“高污染、高环境风险”产品名录的项目；</w:t>
            </w:r>
          </w:p>
          <w:p w14:paraId="70BBF4E6">
            <w:pPr>
              <w:adjustRightInd/>
              <w:snapToGrid/>
              <w:spacing w:line="240" w:lineRule="auto"/>
              <w:rPr>
                <w:rFonts w:cs="Times New Roman"/>
                <w:sz w:val="21"/>
                <w:szCs w:val="21"/>
                <w14:ligatures w14:val="none"/>
              </w:rPr>
            </w:pPr>
            <w:r>
              <w:rPr>
                <w:rFonts w:cs="Times New Roman"/>
                <w:sz w:val="21"/>
                <w:szCs w:val="21"/>
                <w14:ligatures w14:val="none"/>
              </w:rPr>
              <w:t>(2</w:t>
            </w:r>
            <w:r>
              <w:rPr>
                <w:rFonts w:hint="eastAsia" w:cs="Times New Roman"/>
                <w:sz w:val="21"/>
                <w:szCs w:val="21"/>
                <w14:ligatures w14:val="none"/>
              </w:rPr>
              <w:t>)</w:t>
            </w:r>
            <w:r>
              <w:rPr>
                <w:rFonts w:cs="Times New Roman"/>
                <w:sz w:val="21"/>
                <w:szCs w:val="21"/>
                <w14:ligatures w14:val="none"/>
              </w:rPr>
              <w:t>列入《蚌埠市化工园区项目准入条件(试行</w:t>
            </w:r>
            <w:r>
              <w:rPr>
                <w:rFonts w:hint="eastAsia" w:cs="Times New Roman"/>
                <w:sz w:val="21"/>
                <w:szCs w:val="21"/>
                <w14:ligatures w14:val="none"/>
              </w:rPr>
              <w:t>)</w:t>
            </w:r>
            <w:r>
              <w:rPr>
                <w:rFonts w:cs="Times New Roman"/>
                <w:sz w:val="21"/>
                <w:szCs w:val="21"/>
                <w14:ligatures w14:val="none"/>
              </w:rPr>
              <w:t>》中限制类项目；</w:t>
            </w:r>
          </w:p>
          <w:p w14:paraId="75AF0A5F">
            <w:pPr>
              <w:adjustRightInd/>
              <w:snapToGrid/>
              <w:spacing w:line="240" w:lineRule="auto"/>
              <w:rPr>
                <w:rFonts w:cs="Times New Roman"/>
                <w:sz w:val="21"/>
                <w:szCs w:val="21"/>
                <w14:ligatures w14:val="none"/>
              </w:rPr>
            </w:pPr>
            <w:r>
              <w:rPr>
                <w:rFonts w:cs="Times New Roman"/>
                <w:sz w:val="21"/>
                <w:szCs w:val="21"/>
                <w14:ligatures w14:val="none"/>
              </w:rPr>
              <w:t>(3</w:t>
            </w:r>
            <w:r>
              <w:rPr>
                <w:rFonts w:hint="eastAsia" w:cs="Times New Roman"/>
                <w:sz w:val="21"/>
                <w:szCs w:val="21"/>
                <w14:ligatures w14:val="none"/>
              </w:rPr>
              <w:t>)</w:t>
            </w:r>
            <w:r>
              <w:rPr>
                <w:rFonts w:cs="Times New Roman"/>
                <w:sz w:val="21"/>
                <w:szCs w:val="21"/>
                <w14:ligatures w14:val="none"/>
              </w:rPr>
              <w:t>《产业结构调整指导目录》、《外商投资产业指导目录》、《市场准入负面清单》中限制类项目，达不到规模经济的项目</w:t>
            </w:r>
          </w:p>
        </w:tc>
        <w:tc>
          <w:tcPr>
            <w:tcW w:w="1011" w:type="pct"/>
            <w:vAlign w:val="center"/>
          </w:tcPr>
          <w:p w14:paraId="572DD13A">
            <w:pPr>
              <w:adjustRightInd/>
              <w:snapToGrid/>
              <w:spacing w:line="240" w:lineRule="auto"/>
              <w:jc w:val="center"/>
              <w:rPr>
                <w:rFonts w:cs="Times New Roman"/>
                <w:sz w:val="21"/>
                <w:szCs w:val="21"/>
                <w14:ligatures w14:val="none"/>
              </w:rPr>
            </w:pPr>
            <w:r>
              <w:rPr>
                <w:rFonts w:cs="Times New Roman"/>
                <w:sz w:val="21"/>
                <w:szCs w:val="21"/>
                <w14:ligatures w14:val="none"/>
              </w:rPr>
              <w:t>项目不属于限制类</w:t>
            </w:r>
          </w:p>
        </w:tc>
      </w:tr>
      <w:tr w14:paraId="387D54A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363" w:type="pct"/>
            <w:vAlign w:val="center"/>
          </w:tcPr>
          <w:p w14:paraId="5A4EF11C">
            <w:pPr>
              <w:adjustRightInd/>
              <w:snapToGrid/>
              <w:spacing w:line="240" w:lineRule="auto"/>
              <w:jc w:val="center"/>
              <w:rPr>
                <w:rFonts w:cs="Times New Roman"/>
                <w:sz w:val="21"/>
                <w:szCs w:val="21"/>
                <w14:ligatures w14:val="none"/>
              </w:rPr>
            </w:pPr>
            <w:r>
              <w:rPr>
                <w:rFonts w:cs="Times New Roman"/>
                <w:sz w:val="21"/>
                <w:szCs w:val="21"/>
                <w14:ligatures w14:val="none"/>
              </w:rPr>
              <w:t>环境风险防控</w:t>
            </w:r>
          </w:p>
        </w:tc>
        <w:tc>
          <w:tcPr>
            <w:tcW w:w="3618" w:type="pct"/>
            <w:gridSpan w:val="3"/>
            <w:vAlign w:val="center"/>
          </w:tcPr>
          <w:p w14:paraId="21849292">
            <w:pPr>
              <w:tabs>
                <w:tab w:val="center" w:pos="4153"/>
                <w:tab w:val="right" w:pos="8306"/>
              </w:tabs>
              <w:adjustRightInd/>
              <w:snapToGrid w:val="0"/>
              <w:spacing w:line="240" w:lineRule="auto"/>
              <w:rPr>
                <w:rFonts w:cs="Times New Roman"/>
                <w:sz w:val="21"/>
                <w:szCs w:val="21"/>
                <w14:ligatures w14:val="none"/>
              </w:rPr>
            </w:pPr>
            <w:r>
              <w:rPr>
                <w:rFonts w:cs="Times New Roman"/>
                <w:sz w:val="21"/>
                <w:szCs w:val="21"/>
                <w14:ligatures w14:val="none"/>
              </w:rPr>
              <w:t>基地内新增或改扩建存在环境风险的项目，在建设项目环评阶段须重点开展环境风险评价，与项目周边环境敏感目标之前控制合理的风险控制距离，提出并落实风险防范措施及应急联动要求，编制应急预案，并与经开区应急预案联动，在经开区进行环境风险源、应急设备、物资等的备案；在产业基地规划和项目的工程设计、建造和运行中要科学规划，合理布置，严格按照防火安全设计和相关职业卫生要求，保证建造质量，严格安全生产制度，提高操作人员素质和水平，以减少事故的发生。</w:t>
            </w:r>
          </w:p>
        </w:tc>
        <w:tc>
          <w:tcPr>
            <w:tcW w:w="1020" w:type="pct"/>
            <w:gridSpan w:val="2"/>
            <w:vAlign w:val="center"/>
          </w:tcPr>
          <w:p w14:paraId="75F7A4E1">
            <w:pPr>
              <w:tabs>
                <w:tab w:val="center" w:pos="4153"/>
                <w:tab w:val="right" w:pos="8306"/>
              </w:tabs>
              <w:adjustRightInd/>
              <w:snapToGrid w:val="0"/>
              <w:spacing w:line="240" w:lineRule="auto"/>
              <w:rPr>
                <w:rFonts w:cs="Times New Roman"/>
                <w:sz w:val="21"/>
                <w:szCs w:val="21"/>
                <w14:ligatures w14:val="none"/>
              </w:rPr>
            </w:pPr>
            <w:r>
              <w:rPr>
                <w:rFonts w:cs="Times New Roman"/>
                <w:sz w:val="21"/>
                <w:szCs w:val="21"/>
                <w14:ligatures w14:val="none"/>
              </w:rPr>
              <w:t>项目在环评阶段已开展环境风险分析，在风险分析章节详细的提出了风险防治措施，并要求企业修编环境风险应急预案</w:t>
            </w:r>
          </w:p>
        </w:tc>
      </w:tr>
      <w:tr w14:paraId="3AFB2C7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363" w:type="pct"/>
            <w:vAlign w:val="center"/>
          </w:tcPr>
          <w:p w14:paraId="3B249F4C">
            <w:pPr>
              <w:adjustRightInd/>
              <w:snapToGrid/>
              <w:spacing w:line="240" w:lineRule="auto"/>
              <w:jc w:val="center"/>
              <w:rPr>
                <w:rFonts w:cs="Times New Roman"/>
                <w:sz w:val="21"/>
                <w:szCs w:val="21"/>
                <w14:ligatures w14:val="none"/>
              </w:rPr>
            </w:pPr>
            <w:r>
              <w:rPr>
                <w:rFonts w:cs="Times New Roman"/>
                <w:sz w:val="21"/>
                <w:szCs w:val="21"/>
                <w14:ligatures w14:val="none"/>
              </w:rPr>
              <w:t>清洁生产</w:t>
            </w:r>
          </w:p>
        </w:tc>
        <w:tc>
          <w:tcPr>
            <w:tcW w:w="3618" w:type="pct"/>
            <w:gridSpan w:val="3"/>
            <w:vAlign w:val="center"/>
          </w:tcPr>
          <w:p w14:paraId="06FFF54A">
            <w:pPr>
              <w:adjustRightInd/>
              <w:snapToGrid/>
              <w:spacing w:line="240" w:lineRule="auto"/>
              <w:jc w:val="center"/>
              <w:rPr>
                <w:rFonts w:cs="Times New Roman"/>
                <w:sz w:val="21"/>
                <w:szCs w:val="21"/>
                <w14:ligatures w14:val="none"/>
              </w:rPr>
            </w:pPr>
            <w:r>
              <w:rPr>
                <w:rFonts w:cs="Times New Roman"/>
                <w:sz w:val="21"/>
                <w:szCs w:val="21"/>
                <w14:ligatures w14:val="none"/>
              </w:rPr>
              <w:t>清洁生产水平应达到国内先进水平，优先引进清洁生产水平达到国际先进水平的项目，禁止引进低于国内先进水平的项目。严格审查入区企业行业类型和生产工艺，要求基地入驻企业采用先进的生产工艺，在生产、产品和服务中最大限度的做到节能、减污、降碳。</w:t>
            </w:r>
          </w:p>
        </w:tc>
        <w:tc>
          <w:tcPr>
            <w:tcW w:w="1020" w:type="pct"/>
            <w:gridSpan w:val="2"/>
            <w:vAlign w:val="center"/>
          </w:tcPr>
          <w:p w14:paraId="2471C0B9">
            <w:pPr>
              <w:adjustRightInd/>
              <w:snapToGrid/>
              <w:spacing w:line="240" w:lineRule="auto"/>
              <w:rPr>
                <w:rFonts w:cs="Times New Roman"/>
                <w:sz w:val="21"/>
                <w:szCs w:val="21"/>
                <w14:ligatures w14:val="none"/>
              </w:rPr>
            </w:pPr>
            <w:r>
              <w:rPr>
                <w:rFonts w:hint="eastAsia" w:cs="Times New Roman"/>
                <w:sz w:val="21"/>
                <w:szCs w:val="21"/>
                <w14:ligatures w14:val="none"/>
              </w:rPr>
              <w:t>项目清洁生产水平能达到国内先进水平</w:t>
            </w:r>
            <w:r>
              <w:rPr>
                <w:rFonts w:cs="Times New Roman"/>
                <w:sz w:val="21"/>
                <w:szCs w:val="21"/>
                <w14:ligatures w14:val="none"/>
              </w:rPr>
              <w:t>，符合国家“节能减排、循环经济、绿色环保”的要求</w:t>
            </w:r>
          </w:p>
        </w:tc>
      </w:tr>
    </w:tbl>
    <w:p w14:paraId="50E567A2"/>
    <w:p w14:paraId="0BC5979C">
      <w:pPr>
        <w:sectPr>
          <w:pgSz w:w="11906" w:h="16838"/>
          <w:pgMar w:top="1418" w:right="1418" w:bottom="1418" w:left="1418" w:header="851" w:footer="992" w:gutter="0"/>
          <w:cols w:space="425" w:num="1"/>
          <w:docGrid w:type="lines" w:linePitch="326" w:charSpace="0"/>
        </w:sectPr>
      </w:pPr>
    </w:p>
    <w:p w14:paraId="3655E269">
      <w:pPr>
        <w:pStyle w:val="28"/>
        <w:rPr>
          <w:rFonts w:hint="eastAsia"/>
        </w:rPr>
      </w:pPr>
      <w:r>
        <w:rPr>
          <w:rFonts w:hint="eastAsia"/>
        </w:rPr>
        <w:t>表</w:t>
      </w:r>
      <w:r>
        <w:t>2.</w:t>
      </w:r>
      <w:r>
        <w:rPr>
          <w:rFonts w:hint="eastAsia"/>
        </w:rPr>
        <w:t>7</w:t>
      </w:r>
      <w:r>
        <w:t>-2</w:t>
      </w:r>
      <w:r>
        <w:rPr>
          <w:rFonts w:hint="eastAsia"/>
        </w:rPr>
        <w:t xml:space="preserve">  与蚌埠市生态环境准入清单相符性分析</w:t>
      </w:r>
    </w:p>
    <w:tbl>
      <w:tblPr>
        <w:tblStyle w:val="19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7" w:type="dxa"/>
          <w:bottom w:w="0" w:type="dxa"/>
          <w:right w:w="57" w:type="dxa"/>
        </w:tblCellMar>
      </w:tblPr>
      <w:tblGrid>
        <w:gridCol w:w="491"/>
        <w:gridCol w:w="491"/>
        <w:gridCol w:w="1039"/>
        <w:gridCol w:w="836"/>
        <w:gridCol w:w="7834"/>
        <w:gridCol w:w="2552"/>
        <w:gridCol w:w="873"/>
      </w:tblGrid>
      <w:tr w14:paraId="2460B0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716" w:type="pct"/>
            <w:gridSpan w:val="3"/>
            <w:vAlign w:val="center"/>
          </w:tcPr>
          <w:p w14:paraId="17DBAC77">
            <w:pPr>
              <w:widowControl/>
              <w:adjustRightInd w:val="0"/>
              <w:snapToGrid w:val="0"/>
              <w:spacing w:line="240" w:lineRule="auto"/>
              <w:jc w:val="center"/>
              <w:rPr>
                <w:bCs/>
                <w:kern w:val="44"/>
                <w:sz w:val="21"/>
                <w:szCs w:val="44"/>
                <w14:ligatures w14:val="none"/>
              </w:rPr>
            </w:pPr>
            <w:bookmarkStart w:id="47" w:name="_Hlk166598671"/>
            <w:r>
              <w:rPr>
                <w:bCs/>
                <w:kern w:val="44"/>
                <w:sz w:val="21"/>
                <w:szCs w:val="44"/>
                <w14:ligatures w14:val="none"/>
              </w:rPr>
              <w:t>属性</w:t>
            </w:r>
          </w:p>
        </w:tc>
        <w:tc>
          <w:tcPr>
            <w:tcW w:w="296" w:type="pct"/>
            <w:vAlign w:val="center"/>
          </w:tcPr>
          <w:p w14:paraId="61740E4C">
            <w:pPr>
              <w:widowControl/>
              <w:adjustRightInd w:val="0"/>
              <w:snapToGrid w:val="0"/>
              <w:spacing w:line="240" w:lineRule="auto"/>
              <w:jc w:val="center"/>
              <w:rPr>
                <w:bCs/>
                <w:kern w:val="44"/>
                <w:sz w:val="21"/>
                <w:szCs w:val="44"/>
                <w14:ligatures w14:val="none"/>
              </w:rPr>
            </w:pPr>
            <w:r>
              <w:rPr>
                <w:bCs/>
                <w:kern w:val="44"/>
                <w:sz w:val="21"/>
                <w:szCs w:val="44"/>
                <w14:ligatures w14:val="none"/>
              </w:rPr>
              <w:t>词条</w:t>
            </w:r>
          </w:p>
          <w:p w14:paraId="3C5554DF">
            <w:pPr>
              <w:widowControl/>
              <w:adjustRightInd w:val="0"/>
              <w:snapToGrid w:val="0"/>
              <w:spacing w:line="240" w:lineRule="auto"/>
              <w:jc w:val="center"/>
              <w:rPr>
                <w:bCs/>
                <w:kern w:val="44"/>
                <w:sz w:val="21"/>
                <w:szCs w:val="44"/>
                <w14:ligatures w14:val="none"/>
              </w:rPr>
            </w:pPr>
            <w:r>
              <w:rPr>
                <w:bCs/>
                <w:kern w:val="44"/>
                <w:sz w:val="21"/>
                <w:szCs w:val="44"/>
                <w14:ligatures w14:val="none"/>
              </w:rPr>
              <w:t>名称</w:t>
            </w:r>
          </w:p>
        </w:tc>
        <w:tc>
          <w:tcPr>
            <w:tcW w:w="2775" w:type="pct"/>
            <w:vAlign w:val="center"/>
          </w:tcPr>
          <w:p w14:paraId="30A5D1FE">
            <w:pPr>
              <w:widowControl/>
              <w:adjustRightInd w:val="0"/>
              <w:snapToGrid w:val="0"/>
              <w:spacing w:line="240" w:lineRule="auto"/>
              <w:jc w:val="center"/>
              <w:rPr>
                <w:bCs/>
                <w:kern w:val="44"/>
                <w:sz w:val="21"/>
                <w:szCs w:val="44"/>
                <w14:ligatures w14:val="none"/>
              </w:rPr>
            </w:pPr>
            <w:r>
              <w:rPr>
                <w:bCs/>
                <w:kern w:val="44"/>
                <w:sz w:val="21"/>
                <w:szCs w:val="44"/>
                <w14:ligatures w14:val="none"/>
              </w:rPr>
              <w:t>管控要求</w:t>
            </w:r>
          </w:p>
        </w:tc>
        <w:tc>
          <w:tcPr>
            <w:tcW w:w="904" w:type="pct"/>
            <w:vAlign w:val="center"/>
          </w:tcPr>
          <w:p w14:paraId="6475D516">
            <w:pPr>
              <w:widowControl/>
              <w:adjustRightInd w:val="0"/>
              <w:snapToGrid w:val="0"/>
              <w:spacing w:line="240" w:lineRule="auto"/>
              <w:jc w:val="center"/>
              <w:rPr>
                <w:bCs/>
                <w:kern w:val="44"/>
                <w:sz w:val="21"/>
                <w:szCs w:val="44"/>
                <w14:ligatures w14:val="none"/>
              </w:rPr>
            </w:pPr>
            <w:r>
              <w:rPr>
                <w:bCs/>
                <w:kern w:val="44"/>
                <w:sz w:val="21"/>
                <w:szCs w:val="44"/>
                <w14:ligatures w14:val="none"/>
              </w:rPr>
              <w:t>本项目建设情况</w:t>
            </w:r>
          </w:p>
        </w:tc>
        <w:tc>
          <w:tcPr>
            <w:tcW w:w="309" w:type="pct"/>
            <w:vAlign w:val="center"/>
          </w:tcPr>
          <w:p w14:paraId="177CA8B4">
            <w:pPr>
              <w:widowControl/>
              <w:adjustRightInd w:val="0"/>
              <w:snapToGrid w:val="0"/>
              <w:spacing w:line="240" w:lineRule="auto"/>
              <w:jc w:val="center"/>
              <w:rPr>
                <w:bCs/>
                <w:kern w:val="44"/>
                <w:sz w:val="21"/>
                <w:szCs w:val="44"/>
                <w14:ligatures w14:val="none"/>
              </w:rPr>
            </w:pPr>
            <w:r>
              <w:rPr>
                <w:bCs/>
                <w:kern w:val="44"/>
                <w:sz w:val="21"/>
                <w:szCs w:val="44"/>
                <w14:ligatures w14:val="none"/>
              </w:rPr>
              <w:t>相符性分析</w:t>
            </w:r>
          </w:p>
        </w:tc>
      </w:tr>
      <w:tr w14:paraId="3DF6A9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174" w:type="pct"/>
            <w:vMerge w:val="restart"/>
            <w:vAlign w:val="center"/>
          </w:tcPr>
          <w:p w14:paraId="2C63A1B2">
            <w:pPr>
              <w:widowControl/>
              <w:adjustRightInd w:val="0"/>
              <w:snapToGrid w:val="0"/>
              <w:spacing w:line="240" w:lineRule="auto"/>
              <w:jc w:val="center"/>
              <w:rPr>
                <w:bCs/>
                <w:kern w:val="44"/>
                <w:sz w:val="21"/>
                <w:szCs w:val="44"/>
                <w14:ligatures w14:val="none"/>
              </w:rPr>
            </w:pPr>
            <w:r>
              <w:rPr>
                <w:bCs/>
                <w:kern w:val="44"/>
                <w:sz w:val="21"/>
                <w:szCs w:val="44"/>
                <w14:ligatures w14:val="none"/>
              </w:rPr>
              <w:t>重点管控单元</w:t>
            </w:r>
          </w:p>
        </w:tc>
        <w:tc>
          <w:tcPr>
            <w:tcW w:w="174" w:type="pct"/>
            <w:vMerge w:val="restart"/>
            <w:textDirection w:val="tbRlV"/>
            <w:vAlign w:val="center"/>
          </w:tcPr>
          <w:p w14:paraId="053EE16A">
            <w:pPr>
              <w:widowControl/>
              <w:adjustRightInd w:val="0"/>
              <w:snapToGrid w:val="0"/>
              <w:spacing w:line="240" w:lineRule="auto"/>
              <w:jc w:val="center"/>
              <w:rPr>
                <w:bCs/>
                <w:kern w:val="44"/>
                <w:sz w:val="21"/>
                <w:szCs w:val="44"/>
                <w14:ligatures w14:val="none"/>
              </w:rPr>
            </w:pPr>
            <w:r>
              <w:rPr>
                <w:bCs/>
                <w:kern w:val="44"/>
                <w:sz w:val="21"/>
                <w:szCs w:val="44"/>
                <w14:ligatures w14:val="none"/>
              </w:rPr>
              <w:t>空间布局约束</w:t>
            </w:r>
          </w:p>
        </w:tc>
        <w:tc>
          <w:tcPr>
            <w:tcW w:w="368" w:type="pct"/>
            <w:vMerge w:val="restart"/>
            <w:vAlign w:val="center"/>
          </w:tcPr>
          <w:p w14:paraId="585A5861">
            <w:pPr>
              <w:widowControl/>
              <w:adjustRightInd w:val="0"/>
              <w:snapToGrid w:val="0"/>
              <w:spacing w:line="240" w:lineRule="auto"/>
              <w:jc w:val="center"/>
              <w:rPr>
                <w:bCs/>
                <w:kern w:val="44"/>
                <w:sz w:val="21"/>
                <w:szCs w:val="44"/>
                <w14:ligatures w14:val="none"/>
              </w:rPr>
            </w:pPr>
            <w:r>
              <w:rPr>
                <w:bCs/>
                <w:kern w:val="44"/>
                <w:sz w:val="21"/>
                <w:szCs w:val="44"/>
                <w14:ligatures w14:val="none"/>
              </w:rPr>
              <w:t>禁止开发建设活动的要求</w:t>
            </w:r>
          </w:p>
        </w:tc>
        <w:tc>
          <w:tcPr>
            <w:tcW w:w="296" w:type="pct"/>
            <w:vMerge w:val="restart"/>
            <w:vAlign w:val="center"/>
          </w:tcPr>
          <w:p w14:paraId="1CFD55E9">
            <w:pPr>
              <w:widowControl/>
              <w:adjustRightInd w:val="0"/>
              <w:snapToGrid w:val="0"/>
              <w:spacing w:line="240" w:lineRule="auto"/>
              <w:jc w:val="center"/>
              <w:rPr>
                <w:bCs/>
                <w:kern w:val="44"/>
                <w:sz w:val="21"/>
                <w:szCs w:val="44"/>
                <w14:ligatures w14:val="none"/>
              </w:rPr>
            </w:pPr>
            <w:r>
              <w:rPr>
                <w:bCs/>
                <w:kern w:val="44"/>
                <w:sz w:val="21"/>
                <w:szCs w:val="44"/>
                <w14:ligatures w14:val="none"/>
              </w:rPr>
              <w:t>蚌埠市-重点-空间布局-禁止</w:t>
            </w:r>
          </w:p>
        </w:tc>
        <w:tc>
          <w:tcPr>
            <w:tcW w:w="2775" w:type="pct"/>
            <w:vAlign w:val="center"/>
          </w:tcPr>
          <w:p w14:paraId="3DD588DD">
            <w:pPr>
              <w:widowControl/>
              <w:adjustRightInd w:val="0"/>
              <w:snapToGrid w:val="0"/>
              <w:spacing w:line="240" w:lineRule="auto"/>
              <w:rPr>
                <w:bCs/>
                <w:kern w:val="44"/>
                <w:sz w:val="21"/>
                <w:szCs w:val="44"/>
                <w14:ligatures w14:val="none"/>
              </w:rPr>
            </w:pPr>
            <w:r>
              <w:rPr>
                <w:rFonts w:hint="eastAsia"/>
                <w:bCs/>
                <w:kern w:val="44"/>
                <w:sz w:val="21"/>
                <w:szCs w:val="44"/>
                <w14:ligatures w14:val="none"/>
              </w:rPr>
              <w:t>落实工业领域2030年前碳达峰行动方案，坚决遏制“两高”项目盲目发展，严禁新增钢铁、水泥熟料、平板玻璃、炼化产能</w:t>
            </w:r>
          </w:p>
        </w:tc>
        <w:tc>
          <w:tcPr>
            <w:tcW w:w="904" w:type="pct"/>
            <w:vAlign w:val="center"/>
          </w:tcPr>
          <w:p w14:paraId="43F0491F">
            <w:pPr>
              <w:widowControl/>
              <w:adjustRightInd w:val="0"/>
              <w:snapToGrid w:val="0"/>
              <w:spacing w:line="240" w:lineRule="auto"/>
              <w:rPr>
                <w:bCs/>
                <w:kern w:val="44"/>
                <w:sz w:val="21"/>
                <w:szCs w:val="44"/>
                <w14:ligatures w14:val="none"/>
              </w:rPr>
            </w:pPr>
            <w:r>
              <w:rPr>
                <w:bCs/>
                <w:kern w:val="44"/>
                <w:sz w:val="21"/>
                <w:szCs w:val="44"/>
                <w14:ligatures w14:val="none"/>
              </w:rPr>
              <w:t>本项目</w:t>
            </w:r>
            <w:r>
              <w:rPr>
                <w:rFonts w:hint="eastAsia"/>
                <w:bCs/>
                <w:kern w:val="44"/>
                <w:sz w:val="21"/>
                <w:szCs w:val="44"/>
                <w14:ligatures w14:val="none"/>
              </w:rPr>
              <w:t>属于精细化工，不属于上述产业，不属于“两高”项目</w:t>
            </w:r>
          </w:p>
        </w:tc>
        <w:tc>
          <w:tcPr>
            <w:tcW w:w="309" w:type="pct"/>
            <w:vAlign w:val="center"/>
          </w:tcPr>
          <w:p w14:paraId="743204FF">
            <w:pPr>
              <w:widowControl/>
              <w:adjustRightInd w:val="0"/>
              <w:snapToGrid w:val="0"/>
              <w:spacing w:line="240" w:lineRule="auto"/>
              <w:jc w:val="center"/>
              <w:rPr>
                <w:bCs/>
                <w:kern w:val="44"/>
                <w:sz w:val="21"/>
                <w:szCs w:val="44"/>
                <w14:ligatures w14:val="none"/>
              </w:rPr>
            </w:pPr>
            <w:r>
              <w:rPr>
                <w:bCs/>
                <w:kern w:val="44"/>
                <w:sz w:val="21"/>
                <w:szCs w:val="44"/>
                <w14:ligatures w14:val="none"/>
              </w:rPr>
              <w:t>符合</w:t>
            </w:r>
          </w:p>
        </w:tc>
      </w:tr>
      <w:tr w14:paraId="72A58C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174" w:type="pct"/>
            <w:vMerge w:val="continue"/>
            <w:vAlign w:val="center"/>
          </w:tcPr>
          <w:p w14:paraId="3AD3EE20">
            <w:pPr>
              <w:widowControl/>
              <w:adjustRightInd w:val="0"/>
              <w:snapToGrid w:val="0"/>
              <w:spacing w:line="240" w:lineRule="auto"/>
              <w:jc w:val="center"/>
              <w:rPr>
                <w:bCs/>
                <w:kern w:val="44"/>
                <w:sz w:val="21"/>
                <w:szCs w:val="44"/>
                <w14:ligatures w14:val="none"/>
              </w:rPr>
            </w:pPr>
          </w:p>
        </w:tc>
        <w:tc>
          <w:tcPr>
            <w:tcW w:w="174" w:type="pct"/>
            <w:vMerge w:val="continue"/>
            <w:textDirection w:val="tbRlV"/>
            <w:vAlign w:val="center"/>
          </w:tcPr>
          <w:p w14:paraId="6F632248">
            <w:pPr>
              <w:widowControl/>
              <w:adjustRightInd w:val="0"/>
              <w:snapToGrid w:val="0"/>
              <w:spacing w:line="240" w:lineRule="auto"/>
              <w:jc w:val="center"/>
              <w:rPr>
                <w:bCs/>
                <w:kern w:val="44"/>
                <w:sz w:val="21"/>
                <w:szCs w:val="44"/>
                <w14:ligatures w14:val="none"/>
              </w:rPr>
            </w:pPr>
          </w:p>
        </w:tc>
        <w:tc>
          <w:tcPr>
            <w:tcW w:w="368" w:type="pct"/>
            <w:vMerge w:val="continue"/>
            <w:vAlign w:val="center"/>
          </w:tcPr>
          <w:p w14:paraId="49270A22">
            <w:pPr>
              <w:widowControl/>
              <w:adjustRightInd w:val="0"/>
              <w:snapToGrid w:val="0"/>
              <w:spacing w:line="240" w:lineRule="auto"/>
              <w:jc w:val="center"/>
              <w:rPr>
                <w:bCs/>
                <w:kern w:val="44"/>
                <w:sz w:val="21"/>
                <w:szCs w:val="44"/>
                <w14:ligatures w14:val="none"/>
              </w:rPr>
            </w:pPr>
          </w:p>
        </w:tc>
        <w:tc>
          <w:tcPr>
            <w:tcW w:w="296" w:type="pct"/>
            <w:vMerge w:val="continue"/>
            <w:vAlign w:val="center"/>
          </w:tcPr>
          <w:p w14:paraId="79BC9C6E">
            <w:pPr>
              <w:widowControl/>
              <w:adjustRightInd w:val="0"/>
              <w:snapToGrid w:val="0"/>
              <w:spacing w:line="240" w:lineRule="auto"/>
              <w:jc w:val="center"/>
              <w:rPr>
                <w:bCs/>
                <w:kern w:val="44"/>
                <w:sz w:val="21"/>
                <w:szCs w:val="44"/>
                <w14:ligatures w14:val="none"/>
              </w:rPr>
            </w:pPr>
          </w:p>
        </w:tc>
        <w:tc>
          <w:tcPr>
            <w:tcW w:w="2775" w:type="pct"/>
            <w:vAlign w:val="center"/>
          </w:tcPr>
          <w:p w14:paraId="53CA1F3F">
            <w:pPr>
              <w:widowControl/>
              <w:adjustRightInd w:val="0"/>
              <w:snapToGrid w:val="0"/>
              <w:spacing w:line="240" w:lineRule="auto"/>
              <w:rPr>
                <w:bCs/>
                <w:kern w:val="44"/>
                <w:sz w:val="21"/>
                <w:szCs w:val="44"/>
                <w14:ligatures w14:val="none"/>
              </w:rPr>
            </w:pPr>
            <w:r>
              <w:rPr>
                <w:rFonts w:hint="eastAsia"/>
                <w:bCs/>
                <w:kern w:val="44"/>
                <w:sz w:val="21"/>
                <w:szCs w:val="44"/>
                <w14:ligatures w14:val="none"/>
              </w:rPr>
              <w:t>坚决遏制高耗能高排放项目盲目发展。严把高耗能高排放项目准入关口，严格落实污染物排放区域削减要求，对不符合规定的项目坚决停批停建</w:t>
            </w:r>
          </w:p>
        </w:tc>
        <w:tc>
          <w:tcPr>
            <w:tcW w:w="904" w:type="pct"/>
            <w:vAlign w:val="center"/>
          </w:tcPr>
          <w:p w14:paraId="0C1D9453">
            <w:pPr>
              <w:widowControl/>
              <w:adjustRightInd w:val="0"/>
              <w:snapToGrid w:val="0"/>
              <w:spacing w:line="240" w:lineRule="auto"/>
              <w:rPr>
                <w:bCs/>
                <w:kern w:val="44"/>
                <w:sz w:val="21"/>
                <w:szCs w:val="44"/>
                <w14:ligatures w14:val="none"/>
              </w:rPr>
            </w:pPr>
            <w:r>
              <w:rPr>
                <w:bCs/>
                <w:kern w:val="44"/>
                <w:sz w:val="21"/>
                <w:szCs w:val="44"/>
                <w14:ligatures w14:val="none"/>
              </w:rPr>
              <w:t>本项目</w:t>
            </w:r>
            <w:r>
              <w:rPr>
                <w:rFonts w:hint="eastAsia"/>
                <w:bCs/>
                <w:kern w:val="44"/>
                <w:sz w:val="21"/>
                <w:szCs w:val="44"/>
                <w14:ligatures w14:val="none"/>
              </w:rPr>
              <w:t>属于精细化工，不属于上述产业，不属于“两高”项目，项目实施后严格落实区域削减要求</w:t>
            </w:r>
          </w:p>
        </w:tc>
        <w:tc>
          <w:tcPr>
            <w:tcW w:w="309" w:type="pct"/>
            <w:vAlign w:val="center"/>
          </w:tcPr>
          <w:p w14:paraId="65CFDEDC">
            <w:pPr>
              <w:widowControl/>
              <w:adjustRightInd w:val="0"/>
              <w:snapToGrid w:val="0"/>
              <w:spacing w:line="240" w:lineRule="auto"/>
              <w:jc w:val="center"/>
              <w:rPr>
                <w:bCs/>
                <w:kern w:val="44"/>
                <w:sz w:val="21"/>
                <w:szCs w:val="44"/>
                <w14:ligatures w14:val="none"/>
              </w:rPr>
            </w:pPr>
            <w:r>
              <w:rPr>
                <w:bCs/>
                <w:kern w:val="44"/>
                <w:sz w:val="21"/>
                <w:szCs w:val="44"/>
                <w14:ligatures w14:val="none"/>
              </w:rPr>
              <w:t>符合</w:t>
            </w:r>
          </w:p>
        </w:tc>
      </w:tr>
      <w:tr w14:paraId="786372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174" w:type="pct"/>
            <w:vMerge w:val="continue"/>
            <w:vAlign w:val="center"/>
          </w:tcPr>
          <w:p w14:paraId="5403E213">
            <w:pPr>
              <w:widowControl/>
              <w:adjustRightInd w:val="0"/>
              <w:snapToGrid w:val="0"/>
              <w:spacing w:line="240" w:lineRule="auto"/>
              <w:jc w:val="center"/>
              <w:rPr>
                <w:bCs/>
                <w:kern w:val="44"/>
                <w:sz w:val="21"/>
                <w:szCs w:val="44"/>
                <w14:ligatures w14:val="none"/>
              </w:rPr>
            </w:pPr>
          </w:p>
        </w:tc>
        <w:tc>
          <w:tcPr>
            <w:tcW w:w="174" w:type="pct"/>
            <w:vMerge w:val="continue"/>
            <w:textDirection w:val="tbRlV"/>
            <w:vAlign w:val="center"/>
          </w:tcPr>
          <w:p w14:paraId="3404E206">
            <w:pPr>
              <w:widowControl/>
              <w:adjustRightInd w:val="0"/>
              <w:snapToGrid w:val="0"/>
              <w:spacing w:line="240" w:lineRule="auto"/>
              <w:jc w:val="center"/>
              <w:rPr>
                <w:bCs/>
                <w:kern w:val="44"/>
                <w:sz w:val="21"/>
                <w:szCs w:val="44"/>
                <w14:ligatures w14:val="none"/>
              </w:rPr>
            </w:pPr>
          </w:p>
        </w:tc>
        <w:tc>
          <w:tcPr>
            <w:tcW w:w="368" w:type="pct"/>
            <w:vMerge w:val="continue"/>
            <w:vAlign w:val="center"/>
          </w:tcPr>
          <w:p w14:paraId="3A5FC1F8">
            <w:pPr>
              <w:widowControl/>
              <w:adjustRightInd w:val="0"/>
              <w:snapToGrid w:val="0"/>
              <w:spacing w:line="240" w:lineRule="auto"/>
              <w:jc w:val="center"/>
              <w:rPr>
                <w:bCs/>
                <w:kern w:val="44"/>
                <w:sz w:val="21"/>
                <w:szCs w:val="44"/>
                <w14:ligatures w14:val="none"/>
              </w:rPr>
            </w:pPr>
          </w:p>
        </w:tc>
        <w:tc>
          <w:tcPr>
            <w:tcW w:w="296" w:type="pct"/>
            <w:vMerge w:val="continue"/>
            <w:vAlign w:val="center"/>
          </w:tcPr>
          <w:p w14:paraId="06A10D01">
            <w:pPr>
              <w:widowControl/>
              <w:adjustRightInd w:val="0"/>
              <w:snapToGrid w:val="0"/>
              <w:spacing w:line="240" w:lineRule="auto"/>
              <w:jc w:val="center"/>
              <w:rPr>
                <w:bCs/>
                <w:kern w:val="44"/>
                <w:sz w:val="21"/>
                <w:szCs w:val="44"/>
                <w14:ligatures w14:val="none"/>
              </w:rPr>
            </w:pPr>
          </w:p>
        </w:tc>
        <w:tc>
          <w:tcPr>
            <w:tcW w:w="2775" w:type="pct"/>
            <w:vAlign w:val="center"/>
          </w:tcPr>
          <w:p w14:paraId="6B7CA4E5">
            <w:pPr>
              <w:widowControl/>
              <w:adjustRightInd w:val="0"/>
              <w:snapToGrid w:val="0"/>
              <w:spacing w:line="240" w:lineRule="auto"/>
              <w:rPr>
                <w:bCs/>
                <w:kern w:val="44"/>
                <w:sz w:val="21"/>
                <w:szCs w:val="44"/>
                <w14:ligatures w14:val="none"/>
              </w:rPr>
            </w:pPr>
            <w:r>
              <w:rPr>
                <w:rFonts w:hint="eastAsia"/>
                <w:bCs/>
                <w:kern w:val="44"/>
                <w:sz w:val="21"/>
                <w:szCs w:val="44"/>
                <w14:ligatures w14:val="none"/>
              </w:rPr>
              <w:t>依据土壤污染防治法开展永久基本农田集中区域划定，在永久基本农田集中区域，不得规划新建可能造成土壤污染的建设项目</w:t>
            </w:r>
          </w:p>
        </w:tc>
        <w:tc>
          <w:tcPr>
            <w:tcW w:w="904" w:type="pct"/>
            <w:vAlign w:val="center"/>
          </w:tcPr>
          <w:p w14:paraId="27CED49D">
            <w:pPr>
              <w:widowControl/>
              <w:adjustRightInd w:val="0"/>
              <w:snapToGrid w:val="0"/>
              <w:spacing w:line="240" w:lineRule="auto"/>
              <w:rPr>
                <w:bCs/>
                <w:kern w:val="44"/>
                <w:sz w:val="21"/>
                <w:szCs w:val="44"/>
                <w14:ligatures w14:val="none"/>
              </w:rPr>
            </w:pPr>
            <w:r>
              <w:rPr>
                <w:rFonts w:hint="eastAsia"/>
                <w:bCs/>
                <w:kern w:val="44"/>
                <w:sz w:val="21"/>
                <w:szCs w:val="44"/>
                <w14:ligatures w14:val="none"/>
              </w:rPr>
              <w:t>本项目位于海华科技现有厂区内，不涉及基本农田</w:t>
            </w:r>
          </w:p>
        </w:tc>
        <w:tc>
          <w:tcPr>
            <w:tcW w:w="309" w:type="pct"/>
            <w:vAlign w:val="center"/>
          </w:tcPr>
          <w:p w14:paraId="44BF4268">
            <w:pPr>
              <w:widowControl/>
              <w:adjustRightInd w:val="0"/>
              <w:snapToGrid w:val="0"/>
              <w:spacing w:line="240" w:lineRule="auto"/>
              <w:jc w:val="center"/>
              <w:rPr>
                <w:bCs/>
                <w:kern w:val="44"/>
                <w:sz w:val="21"/>
                <w:szCs w:val="44"/>
                <w14:ligatures w14:val="none"/>
              </w:rPr>
            </w:pPr>
            <w:r>
              <w:rPr>
                <w:bCs/>
                <w:kern w:val="44"/>
                <w:sz w:val="21"/>
                <w:szCs w:val="44"/>
                <w14:ligatures w14:val="none"/>
              </w:rPr>
              <w:t>符合</w:t>
            </w:r>
          </w:p>
        </w:tc>
      </w:tr>
      <w:tr w14:paraId="4D38EB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174" w:type="pct"/>
            <w:vMerge w:val="continue"/>
            <w:vAlign w:val="center"/>
          </w:tcPr>
          <w:p w14:paraId="1A2DDB0C">
            <w:pPr>
              <w:widowControl/>
              <w:adjustRightInd w:val="0"/>
              <w:snapToGrid w:val="0"/>
              <w:spacing w:line="240" w:lineRule="auto"/>
              <w:jc w:val="center"/>
              <w:rPr>
                <w:bCs/>
                <w:kern w:val="44"/>
                <w:sz w:val="21"/>
                <w:szCs w:val="44"/>
                <w14:ligatures w14:val="none"/>
              </w:rPr>
            </w:pPr>
          </w:p>
        </w:tc>
        <w:tc>
          <w:tcPr>
            <w:tcW w:w="174" w:type="pct"/>
            <w:vMerge w:val="continue"/>
            <w:textDirection w:val="tbRlV"/>
            <w:vAlign w:val="center"/>
          </w:tcPr>
          <w:p w14:paraId="6C3916C6">
            <w:pPr>
              <w:widowControl/>
              <w:adjustRightInd w:val="0"/>
              <w:snapToGrid w:val="0"/>
              <w:spacing w:line="240" w:lineRule="auto"/>
              <w:jc w:val="center"/>
              <w:rPr>
                <w:bCs/>
                <w:kern w:val="44"/>
                <w:sz w:val="21"/>
                <w:szCs w:val="44"/>
                <w14:ligatures w14:val="none"/>
              </w:rPr>
            </w:pPr>
          </w:p>
        </w:tc>
        <w:tc>
          <w:tcPr>
            <w:tcW w:w="368" w:type="pct"/>
            <w:vMerge w:val="continue"/>
            <w:vAlign w:val="center"/>
          </w:tcPr>
          <w:p w14:paraId="652BABB4">
            <w:pPr>
              <w:widowControl/>
              <w:adjustRightInd w:val="0"/>
              <w:snapToGrid w:val="0"/>
              <w:spacing w:line="240" w:lineRule="auto"/>
              <w:jc w:val="center"/>
              <w:rPr>
                <w:bCs/>
                <w:kern w:val="44"/>
                <w:sz w:val="21"/>
                <w:szCs w:val="44"/>
                <w14:ligatures w14:val="none"/>
              </w:rPr>
            </w:pPr>
          </w:p>
        </w:tc>
        <w:tc>
          <w:tcPr>
            <w:tcW w:w="296" w:type="pct"/>
            <w:vMerge w:val="continue"/>
            <w:vAlign w:val="center"/>
          </w:tcPr>
          <w:p w14:paraId="5767094E">
            <w:pPr>
              <w:widowControl/>
              <w:adjustRightInd w:val="0"/>
              <w:snapToGrid w:val="0"/>
              <w:spacing w:line="240" w:lineRule="auto"/>
              <w:jc w:val="center"/>
              <w:rPr>
                <w:bCs/>
                <w:kern w:val="44"/>
                <w:sz w:val="21"/>
                <w:szCs w:val="44"/>
                <w14:ligatures w14:val="none"/>
              </w:rPr>
            </w:pPr>
          </w:p>
        </w:tc>
        <w:tc>
          <w:tcPr>
            <w:tcW w:w="2775" w:type="pct"/>
            <w:vAlign w:val="center"/>
          </w:tcPr>
          <w:p w14:paraId="26DCEB46">
            <w:pPr>
              <w:widowControl/>
              <w:adjustRightInd w:val="0"/>
              <w:snapToGrid w:val="0"/>
              <w:spacing w:line="240" w:lineRule="auto"/>
              <w:rPr>
                <w:bCs/>
                <w:kern w:val="44"/>
                <w:sz w:val="21"/>
                <w:szCs w:val="44"/>
                <w14:ligatures w14:val="none"/>
              </w:rPr>
            </w:pPr>
            <w:r>
              <w:rPr>
                <w:rFonts w:hint="eastAsia"/>
                <w:bCs/>
                <w:kern w:val="44"/>
                <w:sz w:val="21"/>
                <w:szCs w:val="44"/>
                <w14:ligatures w14:val="none"/>
              </w:rPr>
              <w:t>列入建设用地土壤污染风险管控和修复名录的地块，不得作为住宅、公共管理与公共服务用地。未达到土壤污染风险评估报告确定的风险管控、修复目标的建设用地地块，禁止开工建设任何与风险管控、修复无关的项目。依法应当开展土壤污染状况调查评估而未开展或尚未完成调查评估的土壤污染风险不明地块，杜绝进入用地程序</w:t>
            </w:r>
          </w:p>
        </w:tc>
        <w:tc>
          <w:tcPr>
            <w:tcW w:w="904" w:type="pct"/>
            <w:vAlign w:val="center"/>
          </w:tcPr>
          <w:p w14:paraId="043AB287">
            <w:pPr>
              <w:widowControl/>
              <w:adjustRightInd w:val="0"/>
              <w:snapToGrid w:val="0"/>
              <w:spacing w:line="240" w:lineRule="auto"/>
              <w:rPr>
                <w:bCs/>
                <w:kern w:val="44"/>
                <w:sz w:val="21"/>
                <w:szCs w:val="44"/>
                <w14:ligatures w14:val="none"/>
              </w:rPr>
            </w:pPr>
            <w:r>
              <w:rPr>
                <w:rFonts w:hint="eastAsia"/>
                <w:bCs/>
                <w:kern w:val="44"/>
                <w:sz w:val="21"/>
                <w:szCs w:val="44"/>
                <w14:ligatures w14:val="none"/>
              </w:rPr>
              <w:t>本项目位于海华科技现有厂区内，企业按要求定期开展土壤污染现状调查评估工作</w:t>
            </w:r>
          </w:p>
        </w:tc>
        <w:tc>
          <w:tcPr>
            <w:tcW w:w="309" w:type="pct"/>
            <w:vAlign w:val="center"/>
          </w:tcPr>
          <w:p w14:paraId="5ADF8D34">
            <w:pPr>
              <w:widowControl/>
              <w:adjustRightInd w:val="0"/>
              <w:snapToGrid w:val="0"/>
              <w:spacing w:line="240" w:lineRule="auto"/>
              <w:jc w:val="center"/>
              <w:rPr>
                <w:bCs/>
                <w:kern w:val="44"/>
                <w:sz w:val="21"/>
                <w:szCs w:val="44"/>
                <w14:ligatures w14:val="none"/>
              </w:rPr>
            </w:pPr>
            <w:r>
              <w:rPr>
                <w:bCs/>
                <w:kern w:val="44"/>
                <w:sz w:val="21"/>
                <w:szCs w:val="44"/>
                <w14:ligatures w14:val="none"/>
              </w:rPr>
              <w:t>符合</w:t>
            </w:r>
          </w:p>
        </w:tc>
      </w:tr>
      <w:tr w14:paraId="1438FD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174" w:type="pct"/>
            <w:vMerge w:val="continue"/>
            <w:vAlign w:val="center"/>
          </w:tcPr>
          <w:p w14:paraId="1BB008D0">
            <w:pPr>
              <w:widowControl/>
              <w:adjustRightInd w:val="0"/>
              <w:snapToGrid w:val="0"/>
              <w:spacing w:line="240" w:lineRule="auto"/>
              <w:jc w:val="center"/>
              <w:rPr>
                <w:bCs/>
                <w:kern w:val="44"/>
                <w:sz w:val="21"/>
                <w:szCs w:val="44"/>
                <w14:ligatures w14:val="none"/>
              </w:rPr>
            </w:pPr>
          </w:p>
        </w:tc>
        <w:tc>
          <w:tcPr>
            <w:tcW w:w="174" w:type="pct"/>
            <w:vMerge w:val="continue"/>
            <w:textDirection w:val="tbRlV"/>
            <w:vAlign w:val="center"/>
          </w:tcPr>
          <w:p w14:paraId="4B4ECF94">
            <w:pPr>
              <w:widowControl/>
              <w:adjustRightInd w:val="0"/>
              <w:snapToGrid w:val="0"/>
              <w:spacing w:line="240" w:lineRule="auto"/>
              <w:jc w:val="center"/>
              <w:rPr>
                <w:bCs/>
                <w:kern w:val="44"/>
                <w:sz w:val="21"/>
                <w:szCs w:val="44"/>
                <w14:ligatures w14:val="none"/>
              </w:rPr>
            </w:pPr>
          </w:p>
        </w:tc>
        <w:tc>
          <w:tcPr>
            <w:tcW w:w="368" w:type="pct"/>
            <w:vMerge w:val="restart"/>
            <w:vAlign w:val="center"/>
          </w:tcPr>
          <w:p w14:paraId="297E4D90">
            <w:pPr>
              <w:widowControl/>
              <w:adjustRightInd w:val="0"/>
              <w:snapToGrid w:val="0"/>
              <w:spacing w:line="240" w:lineRule="auto"/>
              <w:jc w:val="center"/>
              <w:rPr>
                <w:bCs/>
                <w:kern w:val="44"/>
                <w:sz w:val="21"/>
                <w:szCs w:val="44"/>
                <w14:ligatures w14:val="none"/>
              </w:rPr>
            </w:pPr>
            <w:r>
              <w:rPr>
                <w:bCs/>
                <w:kern w:val="44"/>
                <w:sz w:val="21"/>
                <w:szCs w:val="44"/>
                <w14:ligatures w14:val="none"/>
              </w:rPr>
              <w:t>限制开发建设活动的要求</w:t>
            </w:r>
          </w:p>
        </w:tc>
        <w:tc>
          <w:tcPr>
            <w:tcW w:w="296" w:type="pct"/>
            <w:vMerge w:val="restart"/>
            <w:vAlign w:val="center"/>
          </w:tcPr>
          <w:p w14:paraId="6D725D42">
            <w:pPr>
              <w:widowControl/>
              <w:adjustRightInd w:val="0"/>
              <w:snapToGrid w:val="0"/>
              <w:spacing w:line="240" w:lineRule="auto"/>
              <w:jc w:val="center"/>
              <w:rPr>
                <w:bCs/>
                <w:kern w:val="44"/>
                <w:sz w:val="21"/>
                <w:szCs w:val="44"/>
                <w14:ligatures w14:val="none"/>
              </w:rPr>
            </w:pPr>
            <w:r>
              <w:rPr>
                <w:bCs/>
                <w:kern w:val="44"/>
                <w:sz w:val="21"/>
                <w:szCs w:val="44"/>
                <w14:ligatures w14:val="none"/>
              </w:rPr>
              <w:t>蚌埠市-重点-空间布局-限制</w:t>
            </w:r>
          </w:p>
        </w:tc>
        <w:tc>
          <w:tcPr>
            <w:tcW w:w="2775" w:type="pct"/>
            <w:vAlign w:val="center"/>
          </w:tcPr>
          <w:p w14:paraId="5770A5E9">
            <w:pPr>
              <w:widowControl/>
              <w:adjustRightInd w:val="0"/>
              <w:snapToGrid w:val="0"/>
              <w:spacing w:line="240" w:lineRule="auto"/>
              <w:rPr>
                <w:bCs/>
                <w:kern w:val="44"/>
                <w:sz w:val="21"/>
                <w:szCs w:val="44"/>
                <w14:ligatures w14:val="none"/>
              </w:rPr>
            </w:pPr>
            <w:r>
              <w:rPr>
                <w:bCs/>
                <w:kern w:val="44"/>
                <w:sz w:val="21"/>
                <w:szCs w:val="44"/>
                <w14:ligatures w14:val="none"/>
              </w:rPr>
              <w:t>合理确定产业发展布局、结构和规模。推进集聚发展、创新发展，加快老工业基地改造，加快精细化工等产业搬迁，强化产业导向、产业政策引导激励约束作用，科学有效推进退市入园，引导企业和项目向工业园区和工业走廊集中布局。提升园区产业承载能力。明确园区发展方向，加大基础设施建设力度，完善配套功能。推进产业发展负面清单制度，不断优化工业布局，努力构建“一带、三区、三基地、三板块”的产业发展布局</w:t>
            </w:r>
          </w:p>
        </w:tc>
        <w:tc>
          <w:tcPr>
            <w:tcW w:w="904" w:type="pct"/>
            <w:vAlign w:val="center"/>
          </w:tcPr>
          <w:p w14:paraId="1799BC14">
            <w:pPr>
              <w:widowControl/>
              <w:adjustRightInd w:val="0"/>
              <w:snapToGrid w:val="0"/>
              <w:spacing w:line="240" w:lineRule="auto"/>
              <w:rPr>
                <w:bCs/>
                <w:kern w:val="44"/>
                <w:sz w:val="21"/>
                <w:szCs w:val="44"/>
                <w14:ligatures w14:val="none"/>
              </w:rPr>
            </w:pPr>
            <w:r>
              <w:rPr>
                <w:bCs/>
                <w:kern w:val="44"/>
                <w:sz w:val="21"/>
                <w:szCs w:val="44"/>
                <w14:ligatures w14:val="none"/>
              </w:rPr>
              <w:t>本项目属于精细化工，建设位于蚌埠精细化工高新技术产业基地，园区属于化工园区</w:t>
            </w:r>
          </w:p>
        </w:tc>
        <w:tc>
          <w:tcPr>
            <w:tcW w:w="309" w:type="pct"/>
            <w:vAlign w:val="center"/>
          </w:tcPr>
          <w:p w14:paraId="7FD11C56">
            <w:pPr>
              <w:widowControl/>
              <w:adjustRightInd w:val="0"/>
              <w:snapToGrid w:val="0"/>
              <w:spacing w:line="240" w:lineRule="auto"/>
              <w:jc w:val="center"/>
              <w:rPr>
                <w:bCs/>
                <w:kern w:val="44"/>
                <w:sz w:val="21"/>
                <w:szCs w:val="44"/>
                <w14:ligatures w14:val="none"/>
              </w:rPr>
            </w:pPr>
            <w:r>
              <w:rPr>
                <w:bCs/>
                <w:kern w:val="44"/>
                <w:sz w:val="21"/>
                <w:szCs w:val="44"/>
                <w14:ligatures w14:val="none"/>
              </w:rPr>
              <w:t>符合</w:t>
            </w:r>
          </w:p>
        </w:tc>
      </w:tr>
      <w:tr w14:paraId="1C49B4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174" w:type="pct"/>
            <w:vMerge w:val="continue"/>
            <w:vAlign w:val="center"/>
          </w:tcPr>
          <w:p w14:paraId="696638F0">
            <w:pPr>
              <w:widowControl/>
              <w:adjustRightInd w:val="0"/>
              <w:snapToGrid w:val="0"/>
              <w:spacing w:line="240" w:lineRule="auto"/>
              <w:jc w:val="center"/>
              <w:rPr>
                <w:bCs/>
                <w:kern w:val="44"/>
                <w:sz w:val="21"/>
                <w:szCs w:val="44"/>
                <w14:ligatures w14:val="none"/>
              </w:rPr>
            </w:pPr>
          </w:p>
        </w:tc>
        <w:tc>
          <w:tcPr>
            <w:tcW w:w="174" w:type="pct"/>
            <w:vMerge w:val="continue"/>
            <w:textDirection w:val="tbRlV"/>
            <w:vAlign w:val="center"/>
          </w:tcPr>
          <w:p w14:paraId="11A34547">
            <w:pPr>
              <w:widowControl/>
              <w:adjustRightInd w:val="0"/>
              <w:snapToGrid w:val="0"/>
              <w:spacing w:line="240" w:lineRule="auto"/>
              <w:jc w:val="center"/>
              <w:rPr>
                <w:bCs/>
                <w:kern w:val="44"/>
                <w:sz w:val="21"/>
                <w:szCs w:val="44"/>
                <w14:ligatures w14:val="none"/>
              </w:rPr>
            </w:pPr>
          </w:p>
        </w:tc>
        <w:tc>
          <w:tcPr>
            <w:tcW w:w="368" w:type="pct"/>
            <w:vMerge w:val="continue"/>
            <w:vAlign w:val="center"/>
          </w:tcPr>
          <w:p w14:paraId="3FA57276">
            <w:pPr>
              <w:widowControl/>
              <w:adjustRightInd w:val="0"/>
              <w:snapToGrid w:val="0"/>
              <w:spacing w:line="240" w:lineRule="auto"/>
              <w:jc w:val="center"/>
              <w:rPr>
                <w:bCs/>
                <w:kern w:val="44"/>
                <w:sz w:val="21"/>
                <w:szCs w:val="44"/>
                <w14:ligatures w14:val="none"/>
              </w:rPr>
            </w:pPr>
          </w:p>
        </w:tc>
        <w:tc>
          <w:tcPr>
            <w:tcW w:w="296" w:type="pct"/>
            <w:vMerge w:val="continue"/>
            <w:vAlign w:val="center"/>
          </w:tcPr>
          <w:p w14:paraId="4924DF26">
            <w:pPr>
              <w:widowControl/>
              <w:adjustRightInd w:val="0"/>
              <w:snapToGrid w:val="0"/>
              <w:spacing w:line="240" w:lineRule="auto"/>
              <w:jc w:val="center"/>
              <w:rPr>
                <w:bCs/>
                <w:kern w:val="44"/>
                <w:sz w:val="21"/>
                <w:szCs w:val="44"/>
                <w14:ligatures w14:val="none"/>
              </w:rPr>
            </w:pPr>
          </w:p>
        </w:tc>
        <w:tc>
          <w:tcPr>
            <w:tcW w:w="2775" w:type="pct"/>
            <w:vAlign w:val="center"/>
          </w:tcPr>
          <w:p w14:paraId="26919D2F">
            <w:pPr>
              <w:widowControl/>
              <w:adjustRightInd w:val="0"/>
              <w:snapToGrid w:val="0"/>
              <w:spacing w:line="240" w:lineRule="auto"/>
              <w:rPr>
                <w:bCs/>
                <w:kern w:val="44"/>
                <w:sz w:val="21"/>
                <w:szCs w:val="44"/>
                <w14:ligatures w14:val="none"/>
              </w:rPr>
            </w:pPr>
            <w:r>
              <w:rPr>
                <w:bCs/>
                <w:kern w:val="44"/>
                <w:sz w:val="21"/>
                <w:szCs w:val="44"/>
                <w14:ligatures w14:val="none"/>
              </w:rPr>
              <w:t>重大项目原则上布局在重点园区，并符合城乡规划、土地利用总体规划以及园区规划。鼓励发展节水高效现代农业、低耗水高新技术产业以及生态保护型旅游业。严格控制化学原料和化学制品制造、医药制造、化学纤维制造、纺织印染等项目环境风险，合理布局生产装置及危险化学品仓储等设施。</w:t>
            </w:r>
          </w:p>
        </w:tc>
        <w:tc>
          <w:tcPr>
            <w:tcW w:w="904" w:type="pct"/>
            <w:vAlign w:val="center"/>
          </w:tcPr>
          <w:p w14:paraId="3B47C886">
            <w:pPr>
              <w:widowControl/>
              <w:adjustRightInd w:val="0"/>
              <w:snapToGrid w:val="0"/>
              <w:spacing w:line="240" w:lineRule="auto"/>
              <w:rPr>
                <w:bCs/>
                <w:kern w:val="44"/>
                <w:sz w:val="21"/>
                <w:szCs w:val="44"/>
                <w14:ligatures w14:val="none"/>
              </w:rPr>
            </w:pPr>
            <w:r>
              <w:rPr>
                <w:bCs/>
                <w:kern w:val="44"/>
                <w:sz w:val="21"/>
                <w:szCs w:val="44"/>
                <w14:ligatures w14:val="none"/>
              </w:rPr>
              <w:t>本项目属于精细化工，建设位于蚌埠精细化工高新技术产业基地，园区属于化工园区</w:t>
            </w:r>
          </w:p>
        </w:tc>
        <w:tc>
          <w:tcPr>
            <w:tcW w:w="309" w:type="pct"/>
            <w:vAlign w:val="center"/>
          </w:tcPr>
          <w:p w14:paraId="4BE49C36">
            <w:pPr>
              <w:widowControl/>
              <w:adjustRightInd w:val="0"/>
              <w:snapToGrid w:val="0"/>
              <w:spacing w:line="240" w:lineRule="auto"/>
              <w:jc w:val="center"/>
              <w:rPr>
                <w:bCs/>
                <w:kern w:val="44"/>
                <w:sz w:val="21"/>
                <w:szCs w:val="44"/>
                <w14:ligatures w14:val="none"/>
              </w:rPr>
            </w:pPr>
            <w:r>
              <w:rPr>
                <w:bCs/>
                <w:kern w:val="44"/>
                <w:sz w:val="21"/>
                <w:szCs w:val="44"/>
                <w14:ligatures w14:val="none"/>
              </w:rPr>
              <w:t>符合</w:t>
            </w:r>
          </w:p>
        </w:tc>
      </w:tr>
      <w:tr w14:paraId="0D7E92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174" w:type="pct"/>
            <w:vMerge w:val="continue"/>
            <w:vAlign w:val="center"/>
          </w:tcPr>
          <w:p w14:paraId="52915BFD">
            <w:pPr>
              <w:widowControl/>
              <w:adjustRightInd w:val="0"/>
              <w:snapToGrid w:val="0"/>
              <w:spacing w:line="240" w:lineRule="auto"/>
              <w:jc w:val="center"/>
              <w:rPr>
                <w:bCs/>
                <w:kern w:val="44"/>
                <w:sz w:val="21"/>
                <w:szCs w:val="44"/>
                <w14:ligatures w14:val="none"/>
              </w:rPr>
            </w:pPr>
          </w:p>
        </w:tc>
        <w:tc>
          <w:tcPr>
            <w:tcW w:w="174" w:type="pct"/>
            <w:vMerge w:val="continue"/>
            <w:textDirection w:val="tbRlV"/>
            <w:vAlign w:val="center"/>
          </w:tcPr>
          <w:p w14:paraId="2D82E39C">
            <w:pPr>
              <w:widowControl/>
              <w:adjustRightInd w:val="0"/>
              <w:snapToGrid w:val="0"/>
              <w:spacing w:line="240" w:lineRule="auto"/>
              <w:jc w:val="center"/>
              <w:rPr>
                <w:bCs/>
                <w:kern w:val="44"/>
                <w:sz w:val="21"/>
                <w:szCs w:val="44"/>
                <w14:ligatures w14:val="none"/>
              </w:rPr>
            </w:pPr>
          </w:p>
        </w:tc>
        <w:tc>
          <w:tcPr>
            <w:tcW w:w="368" w:type="pct"/>
            <w:vMerge w:val="continue"/>
            <w:vAlign w:val="center"/>
          </w:tcPr>
          <w:p w14:paraId="1162A454">
            <w:pPr>
              <w:widowControl/>
              <w:adjustRightInd w:val="0"/>
              <w:snapToGrid w:val="0"/>
              <w:spacing w:line="240" w:lineRule="auto"/>
              <w:jc w:val="center"/>
              <w:rPr>
                <w:bCs/>
                <w:kern w:val="44"/>
                <w:sz w:val="21"/>
                <w:szCs w:val="44"/>
                <w14:ligatures w14:val="none"/>
              </w:rPr>
            </w:pPr>
          </w:p>
        </w:tc>
        <w:tc>
          <w:tcPr>
            <w:tcW w:w="296" w:type="pct"/>
            <w:vMerge w:val="continue"/>
            <w:vAlign w:val="center"/>
          </w:tcPr>
          <w:p w14:paraId="1046D707">
            <w:pPr>
              <w:widowControl/>
              <w:adjustRightInd w:val="0"/>
              <w:snapToGrid w:val="0"/>
              <w:spacing w:line="240" w:lineRule="auto"/>
              <w:jc w:val="center"/>
              <w:rPr>
                <w:bCs/>
                <w:kern w:val="44"/>
                <w:sz w:val="21"/>
                <w:szCs w:val="44"/>
                <w14:ligatures w14:val="none"/>
              </w:rPr>
            </w:pPr>
          </w:p>
        </w:tc>
        <w:tc>
          <w:tcPr>
            <w:tcW w:w="2775" w:type="pct"/>
            <w:vAlign w:val="center"/>
          </w:tcPr>
          <w:p w14:paraId="08B3D6FA">
            <w:pPr>
              <w:widowControl/>
              <w:adjustRightInd w:val="0"/>
              <w:snapToGrid w:val="0"/>
              <w:spacing w:line="240" w:lineRule="auto"/>
              <w:rPr>
                <w:bCs/>
                <w:kern w:val="44"/>
                <w:sz w:val="21"/>
                <w:szCs w:val="44"/>
                <w14:ligatures w14:val="none"/>
              </w:rPr>
            </w:pPr>
            <w:r>
              <w:rPr>
                <w:bCs/>
                <w:kern w:val="44"/>
                <w:sz w:val="21"/>
                <w:szCs w:val="44"/>
                <w14:ligatures w14:val="none"/>
              </w:rPr>
              <w:t>推进“海绵城市”建设，建设滞、渗、蓄、用、排相结合的雨水收集利用设施。</w:t>
            </w:r>
          </w:p>
          <w:p w14:paraId="764AE778">
            <w:pPr>
              <w:widowControl/>
              <w:adjustRightInd w:val="0"/>
              <w:snapToGrid w:val="0"/>
              <w:spacing w:line="240" w:lineRule="auto"/>
              <w:rPr>
                <w:bCs/>
                <w:kern w:val="44"/>
                <w:sz w:val="21"/>
                <w:szCs w:val="44"/>
                <w14:ligatures w14:val="none"/>
              </w:rPr>
            </w:pPr>
            <w:r>
              <w:rPr>
                <w:bCs/>
                <w:kern w:val="44"/>
                <w:sz w:val="21"/>
                <w:szCs w:val="44"/>
                <w14:ligatures w14:val="none"/>
              </w:rPr>
              <w:t>新建城区硬化地面可渗透面积要达到40%以上。</w:t>
            </w:r>
          </w:p>
        </w:tc>
        <w:tc>
          <w:tcPr>
            <w:tcW w:w="904" w:type="pct"/>
            <w:vAlign w:val="center"/>
          </w:tcPr>
          <w:p w14:paraId="329EDEB4">
            <w:pPr>
              <w:widowControl/>
              <w:adjustRightInd w:val="0"/>
              <w:snapToGrid w:val="0"/>
              <w:spacing w:line="240" w:lineRule="auto"/>
              <w:jc w:val="center"/>
              <w:rPr>
                <w:bCs/>
                <w:kern w:val="44"/>
                <w:sz w:val="21"/>
                <w:szCs w:val="44"/>
                <w14:ligatures w14:val="none"/>
              </w:rPr>
            </w:pPr>
            <w:r>
              <w:rPr>
                <w:bCs/>
                <w:kern w:val="44"/>
                <w:sz w:val="21"/>
                <w:szCs w:val="44"/>
                <w14:ligatures w14:val="none"/>
              </w:rPr>
              <w:t>本项目不涉及</w:t>
            </w:r>
          </w:p>
        </w:tc>
        <w:tc>
          <w:tcPr>
            <w:tcW w:w="309" w:type="pct"/>
            <w:vAlign w:val="center"/>
          </w:tcPr>
          <w:p w14:paraId="13D27FD4">
            <w:pPr>
              <w:widowControl/>
              <w:adjustRightInd w:val="0"/>
              <w:snapToGrid w:val="0"/>
              <w:spacing w:line="240" w:lineRule="auto"/>
              <w:jc w:val="center"/>
              <w:rPr>
                <w:bCs/>
                <w:kern w:val="44"/>
                <w:sz w:val="21"/>
                <w:szCs w:val="44"/>
                <w14:ligatures w14:val="none"/>
              </w:rPr>
            </w:pPr>
            <w:r>
              <w:rPr>
                <w:rFonts w:hint="eastAsia"/>
                <w:bCs/>
                <w:kern w:val="44"/>
                <w:sz w:val="21"/>
                <w:szCs w:val="44"/>
                <w14:ligatures w14:val="none"/>
              </w:rPr>
              <w:t>/</w:t>
            </w:r>
          </w:p>
        </w:tc>
      </w:tr>
      <w:tr w14:paraId="72D98F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174" w:type="pct"/>
            <w:vMerge w:val="continue"/>
            <w:vAlign w:val="center"/>
          </w:tcPr>
          <w:p w14:paraId="4BCFB193">
            <w:pPr>
              <w:widowControl/>
              <w:adjustRightInd w:val="0"/>
              <w:snapToGrid w:val="0"/>
              <w:spacing w:line="240" w:lineRule="auto"/>
              <w:jc w:val="center"/>
              <w:rPr>
                <w:bCs/>
                <w:kern w:val="44"/>
                <w:sz w:val="21"/>
                <w:szCs w:val="44"/>
                <w14:ligatures w14:val="none"/>
              </w:rPr>
            </w:pPr>
          </w:p>
        </w:tc>
        <w:tc>
          <w:tcPr>
            <w:tcW w:w="174" w:type="pct"/>
            <w:vMerge w:val="continue"/>
            <w:vAlign w:val="center"/>
          </w:tcPr>
          <w:p w14:paraId="79DC4398">
            <w:pPr>
              <w:widowControl/>
              <w:adjustRightInd w:val="0"/>
              <w:snapToGrid w:val="0"/>
              <w:spacing w:line="240" w:lineRule="auto"/>
              <w:jc w:val="center"/>
              <w:rPr>
                <w:bCs/>
                <w:kern w:val="44"/>
                <w:sz w:val="21"/>
                <w:szCs w:val="44"/>
                <w14:ligatures w14:val="none"/>
              </w:rPr>
            </w:pPr>
          </w:p>
        </w:tc>
        <w:tc>
          <w:tcPr>
            <w:tcW w:w="368" w:type="pct"/>
            <w:vMerge w:val="continue"/>
            <w:vAlign w:val="center"/>
          </w:tcPr>
          <w:p w14:paraId="121A0D57">
            <w:pPr>
              <w:widowControl/>
              <w:adjustRightInd w:val="0"/>
              <w:snapToGrid w:val="0"/>
              <w:spacing w:line="240" w:lineRule="auto"/>
              <w:jc w:val="center"/>
              <w:rPr>
                <w:bCs/>
                <w:kern w:val="44"/>
                <w:sz w:val="21"/>
                <w:szCs w:val="44"/>
                <w14:ligatures w14:val="none"/>
              </w:rPr>
            </w:pPr>
          </w:p>
        </w:tc>
        <w:tc>
          <w:tcPr>
            <w:tcW w:w="296" w:type="pct"/>
            <w:vMerge w:val="continue"/>
            <w:vAlign w:val="center"/>
          </w:tcPr>
          <w:p w14:paraId="0C7E8479">
            <w:pPr>
              <w:widowControl/>
              <w:adjustRightInd w:val="0"/>
              <w:snapToGrid w:val="0"/>
              <w:spacing w:line="240" w:lineRule="auto"/>
              <w:jc w:val="center"/>
              <w:rPr>
                <w:bCs/>
                <w:kern w:val="44"/>
                <w:sz w:val="21"/>
                <w:szCs w:val="44"/>
                <w14:ligatures w14:val="none"/>
              </w:rPr>
            </w:pPr>
          </w:p>
        </w:tc>
        <w:tc>
          <w:tcPr>
            <w:tcW w:w="2775" w:type="pct"/>
            <w:vAlign w:val="center"/>
          </w:tcPr>
          <w:p w14:paraId="6CACBC78">
            <w:pPr>
              <w:widowControl/>
              <w:adjustRightInd w:val="0"/>
              <w:snapToGrid w:val="0"/>
              <w:spacing w:line="240" w:lineRule="auto"/>
              <w:rPr>
                <w:bCs/>
                <w:kern w:val="44"/>
                <w:sz w:val="21"/>
                <w:szCs w:val="44"/>
                <w14:ligatures w14:val="none"/>
              </w:rPr>
            </w:pPr>
            <w:r>
              <w:rPr>
                <w:rFonts w:hint="eastAsia"/>
                <w:bCs/>
                <w:kern w:val="44"/>
                <w:sz w:val="21"/>
                <w:szCs w:val="44"/>
                <w14:ligatures w14:val="none"/>
              </w:rPr>
              <w:t>严格项目准入，所有新建的化工、制药、废弃资源综合利用等产生危险废物的重点行业企业应进入工业园区</w:t>
            </w:r>
          </w:p>
        </w:tc>
        <w:tc>
          <w:tcPr>
            <w:tcW w:w="904" w:type="pct"/>
            <w:vAlign w:val="center"/>
          </w:tcPr>
          <w:p w14:paraId="39C72F5F">
            <w:pPr>
              <w:widowControl/>
              <w:adjustRightInd w:val="0"/>
              <w:snapToGrid w:val="0"/>
              <w:spacing w:line="240" w:lineRule="auto"/>
              <w:rPr>
                <w:bCs/>
                <w:kern w:val="44"/>
                <w:sz w:val="21"/>
                <w:szCs w:val="44"/>
                <w14:ligatures w14:val="none"/>
              </w:rPr>
            </w:pPr>
            <w:r>
              <w:rPr>
                <w:rFonts w:hint="eastAsia"/>
                <w:bCs/>
                <w:kern w:val="44"/>
                <w:sz w:val="21"/>
                <w:szCs w:val="44"/>
                <w14:ligatures w14:val="none"/>
              </w:rPr>
              <w:t>本项目属于扩建化工项目，位于</w:t>
            </w:r>
            <w:r>
              <w:rPr>
                <w:bCs/>
                <w:kern w:val="44"/>
                <w:sz w:val="21"/>
                <w:szCs w:val="44"/>
                <w14:ligatures w14:val="none"/>
              </w:rPr>
              <w:t>蚌埠精细化工高新技术产业基地，园区属于化工园区</w:t>
            </w:r>
          </w:p>
        </w:tc>
        <w:tc>
          <w:tcPr>
            <w:tcW w:w="309" w:type="pct"/>
            <w:vAlign w:val="center"/>
          </w:tcPr>
          <w:p w14:paraId="29711905">
            <w:pPr>
              <w:widowControl/>
              <w:adjustRightInd w:val="0"/>
              <w:snapToGrid w:val="0"/>
              <w:spacing w:line="240" w:lineRule="auto"/>
              <w:jc w:val="center"/>
              <w:rPr>
                <w:bCs/>
                <w:kern w:val="44"/>
                <w:sz w:val="21"/>
                <w:szCs w:val="44"/>
                <w14:ligatures w14:val="none"/>
              </w:rPr>
            </w:pPr>
            <w:r>
              <w:rPr>
                <w:bCs/>
                <w:kern w:val="44"/>
                <w:sz w:val="21"/>
                <w:szCs w:val="44"/>
                <w14:ligatures w14:val="none"/>
              </w:rPr>
              <w:t>符合</w:t>
            </w:r>
          </w:p>
        </w:tc>
      </w:tr>
      <w:tr w14:paraId="613396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174" w:type="pct"/>
            <w:vMerge w:val="continue"/>
            <w:vAlign w:val="center"/>
          </w:tcPr>
          <w:p w14:paraId="1F654A60">
            <w:pPr>
              <w:widowControl/>
              <w:adjustRightInd w:val="0"/>
              <w:snapToGrid w:val="0"/>
              <w:spacing w:line="240" w:lineRule="auto"/>
              <w:jc w:val="center"/>
              <w:rPr>
                <w:bCs/>
                <w:kern w:val="44"/>
                <w:sz w:val="21"/>
                <w:szCs w:val="44"/>
                <w14:ligatures w14:val="none"/>
              </w:rPr>
            </w:pPr>
          </w:p>
        </w:tc>
        <w:tc>
          <w:tcPr>
            <w:tcW w:w="174" w:type="pct"/>
            <w:vMerge w:val="continue"/>
            <w:vAlign w:val="center"/>
          </w:tcPr>
          <w:p w14:paraId="0BE30E3C">
            <w:pPr>
              <w:widowControl/>
              <w:adjustRightInd w:val="0"/>
              <w:snapToGrid w:val="0"/>
              <w:spacing w:line="240" w:lineRule="auto"/>
              <w:jc w:val="center"/>
              <w:rPr>
                <w:bCs/>
                <w:kern w:val="44"/>
                <w:sz w:val="21"/>
                <w:szCs w:val="44"/>
                <w14:ligatures w14:val="none"/>
              </w:rPr>
            </w:pPr>
          </w:p>
        </w:tc>
        <w:tc>
          <w:tcPr>
            <w:tcW w:w="368" w:type="pct"/>
            <w:vMerge w:val="continue"/>
            <w:vAlign w:val="center"/>
          </w:tcPr>
          <w:p w14:paraId="20A5C09B">
            <w:pPr>
              <w:widowControl/>
              <w:adjustRightInd w:val="0"/>
              <w:snapToGrid w:val="0"/>
              <w:spacing w:line="240" w:lineRule="auto"/>
              <w:jc w:val="center"/>
              <w:rPr>
                <w:bCs/>
                <w:kern w:val="44"/>
                <w:sz w:val="21"/>
                <w:szCs w:val="44"/>
                <w14:ligatures w14:val="none"/>
              </w:rPr>
            </w:pPr>
          </w:p>
        </w:tc>
        <w:tc>
          <w:tcPr>
            <w:tcW w:w="296" w:type="pct"/>
            <w:vMerge w:val="continue"/>
            <w:vAlign w:val="center"/>
          </w:tcPr>
          <w:p w14:paraId="11DAC59D">
            <w:pPr>
              <w:widowControl/>
              <w:adjustRightInd w:val="0"/>
              <w:snapToGrid w:val="0"/>
              <w:spacing w:line="240" w:lineRule="auto"/>
              <w:jc w:val="center"/>
              <w:rPr>
                <w:bCs/>
                <w:kern w:val="44"/>
                <w:sz w:val="21"/>
                <w:szCs w:val="44"/>
                <w14:ligatures w14:val="none"/>
              </w:rPr>
            </w:pPr>
          </w:p>
        </w:tc>
        <w:tc>
          <w:tcPr>
            <w:tcW w:w="2775" w:type="pct"/>
            <w:vAlign w:val="center"/>
          </w:tcPr>
          <w:p w14:paraId="10DBE092">
            <w:pPr>
              <w:widowControl/>
              <w:adjustRightInd w:val="0"/>
              <w:snapToGrid w:val="0"/>
              <w:spacing w:line="240" w:lineRule="auto"/>
              <w:rPr>
                <w:bCs/>
                <w:kern w:val="44"/>
                <w:sz w:val="21"/>
                <w:szCs w:val="44"/>
                <w14:ligatures w14:val="none"/>
              </w:rPr>
            </w:pPr>
            <w:r>
              <w:rPr>
                <w:rFonts w:hint="eastAsia"/>
                <w:bCs/>
                <w:kern w:val="44"/>
                <w:sz w:val="21"/>
                <w:szCs w:val="44"/>
                <w14:ligatures w14:val="none"/>
              </w:rPr>
              <w:t>“十四五”期间严格限制可利用、可焚烧处置或可通过其他方式消除危险特性、可减容减量的危险废物、工业固体废物直接进入填埋场处置，最大限度减少填埋量</w:t>
            </w:r>
          </w:p>
        </w:tc>
        <w:tc>
          <w:tcPr>
            <w:tcW w:w="904" w:type="pct"/>
            <w:vAlign w:val="center"/>
          </w:tcPr>
          <w:p w14:paraId="5E42EDEB">
            <w:pPr>
              <w:widowControl/>
              <w:adjustRightInd w:val="0"/>
              <w:snapToGrid w:val="0"/>
              <w:spacing w:line="240" w:lineRule="auto"/>
              <w:rPr>
                <w:bCs/>
                <w:kern w:val="44"/>
                <w:sz w:val="21"/>
                <w:szCs w:val="44"/>
                <w14:ligatures w14:val="none"/>
              </w:rPr>
            </w:pPr>
            <w:r>
              <w:rPr>
                <w:rFonts w:hint="eastAsia"/>
                <w:bCs/>
                <w:kern w:val="44"/>
                <w:sz w:val="21"/>
                <w:szCs w:val="44"/>
                <w14:ligatures w14:val="none"/>
              </w:rPr>
              <w:t>本项目产生的危险废物委托有资质单位处置，不直接进入填埋场处置</w:t>
            </w:r>
          </w:p>
        </w:tc>
        <w:tc>
          <w:tcPr>
            <w:tcW w:w="309" w:type="pct"/>
            <w:vAlign w:val="center"/>
          </w:tcPr>
          <w:p w14:paraId="48AE4901">
            <w:pPr>
              <w:widowControl/>
              <w:adjustRightInd w:val="0"/>
              <w:snapToGrid w:val="0"/>
              <w:spacing w:line="240" w:lineRule="auto"/>
              <w:jc w:val="center"/>
              <w:rPr>
                <w:bCs/>
                <w:kern w:val="44"/>
                <w:sz w:val="21"/>
                <w:szCs w:val="44"/>
                <w14:ligatures w14:val="none"/>
              </w:rPr>
            </w:pPr>
            <w:r>
              <w:rPr>
                <w:rFonts w:hint="eastAsia"/>
                <w:bCs/>
                <w:kern w:val="44"/>
                <w:sz w:val="21"/>
                <w:szCs w:val="44"/>
                <w14:ligatures w14:val="none"/>
              </w:rPr>
              <w:t>符合</w:t>
            </w:r>
          </w:p>
        </w:tc>
      </w:tr>
      <w:tr w14:paraId="322DF7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174" w:type="pct"/>
            <w:vMerge w:val="continue"/>
            <w:vAlign w:val="center"/>
          </w:tcPr>
          <w:p w14:paraId="13139056">
            <w:pPr>
              <w:widowControl/>
              <w:adjustRightInd w:val="0"/>
              <w:snapToGrid w:val="0"/>
              <w:spacing w:line="240" w:lineRule="auto"/>
              <w:jc w:val="center"/>
              <w:rPr>
                <w:bCs/>
                <w:kern w:val="44"/>
                <w:sz w:val="21"/>
                <w:szCs w:val="44"/>
                <w14:ligatures w14:val="none"/>
              </w:rPr>
            </w:pPr>
          </w:p>
        </w:tc>
        <w:tc>
          <w:tcPr>
            <w:tcW w:w="174" w:type="pct"/>
            <w:vMerge w:val="continue"/>
            <w:vAlign w:val="center"/>
          </w:tcPr>
          <w:p w14:paraId="709501FD">
            <w:pPr>
              <w:widowControl/>
              <w:adjustRightInd w:val="0"/>
              <w:snapToGrid w:val="0"/>
              <w:spacing w:line="240" w:lineRule="auto"/>
              <w:jc w:val="center"/>
              <w:rPr>
                <w:bCs/>
                <w:kern w:val="44"/>
                <w:sz w:val="21"/>
                <w:szCs w:val="44"/>
                <w14:ligatures w14:val="none"/>
              </w:rPr>
            </w:pPr>
          </w:p>
        </w:tc>
        <w:tc>
          <w:tcPr>
            <w:tcW w:w="368" w:type="pct"/>
            <w:vMerge w:val="restart"/>
            <w:vAlign w:val="center"/>
          </w:tcPr>
          <w:p w14:paraId="1F7A4371">
            <w:pPr>
              <w:widowControl/>
              <w:adjustRightInd w:val="0"/>
              <w:snapToGrid w:val="0"/>
              <w:spacing w:line="240" w:lineRule="auto"/>
              <w:jc w:val="center"/>
              <w:rPr>
                <w:bCs/>
                <w:kern w:val="44"/>
                <w:sz w:val="21"/>
                <w:szCs w:val="44"/>
                <w14:ligatures w14:val="none"/>
              </w:rPr>
            </w:pPr>
            <w:r>
              <w:rPr>
                <w:bCs/>
                <w:kern w:val="44"/>
                <w:sz w:val="21"/>
                <w:szCs w:val="44"/>
                <w14:ligatures w14:val="none"/>
              </w:rPr>
              <w:t>不符合空间布局要求活动的退出要求</w:t>
            </w:r>
          </w:p>
        </w:tc>
        <w:tc>
          <w:tcPr>
            <w:tcW w:w="296" w:type="pct"/>
            <w:vMerge w:val="restart"/>
            <w:vAlign w:val="center"/>
          </w:tcPr>
          <w:p w14:paraId="307A1BB2">
            <w:pPr>
              <w:widowControl/>
              <w:adjustRightInd w:val="0"/>
              <w:snapToGrid w:val="0"/>
              <w:spacing w:line="240" w:lineRule="auto"/>
              <w:jc w:val="center"/>
              <w:rPr>
                <w:bCs/>
                <w:kern w:val="44"/>
                <w:sz w:val="21"/>
                <w:szCs w:val="44"/>
                <w14:ligatures w14:val="none"/>
              </w:rPr>
            </w:pPr>
            <w:r>
              <w:rPr>
                <w:bCs/>
                <w:kern w:val="44"/>
                <w:sz w:val="21"/>
                <w:szCs w:val="44"/>
                <w14:ligatures w14:val="none"/>
              </w:rPr>
              <w:t>蚌埠市-重点-空间布局-退出</w:t>
            </w:r>
          </w:p>
        </w:tc>
        <w:tc>
          <w:tcPr>
            <w:tcW w:w="2775" w:type="pct"/>
            <w:vAlign w:val="center"/>
          </w:tcPr>
          <w:p w14:paraId="578546BE">
            <w:pPr>
              <w:widowControl/>
              <w:adjustRightInd w:val="0"/>
              <w:snapToGrid w:val="0"/>
              <w:spacing w:line="240" w:lineRule="auto"/>
              <w:rPr>
                <w:bCs/>
                <w:kern w:val="44"/>
                <w:sz w:val="21"/>
                <w:szCs w:val="44"/>
                <w14:ligatures w14:val="none"/>
              </w:rPr>
            </w:pPr>
            <w:r>
              <w:rPr>
                <w:bCs/>
                <w:kern w:val="44"/>
                <w:sz w:val="21"/>
                <w:szCs w:val="44"/>
                <w14:ligatures w14:val="none"/>
              </w:rPr>
              <w:t>(1</w:t>
            </w:r>
            <w:r>
              <w:rPr>
                <w:rFonts w:hint="eastAsia" w:cs="Times New Roman"/>
                <w:sz w:val="21"/>
                <w:szCs w:val="21"/>
                <w14:ligatures w14:val="none"/>
              </w:rPr>
              <w:t>)</w:t>
            </w:r>
            <w:r>
              <w:rPr>
                <w:bCs/>
                <w:kern w:val="44"/>
                <w:sz w:val="21"/>
                <w:szCs w:val="44"/>
                <w14:ligatures w14:val="none"/>
              </w:rPr>
              <w:t>淮河干流及主要支流岸线1公里范围内的企业，依法依规必须搬迁的，全部搬入合规园区，厂区边界距岸线应大于1公里。(2</w:t>
            </w:r>
            <w:r>
              <w:rPr>
                <w:rFonts w:hint="eastAsia" w:cs="Times New Roman"/>
                <w:sz w:val="21"/>
                <w:szCs w:val="21"/>
                <w14:ligatures w14:val="none"/>
              </w:rPr>
              <w:t>)</w:t>
            </w:r>
            <w:r>
              <w:rPr>
                <w:bCs/>
                <w:kern w:val="44"/>
                <w:sz w:val="21"/>
                <w:szCs w:val="44"/>
                <w14:ligatures w14:val="none"/>
              </w:rPr>
              <w:t>淮河干线岸线5公里范围内的重化工企业，经评估认定，难以就地改造提标的，依法依规搬入合规园区。(3</w:t>
            </w:r>
            <w:r>
              <w:rPr>
                <w:rFonts w:hint="eastAsia" w:cs="Times New Roman"/>
                <w:sz w:val="21"/>
                <w:szCs w:val="21"/>
                <w14:ligatures w14:val="none"/>
              </w:rPr>
              <w:t>)</w:t>
            </w:r>
            <w:r>
              <w:rPr>
                <w:bCs/>
                <w:kern w:val="44"/>
                <w:sz w:val="21"/>
                <w:szCs w:val="44"/>
                <w14:ligatures w14:val="none"/>
              </w:rPr>
              <w:t>淮河干流岸线15公里范围内，新建工业项目原则上全部进园区</w:t>
            </w:r>
          </w:p>
        </w:tc>
        <w:tc>
          <w:tcPr>
            <w:tcW w:w="904" w:type="pct"/>
            <w:vAlign w:val="center"/>
          </w:tcPr>
          <w:p w14:paraId="2EF7C104">
            <w:pPr>
              <w:widowControl/>
              <w:adjustRightInd w:val="0"/>
              <w:snapToGrid w:val="0"/>
              <w:spacing w:line="240" w:lineRule="auto"/>
              <w:rPr>
                <w:bCs/>
                <w:kern w:val="44"/>
                <w:sz w:val="21"/>
                <w:szCs w:val="44"/>
                <w14:ligatures w14:val="none"/>
              </w:rPr>
            </w:pPr>
            <w:r>
              <w:rPr>
                <w:bCs/>
                <w:kern w:val="44"/>
                <w:sz w:val="21"/>
                <w:szCs w:val="44"/>
                <w14:ligatures w14:val="none"/>
              </w:rPr>
              <w:t>本项目厂区位于蚌埠精细化工高新技术产业基地，位于淮河流域。厂界不在淮河1公里范围内</w:t>
            </w:r>
          </w:p>
        </w:tc>
        <w:tc>
          <w:tcPr>
            <w:tcW w:w="309" w:type="pct"/>
            <w:vAlign w:val="center"/>
          </w:tcPr>
          <w:p w14:paraId="71B46FB2">
            <w:pPr>
              <w:widowControl/>
              <w:adjustRightInd w:val="0"/>
              <w:snapToGrid w:val="0"/>
              <w:spacing w:line="240" w:lineRule="auto"/>
              <w:jc w:val="center"/>
              <w:rPr>
                <w:bCs/>
                <w:kern w:val="44"/>
                <w:sz w:val="21"/>
                <w:szCs w:val="44"/>
                <w14:ligatures w14:val="none"/>
              </w:rPr>
            </w:pPr>
            <w:r>
              <w:rPr>
                <w:bCs/>
                <w:kern w:val="44"/>
                <w:sz w:val="21"/>
                <w:szCs w:val="44"/>
                <w14:ligatures w14:val="none"/>
              </w:rPr>
              <w:t>符合</w:t>
            </w:r>
          </w:p>
        </w:tc>
      </w:tr>
      <w:tr w14:paraId="6DEEB2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174" w:type="pct"/>
            <w:vMerge w:val="continue"/>
            <w:vAlign w:val="center"/>
          </w:tcPr>
          <w:p w14:paraId="28704866">
            <w:pPr>
              <w:widowControl/>
              <w:adjustRightInd w:val="0"/>
              <w:snapToGrid w:val="0"/>
              <w:spacing w:line="240" w:lineRule="auto"/>
              <w:jc w:val="center"/>
              <w:rPr>
                <w:bCs/>
                <w:kern w:val="44"/>
                <w:sz w:val="21"/>
                <w:szCs w:val="44"/>
                <w14:ligatures w14:val="none"/>
              </w:rPr>
            </w:pPr>
          </w:p>
        </w:tc>
        <w:tc>
          <w:tcPr>
            <w:tcW w:w="174" w:type="pct"/>
            <w:vMerge w:val="continue"/>
            <w:vAlign w:val="center"/>
          </w:tcPr>
          <w:p w14:paraId="76963CBB">
            <w:pPr>
              <w:widowControl/>
              <w:adjustRightInd w:val="0"/>
              <w:snapToGrid w:val="0"/>
              <w:spacing w:line="240" w:lineRule="auto"/>
              <w:jc w:val="center"/>
              <w:rPr>
                <w:bCs/>
                <w:kern w:val="44"/>
                <w:sz w:val="21"/>
                <w:szCs w:val="44"/>
                <w14:ligatures w14:val="none"/>
              </w:rPr>
            </w:pPr>
          </w:p>
        </w:tc>
        <w:tc>
          <w:tcPr>
            <w:tcW w:w="368" w:type="pct"/>
            <w:vMerge w:val="continue"/>
            <w:vAlign w:val="center"/>
          </w:tcPr>
          <w:p w14:paraId="7CA4BD4D">
            <w:pPr>
              <w:widowControl/>
              <w:adjustRightInd w:val="0"/>
              <w:snapToGrid w:val="0"/>
              <w:spacing w:line="240" w:lineRule="auto"/>
              <w:jc w:val="center"/>
              <w:rPr>
                <w:bCs/>
                <w:kern w:val="44"/>
                <w:sz w:val="21"/>
                <w:szCs w:val="44"/>
                <w14:ligatures w14:val="none"/>
              </w:rPr>
            </w:pPr>
          </w:p>
        </w:tc>
        <w:tc>
          <w:tcPr>
            <w:tcW w:w="296" w:type="pct"/>
            <w:vMerge w:val="continue"/>
            <w:vAlign w:val="center"/>
          </w:tcPr>
          <w:p w14:paraId="56FF3E6A">
            <w:pPr>
              <w:widowControl/>
              <w:adjustRightInd w:val="0"/>
              <w:snapToGrid w:val="0"/>
              <w:spacing w:line="240" w:lineRule="auto"/>
              <w:jc w:val="center"/>
              <w:rPr>
                <w:bCs/>
                <w:kern w:val="44"/>
                <w:sz w:val="21"/>
                <w:szCs w:val="44"/>
                <w14:ligatures w14:val="none"/>
              </w:rPr>
            </w:pPr>
          </w:p>
        </w:tc>
        <w:tc>
          <w:tcPr>
            <w:tcW w:w="2775" w:type="pct"/>
            <w:vAlign w:val="center"/>
          </w:tcPr>
          <w:p w14:paraId="190A43B3">
            <w:pPr>
              <w:widowControl/>
              <w:adjustRightInd w:val="0"/>
              <w:snapToGrid w:val="0"/>
              <w:spacing w:line="240" w:lineRule="auto"/>
              <w:rPr>
                <w:bCs/>
                <w:kern w:val="44"/>
                <w:sz w:val="21"/>
                <w:szCs w:val="44"/>
                <w14:ligatures w14:val="none"/>
              </w:rPr>
            </w:pPr>
            <w:r>
              <w:rPr>
                <w:rFonts w:hint="eastAsia"/>
                <w:bCs/>
                <w:kern w:val="44"/>
                <w:sz w:val="21"/>
                <w:szCs w:val="44"/>
                <w14:ligatures w14:val="none"/>
              </w:rPr>
              <w:t>严格执行国家产业政策，提高“亩均效益”，依法依规淘汰落后产能和化解过剩产能</w:t>
            </w:r>
          </w:p>
        </w:tc>
        <w:tc>
          <w:tcPr>
            <w:tcW w:w="904" w:type="pct"/>
            <w:vAlign w:val="center"/>
          </w:tcPr>
          <w:p w14:paraId="39D3DFAD">
            <w:pPr>
              <w:widowControl/>
              <w:adjustRightInd w:val="0"/>
              <w:snapToGrid w:val="0"/>
              <w:spacing w:line="240" w:lineRule="auto"/>
              <w:rPr>
                <w:bCs/>
                <w:kern w:val="44"/>
                <w:sz w:val="21"/>
                <w:szCs w:val="44"/>
                <w14:ligatures w14:val="none"/>
              </w:rPr>
            </w:pPr>
            <w:r>
              <w:rPr>
                <w:rFonts w:hint="eastAsia"/>
                <w:bCs/>
                <w:kern w:val="44"/>
                <w:sz w:val="21"/>
                <w:szCs w:val="44"/>
                <w14:ligatures w14:val="none"/>
              </w:rPr>
              <w:t>本项目不属于落后产能和过剩产能项目。项目的建设符合国家产业政策要求</w:t>
            </w:r>
          </w:p>
        </w:tc>
        <w:tc>
          <w:tcPr>
            <w:tcW w:w="309" w:type="pct"/>
            <w:vAlign w:val="center"/>
          </w:tcPr>
          <w:p w14:paraId="1038CBCA">
            <w:pPr>
              <w:widowControl/>
              <w:adjustRightInd w:val="0"/>
              <w:snapToGrid w:val="0"/>
              <w:spacing w:line="240" w:lineRule="auto"/>
              <w:jc w:val="center"/>
              <w:rPr>
                <w:bCs/>
                <w:kern w:val="44"/>
                <w:sz w:val="21"/>
                <w:szCs w:val="44"/>
                <w14:ligatures w14:val="none"/>
              </w:rPr>
            </w:pPr>
            <w:r>
              <w:rPr>
                <w:bCs/>
                <w:kern w:val="44"/>
                <w:sz w:val="21"/>
                <w:szCs w:val="44"/>
                <w14:ligatures w14:val="none"/>
              </w:rPr>
              <w:t>符合</w:t>
            </w:r>
          </w:p>
        </w:tc>
      </w:tr>
      <w:tr w14:paraId="1FAEB0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174" w:type="pct"/>
            <w:vMerge w:val="continue"/>
            <w:vAlign w:val="center"/>
          </w:tcPr>
          <w:p w14:paraId="79556CFF">
            <w:pPr>
              <w:widowControl/>
              <w:adjustRightInd w:val="0"/>
              <w:snapToGrid w:val="0"/>
              <w:spacing w:line="240" w:lineRule="auto"/>
              <w:jc w:val="center"/>
              <w:rPr>
                <w:bCs/>
                <w:kern w:val="44"/>
                <w:sz w:val="21"/>
                <w:szCs w:val="44"/>
                <w14:ligatures w14:val="none"/>
              </w:rPr>
            </w:pPr>
          </w:p>
        </w:tc>
        <w:tc>
          <w:tcPr>
            <w:tcW w:w="174" w:type="pct"/>
            <w:vMerge w:val="continue"/>
            <w:vAlign w:val="center"/>
          </w:tcPr>
          <w:p w14:paraId="5D4371CA">
            <w:pPr>
              <w:widowControl/>
              <w:adjustRightInd w:val="0"/>
              <w:snapToGrid w:val="0"/>
              <w:spacing w:line="240" w:lineRule="auto"/>
              <w:jc w:val="center"/>
              <w:rPr>
                <w:bCs/>
                <w:kern w:val="44"/>
                <w:sz w:val="21"/>
                <w:szCs w:val="44"/>
                <w14:ligatures w14:val="none"/>
              </w:rPr>
            </w:pPr>
          </w:p>
        </w:tc>
        <w:tc>
          <w:tcPr>
            <w:tcW w:w="368" w:type="pct"/>
            <w:vMerge w:val="continue"/>
            <w:vAlign w:val="center"/>
          </w:tcPr>
          <w:p w14:paraId="7F7135A9">
            <w:pPr>
              <w:widowControl/>
              <w:adjustRightInd w:val="0"/>
              <w:snapToGrid w:val="0"/>
              <w:spacing w:line="240" w:lineRule="auto"/>
              <w:jc w:val="center"/>
              <w:rPr>
                <w:bCs/>
                <w:kern w:val="44"/>
                <w:sz w:val="21"/>
                <w:szCs w:val="44"/>
                <w14:ligatures w14:val="none"/>
              </w:rPr>
            </w:pPr>
          </w:p>
        </w:tc>
        <w:tc>
          <w:tcPr>
            <w:tcW w:w="296" w:type="pct"/>
            <w:vMerge w:val="continue"/>
            <w:vAlign w:val="center"/>
          </w:tcPr>
          <w:p w14:paraId="35248816">
            <w:pPr>
              <w:widowControl/>
              <w:adjustRightInd w:val="0"/>
              <w:snapToGrid w:val="0"/>
              <w:spacing w:line="240" w:lineRule="auto"/>
              <w:jc w:val="center"/>
              <w:rPr>
                <w:bCs/>
                <w:kern w:val="44"/>
                <w:sz w:val="21"/>
                <w:szCs w:val="44"/>
                <w14:ligatures w14:val="none"/>
              </w:rPr>
            </w:pPr>
          </w:p>
        </w:tc>
        <w:tc>
          <w:tcPr>
            <w:tcW w:w="2775" w:type="pct"/>
            <w:vAlign w:val="center"/>
          </w:tcPr>
          <w:p w14:paraId="558578DA">
            <w:pPr>
              <w:widowControl/>
              <w:adjustRightInd w:val="0"/>
              <w:snapToGrid w:val="0"/>
              <w:spacing w:line="240" w:lineRule="auto"/>
              <w:jc w:val="center"/>
              <w:rPr>
                <w:bCs/>
                <w:kern w:val="44"/>
                <w:sz w:val="21"/>
                <w:szCs w:val="44"/>
                <w14:ligatures w14:val="none"/>
              </w:rPr>
            </w:pPr>
            <w:r>
              <w:rPr>
                <w:rFonts w:hint="eastAsia"/>
                <w:bCs/>
                <w:kern w:val="44"/>
                <w:sz w:val="21"/>
                <w:szCs w:val="44"/>
                <w14:ligatures w14:val="none"/>
              </w:rPr>
              <w:t>持续开展“散乱污”整治，确保“散乱污”企业动态清零</w:t>
            </w:r>
          </w:p>
        </w:tc>
        <w:tc>
          <w:tcPr>
            <w:tcW w:w="904" w:type="pct"/>
            <w:vAlign w:val="center"/>
          </w:tcPr>
          <w:p w14:paraId="7C7A1A42">
            <w:pPr>
              <w:widowControl/>
              <w:adjustRightInd w:val="0"/>
              <w:snapToGrid w:val="0"/>
              <w:spacing w:line="240" w:lineRule="auto"/>
              <w:rPr>
                <w:bCs/>
                <w:kern w:val="44"/>
                <w:sz w:val="21"/>
                <w:szCs w:val="44"/>
                <w14:ligatures w14:val="none"/>
              </w:rPr>
            </w:pPr>
            <w:r>
              <w:rPr>
                <w:rFonts w:hint="eastAsia"/>
                <w:bCs/>
                <w:kern w:val="44"/>
                <w:sz w:val="21"/>
                <w:szCs w:val="44"/>
                <w14:ligatures w14:val="none"/>
              </w:rPr>
              <w:t>项目不属于“散乱污”企业</w:t>
            </w:r>
          </w:p>
        </w:tc>
        <w:tc>
          <w:tcPr>
            <w:tcW w:w="309" w:type="pct"/>
            <w:vAlign w:val="center"/>
          </w:tcPr>
          <w:p w14:paraId="734E58B9">
            <w:pPr>
              <w:widowControl/>
              <w:adjustRightInd w:val="0"/>
              <w:snapToGrid w:val="0"/>
              <w:spacing w:line="240" w:lineRule="auto"/>
              <w:jc w:val="center"/>
              <w:rPr>
                <w:bCs/>
                <w:kern w:val="44"/>
                <w:sz w:val="21"/>
                <w:szCs w:val="44"/>
                <w14:ligatures w14:val="none"/>
              </w:rPr>
            </w:pPr>
            <w:r>
              <w:rPr>
                <w:rFonts w:hint="eastAsia"/>
                <w:bCs/>
                <w:kern w:val="44"/>
                <w:sz w:val="21"/>
                <w:szCs w:val="44"/>
                <w14:ligatures w14:val="none"/>
              </w:rPr>
              <w:t>不涉及</w:t>
            </w:r>
          </w:p>
        </w:tc>
      </w:tr>
      <w:tr w14:paraId="39A174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174" w:type="pct"/>
            <w:vMerge w:val="continue"/>
            <w:vAlign w:val="center"/>
          </w:tcPr>
          <w:p w14:paraId="0BA51D39">
            <w:pPr>
              <w:widowControl/>
              <w:adjustRightInd w:val="0"/>
              <w:snapToGrid w:val="0"/>
              <w:spacing w:line="240" w:lineRule="auto"/>
              <w:jc w:val="center"/>
              <w:rPr>
                <w:bCs/>
                <w:kern w:val="44"/>
                <w:sz w:val="21"/>
                <w:szCs w:val="44"/>
                <w14:ligatures w14:val="none"/>
              </w:rPr>
            </w:pPr>
          </w:p>
        </w:tc>
        <w:tc>
          <w:tcPr>
            <w:tcW w:w="174" w:type="pct"/>
            <w:vMerge w:val="continue"/>
            <w:vAlign w:val="center"/>
          </w:tcPr>
          <w:p w14:paraId="585ECB27">
            <w:pPr>
              <w:widowControl/>
              <w:adjustRightInd w:val="0"/>
              <w:snapToGrid w:val="0"/>
              <w:spacing w:line="240" w:lineRule="auto"/>
              <w:jc w:val="center"/>
              <w:rPr>
                <w:bCs/>
                <w:kern w:val="44"/>
                <w:sz w:val="21"/>
                <w:szCs w:val="44"/>
                <w14:ligatures w14:val="none"/>
              </w:rPr>
            </w:pPr>
          </w:p>
        </w:tc>
        <w:tc>
          <w:tcPr>
            <w:tcW w:w="368" w:type="pct"/>
            <w:vMerge w:val="continue"/>
            <w:vAlign w:val="center"/>
          </w:tcPr>
          <w:p w14:paraId="47A480E4">
            <w:pPr>
              <w:widowControl/>
              <w:adjustRightInd w:val="0"/>
              <w:snapToGrid w:val="0"/>
              <w:spacing w:line="240" w:lineRule="auto"/>
              <w:jc w:val="center"/>
              <w:rPr>
                <w:bCs/>
                <w:kern w:val="44"/>
                <w:sz w:val="21"/>
                <w:szCs w:val="44"/>
                <w14:ligatures w14:val="none"/>
              </w:rPr>
            </w:pPr>
          </w:p>
        </w:tc>
        <w:tc>
          <w:tcPr>
            <w:tcW w:w="296" w:type="pct"/>
            <w:vMerge w:val="continue"/>
            <w:vAlign w:val="center"/>
          </w:tcPr>
          <w:p w14:paraId="0CF18FFC">
            <w:pPr>
              <w:widowControl/>
              <w:adjustRightInd w:val="0"/>
              <w:snapToGrid w:val="0"/>
              <w:spacing w:line="240" w:lineRule="auto"/>
              <w:jc w:val="center"/>
              <w:rPr>
                <w:bCs/>
                <w:kern w:val="44"/>
                <w:sz w:val="21"/>
                <w:szCs w:val="44"/>
                <w14:ligatures w14:val="none"/>
              </w:rPr>
            </w:pPr>
          </w:p>
        </w:tc>
        <w:tc>
          <w:tcPr>
            <w:tcW w:w="2775" w:type="pct"/>
            <w:vAlign w:val="center"/>
          </w:tcPr>
          <w:p w14:paraId="2A2D7244">
            <w:pPr>
              <w:widowControl/>
              <w:adjustRightInd w:val="0"/>
              <w:snapToGrid w:val="0"/>
              <w:spacing w:line="240" w:lineRule="auto"/>
              <w:rPr>
                <w:bCs/>
                <w:kern w:val="44"/>
                <w:sz w:val="21"/>
                <w:szCs w:val="44"/>
                <w14:ligatures w14:val="none"/>
              </w:rPr>
            </w:pPr>
            <w:r>
              <w:rPr>
                <w:rFonts w:hint="eastAsia"/>
                <w:bCs/>
                <w:kern w:val="44"/>
                <w:sz w:val="21"/>
                <w:szCs w:val="44"/>
                <w14:ligatures w14:val="none"/>
              </w:rPr>
              <w:t>持续推进重点化工企业退市进园和城区老工业区搬迁改造，加快推进老虎山油库、八一化工、天润化工、富博化工等企业搬迁。大力实施城市留白裸地增绿工程，在城市功能疏解、更新和调整中，将腾退空间用于留白增绿。建设城市绿道绿廊，大力提高城市建成区绿化覆盖率</w:t>
            </w:r>
          </w:p>
        </w:tc>
        <w:tc>
          <w:tcPr>
            <w:tcW w:w="904" w:type="pct"/>
            <w:vAlign w:val="center"/>
          </w:tcPr>
          <w:p w14:paraId="2C856BA1">
            <w:pPr>
              <w:widowControl/>
              <w:adjustRightInd w:val="0"/>
              <w:snapToGrid w:val="0"/>
              <w:spacing w:line="240" w:lineRule="auto"/>
              <w:rPr>
                <w:bCs/>
                <w:kern w:val="44"/>
                <w:sz w:val="21"/>
                <w:szCs w:val="44"/>
                <w14:ligatures w14:val="none"/>
              </w:rPr>
            </w:pPr>
            <w:r>
              <w:rPr>
                <w:rFonts w:hint="eastAsia"/>
                <w:bCs/>
                <w:kern w:val="44"/>
                <w:sz w:val="21"/>
                <w:szCs w:val="44"/>
                <w14:ligatures w14:val="none"/>
              </w:rPr>
              <w:t>本项目位于</w:t>
            </w:r>
            <w:r>
              <w:rPr>
                <w:bCs/>
                <w:kern w:val="44"/>
                <w:sz w:val="21"/>
                <w:szCs w:val="44"/>
                <w14:ligatures w14:val="none"/>
              </w:rPr>
              <w:t>蚌埠精细化工高新技术产业基地，园区属于化工园区</w:t>
            </w:r>
          </w:p>
        </w:tc>
        <w:tc>
          <w:tcPr>
            <w:tcW w:w="309" w:type="pct"/>
            <w:vAlign w:val="center"/>
          </w:tcPr>
          <w:p w14:paraId="157EB990">
            <w:pPr>
              <w:widowControl/>
              <w:adjustRightInd w:val="0"/>
              <w:snapToGrid w:val="0"/>
              <w:spacing w:line="240" w:lineRule="auto"/>
              <w:jc w:val="center"/>
              <w:rPr>
                <w:bCs/>
                <w:kern w:val="44"/>
                <w:sz w:val="21"/>
                <w:szCs w:val="44"/>
                <w14:ligatures w14:val="none"/>
              </w:rPr>
            </w:pPr>
            <w:r>
              <w:rPr>
                <w:bCs/>
                <w:kern w:val="44"/>
                <w:sz w:val="21"/>
                <w:szCs w:val="44"/>
                <w14:ligatures w14:val="none"/>
              </w:rPr>
              <w:t>符合</w:t>
            </w:r>
          </w:p>
        </w:tc>
      </w:tr>
      <w:tr w14:paraId="19D83F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174" w:type="pct"/>
            <w:vMerge w:val="continue"/>
            <w:vAlign w:val="center"/>
          </w:tcPr>
          <w:p w14:paraId="01ECD231">
            <w:pPr>
              <w:widowControl/>
              <w:adjustRightInd w:val="0"/>
              <w:snapToGrid w:val="0"/>
              <w:spacing w:line="240" w:lineRule="auto"/>
              <w:jc w:val="center"/>
              <w:rPr>
                <w:bCs/>
                <w:kern w:val="44"/>
                <w:sz w:val="21"/>
                <w:szCs w:val="44"/>
                <w14:ligatures w14:val="none"/>
              </w:rPr>
            </w:pPr>
          </w:p>
        </w:tc>
        <w:tc>
          <w:tcPr>
            <w:tcW w:w="174" w:type="pct"/>
            <w:vMerge w:val="restart"/>
            <w:textDirection w:val="tbRlV"/>
            <w:vAlign w:val="center"/>
          </w:tcPr>
          <w:p w14:paraId="75484444">
            <w:pPr>
              <w:widowControl/>
              <w:adjustRightInd w:val="0"/>
              <w:snapToGrid w:val="0"/>
              <w:spacing w:line="240" w:lineRule="auto"/>
              <w:jc w:val="center"/>
              <w:rPr>
                <w:bCs/>
                <w:kern w:val="44"/>
                <w:sz w:val="21"/>
                <w:szCs w:val="44"/>
                <w14:ligatures w14:val="none"/>
              </w:rPr>
            </w:pPr>
            <w:r>
              <w:rPr>
                <w:bCs/>
                <w:kern w:val="44"/>
                <w:sz w:val="21"/>
                <w:szCs w:val="44"/>
                <w14:ligatures w14:val="none"/>
              </w:rPr>
              <w:t>污染物排放管控</w:t>
            </w:r>
          </w:p>
        </w:tc>
        <w:tc>
          <w:tcPr>
            <w:tcW w:w="368" w:type="pct"/>
            <w:vMerge w:val="restart"/>
            <w:vAlign w:val="center"/>
          </w:tcPr>
          <w:p w14:paraId="706FD3D2">
            <w:pPr>
              <w:widowControl/>
              <w:adjustRightInd w:val="0"/>
              <w:snapToGrid w:val="0"/>
              <w:spacing w:line="240" w:lineRule="auto"/>
              <w:jc w:val="center"/>
              <w:rPr>
                <w:bCs/>
                <w:kern w:val="44"/>
                <w:sz w:val="21"/>
                <w:szCs w:val="44"/>
                <w14:ligatures w14:val="none"/>
              </w:rPr>
            </w:pPr>
            <w:r>
              <w:rPr>
                <w:bCs/>
                <w:kern w:val="44"/>
                <w:sz w:val="21"/>
                <w:szCs w:val="44"/>
                <w14:ligatures w14:val="none"/>
              </w:rPr>
              <w:t>允许排放量要求</w:t>
            </w:r>
          </w:p>
        </w:tc>
        <w:tc>
          <w:tcPr>
            <w:tcW w:w="296" w:type="pct"/>
            <w:vMerge w:val="restart"/>
            <w:vAlign w:val="center"/>
          </w:tcPr>
          <w:p w14:paraId="0D1E1E72">
            <w:pPr>
              <w:widowControl/>
              <w:adjustRightInd w:val="0"/>
              <w:snapToGrid w:val="0"/>
              <w:spacing w:line="240" w:lineRule="auto"/>
              <w:jc w:val="center"/>
              <w:rPr>
                <w:bCs/>
                <w:kern w:val="44"/>
                <w:sz w:val="21"/>
                <w:szCs w:val="44"/>
                <w14:ligatures w14:val="none"/>
              </w:rPr>
            </w:pPr>
            <w:r>
              <w:rPr>
                <w:bCs/>
                <w:kern w:val="44"/>
                <w:sz w:val="21"/>
                <w:szCs w:val="44"/>
                <w14:ligatures w14:val="none"/>
              </w:rPr>
              <w:t>蚌埠市-重点-排污-允许排放量</w:t>
            </w:r>
          </w:p>
        </w:tc>
        <w:tc>
          <w:tcPr>
            <w:tcW w:w="2775" w:type="pct"/>
            <w:vAlign w:val="center"/>
          </w:tcPr>
          <w:p w14:paraId="5782B854">
            <w:pPr>
              <w:widowControl/>
              <w:adjustRightInd w:val="0"/>
              <w:snapToGrid w:val="0"/>
              <w:spacing w:line="240" w:lineRule="auto"/>
              <w:rPr>
                <w:bCs/>
                <w:kern w:val="44"/>
                <w:sz w:val="21"/>
                <w:szCs w:val="44"/>
                <w14:ligatures w14:val="none"/>
              </w:rPr>
            </w:pPr>
            <w:r>
              <w:rPr>
                <w:rFonts w:hint="eastAsia"/>
                <w:bCs/>
                <w:kern w:val="44"/>
                <w:sz w:val="21"/>
                <w:szCs w:val="44"/>
                <w14:ligatures w14:val="none"/>
              </w:rPr>
              <w:t>打好臭氧污染防治攻坚战。以化工、涂装、医药、包装印刷、油品储运销等行业领域为重点，安全高效推进挥发性有机物综合治理，实施原辅材料和产品源头替代工程。推动水泥、玻璃等行业超低排放改造，实现燃煤机组、燃煤锅炉超低排放。到2025年，氮氧化物、挥发性有机物重点工程减排量分别达到5699吨、2041吨</w:t>
            </w:r>
          </w:p>
        </w:tc>
        <w:tc>
          <w:tcPr>
            <w:tcW w:w="904" w:type="pct"/>
            <w:vAlign w:val="center"/>
          </w:tcPr>
          <w:p w14:paraId="4CE66234">
            <w:pPr>
              <w:widowControl/>
              <w:adjustRightInd w:val="0"/>
              <w:snapToGrid w:val="0"/>
              <w:spacing w:line="240" w:lineRule="auto"/>
              <w:rPr>
                <w:bCs/>
                <w:kern w:val="44"/>
                <w:sz w:val="21"/>
                <w:szCs w:val="44"/>
                <w14:ligatures w14:val="none"/>
              </w:rPr>
            </w:pPr>
            <w:r>
              <w:rPr>
                <w:bCs/>
                <w:kern w:val="44"/>
                <w:sz w:val="21"/>
                <w:szCs w:val="44"/>
                <w14:ligatures w14:val="none"/>
              </w:rPr>
              <w:t>项目</w:t>
            </w:r>
            <w:r>
              <w:rPr>
                <w:rFonts w:hint="eastAsia"/>
                <w:bCs/>
                <w:kern w:val="44"/>
                <w:sz w:val="21"/>
                <w:szCs w:val="44"/>
                <w14:ligatures w14:val="none"/>
              </w:rPr>
              <w:t>实施后与现有工程相比较，废气排放量减少</w:t>
            </w:r>
          </w:p>
        </w:tc>
        <w:tc>
          <w:tcPr>
            <w:tcW w:w="309" w:type="pct"/>
            <w:vAlign w:val="center"/>
          </w:tcPr>
          <w:p w14:paraId="3D52501D">
            <w:pPr>
              <w:widowControl/>
              <w:adjustRightInd w:val="0"/>
              <w:snapToGrid w:val="0"/>
              <w:spacing w:line="240" w:lineRule="auto"/>
              <w:jc w:val="center"/>
              <w:rPr>
                <w:bCs/>
                <w:kern w:val="44"/>
                <w:sz w:val="21"/>
                <w:szCs w:val="44"/>
                <w14:ligatures w14:val="none"/>
              </w:rPr>
            </w:pPr>
            <w:r>
              <w:rPr>
                <w:bCs/>
                <w:kern w:val="44"/>
                <w:sz w:val="21"/>
                <w:szCs w:val="44"/>
                <w14:ligatures w14:val="none"/>
              </w:rPr>
              <w:t>符合</w:t>
            </w:r>
          </w:p>
        </w:tc>
      </w:tr>
      <w:tr w14:paraId="55004C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174" w:type="pct"/>
            <w:vMerge w:val="continue"/>
            <w:vAlign w:val="center"/>
          </w:tcPr>
          <w:p w14:paraId="180CD356">
            <w:pPr>
              <w:widowControl/>
              <w:adjustRightInd w:val="0"/>
              <w:snapToGrid w:val="0"/>
              <w:spacing w:line="240" w:lineRule="auto"/>
              <w:jc w:val="center"/>
              <w:rPr>
                <w:bCs/>
                <w:kern w:val="44"/>
                <w:sz w:val="21"/>
                <w:szCs w:val="44"/>
                <w14:ligatures w14:val="none"/>
              </w:rPr>
            </w:pPr>
          </w:p>
        </w:tc>
        <w:tc>
          <w:tcPr>
            <w:tcW w:w="174" w:type="pct"/>
            <w:vMerge w:val="continue"/>
            <w:textDirection w:val="tbRlV"/>
            <w:vAlign w:val="center"/>
          </w:tcPr>
          <w:p w14:paraId="3F143C4B">
            <w:pPr>
              <w:widowControl/>
              <w:adjustRightInd w:val="0"/>
              <w:snapToGrid w:val="0"/>
              <w:spacing w:line="240" w:lineRule="auto"/>
              <w:jc w:val="center"/>
              <w:rPr>
                <w:bCs/>
                <w:kern w:val="44"/>
                <w:sz w:val="21"/>
                <w:szCs w:val="44"/>
                <w14:ligatures w14:val="none"/>
              </w:rPr>
            </w:pPr>
          </w:p>
        </w:tc>
        <w:tc>
          <w:tcPr>
            <w:tcW w:w="368" w:type="pct"/>
            <w:vMerge w:val="continue"/>
            <w:vAlign w:val="center"/>
          </w:tcPr>
          <w:p w14:paraId="0659EFFA">
            <w:pPr>
              <w:widowControl/>
              <w:adjustRightInd w:val="0"/>
              <w:snapToGrid w:val="0"/>
              <w:spacing w:line="240" w:lineRule="auto"/>
              <w:jc w:val="center"/>
              <w:rPr>
                <w:bCs/>
                <w:kern w:val="44"/>
                <w:sz w:val="21"/>
                <w:szCs w:val="44"/>
                <w14:ligatures w14:val="none"/>
              </w:rPr>
            </w:pPr>
          </w:p>
        </w:tc>
        <w:tc>
          <w:tcPr>
            <w:tcW w:w="296" w:type="pct"/>
            <w:vMerge w:val="continue"/>
            <w:vAlign w:val="center"/>
          </w:tcPr>
          <w:p w14:paraId="4357FE6C">
            <w:pPr>
              <w:widowControl/>
              <w:adjustRightInd w:val="0"/>
              <w:snapToGrid w:val="0"/>
              <w:spacing w:line="240" w:lineRule="auto"/>
              <w:jc w:val="center"/>
              <w:rPr>
                <w:bCs/>
                <w:kern w:val="44"/>
                <w:sz w:val="21"/>
                <w:szCs w:val="44"/>
                <w14:ligatures w14:val="none"/>
              </w:rPr>
            </w:pPr>
          </w:p>
        </w:tc>
        <w:tc>
          <w:tcPr>
            <w:tcW w:w="2775" w:type="pct"/>
            <w:vAlign w:val="center"/>
          </w:tcPr>
          <w:p w14:paraId="21C83C58">
            <w:pPr>
              <w:widowControl/>
              <w:adjustRightInd w:val="0"/>
              <w:snapToGrid w:val="0"/>
              <w:spacing w:line="240" w:lineRule="auto"/>
              <w:rPr>
                <w:bCs/>
                <w:kern w:val="44"/>
                <w:sz w:val="21"/>
                <w:szCs w:val="44"/>
                <w14:ligatures w14:val="none"/>
              </w:rPr>
            </w:pPr>
            <w:r>
              <w:rPr>
                <w:rFonts w:hint="eastAsia"/>
                <w:bCs/>
                <w:kern w:val="44"/>
                <w:sz w:val="21"/>
                <w:szCs w:val="44"/>
                <w14:ligatures w14:val="none"/>
              </w:rPr>
              <w:t>到2025年，基本完成全市入河排污口整治，建成3条省级美丽河湖，化学需氧量、氨氮重点工程减排量分别达到7793吨、346吨</w:t>
            </w:r>
          </w:p>
        </w:tc>
        <w:tc>
          <w:tcPr>
            <w:tcW w:w="904" w:type="pct"/>
            <w:vAlign w:val="center"/>
          </w:tcPr>
          <w:p w14:paraId="19BFBDE9">
            <w:pPr>
              <w:widowControl/>
              <w:adjustRightInd w:val="0"/>
              <w:snapToGrid w:val="0"/>
              <w:spacing w:line="240" w:lineRule="auto"/>
              <w:rPr>
                <w:bCs/>
                <w:kern w:val="44"/>
                <w:sz w:val="21"/>
                <w:szCs w:val="44"/>
                <w14:ligatures w14:val="none"/>
              </w:rPr>
            </w:pPr>
            <w:r>
              <w:rPr>
                <w:rFonts w:hint="eastAsia"/>
                <w:bCs/>
                <w:kern w:val="44"/>
                <w:sz w:val="21"/>
                <w:szCs w:val="44"/>
                <w14:ligatures w14:val="none"/>
              </w:rPr>
              <w:t>项目实施后全厂废水排放量减少</w:t>
            </w:r>
          </w:p>
        </w:tc>
        <w:tc>
          <w:tcPr>
            <w:tcW w:w="309" w:type="pct"/>
            <w:vAlign w:val="center"/>
          </w:tcPr>
          <w:p w14:paraId="6BE54120">
            <w:pPr>
              <w:widowControl/>
              <w:adjustRightInd w:val="0"/>
              <w:snapToGrid w:val="0"/>
              <w:spacing w:line="240" w:lineRule="auto"/>
              <w:jc w:val="center"/>
              <w:rPr>
                <w:bCs/>
                <w:kern w:val="44"/>
                <w:sz w:val="21"/>
                <w:szCs w:val="44"/>
                <w14:ligatures w14:val="none"/>
              </w:rPr>
            </w:pPr>
            <w:r>
              <w:rPr>
                <w:bCs/>
                <w:kern w:val="44"/>
                <w:sz w:val="21"/>
                <w:szCs w:val="44"/>
                <w14:ligatures w14:val="none"/>
              </w:rPr>
              <w:t>符合</w:t>
            </w:r>
          </w:p>
        </w:tc>
      </w:tr>
      <w:tr w14:paraId="2D50EA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174" w:type="pct"/>
            <w:vMerge w:val="continue"/>
            <w:vAlign w:val="center"/>
          </w:tcPr>
          <w:p w14:paraId="077B301D">
            <w:pPr>
              <w:widowControl/>
              <w:adjustRightInd w:val="0"/>
              <w:snapToGrid w:val="0"/>
              <w:spacing w:line="240" w:lineRule="auto"/>
              <w:jc w:val="center"/>
              <w:rPr>
                <w:bCs/>
                <w:kern w:val="44"/>
                <w:sz w:val="21"/>
                <w:szCs w:val="44"/>
                <w14:ligatures w14:val="none"/>
              </w:rPr>
            </w:pPr>
          </w:p>
        </w:tc>
        <w:tc>
          <w:tcPr>
            <w:tcW w:w="174" w:type="pct"/>
            <w:vMerge w:val="continue"/>
            <w:textDirection w:val="tbRlV"/>
            <w:vAlign w:val="center"/>
          </w:tcPr>
          <w:p w14:paraId="1BF186BA">
            <w:pPr>
              <w:widowControl/>
              <w:adjustRightInd w:val="0"/>
              <w:snapToGrid w:val="0"/>
              <w:spacing w:line="240" w:lineRule="auto"/>
              <w:jc w:val="center"/>
              <w:rPr>
                <w:bCs/>
                <w:kern w:val="44"/>
                <w:sz w:val="21"/>
                <w:szCs w:val="44"/>
                <w14:ligatures w14:val="none"/>
              </w:rPr>
            </w:pPr>
          </w:p>
        </w:tc>
        <w:tc>
          <w:tcPr>
            <w:tcW w:w="368" w:type="pct"/>
            <w:vAlign w:val="center"/>
          </w:tcPr>
          <w:p w14:paraId="1BCA5E45">
            <w:pPr>
              <w:widowControl/>
              <w:adjustRightInd w:val="0"/>
              <w:snapToGrid w:val="0"/>
              <w:spacing w:line="240" w:lineRule="auto"/>
              <w:jc w:val="center"/>
              <w:rPr>
                <w:bCs/>
                <w:kern w:val="44"/>
                <w:sz w:val="21"/>
                <w:szCs w:val="44"/>
                <w14:ligatures w14:val="none"/>
              </w:rPr>
            </w:pPr>
            <w:r>
              <w:rPr>
                <w:bCs/>
                <w:kern w:val="44"/>
                <w:sz w:val="21"/>
                <w:szCs w:val="44"/>
                <w14:ligatures w14:val="none"/>
              </w:rPr>
              <w:t>区域大气污染物削减/替代要求</w:t>
            </w:r>
          </w:p>
        </w:tc>
        <w:tc>
          <w:tcPr>
            <w:tcW w:w="296" w:type="pct"/>
            <w:vAlign w:val="center"/>
          </w:tcPr>
          <w:p w14:paraId="3D8F4898">
            <w:pPr>
              <w:widowControl/>
              <w:adjustRightInd w:val="0"/>
              <w:snapToGrid w:val="0"/>
              <w:spacing w:line="240" w:lineRule="auto"/>
              <w:jc w:val="center"/>
              <w:rPr>
                <w:bCs/>
                <w:kern w:val="44"/>
                <w:sz w:val="21"/>
                <w:szCs w:val="44"/>
                <w14:ligatures w14:val="none"/>
              </w:rPr>
            </w:pPr>
            <w:r>
              <w:rPr>
                <w:bCs/>
                <w:kern w:val="44"/>
                <w:sz w:val="21"/>
                <w:szCs w:val="44"/>
                <w14:ligatures w14:val="none"/>
              </w:rPr>
              <w:t>蚌埠市-重点-排污-替代</w:t>
            </w:r>
          </w:p>
        </w:tc>
        <w:tc>
          <w:tcPr>
            <w:tcW w:w="2775" w:type="pct"/>
            <w:vAlign w:val="center"/>
          </w:tcPr>
          <w:p w14:paraId="3CE0CCA8">
            <w:pPr>
              <w:widowControl/>
              <w:adjustRightInd w:val="0"/>
              <w:snapToGrid w:val="0"/>
              <w:spacing w:line="240" w:lineRule="auto"/>
              <w:rPr>
                <w:bCs/>
                <w:kern w:val="44"/>
                <w:sz w:val="21"/>
                <w:szCs w:val="44"/>
                <w14:ligatures w14:val="none"/>
              </w:rPr>
            </w:pPr>
            <w:r>
              <w:rPr>
                <w:bCs/>
                <w:kern w:val="44"/>
                <w:sz w:val="21"/>
                <w:szCs w:val="44"/>
                <w14:ligatures w14:val="none"/>
              </w:rPr>
              <w:t>严格控制高耗水、高污染行业发展，新、改、扩建重点行业建设项目实行主要污染物排放减量置换</w:t>
            </w:r>
          </w:p>
        </w:tc>
        <w:tc>
          <w:tcPr>
            <w:tcW w:w="904" w:type="pct"/>
            <w:vAlign w:val="center"/>
          </w:tcPr>
          <w:p w14:paraId="17180FEB">
            <w:pPr>
              <w:widowControl/>
              <w:adjustRightInd w:val="0"/>
              <w:snapToGrid w:val="0"/>
              <w:spacing w:line="240" w:lineRule="auto"/>
              <w:rPr>
                <w:bCs/>
                <w:kern w:val="44"/>
                <w:sz w:val="21"/>
                <w:szCs w:val="44"/>
                <w14:ligatures w14:val="none"/>
              </w:rPr>
            </w:pPr>
            <w:r>
              <w:rPr>
                <w:bCs/>
                <w:kern w:val="44"/>
                <w:sz w:val="21"/>
                <w14:ligatures w14:val="none"/>
              </w:rPr>
              <w:t>项目不属于目录中“两高”项目</w:t>
            </w:r>
          </w:p>
        </w:tc>
        <w:tc>
          <w:tcPr>
            <w:tcW w:w="309" w:type="pct"/>
            <w:vAlign w:val="center"/>
          </w:tcPr>
          <w:p w14:paraId="11275768">
            <w:pPr>
              <w:widowControl/>
              <w:adjustRightInd w:val="0"/>
              <w:snapToGrid w:val="0"/>
              <w:spacing w:line="240" w:lineRule="auto"/>
              <w:jc w:val="center"/>
              <w:rPr>
                <w:bCs/>
                <w:kern w:val="44"/>
                <w:sz w:val="21"/>
                <w:szCs w:val="44"/>
                <w14:ligatures w14:val="none"/>
              </w:rPr>
            </w:pPr>
            <w:r>
              <w:rPr>
                <w:bCs/>
                <w:kern w:val="44"/>
                <w:sz w:val="21"/>
                <w:szCs w:val="44"/>
                <w14:ligatures w14:val="none"/>
              </w:rPr>
              <w:t>符合</w:t>
            </w:r>
          </w:p>
        </w:tc>
      </w:tr>
      <w:tr w14:paraId="1E4C4E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174" w:type="pct"/>
            <w:vMerge w:val="continue"/>
            <w:vAlign w:val="center"/>
          </w:tcPr>
          <w:p w14:paraId="1445DEA9">
            <w:pPr>
              <w:widowControl/>
              <w:adjustRightInd w:val="0"/>
              <w:snapToGrid w:val="0"/>
              <w:spacing w:line="240" w:lineRule="auto"/>
              <w:jc w:val="center"/>
              <w:rPr>
                <w:bCs/>
                <w:kern w:val="44"/>
                <w:sz w:val="21"/>
                <w:szCs w:val="44"/>
                <w14:ligatures w14:val="none"/>
              </w:rPr>
            </w:pPr>
          </w:p>
        </w:tc>
        <w:tc>
          <w:tcPr>
            <w:tcW w:w="174" w:type="pct"/>
            <w:vMerge w:val="continue"/>
            <w:textDirection w:val="tbRlV"/>
            <w:vAlign w:val="center"/>
          </w:tcPr>
          <w:p w14:paraId="577BA766">
            <w:pPr>
              <w:widowControl/>
              <w:adjustRightInd w:val="0"/>
              <w:snapToGrid w:val="0"/>
              <w:spacing w:line="240" w:lineRule="auto"/>
              <w:jc w:val="center"/>
              <w:rPr>
                <w:bCs/>
                <w:kern w:val="44"/>
                <w:sz w:val="21"/>
                <w:szCs w:val="44"/>
                <w14:ligatures w14:val="none"/>
              </w:rPr>
            </w:pPr>
          </w:p>
        </w:tc>
        <w:tc>
          <w:tcPr>
            <w:tcW w:w="368" w:type="pct"/>
            <w:vMerge w:val="restart"/>
            <w:vAlign w:val="center"/>
          </w:tcPr>
          <w:p w14:paraId="3DD1E220">
            <w:pPr>
              <w:widowControl/>
              <w:adjustRightInd w:val="0"/>
              <w:snapToGrid w:val="0"/>
              <w:spacing w:line="240" w:lineRule="auto"/>
              <w:jc w:val="center"/>
              <w:rPr>
                <w:bCs/>
                <w:kern w:val="44"/>
                <w:sz w:val="21"/>
                <w:szCs w:val="44"/>
                <w14:ligatures w14:val="none"/>
              </w:rPr>
            </w:pPr>
            <w:r>
              <w:rPr>
                <w:bCs/>
                <w:kern w:val="44"/>
                <w:sz w:val="21"/>
                <w:szCs w:val="44"/>
                <w14:ligatures w14:val="none"/>
              </w:rPr>
              <w:t>现有源提标升级改造</w:t>
            </w:r>
          </w:p>
        </w:tc>
        <w:tc>
          <w:tcPr>
            <w:tcW w:w="296" w:type="pct"/>
            <w:vMerge w:val="restart"/>
            <w:vAlign w:val="center"/>
          </w:tcPr>
          <w:p w14:paraId="37DCB8F2">
            <w:pPr>
              <w:widowControl/>
              <w:adjustRightInd w:val="0"/>
              <w:snapToGrid w:val="0"/>
              <w:spacing w:line="240" w:lineRule="auto"/>
              <w:jc w:val="center"/>
              <w:rPr>
                <w:bCs/>
                <w:kern w:val="44"/>
                <w:sz w:val="21"/>
                <w:szCs w:val="44"/>
                <w14:ligatures w14:val="none"/>
              </w:rPr>
            </w:pPr>
            <w:r>
              <w:rPr>
                <w:bCs/>
                <w:kern w:val="44"/>
                <w:sz w:val="21"/>
                <w:szCs w:val="44"/>
                <w14:ligatures w14:val="none"/>
              </w:rPr>
              <w:t>蚌埠市-重点-排污-升级</w:t>
            </w:r>
          </w:p>
        </w:tc>
        <w:tc>
          <w:tcPr>
            <w:tcW w:w="2775" w:type="pct"/>
            <w:vAlign w:val="center"/>
          </w:tcPr>
          <w:p w14:paraId="29AFF528">
            <w:pPr>
              <w:widowControl/>
              <w:adjustRightInd w:val="0"/>
              <w:snapToGrid w:val="0"/>
              <w:spacing w:line="240" w:lineRule="auto"/>
              <w:rPr>
                <w:bCs/>
                <w:kern w:val="44"/>
                <w:sz w:val="21"/>
                <w:szCs w:val="44"/>
                <w14:ligatures w14:val="none"/>
              </w:rPr>
            </w:pPr>
            <w:r>
              <w:rPr>
                <w:bCs/>
                <w:kern w:val="44"/>
                <w:sz w:val="21"/>
                <w:szCs w:val="44"/>
                <w14:ligatures w14:val="none"/>
              </w:rPr>
              <w:t>开展重点行业整治。建立造纸、印染、农副食品加工、原料药制造、电镀等重点行业企业动态清单。按行业制定专项治理方案，依法开展强制性清洁生产审核，并实施清洁化生产改造</w:t>
            </w:r>
          </w:p>
        </w:tc>
        <w:tc>
          <w:tcPr>
            <w:tcW w:w="904" w:type="pct"/>
            <w:vAlign w:val="center"/>
          </w:tcPr>
          <w:p w14:paraId="5E5CBFD1">
            <w:pPr>
              <w:widowControl/>
              <w:adjustRightInd w:val="0"/>
              <w:snapToGrid w:val="0"/>
              <w:spacing w:line="240" w:lineRule="auto"/>
              <w:rPr>
                <w:bCs/>
                <w:kern w:val="44"/>
                <w:sz w:val="21"/>
                <w:szCs w:val="44"/>
                <w14:ligatures w14:val="none"/>
              </w:rPr>
            </w:pPr>
            <w:r>
              <w:rPr>
                <w:bCs/>
                <w:kern w:val="44"/>
                <w:sz w:val="21"/>
                <w:szCs w:val="44"/>
                <w14:ligatures w14:val="none"/>
              </w:rPr>
              <w:t>项目为</w:t>
            </w:r>
            <w:r>
              <w:rPr>
                <w:rFonts w:hint="eastAsia"/>
                <w:bCs/>
                <w:kern w:val="44"/>
                <w:sz w:val="21"/>
                <w:szCs w:val="44"/>
                <w14:ligatures w14:val="none"/>
              </w:rPr>
              <w:t>技改</w:t>
            </w:r>
            <w:r>
              <w:rPr>
                <w:bCs/>
                <w:kern w:val="44"/>
                <w:sz w:val="21"/>
                <w:szCs w:val="44"/>
                <w14:ligatures w14:val="none"/>
              </w:rPr>
              <w:t>项目，不涉及相关内容</w:t>
            </w:r>
          </w:p>
        </w:tc>
        <w:tc>
          <w:tcPr>
            <w:tcW w:w="309" w:type="pct"/>
            <w:vAlign w:val="center"/>
          </w:tcPr>
          <w:p w14:paraId="2737AF49">
            <w:pPr>
              <w:widowControl/>
              <w:adjustRightInd w:val="0"/>
              <w:snapToGrid w:val="0"/>
              <w:spacing w:line="240" w:lineRule="auto"/>
              <w:jc w:val="center"/>
              <w:rPr>
                <w:bCs/>
                <w:kern w:val="44"/>
                <w:sz w:val="21"/>
                <w:szCs w:val="44"/>
                <w14:ligatures w14:val="none"/>
              </w:rPr>
            </w:pPr>
            <w:r>
              <w:rPr>
                <w:rFonts w:hint="eastAsia"/>
                <w:bCs/>
                <w:kern w:val="44"/>
                <w:sz w:val="21"/>
                <w:szCs w:val="44"/>
                <w14:ligatures w14:val="none"/>
              </w:rPr>
              <w:t>/</w:t>
            </w:r>
          </w:p>
        </w:tc>
      </w:tr>
      <w:tr w14:paraId="0FEF8A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174" w:type="pct"/>
            <w:vMerge w:val="continue"/>
            <w:vAlign w:val="center"/>
          </w:tcPr>
          <w:p w14:paraId="7075DD4F">
            <w:pPr>
              <w:widowControl/>
              <w:adjustRightInd w:val="0"/>
              <w:snapToGrid w:val="0"/>
              <w:spacing w:line="240" w:lineRule="auto"/>
              <w:jc w:val="center"/>
              <w:rPr>
                <w:bCs/>
                <w:kern w:val="44"/>
                <w:sz w:val="21"/>
                <w:szCs w:val="44"/>
                <w14:ligatures w14:val="none"/>
              </w:rPr>
            </w:pPr>
          </w:p>
        </w:tc>
        <w:tc>
          <w:tcPr>
            <w:tcW w:w="174" w:type="pct"/>
            <w:vMerge w:val="continue"/>
            <w:textDirection w:val="tbRlV"/>
            <w:vAlign w:val="center"/>
          </w:tcPr>
          <w:p w14:paraId="74B81D6D">
            <w:pPr>
              <w:widowControl/>
              <w:adjustRightInd w:val="0"/>
              <w:snapToGrid w:val="0"/>
              <w:spacing w:line="240" w:lineRule="auto"/>
              <w:jc w:val="center"/>
              <w:rPr>
                <w:bCs/>
                <w:kern w:val="44"/>
                <w:sz w:val="21"/>
                <w:szCs w:val="44"/>
                <w14:ligatures w14:val="none"/>
              </w:rPr>
            </w:pPr>
          </w:p>
        </w:tc>
        <w:tc>
          <w:tcPr>
            <w:tcW w:w="368" w:type="pct"/>
            <w:vMerge w:val="continue"/>
            <w:vAlign w:val="center"/>
          </w:tcPr>
          <w:p w14:paraId="564DD702">
            <w:pPr>
              <w:widowControl/>
              <w:adjustRightInd w:val="0"/>
              <w:snapToGrid w:val="0"/>
              <w:spacing w:line="240" w:lineRule="auto"/>
              <w:jc w:val="center"/>
              <w:rPr>
                <w:bCs/>
                <w:kern w:val="44"/>
                <w:sz w:val="21"/>
                <w:szCs w:val="44"/>
                <w14:ligatures w14:val="none"/>
              </w:rPr>
            </w:pPr>
          </w:p>
        </w:tc>
        <w:tc>
          <w:tcPr>
            <w:tcW w:w="296" w:type="pct"/>
            <w:vMerge w:val="continue"/>
            <w:vAlign w:val="center"/>
          </w:tcPr>
          <w:p w14:paraId="033E3DAC">
            <w:pPr>
              <w:widowControl/>
              <w:adjustRightInd w:val="0"/>
              <w:snapToGrid w:val="0"/>
              <w:spacing w:line="240" w:lineRule="auto"/>
              <w:jc w:val="center"/>
              <w:rPr>
                <w:bCs/>
                <w:kern w:val="44"/>
                <w:sz w:val="21"/>
                <w:szCs w:val="44"/>
                <w14:ligatures w14:val="none"/>
              </w:rPr>
            </w:pPr>
          </w:p>
        </w:tc>
        <w:tc>
          <w:tcPr>
            <w:tcW w:w="2775" w:type="pct"/>
            <w:vAlign w:val="center"/>
          </w:tcPr>
          <w:p w14:paraId="05D0B014">
            <w:pPr>
              <w:widowControl/>
              <w:adjustRightInd w:val="0"/>
              <w:snapToGrid w:val="0"/>
              <w:spacing w:line="240" w:lineRule="auto"/>
              <w:rPr>
                <w:bCs/>
                <w:kern w:val="44"/>
                <w:sz w:val="21"/>
                <w:szCs w:val="44"/>
                <w14:ligatures w14:val="none"/>
              </w:rPr>
            </w:pPr>
            <w:r>
              <w:rPr>
                <w:rFonts w:hint="eastAsia"/>
                <w:bCs/>
                <w:kern w:val="44"/>
                <w:sz w:val="21"/>
                <w:szCs w:val="44"/>
                <w14:ligatures w14:val="none"/>
              </w:rPr>
              <w:t>重点推进化工、包装印刷、工业涂装等工业行业VOCs污染减排，强化设备密闭化改造， 全面加强含VOCs物料储存、转移和输送、设备与管线组件泄漏、敞开液面逸散以及工艺过程等五类排放源VOCs管控。推进产业集群VOCs综合治理，家具、彩涂板、皮革制品、制鞋、包装印刷等以小企业为主的集群，优先推进低VOCs源头替代；汽修、人造板、制药等行业为主的集群，重点推动优化整合，探索建立集中喷涂中心</w:t>
            </w:r>
          </w:p>
        </w:tc>
        <w:tc>
          <w:tcPr>
            <w:tcW w:w="904" w:type="pct"/>
            <w:vAlign w:val="center"/>
          </w:tcPr>
          <w:p w14:paraId="31FF9269">
            <w:pPr>
              <w:adjustRightInd/>
              <w:snapToGrid/>
              <w:spacing w:line="240" w:lineRule="auto"/>
              <w:rPr>
                <w:bCs/>
                <w:kern w:val="44"/>
                <w:sz w:val="21"/>
                <w:szCs w:val="44"/>
                <w14:ligatures w14:val="none"/>
              </w:rPr>
            </w:pPr>
            <w:r>
              <w:rPr>
                <w:rFonts w:hint="eastAsia"/>
                <w:bCs/>
                <w:kern w:val="44"/>
                <w:sz w:val="21"/>
                <w:szCs w:val="44"/>
                <w14:ligatures w14:val="none"/>
              </w:rPr>
              <w:t>根据前述分析，本项目的建设符合</w:t>
            </w:r>
            <w:r>
              <w:rPr>
                <w:rFonts w:cs="Times New Roman"/>
                <w:sz w:val="21"/>
                <w:szCs w:val="21"/>
                <w14:ligatures w14:val="none"/>
              </w:rPr>
              <w:t>《挥发性有机物(VOCs</w:t>
            </w:r>
            <w:r>
              <w:rPr>
                <w:rFonts w:hint="eastAsia" w:cs="Times New Roman"/>
                <w:sz w:val="21"/>
                <w:szCs w:val="21"/>
                <w14:ligatures w14:val="none"/>
              </w:rPr>
              <w:t>)</w:t>
            </w:r>
            <w:r>
              <w:rPr>
                <w:rFonts w:cs="Times New Roman"/>
                <w:sz w:val="21"/>
                <w:szCs w:val="21"/>
                <w14:ligatures w14:val="none"/>
              </w:rPr>
              <w:t>污染防治技术政策》</w:t>
            </w:r>
            <w:r>
              <w:rPr>
                <w:rFonts w:hint="eastAsia" w:cs="Times New Roman"/>
                <w:sz w:val="21"/>
                <w:szCs w:val="21"/>
                <w14:ligatures w14:val="none"/>
              </w:rPr>
              <w:t>、</w:t>
            </w:r>
            <w:r>
              <w:rPr>
                <w:rFonts w:cs="Times New Roman"/>
                <w:sz w:val="21"/>
                <w:szCs w:val="21"/>
                <w14:ligatures w14:val="none"/>
              </w:rPr>
              <w:t>《重点行业挥发性有机物综合治理方案》(环大气</w:t>
            </w:r>
            <w:r>
              <w:rPr>
                <w:rFonts w:hint="eastAsia" w:cs="Times New Roman"/>
                <w:sz w:val="21"/>
                <w:szCs w:val="21"/>
                <w14:ligatures w14:val="none"/>
              </w:rPr>
              <w:t>[</w:t>
            </w:r>
            <w:r>
              <w:rPr>
                <w:rFonts w:cs="Times New Roman"/>
                <w:sz w:val="21"/>
                <w:szCs w:val="21"/>
                <w14:ligatures w14:val="none"/>
              </w:rPr>
              <w:t>2019</w:t>
            </w:r>
            <w:r>
              <w:rPr>
                <w:rFonts w:hint="eastAsia" w:cs="Times New Roman"/>
                <w:sz w:val="21"/>
                <w:szCs w:val="21"/>
                <w14:ligatures w14:val="none"/>
              </w:rPr>
              <w:t>]</w:t>
            </w:r>
            <w:r>
              <w:rPr>
                <w:rFonts w:cs="Times New Roman"/>
                <w:sz w:val="21"/>
                <w:szCs w:val="21"/>
                <w14:ligatures w14:val="none"/>
              </w:rPr>
              <w:t>53号</w:t>
            </w:r>
            <w:r>
              <w:rPr>
                <w:rFonts w:hint="eastAsia" w:cs="Times New Roman"/>
                <w:sz w:val="21"/>
                <w:szCs w:val="21"/>
                <w14:ligatures w14:val="none"/>
              </w:rPr>
              <w:t>)等的要求。</w:t>
            </w:r>
          </w:p>
        </w:tc>
        <w:tc>
          <w:tcPr>
            <w:tcW w:w="309" w:type="pct"/>
            <w:vAlign w:val="center"/>
          </w:tcPr>
          <w:p w14:paraId="34A097E2">
            <w:pPr>
              <w:widowControl/>
              <w:adjustRightInd w:val="0"/>
              <w:snapToGrid w:val="0"/>
              <w:spacing w:line="240" w:lineRule="auto"/>
              <w:jc w:val="center"/>
              <w:rPr>
                <w:bCs/>
                <w:kern w:val="44"/>
                <w:sz w:val="21"/>
                <w:szCs w:val="44"/>
                <w14:ligatures w14:val="none"/>
              </w:rPr>
            </w:pPr>
            <w:r>
              <w:rPr>
                <w:rFonts w:hint="eastAsia"/>
                <w:bCs/>
                <w:kern w:val="44"/>
                <w:sz w:val="21"/>
                <w:szCs w:val="44"/>
                <w14:ligatures w14:val="none"/>
              </w:rPr>
              <w:t>符合</w:t>
            </w:r>
          </w:p>
        </w:tc>
      </w:tr>
      <w:tr w14:paraId="4890EB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174" w:type="pct"/>
            <w:vMerge w:val="continue"/>
            <w:vAlign w:val="center"/>
          </w:tcPr>
          <w:p w14:paraId="73961849">
            <w:pPr>
              <w:widowControl/>
              <w:adjustRightInd w:val="0"/>
              <w:snapToGrid w:val="0"/>
              <w:spacing w:line="240" w:lineRule="auto"/>
              <w:jc w:val="center"/>
              <w:rPr>
                <w:bCs/>
                <w:kern w:val="44"/>
                <w:sz w:val="21"/>
                <w:szCs w:val="44"/>
                <w14:ligatures w14:val="none"/>
              </w:rPr>
            </w:pPr>
          </w:p>
        </w:tc>
        <w:tc>
          <w:tcPr>
            <w:tcW w:w="174" w:type="pct"/>
            <w:vMerge w:val="continue"/>
            <w:textDirection w:val="tbRlV"/>
            <w:vAlign w:val="center"/>
          </w:tcPr>
          <w:p w14:paraId="602EA8D5">
            <w:pPr>
              <w:widowControl/>
              <w:adjustRightInd w:val="0"/>
              <w:snapToGrid w:val="0"/>
              <w:spacing w:line="240" w:lineRule="auto"/>
              <w:jc w:val="center"/>
              <w:rPr>
                <w:bCs/>
                <w:kern w:val="44"/>
                <w:sz w:val="21"/>
                <w:szCs w:val="44"/>
                <w14:ligatures w14:val="none"/>
              </w:rPr>
            </w:pPr>
          </w:p>
        </w:tc>
        <w:tc>
          <w:tcPr>
            <w:tcW w:w="368" w:type="pct"/>
            <w:vAlign w:val="center"/>
          </w:tcPr>
          <w:p w14:paraId="790FE2CB">
            <w:pPr>
              <w:widowControl/>
              <w:adjustRightInd w:val="0"/>
              <w:snapToGrid w:val="0"/>
              <w:spacing w:line="240" w:lineRule="auto"/>
              <w:jc w:val="center"/>
              <w:rPr>
                <w:bCs/>
                <w:kern w:val="44"/>
                <w:sz w:val="21"/>
                <w:szCs w:val="44"/>
                <w14:ligatures w14:val="none"/>
              </w:rPr>
            </w:pPr>
            <w:r>
              <w:rPr>
                <w:bCs/>
                <w:kern w:val="44"/>
                <w:sz w:val="21"/>
                <w:szCs w:val="44"/>
                <w14:ligatures w14:val="none"/>
              </w:rPr>
              <w:t>其他污</w:t>
            </w:r>
          </w:p>
          <w:p w14:paraId="717C89C4">
            <w:pPr>
              <w:widowControl/>
              <w:adjustRightInd w:val="0"/>
              <w:snapToGrid w:val="0"/>
              <w:spacing w:line="240" w:lineRule="auto"/>
              <w:jc w:val="center"/>
              <w:rPr>
                <w:bCs/>
                <w:kern w:val="44"/>
                <w:sz w:val="21"/>
                <w:szCs w:val="44"/>
                <w14:ligatures w14:val="none"/>
              </w:rPr>
            </w:pPr>
            <w:r>
              <w:rPr>
                <w:bCs/>
                <w:kern w:val="44"/>
                <w:sz w:val="21"/>
                <w:szCs w:val="44"/>
                <w14:ligatures w14:val="none"/>
              </w:rPr>
              <w:t>染物排</w:t>
            </w:r>
          </w:p>
          <w:p w14:paraId="51BE2681">
            <w:pPr>
              <w:widowControl/>
              <w:adjustRightInd w:val="0"/>
              <w:snapToGrid w:val="0"/>
              <w:spacing w:line="240" w:lineRule="auto"/>
              <w:jc w:val="center"/>
              <w:rPr>
                <w:bCs/>
                <w:kern w:val="44"/>
                <w:sz w:val="21"/>
                <w:szCs w:val="44"/>
                <w14:ligatures w14:val="none"/>
              </w:rPr>
            </w:pPr>
            <w:r>
              <w:rPr>
                <w:bCs/>
                <w:kern w:val="44"/>
                <w:sz w:val="21"/>
                <w:szCs w:val="44"/>
                <w14:ligatures w14:val="none"/>
              </w:rPr>
              <w:t>放管控</w:t>
            </w:r>
          </w:p>
          <w:p w14:paraId="06D7F7E9">
            <w:pPr>
              <w:widowControl/>
              <w:adjustRightInd w:val="0"/>
              <w:snapToGrid w:val="0"/>
              <w:spacing w:line="240" w:lineRule="auto"/>
              <w:jc w:val="center"/>
              <w:rPr>
                <w:bCs/>
                <w:kern w:val="44"/>
                <w:sz w:val="21"/>
                <w:szCs w:val="44"/>
                <w14:ligatures w14:val="none"/>
              </w:rPr>
            </w:pPr>
            <w:r>
              <w:rPr>
                <w:bCs/>
                <w:kern w:val="44"/>
                <w:sz w:val="21"/>
                <w:szCs w:val="44"/>
                <w14:ligatures w14:val="none"/>
              </w:rPr>
              <w:t>要求</w:t>
            </w:r>
          </w:p>
        </w:tc>
        <w:tc>
          <w:tcPr>
            <w:tcW w:w="296" w:type="pct"/>
            <w:vAlign w:val="center"/>
          </w:tcPr>
          <w:p w14:paraId="264E5F57">
            <w:pPr>
              <w:widowControl/>
              <w:adjustRightInd w:val="0"/>
              <w:snapToGrid w:val="0"/>
              <w:spacing w:line="240" w:lineRule="auto"/>
              <w:jc w:val="center"/>
              <w:rPr>
                <w:bCs/>
                <w:kern w:val="44"/>
                <w:sz w:val="21"/>
                <w:szCs w:val="44"/>
                <w14:ligatures w14:val="none"/>
              </w:rPr>
            </w:pPr>
            <w:r>
              <w:rPr>
                <w:bCs/>
                <w:kern w:val="44"/>
                <w:sz w:val="21"/>
                <w:szCs w:val="44"/>
                <w14:ligatures w14:val="none"/>
              </w:rPr>
              <w:t>蚌埠市-重点-排污-其他</w:t>
            </w:r>
          </w:p>
        </w:tc>
        <w:tc>
          <w:tcPr>
            <w:tcW w:w="2775" w:type="pct"/>
            <w:vAlign w:val="center"/>
          </w:tcPr>
          <w:p w14:paraId="27AC6134">
            <w:pPr>
              <w:widowControl/>
              <w:adjustRightInd w:val="0"/>
              <w:snapToGrid w:val="0"/>
              <w:spacing w:line="240" w:lineRule="auto"/>
              <w:rPr>
                <w:bCs/>
                <w:kern w:val="44"/>
                <w:sz w:val="21"/>
                <w:szCs w:val="44"/>
                <w14:ligatures w14:val="none"/>
              </w:rPr>
            </w:pPr>
            <w:r>
              <w:rPr>
                <w:bCs/>
                <w:kern w:val="44"/>
                <w:sz w:val="21"/>
                <w:szCs w:val="44"/>
                <w14:ligatures w14:val="none"/>
              </w:rPr>
              <w:t>(1</w:t>
            </w:r>
            <w:r>
              <w:rPr>
                <w:rFonts w:hint="eastAsia" w:cs="Times New Roman"/>
                <w:sz w:val="21"/>
                <w:szCs w:val="21"/>
                <w14:ligatures w14:val="none"/>
              </w:rPr>
              <w:t>)</w:t>
            </w:r>
            <w:r>
              <w:rPr>
                <w:bCs/>
                <w:kern w:val="44"/>
                <w:sz w:val="21"/>
                <w:szCs w:val="44"/>
                <w14:ligatures w14:val="none"/>
              </w:rPr>
              <w:t>深入开展淮河入河排污口整治提升行动，排查整治入河入湖排污口及不达标水体。(2</w:t>
            </w:r>
            <w:r>
              <w:rPr>
                <w:rFonts w:hint="eastAsia" w:cs="Times New Roman"/>
                <w:sz w:val="21"/>
                <w:szCs w:val="21"/>
                <w14:ligatures w14:val="none"/>
              </w:rPr>
              <w:t>)</w:t>
            </w:r>
            <w:r>
              <w:rPr>
                <w:bCs/>
                <w:kern w:val="44"/>
                <w:sz w:val="21"/>
                <w:szCs w:val="44"/>
                <w14:ligatures w14:val="none"/>
              </w:rPr>
              <w:t>严格涉水企业环境监管，加强化工、纺织、食品等重点行业污水排放达标管理。</w:t>
            </w:r>
          </w:p>
          <w:p w14:paraId="1B19BE24">
            <w:pPr>
              <w:widowControl/>
              <w:adjustRightInd w:val="0"/>
              <w:snapToGrid w:val="0"/>
              <w:spacing w:line="240" w:lineRule="auto"/>
              <w:rPr>
                <w:bCs/>
                <w:kern w:val="44"/>
                <w:sz w:val="21"/>
                <w:szCs w:val="44"/>
                <w14:ligatures w14:val="none"/>
              </w:rPr>
            </w:pPr>
            <w:r>
              <w:rPr>
                <w:bCs/>
                <w:kern w:val="44"/>
                <w:sz w:val="21"/>
                <w:szCs w:val="44"/>
                <w14:ligatures w14:val="none"/>
              </w:rPr>
              <w:t>(3</w:t>
            </w:r>
            <w:r>
              <w:rPr>
                <w:rFonts w:hint="eastAsia" w:cs="Times New Roman"/>
                <w:sz w:val="21"/>
                <w:szCs w:val="21"/>
                <w14:ligatures w14:val="none"/>
              </w:rPr>
              <w:t>)</w:t>
            </w:r>
            <w:r>
              <w:rPr>
                <w:bCs/>
                <w:kern w:val="44"/>
                <w:sz w:val="21"/>
                <w:szCs w:val="44"/>
                <w14:ligatures w14:val="none"/>
              </w:rPr>
              <w:t>协调推进城乡黑臭水体治理，全面推进现有污水处理厂提标扩容改造，加快城镇污水处理设施和配套管网建设，切实提高污水处理能力</w:t>
            </w:r>
          </w:p>
        </w:tc>
        <w:tc>
          <w:tcPr>
            <w:tcW w:w="904" w:type="pct"/>
            <w:vAlign w:val="center"/>
          </w:tcPr>
          <w:p w14:paraId="45A03209">
            <w:pPr>
              <w:widowControl/>
              <w:adjustRightInd w:val="0"/>
              <w:snapToGrid w:val="0"/>
              <w:spacing w:line="240" w:lineRule="auto"/>
              <w:rPr>
                <w:bCs/>
                <w:kern w:val="44"/>
                <w:sz w:val="21"/>
                <w:szCs w:val="44"/>
                <w14:ligatures w14:val="none"/>
              </w:rPr>
            </w:pPr>
            <w:r>
              <w:rPr>
                <w:bCs/>
                <w:kern w:val="44"/>
                <w:sz w:val="21"/>
                <w:szCs w:val="44"/>
                <w14:ligatures w14:val="none"/>
              </w:rPr>
              <w:t>项目废水依托沫河口污水处理厂处理</w:t>
            </w:r>
          </w:p>
        </w:tc>
        <w:tc>
          <w:tcPr>
            <w:tcW w:w="309" w:type="pct"/>
            <w:vAlign w:val="center"/>
          </w:tcPr>
          <w:p w14:paraId="2DAC5DA2">
            <w:pPr>
              <w:widowControl/>
              <w:adjustRightInd w:val="0"/>
              <w:snapToGrid w:val="0"/>
              <w:spacing w:line="240" w:lineRule="auto"/>
              <w:jc w:val="center"/>
              <w:rPr>
                <w:bCs/>
                <w:kern w:val="44"/>
                <w:sz w:val="21"/>
                <w:szCs w:val="44"/>
                <w14:ligatures w14:val="none"/>
              </w:rPr>
            </w:pPr>
            <w:r>
              <w:rPr>
                <w:bCs/>
                <w:kern w:val="44"/>
                <w:sz w:val="21"/>
                <w:szCs w:val="44"/>
                <w14:ligatures w14:val="none"/>
              </w:rPr>
              <w:t>符合</w:t>
            </w:r>
          </w:p>
        </w:tc>
      </w:tr>
      <w:tr w14:paraId="09E812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174" w:type="pct"/>
            <w:vMerge w:val="continue"/>
            <w:vAlign w:val="center"/>
          </w:tcPr>
          <w:p w14:paraId="7AB83917">
            <w:pPr>
              <w:widowControl/>
              <w:adjustRightInd w:val="0"/>
              <w:snapToGrid w:val="0"/>
              <w:spacing w:line="240" w:lineRule="auto"/>
              <w:jc w:val="center"/>
              <w:rPr>
                <w:bCs/>
                <w:kern w:val="44"/>
                <w:sz w:val="21"/>
                <w:szCs w:val="44"/>
                <w14:ligatures w14:val="none"/>
              </w:rPr>
            </w:pPr>
          </w:p>
        </w:tc>
        <w:tc>
          <w:tcPr>
            <w:tcW w:w="542" w:type="pct"/>
            <w:gridSpan w:val="2"/>
            <w:vMerge w:val="restart"/>
            <w:vAlign w:val="center"/>
          </w:tcPr>
          <w:p w14:paraId="08731E92">
            <w:pPr>
              <w:widowControl/>
              <w:adjustRightInd w:val="0"/>
              <w:snapToGrid w:val="0"/>
              <w:spacing w:line="240" w:lineRule="auto"/>
              <w:jc w:val="center"/>
              <w:rPr>
                <w:bCs/>
                <w:kern w:val="44"/>
                <w:sz w:val="21"/>
                <w:szCs w:val="44"/>
                <w14:ligatures w14:val="none"/>
              </w:rPr>
            </w:pPr>
            <w:r>
              <w:rPr>
                <w:bCs/>
                <w:kern w:val="44"/>
                <w:sz w:val="21"/>
                <w:szCs w:val="44"/>
                <w14:ligatures w14:val="none"/>
              </w:rPr>
              <w:t>环境风险防控</w:t>
            </w:r>
          </w:p>
        </w:tc>
        <w:tc>
          <w:tcPr>
            <w:tcW w:w="296" w:type="pct"/>
            <w:vMerge w:val="restart"/>
            <w:vAlign w:val="center"/>
          </w:tcPr>
          <w:p w14:paraId="43687A37">
            <w:pPr>
              <w:widowControl/>
              <w:adjustRightInd w:val="0"/>
              <w:snapToGrid w:val="0"/>
              <w:spacing w:line="240" w:lineRule="auto"/>
              <w:jc w:val="center"/>
              <w:rPr>
                <w:bCs/>
                <w:kern w:val="44"/>
                <w:sz w:val="21"/>
                <w:szCs w:val="44"/>
                <w14:ligatures w14:val="none"/>
              </w:rPr>
            </w:pPr>
            <w:r>
              <w:rPr>
                <w:bCs/>
                <w:kern w:val="44"/>
                <w:sz w:val="21"/>
                <w:szCs w:val="44"/>
                <w14:ligatures w14:val="none"/>
              </w:rPr>
              <w:t>蚌埠市-重点-风险防控</w:t>
            </w:r>
          </w:p>
        </w:tc>
        <w:tc>
          <w:tcPr>
            <w:tcW w:w="2775" w:type="pct"/>
            <w:vAlign w:val="center"/>
          </w:tcPr>
          <w:p w14:paraId="1A256C25">
            <w:pPr>
              <w:widowControl/>
              <w:adjustRightInd w:val="0"/>
              <w:snapToGrid w:val="0"/>
              <w:spacing w:line="240" w:lineRule="auto"/>
              <w:jc w:val="center"/>
              <w:rPr>
                <w:bCs/>
                <w:kern w:val="44"/>
                <w:sz w:val="21"/>
                <w:szCs w:val="44"/>
                <w14:ligatures w14:val="none"/>
              </w:rPr>
            </w:pPr>
            <w:r>
              <w:rPr>
                <w:bCs/>
                <w:kern w:val="44"/>
                <w:sz w:val="21"/>
                <w:szCs w:val="44"/>
                <w14:ligatures w14:val="none"/>
              </w:rPr>
              <w:t>新建城镇生活污水处理厂一律按一级A排放标准设计建设</w:t>
            </w:r>
          </w:p>
        </w:tc>
        <w:tc>
          <w:tcPr>
            <w:tcW w:w="904" w:type="pct"/>
            <w:vAlign w:val="center"/>
          </w:tcPr>
          <w:p w14:paraId="28B28AF4">
            <w:pPr>
              <w:widowControl/>
              <w:adjustRightInd w:val="0"/>
              <w:snapToGrid w:val="0"/>
              <w:spacing w:line="240" w:lineRule="auto"/>
              <w:rPr>
                <w:bCs/>
                <w:kern w:val="44"/>
                <w:sz w:val="21"/>
                <w:szCs w:val="44"/>
                <w14:ligatures w14:val="none"/>
              </w:rPr>
            </w:pPr>
            <w:r>
              <w:rPr>
                <w:rFonts w:hint="eastAsia"/>
                <w:bCs/>
                <w:kern w:val="44"/>
                <w:sz w:val="21"/>
                <w:szCs w:val="44"/>
                <w14:ligatures w14:val="none"/>
              </w:rPr>
              <w:t>项目废水依托</w:t>
            </w:r>
            <w:r>
              <w:rPr>
                <w:bCs/>
                <w:kern w:val="44"/>
                <w:sz w:val="21"/>
                <w:szCs w:val="44"/>
                <w14:ligatures w14:val="none"/>
              </w:rPr>
              <w:t>沫河口工业园污水处理厂</w:t>
            </w:r>
            <w:r>
              <w:rPr>
                <w:rFonts w:hint="eastAsia"/>
                <w:bCs/>
                <w:kern w:val="44"/>
                <w:sz w:val="21"/>
                <w:szCs w:val="44"/>
                <w14:ligatures w14:val="none"/>
              </w:rPr>
              <w:t>处理，不涉及</w:t>
            </w:r>
          </w:p>
        </w:tc>
        <w:tc>
          <w:tcPr>
            <w:tcW w:w="309" w:type="pct"/>
            <w:vAlign w:val="center"/>
          </w:tcPr>
          <w:p w14:paraId="64897F5E">
            <w:pPr>
              <w:widowControl/>
              <w:adjustRightInd w:val="0"/>
              <w:snapToGrid w:val="0"/>
              <w:spacing w:line="240" w:lineRule="auto"/>
              <w:jc w:val="center"/>
              <w:rPr>
                <w:bCs/>
                <w:kern w:val="44"/>
                <w:sz w:val="21"/>
                <w:szCs w:val="44"/>
                <w14:ligatures w14:val="none"/>
              </w:rPr>
            </w:pPr>
            <w:r>
              <w:rPr>
                <w:rFonts w:hint="eastAsia"/>
                <w:bCs/>
                <w:kern w:val="44"/>
                <w:sz w:val="21"/>
                <w:szCs w:val="44"/>
                <w14:ligatures w14:val="none"/>
              </w:rPr>
              <w:t>/</w:t>
            </w:r>
          </w:p>
        </w:tc>
      </w:tr>
      <w:tr w14:paraId="35F92D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174" w:type="pct"/>
            <w:vMerge w:val="continue"/>
            <w:vAlign w:val="center"/>
          </w:tcPr>
          <w:p w14:paraId="272D4595">
            <w:pPr>
              <w:widowControl/>
              <w:adjustRightInd w:val="0"/>
              <w:snapToGrid w:val="0"/>
              <w:spacing w:line="240" w:lineRule="auto"/>
              <w:jc w:val="center"/>
              <w:rPr>
                <w:bCs/>
                <w:kern w:val="44"/>
                <w:sz w:val="21"/>
                <w:szCs w:val="44"/>
                <w14:ligatures w14:val="none"/>
              </w:rPr>
            </w:pPr>
          </w:p>
        </w:tc>
        <w:tc>
          <w:tcPr>
            <w:tcW w:w="542" w:type="pct"/>
            <w:gridSpan w:val="2"/>
            <w:vMerge w:val="continue"/>
            <w:vAlign w:val="center"/>
          </w:tcPr>
          <w:p w14:paraId="0ED33E86">
            <w:pPr>
              <w:widowControl/>
              <w:adjustRightInd w:val="0"/>
              <w:snapToGrid w:val="0"/>
              <w:spacing w:line="240" w:lineRule="auto"/>
              <w:jc w:val="center"/>
              <w:rPr>
                <w:bCs/>
                <w:kern w:val="44"/>
                <w:sz w:val="21"/>
                <w:szCs w:val="44"/>
                <w14:ligatures w14:val="none"/>
              </w:rPr>
            </w:pPr>
          </w:p>
        </w:tc>
        <w:tc>
          <w:tcPr>
            <w:tcW w:w="296" w:type="pct"/>
            <w:vMerge w:val="continue"/>
            <w:vAlign w:val="center"/>
          </w:tcPr>
          <w:p w14:paraId="5912428A">
            <w:pPr>
              <w:widowControl/>
              <w:adjustRightInd w:val="0"/>
              <w:snapToGrid w:val="0"/>
              <w:spacing w:line="240" w:lineRule="auto"/>
              <w:jc w:val="center"/>
              <w:rPr>
                <w:bCs/>
                <w:kern w:val="44"/>
                <w:sz w:val="21"/>
                <w:szCs w:val="44"/>
                <w14:ligatures w14:val="none"/>
              </w:rPr>
            </w:pPr>
          </w:p>
        </w:tc>
        <w:tc>
          <w:tcPr>
            <w:tcW w:w="2775" w:type="pct"/>
            <w:vAlign w:val="center"/>
          </w:tcPr>
          <w:p w14:paraId="2C8F9A40">
            <w:pPr>
              <w:widowControl/>
              <w:adjustRightInd w:val="0"/>
              <w:snapToGrid w:val="0"/>
              <w:spacing w:line="240" w:lineRule="auto"/>
              <w:rPr>
                <w:bCs/>
                <w:kern w:val="44"/>
                <w:sz w:val="21"/>
                <w:szCs w:val="44"/>
                <w14:ligatures w14:val="none"/>
              </w:rPr>
            </w:pPr>
            <w:r>
              <w:rPr>
                <w:rFonts w:hint="eastAsia"/>
                <w:bCs/>
                <w:kern w:val="44"/>
                <w:sz w:val="21"/>
                <w:szCs w:val="44"/>
                <w14:ligatures w14:val="none"/>
              </w:rPr>
              <w:t>完成重点地区危险化学品生产企业搬迁改造。严控农药、化工等行业重度污染地块规划用途，确需开发利用的，鼓励用于拓展生态空间。严密防控环境风险。强化辐射安全监管和电磁辐射污染防治。实施涉铊等重金属和涉危污染防控</w:t>
            </w:r>
          </w:p>
          <w:p w14:paraId="1C1D553B">
            <w:pPr>
              <w:widowControl/>
              <w:adjustRightInd w:val="0"/>
              <w:snapToGrid w:val="0"/>
              <w:spacing w:line="240" w:lineRule="auto"/>
              <w:rPr>
                <w:bCs/>
                <w:kern w:val="44"/>
                <w:sz w:val="21"/>
                <w:szCs w:val="44"/>
                <w14:ligatures w14:val="none"/>
              </w:rPr>
            </w:pPr>
            <w:r>
              <w:rPr>
                <w:rFonts w:hint="eastAsia"/>
                <w:bCs/>
                <w:kern w:val="44"/>
                <w:sz w:val="21"/>
                <w:szCs w:val="44"/>
                <w14:ligatures w14:val="none"/>
              </w:rPr>
              <w:t>以城镇人口密集区危险化学品生产企业搬迁改造等专项行动遗留地块为重点，加强腾退土地污染风险管控和治理修复。强化风险管控和修复工程事中和事后监管，重点防止转运污染土壤非法处置等二次污染。严格效果评估，确保实现土壤污染风险管控和修复目标。对存在地下水污染的，协同推进土壤和地下水风险管控和修复</w:t>
            </w:r>
          </w:p>
        </w:tc>
        <w:tc>
          <w:tcPr>
            <w:tcW w:w="904" w:type="pct"/>
            <w:vAlign w:val="center"/>
          </w:tcPr>
          <w:p w14:paraId="2C5B72F4">
            <w:pPr>
              <w:widowControl/>
              <w:adjustRightInd w:val="0"/>
              <w:snapToGrid w:val="0"/>
              <w:spacing w:line="240" w:lineRule="auto"/>
              <w:rPr>
                <w:bCs/>
                <w:kern w:val="44"/>
                <w:sz w:val="21"/>
                <w:szCs w:val="44"/>
                <w14:ligatures w14:val="none"/>
              </w:rPr>
            </w:pPr>
            <w:r>
              <w:rPr>
                <w:bCs/>
                <w:kern w:val="44"/>
                <w:sz w:val="21"/>
                <w:szCs w:val="44"/>
                <w14:ligatures w14:val="none"/>
              </w:rPr>
              <w:t>项目环评阶段编制有环境风险章节，项目建成后，依法修编环境风险应急预案</w:t>
            </w:r>
            <w:r>
              <w:rPr>
                <w:rFonts w:hint="eastAsia"/>
                <w:bCs/>
                <w:kern w:val="44"/>
                <w:sz w:val="21"/>
                <w:szCs w:val="44"/>
                <w14:ligatures w14:val="none"/>
              </w:rPr>
              <w:t>；通过采取分区防渗、定期监测等措施，防止污染土壤及地下水</w:t>
            </w:r>
          </w:p>
        </w:tc>
        <w:tc>
          <w:tcPr>
            <w:tcW w:w="309" w:type="pct"/>
            <w:vAlign w:val="center"/>
          </w:tcPr>
          <w:p w14:paraId="4B55CF29">
            <w:pPr>
              <w:widowControl/>
              <w:adjustRightInd w:val="0"/>
              <w:snapToGrid w:val="0"/>
              <w:spacing w:line="240" w:lineRule="auto"/>
              <w:jc w:val="center"/>
              <w:rPr>
                <w:bCs/>
                <w:kern w:val="44"/>
                <w:sz w:val="21"/>
                <w:szCs w:val="44"/>
                <w14:ligatures w14:val="none"/>
              </w:rPr>
            </w:pPr>
            <w:r>
              <w:rPr>
                <w:bCs/>
                <w:kern w:val="44"/>
                <w:sz w:val="21"/>
                <w:szCs w:val="44"/>
                <w14:ligatures w14:val="none"/>
              </w:rPr>
              <w:t>符合</w:t>
            </w:r>
          </w:p>
        </w:tc>
      </w:tr>
      <w:tr w14:paraId="3C4C72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174" w:type="pct"/>
            <w:vMerge w:val="continue"/>
            <w:vAlign w:val="center"/>
          </w:tcPr>
          <w:p w14:paraId="3354D236">
            <w:pPr>
              <w:widowControl/>
              <w:adjustRightInd w:val="0"/>
              <w:snapToGrid w:val="0"/>
              <w:spacing w:line="240" w:lineRule="auto"/>
              <w:jc w:val="center"/>
              <w:rPr>
                <w:bCs/>
                <w:kern w:val="44"/>
                <w:sz w:val="21"/>
                <w:szCs w:val="44"/>
                <w14:ligatures w14:val="none"/>
              </w:rPr>
            </w:pPr>
          </w:p>
        </w:tc>
        <w:tc>
          <w:tcPr>
            <w:tcW w:w="542" w:type="pct"/>
            <w:gridSpan w:val="2"/>
            <w:vMerge w:val="continue"/>
            <w:vAlign w:val="center"/>
          </w:tcPr>
          <w:p w14:paraId="58113B9B">
            <w:pPr>
              <w:widowControl/>
              <w:adjustRightInd w:val="0"/>
              <w:snapToGrid w:val="0"/>
              <w:spacing w:line="240" w:lineRule="auto"/>
              <w:jc w:val="center"/>
              <w:rPr>
                <w:bCs/>
                <w:kern w:val="44"/>
                <w:sz w:val="21"/>
                <w:szCs w:val="44"/>
                <w14:ligatures w14:val="none"/>
              </w:rPr>
            </w:pPr>
          </w:p>
        </w:tc>
        <w:tc>
          <w:tcPr>
            <w:tcW w:w="296" w:type="pct"/>
            <w:vMerge w:val="continue"/>
            <w:vAlign w:val="center"/>
          </w:tcPr>
          <w:p w14:paraId="282888EB">
            <w:pPr>
              <w:widowControl/>
              <w:adjustRightInd w:val="0"/>
              <w:snapToGrid w:val="0"/>
              <w:spacing w:line="240" w:lineRule="auto"/>
              <w:jc w:val="center"/>
              <w:rPr>
                <w:bCs/>
                <w:kern w:val="44"/>
                <w:sz w:val="21"/>
                <w:szCs w:val="44"/>
                <w14:ligatures w14:val="none"/>
              </w:rPr>
            </w:pPr>
          </w:p>
        </w:tc>
        <w:tc>
          <w:tcPr>
            <w:tcW w:w="2775" w:type="pct"/>
            <w:vAlign w:val="center"/>
          </w:tcPr>
          <w:p w14:paraId="36197085">
            <w:pPr>
              <w:widowControl/>
              <w:adjustRightInd w:val="0"/>
              <w:snapToGrid w:val="0"/>
              <w:spacing w:line="240" w:lineRule="auto"/>
              <w:rPr>
                <w:bCs/>
                <w:kern w:val="44"/>
                <w:sz w:val="21"/>
                <w:szCs w:val="44"/>
                <w14:ligatures w14:val="none"/>
              </w:rPr>
            </w:pPr>
            <w:r>
              <w:rPr>
                <w:bCs/>
                <w:kern w:val="44"/>
                <w:sz w:val="21"/>
                <w:szCs w:val="44"/>
                <w14:ligatures w14:val="none"/>
              </w:rPr>
              <w:t>新建、升级工业集聚区应同步规划、建设污水、垃圾集中处理等污染治理设施</w:t>
            </w:r>
          </w:p>
        </w:tc>
        <w:tc>
          <w:tcPr>
            <w:tcW w:w="904" w:type="pct"/>
            <w:vAlign w:val="center"/>
          </w:tcPr>
          <w:p w14:paraId="08FE6D4B">
            <w:pPr>
              <w:widowControl/>
              <w:adjustRightInd w:val="0"/>
              <w:snapToGrid w:val="0"/>
              <w:spacing w:line="240" w:lineRule="auto"/>
              <w:jc w:val="center"/>
              <w:rPr>
                <w:bCs/>
                <w:kern w:val="44"/>
                <w:sz w:val="21"/>
                <w:szCs w:val="44"/>
                <w14:ligatures w14:val="none"/>
              </w:rPr>
            </w:pPr>
            <w:r>
              <w:rPr>
                <w:bCs/>
                <w:kern w:val="44"/>
                <w:sz w:val="21"/>
                <w:szCs w:val="44"/>
                <w14:ligatures w14:val="none"/>
              </w:rPr>
              <w:t>本项目不涉及</w:t>
            </w:r>
          </w:p>
        </w:tc>
        <w:tc>
          <w:tcPr>
            <w:tcW w:w="309" w:type="pct"/>
            <w:vAlign w:val="center"/>
          </w:tcPr>
          <w:p w14:paraId="23B39AF5">
            <w:pPr>
              <w:widowControl/>
              <w:adjustRightInd w:val="0"/>
              <w:snapToGrid w:val="0"/>
              <w:spacing w:line="240" w:lineRule="auto"/>
              <w:jc w:val="center"/>
              <w:rPr>
                <w:bCs/>
                <w:kern w:val="44"/>
                <w:sz w:val="21"/>
                <w:szCs w:val="44"/>
                <w14:ligatures w14:val="none"/>
              </w:rPr>
            </w:pPr>
            <w:r>
              <w:rPr>
                <w:rFonts w:hint="eastAsia"/>
                <w:bCs/>
                <w:kern w:val="44"/>
                <w:sz w:val="21"/>
                <w:szCs w:val="44"/>
                <w14:ligatures w14:val="none"/>
              </w:rPr>
              <w:t>/</w:t>
            </w:r>
          </w:p>
        </w:tc>
      </w:tr>
      <w:tr w14:paraId="0D3C3F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174" w:type="pct"/>
            <w:vMerge w:val="continue"/>
            <w:vAlign w:val="center"/>
          </w:tcPr>
          <w:p w14:paraId="5BC366FB">
            <w:pPr>
              <w:widowControl/>
              <w:adjustRightInd w:val="0"/>
              <w:snapToGrid w:val="0"/>
              <w:spacing w:line="240" w:lineRule="auto"/>
              <w:jc w:val="center"/>
              <w:rPr>
                <w:bCs/>
                <w:kern w:val="44"/>
                <w:sz w:val="21"/>
                <w:szCs w:val="44"/>
                <w14:ligatures w14:val="none"/>
              </w:rPr>
            </w:pPr>
          </w:p>
        </w:tc>
        <w:tc>
          <w:tcPr>
            <w:tcW w:w="542" w:type="pct"/>
            <w:gridSpan w:val="2"/>
            <w:vMerge w:val="continue"/>
            <w:vAlign w:val="center"/>
          </w:tcPr>
          <w:p w14:paraId="725282D9">
            <w:pPr>
              <w:widowControl/>
              <w:adjustRightInd w:val="0"/>
              <w:snapToGrid w:val="0"/>
              <w:spacing w:line="240" w:lineRule="auto"/>
              <w:jc w:val="center"/>
              <w:rPr>
                <w:bCs/>
                <w:kern w:val="44"/>
                <w:sz w:val="21"/>
                <w:szCs w:val="44"/>
                <w14:ligatures w14:val="none"/>
              </w:rPr>
            </w:pPr>
          </w:p>
        </w:tc>
        <w:tc>
          <w:tcPr>
            <w:tcW w:w="296" w:type="pct"/>
            <w:vMerge w:val="continue"/>
            <w:vAlign w:val="center"/>
          </w:tcPr>
          <w:p w14:paraId="6272AC9A">
            <w:pPr>
              <w:widowControl/>
              <w:adjustRightInd w:val="0"/>
              <w:snapToGrid w:val="0"/>
              <w:spacing w:line="240" w:lineRule="auto"/>
              <w:jc w:val="center"/>
              <w:rPr>
                <w:bCs/>
                <w:kern w:val="44"/>
                <w:sz w:val="21"/>
                <w:szCs w:val="44"/>
                <w14:ligatures w14:val="none"/>
              </w:rPr>
            </w:pPr>
          </w:p>
        </w:tc>
        <w:tc>
          <w:tcPr>
            <w:tcW w:w="2775" w:type="pct"/>
            <w:vAlign w:val="center"/>
          </w:tcPr>
          <w:p w14:paraId="64546DD4">
            <w:pPr>
              <w:widowControl/>
              <w:adjustRightInd w:val="0"/>
              <w:snapToGrid w:val="0"/>
              <w:spacing w:line="240" w:lineRule="auto"/>
              <w:rPr>
                <w:bCs/>
                <w:kern w:val="44"/>
                <w:sz w:val="21"/>
                <w:szCs w:val="44"/>
                <w14:ligatures w14:val="none"/>
              </w:rPr>
            </w:pPr>
            <w:r>
              <w:rPr>
                <w:bCs/>
                <w:kern w:val="44"/>
                <w:sz w:val="21"/>
                <w:szCs w:val="44"/>
                <w14:ligatures w14:val="none"/>
              </w:rPr>
              <w:t>定期评估沿江河湖库工业企业、工业集聚区环境和健康风险，落实防控措施。对照国家公布的优先控制化学品名录，对高风险化学品生产、使用进行严格限制，并逐步淘汰替代</w:t>
            </w:r>
          </w:p>
        </w:tc>
        <w:tc>
          <w:tcPr>
            <w:tcW w:w="904" w:type="pct"/>
            <w:vAlign w:val="center"/>
          </w:tcPr>
          <w:p w14:paraId="16064EB6">
            <w:pPr>
              <w:widowControl/>
              <w:adjustRightInd w:val="0"/>
              <w:snapToGrid w:val="0"/>
              <w:spacing w:line="240" w:lineRule="auto"/>
              <w:jc w:val="center"/>
              <w:rPr>
                <w:bCs/>
                <w:kern w:val="44"/>
                <w:sz w:val="21"/>
                <w:szCs w:val="44"/>
                <w14:ligatures w14:val="none"/>
              </w:rPr>
            </w:pPr>
            <w:r>
              <w:rPr>
                <w:bCs/>
                <w:kern w:val="44"/>
                <w:sz w:val="21"/>
                <w:szCs w:val="44"/>
                <w14:ligatures w14:val="none"/>
              </w:rPr>
              <w:t>本项目不涉及</w:t>
            </w:r>
          </w:p>
        </w:tc>
        <w:tc>
          <w:tcPr>
            <w:tcW w:w="309" w:type="pct"/>
            <w:vAlign w:val="center"/>
          </w:tcPr>
          <w:p w14:paraId="0B0656CA">
            <w:pPr>
              <w:widowControl/>
              <w:adjustRightInd w:val="0"/>
              <w:snapToGrid w:val="0"/>
              <w:spacing w:line="240" w:lineRule="auto"/>
              <w:jc w:val="center"/>
              <w:rPr>
                <w:bCs/>
                <w:kern w:val="44"/>
                <w:sz w:val="21"/>
                <w:szCs w:val="44"/>
                <w14:ligatures w14:val="none"/>
              </w:rPr>
            </w:pPr>
            <w:r>
              <w:rPr>
                <w:rFonts w:hint="eastAsia"/>
                <w:bCs/>
                <w:kern w:val="44"/>
                <w:sz w:val="21"/>
                <w:szCs w:val="44"/>
                <w14:ligatures w14:val="none"/>
              </w:rPr>
              <w:t>/</w:t>
            </w:r>
          </w:p>
        </w:tc>
      </w:tr>
      <w:tr w14:paraId="6A258F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174" w:type="pct"/>
            <w:vMerge w:val="continue"/>
            <w:vAlign w:val="center"/>
          </w:tcPr>
          <w:p w14:paraId="5B5BF8B8">
            <w:pPr>
              <w:widowControl/>
              <w:adjustRightInd w:val="0"/>
              <w:snapToGrid w:val="0"/>
              <w:spacing w:line="240" w:lineRule="auto"/>
              <w:jc w:val="center"/>
              <w:rPr>
                <w:bCs/>
                <w:kern w:val="44"/>
                <w:sz w:val="21"/>
                <w:szCs w:val="44"/>
                <w14:ligatures w14:val="none"/>
              </w:rPr>
            </w:pPr>
          </w:p>
        </w:tc>
        <w:tc>
          <w:tcPr>
            <w:tcW w:w="542" w:type="pct"/>
            <w:gridSpan w:val="2"/>
            <w:vMerge w:val="continue"/>
            <w:vAlign w:val="center"/>
          </w:tcPr>
          <w:p w14:paraId="72619D08">
            <w:pPr>
              <w:widowControl/>
              <w:adjustRightInd w:val="0"/>
              <w:snapToGrid w:val="0"/>
              <w:spacing w:line="240" w:lineRule="auto"/>
              <w:jc w:val="center"/>
              <w:rPr>
                <w:bCs/>
                <w:kern w:val="44"/>
                <w:sz w:val="21"/>
                <w:szCs w:val="44"/>
                <w14:ligatures w14:val="none"/>
              </w:rPr>
            </w:pPr>
          </w:p>
        </w:tc>
        <w:tc>
          <w:tcPr>
            <w:tcW w:w="296" w:type="pct"/>
            <w:vMerge w:val="continue"/>
            <w:vAlign w:val="center"/>
          </w:tcPr>
          <w:p w14:paraId="25D23538">
            <w:pPr>
              <w:widowControl/>
              <w:adjustRightInd w:val="0"/>
              <w:snapToGrid w:val="0"/>
              <w:spacing w:line="240" w:lineRule="auto"/>
              <w:jc w:val="center"/>
              <w:rPr>
                <w:bCs/>
                <w:kern w:val="44"/>
                <w:sz w:val="21"/>
                <w:szCs w:val="44"/>
                <w14:ligatures w14:val="none"/>
              </w:rPr>
            </w:pPr>
          </w:p>
        </w:tc>
        <w:tc>
          <w:tcPr>
            <w:tcW w:w="2775" w:type="pct"/>
            <w:vAlign w:val="center"/>
          </w:tcPr>
          <w:p w14:paraId="0C505BD2">
            <w:pPr>
              <w:widowControl/>
              <w:adjustRightInd w:val="0"/>
              <w:snapToGrid w:val="0"/>
              <w:spacing w:line="240" w:lineRule="auto"/>
              <w:rPr>
                <w:bCs/>
                <w:kern w:val="44"/>
                <w:sz w:val="21"/>
                <w:szCs w:val="44"/>
                <w14:ligatures w14:val="none"/>
              </w:rPr>
            </w:pPr>
            <w:r>
              <w:rPr>
                <w:bCs/>
                <w:kern w:val="44"/>
                <w:sz w:val="21"/>
                <w:szCs w:val="44"/>
                <w14:ligatures w14:val="none"/>
              </w:rPr>
              <w:t>各级政府要制定和完善水污染事故处置应急预案，落实责任主体，明确预警预报与响应程序、应急处置及保障措施等内容，依法及时公布预警信息</w:t>
            </w:r>
          </w:p>
        </w:tc>
        <w:tc>
          <w:tcPr>
            <w:tcW w:w="904" w:type="pct"/>
            <w:vAlign w:val="center"/>
          </w:tcPr>
          <w:p w14:paraId="01DF3CCB">
            <w:pPr>
              <w:widowControl/>
              <w:adjustRightInd w:val="0"/>
              <w:snapToGrid w:val="0"/>
              <w:spacing w:line="240" w:lineRule="auto"/>
              <w:rPr>
                <w:bCs/>
                <w:kern w:val="44"/>
                <w:sz w:val="21"/>
                <w:szCs w:val="44"/>
                <w14:ligatures w14:val="none"/>
              </w:rPr>
            </w:pPr>
            <w:r>
              <w:rPr>
                <w:bCs/>
                <w:kern w:val="44"/>
                <w:sz w:val="21"/>
                <w:szCs w:val="44"/>
                <w14:ligatures w14:val="none"/>
              </w:rPr>
              <w:t>项目环评阶段编制有环境风险章节，项目建成后，依法</w:t>
            </w:r>
            <w:r>
              <w:rPr>
                <w:rFonts w:hint="eastAsia"/>
                <w:bCs/>
                <w:kern w:val="44"/>
                <w:sz w:val="21"/>
                <w:szCs w:val="44"/>
                <w14:ligatures w14:val="none"/>
              </w:rPr>
              <w:t>修编</w:t>
            </w:r>
            <w:r>
              <w:rPr>
                <w:bCs/>
                <w:kern w:val="44"/>
                <w:sz w:val="21"/>
                <w:szCs w:val="44"/>
                <w14:ligatures w14:val="none"/>
              </w:rPr>
              <w:t>环境风险应急预案</w:t>
            </w:r>
          </w:p>
        </w:tc>
        <w:tc>
          <w:tcPr>
            <w:tcW w:w="309" w:type="pct"/>
            <w:vAlign w:val="center"/>
          </w:tcPr>
          <w:p w14:paraId="6C2BDF61">
            <w:pPr>
              <w:widowControl/>
              <w:adjustRightInd w:val="0"/>
              <w:snapToGrid w:val="0"/>
              <w:spacing w:line="240" w:lineRule="auto"/>
              <w:jc w:val="center"/>
              <w:rPr>
                <w:bCs/>
                <w:kern w:val="44"/>
                <w:sz w:val="21"/>
                <w:szCs w:val="44"/>
                <w14:ligatures w14:val="none"/>
              </w:rPr>
            </w:pPr>
            <w:r>
              <w:rPr>
                <w:bCs/>
                <w:kern w:val="44"/>
                <w:sz w:val="21"/>
                <w:szCs w:val="44"/>
                <w14:ligatures w14:val="none"/>
              </w:rPr>
              <w:t>符合</w:t>
            </w:r>
          </w:p>
        </w:tc>
      </w:tr>
      <w:tr w14:paraId="3D9426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174" w:type="pct"/>
            <w:vMerge w:val="continue"/>
            <w:vAlign w:val="center"/>
          </w:tcPr>
          <w:p w14:paraId="3E0B0DFB">
            <w:pPr>
              <w:widowControl/>
              <w:adjustRightInd w:val="0"/>
              <w:snapToGrid w:val="0"/>
              <w:spacing w:line="240" w:lineRule="auto"/>
              <w:jc w:val="center"/>
              <w:rPr>
                <w:bCs/>
                <w:kern w:val="44"/>
                <w:sz w:val="21"/>
                <w:szCs w:val="44"/>
                <w14:ligatures w14:val="none"/>
              </w:rPr>
            </w:pPr>
          </w:p>
        </w:tc>
        <w:tc>
          <w:tcPr>
            <w:tcW w:w="542" w:type="pct"/>
            <w:gridSpan w:val="2"/>
            <w:vMerge w:val="continue"/>
            <w:vAlign w:val="center"/>
          </w:tcPr>
          <w:p w14:paraId="492433D8">
            <w:pPr>
              <w:widowControl/>
              <w:adjustRightInd w:val="0"/>
              <w:snapToGrid w:val="0"/>
              <w:spacing w:line="240" w:lineRule="auto"/>
              <w:jc w:val="center"/>
              <w:rPr>
                <w:bCs/>
                <w:kern w:val="44"/>
                <w:sz w:val="21"/>
                <w:szCs w:val="44"/>
                <w14:ligatures w14:val="none"/>
              </w:rPr>
            </w:pPr>
          </w:p>
        </w:tc>
        <w:tc>
          <w:tcPr>
            <w:tcW w:w="296" w:type="pct"/>
            <w:vMerge w:val="continue"/>
            <w:vAlign w:val="center"/>
          </w:tcPr>
          <w:p w14:paraId="0CE5C142">
            <w:pPr>
              <w:widowControl/>
              <w:adjustRightInd w:val="0"/>
              <w:snapToGrid w:val="0"/>
              <w:spacing w:line="240" w:lineRule="auto"/>
              <w:jc w:val="center"/>
              <w:rPr>
                <w:bCs/>
                <w:kern w:val="44"/>
                <w:sz w:val="21"/>
                <w:szCs w:val="44"/>
                <w14:ligatures w14:val="none"/>
              </w:rPr>
            </w:pPr>
          </w:p>
        </w:tc>
        <w:tc>
          <w:tcPr>
            <w:tcW w:w="2775" w:type="pct"/>
            <w:vAlign w:val="center"/>
          </w:tcPr>
          <w:p w14:paraId="6533C802">
            <w:pPr>
              <w:widowControl/>
              <w:adjustRightInd w:val="0"/>
              <w:snapToGrid w:val="0"/>
              <w:spacing w:line="240" w:lineRule="auto"/>
              <w:rPr>
                <w:bCs/>
                <w:kern w:val="44"/>
                <w:sz w:val="21"/>
                <w:szCs w:val="44"/>
                <w14:ligatures w14:val="none"/>
              </w:rPr>
            </w:pPr>
            <w:r>
              <w:rPr>
                <w:bCs/>
                <w:kern w:val="44"/>
                <w:sz w:val="21"/>
                <w:szCs w:val="44"/>
                <w14:ligatures w14:val="none"/>
              </w:rPr>
              <w:t>重点打击私设暗管或利用渗井、渗坑、溶洞排放、倾倒含有毒有害污染物废水、含病原体污水，监测数据弄虚作假，不正常使用水污染物处理设施，或者未经批准拆除、闲置水污染物处理设施等环境违法行为。对造成生态损害的责任者严格落实赔偿制度。严肃查处建设项目环境影响评价领域越权审批、未批先建、边批边建、久试不验等违法违规行为。对构成犯罪的，要依法追究刑事责任</w:t>
            </w:r>
          </w:p>
        </w:tc>
        <w:tc>
          <w:tcPr>
            <w:tcW w:w="904" w:type="pct"/>
            <w:vAlign w:val="center"/>
          </w:tcPr>
          <w:p w14:paraId="0E8CD610">
            <w:pPr>
              <w:widowControl/>
              <w:adjustRightInd w:val="0"/>
              <w:snapToGrid w:val="0"/>
              <w:spacing w:line="240" w:lineRule="auto"/>
              <w:jc w:val="center"/>
              <w:rPr>
                <w:bCs/>
                <w:kern w:val="44"/>
                <w:sz w:val="21"/>
                <w:szCs w:val="44"/>
                <w14:ligatures w14:val="none"/>
              </w:rPr>
            </w:pPr>
            <w:r>
              <w:rPr>
                <w:bCs/>
                <w:kern w:val="44"/>
                <w:sz w:val="21"/>
                <w:szCs w:val="44"/>
                <w14:ligatures w14:val="none"/>
              </w:rPr>
              <w:t>本项目不涉及</w:t>
            </w:r>
          </w:p>
        </w:tc>
        <w:tc>
          <w:tcPr>
            <w:tcW w:w="309" w:type="pct"/>
            <w:vAlign w:val="center"/>
          </w:tcPr>
          <w:p w14:paraId="4BFCD56A">
            <w:pPr>
              <w:widowControl/>
              <w:adjustRightInd w:val="0"/>
              <w:snapToGrid w:val="0"/>
              <w:spacing w:line="240" w:lineRule="auto"/>
              <w:jc w:val="center"/>
              <w:rPr>
                <w:bCs/>
                <w:kern w:val="44"/>
                <w:sz w:val="21"/>
                <w:szCs w:val="44"/>
                <w14:ligatures w14:val="none"/>
              </w:rPr>
            </w:pPr>
            <w:r>
              <w:rPr>
                <w:rFonts w:hint="eastAsia"/>
                <w:bCs/>
                <w:kern w:val="44"/>
                <w:sz w:val="21"/>
                <w:szCs w:val="44"/>
                <w14:ligatures w14:val="none"/>
              </w:rPr>
              <w:t>/</w:t>
            </w:r>
          </w:p>
        </w:tc>
      </w:tr>
      <w:tr w14:paraId="054F10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174" w:type="pct"/>
            <w:vMerge w:val="continue"/>
            <w:vAlign w:val="center"/>
          </w:tcPr>
          <w:p w14:paraId="77A0E0B5">
            <w:pPr>
              <w:widowControl/>
              <w:adjustRightInd w:val="0"/>
              <w:snapToGrid w:val="0"/>
              <w:spacing w:line="240" w:lineRule="auto"/>
              <w:jc w:val="center"/>
              <w:rPr>
                <w:bCs/>
                <w:kern w:val="44"/>
                <w:sz w:val="21"/>
                <w:szCs w:val="44"/>
                <w14:ligatures w14:val="none"/>
              </w:rPr>
            </w:pPr>
          </w:p>
        </w:tc>
        <w:tc>
          <w:tcPr>
            <w:tcW w:w="542" w:type="pct"/>
            <w:gridSpan w:val="2"/>
            <w:vMerge w:val="continue"/>
            <w:vAlign w:val="center"/>
          </w:tcPr>
          <w:p w14:paraId="71D96AF9">
            <w:pPr>
              <w:widowControl/>
              <w:adjustRightInd w:val="0"/>
              <w:snapToGrid w:val="0"/>
              <w:spacing w:line="240" w:lineRule="auto"/>
              <w:jc w:val="center"/>
              <w:rPr>
                <w:bCs/>
                <w:kern w:val="44"/>
                <w:sz w:val="21"/>
                <w:szCs w:val="44"/>
                <w14:ligatures w14:val="none"/>
              </w:rPr>
            </w:pPr>
          </w:p>
        </w:tc>
        <w:tc>
          <w:tcPr>
            <w:tcW w:w="296" w:type="pct"/>
            <w:vMerge w:val="continue"/>
            <w:vAlign w:val="center"/>
          </w:tcPr>
          <w:p w14:paraId="3CE9CFF6">
            <w:pPr>
              <w:widowControl/>
              <w:adjustRightInd w:val="0"/>
              <w:snapToGrid w:val="0"/>
              <w:spacing w:line="240" w:lineRule="auto"/>
              <w:jc w:val="center"/>
              <w:rPr>
                <w:bCs/>
                <w:kern w:val="44"/>
                <w:sz w:val="21"/>
                <w:szCs w:val="44"/>
                <w14:ligatures w14:val="none"/>
              </w:rPr>
            </w:pPr>
          </w:p>
        </w:tc>
        <w:tc>
          <w:tcPr>
            <w:tcW w:w="2775" w:type="pct"/>
            <w:vAlign w:val="center"/>
          </w:tcPr>
          <w:p w14:paraId="70DBF3CB">
            <w:pPr>
              <w:widowControl/>
              <w:adjustRightInd w:val="0"/>
              <w:snapToGrid w:val="0"/>
              <w:spacing w:line="240" w:lineRule="auto"/>
              <w:rPr>
                <w:bCs/>
                <w:kern w:val="44"/>
                <w:sz w:val="21"/>
                <w:szCs w:val="44"/>
                <w14:ligatures w14:val="none"/>
              </w:rPr>
            </w:pPr>
            <w:r>
              <w:rPr>
                <w:bCs/>
                <w:kern w:val="44"/>
                <w:sz w:val="21"/>
                <w:szCs w:val="44"/>
                <w14:ligatures w14:val="none"/>
              </w:rPr>
              <w:t>完善流域协作机制，流域上下游各级政府、各部门之间要加强协调配合、定期会商，实施联合监测、联合执法、应急联动、信息共享。建立严格监管所有污染物排放的水环境保护管理制度</w:t>
            </w:r>
          </w:p>
        </w:tc>
        <w:tc>
          <w:tcPr>
            <w:tcW w:w="904" w:type="pct"/>
            <w:vAlign w:val="center"/>
          </w:tcPr>
          <w:p w14:paraId="4124B45F">
            <w:pPr>
              <w:widowControl/>
              <w:adjustRightInd w:val="0"/>
              <w:snapToGrid w:val="0"/>
              <w:spacing w:line="240" w:lineRule="auto"/>
              <w:jc w:val="center"/>
              <w:rPr>
                <w:bCs/>
                <w:kern w:val="44"/>
                <w:sz w:val="21"/>
                <w:szCs w:val="44"/>
                <w14:ligatures w14:val="none"/>
              </w:rPr>
            </w:pPr>
            <w:r>
              <w:rPr>
                <w:bCs/>
                <w:kern w:val="44"/>
                <w:sz w:val="21"/>
                <w:szCs w:val="44"/>
                <w14:ligatures w14:val="none"/>
              </w:rPr>
              <w:t>本项目不涉及</w:t>
            </w:r>
          </w:p>
        </w:tc>
        <w:tc>
          <w:tcPr>
            <w:tcW w:w="309" w:type="pct"/>
            <w:vAlign w:val="center"/>
          </w:tcPr>
          <w:p w14:paraId="382883A5">
            <w:pPr>
              <w:widowControl/>
              <w:adjustRightInd w:val="0"/>
              <w:snapToGrid w:val="0"/>
              <w:spacing w:line="240" w:lineRule="auto"/>
              <w:jc w:val="center"/>
              <w:rPr>
                <w:bCs/>
                <w:kern w:val="44"/>
                <w:sz w:val="21"/>
                <w:szCs w:val="44"/>
                <w14:ligatures w14:val="none"/>
              </w:rPr>
            </w:pPr>
            <w:r>
              <w:rPr>
                <w:rFonts w:hint="eastAsia"/>
                <w:bCs/>
                <w:kern w:val="44"/>
                <w:sz w:val="21"/>
                <w:szCs w:val="44"/>
                <w14:ligatures w14:val="none"/>
              </w:rPr>
              <w:t>/</w:t>
            </w:r>
          </w:p>
        </w:tc>
      </w:tr>
      <w:tr w14:paraId="2304F5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174" w:type="pct"/>
            <w:vMerge w:val="continue"/>
            <w:vAlign w:val="center"/>
          </w:tcPr>
          <w:p w14:paraId="453259FB">
            <w:pPr>
              <w:widowControl/>
              <w:adjustRightInd w:val="0"/>
              <w:snapToGrid w:val="0"/>
              <w:spacing w:line="240" w:lineRule="auto"/>
              <w:jc w:val="center"/>
              <w:rPr>
                <w:bCs/>
                <w:kern w:val="44"/>
                <w:sz w:val="21"/>
                <w:szCs w:val="44"/>
                <w14:ligatures w14:val="none"/>
              </w:rPr>
            </w:pPr>
          </w:p>
        </w:tc>
        <w:tc>
          <w:tcPr>
            <w:tcW w:w="542" w:type="pct"/>
            <w:gridSpan w:val="2"/>
            <w:vMerge w:val="continue"/>
            <w:vAlign w:val="center"/>
          </w:tcPr>
          <w:p w14:paraId="37B2C880">
            <w:pPr>
              <w:widowControl/>
              <w:adjustRightInd w:val="0"/>
              <w:snapToGrid w:val="0"/>
              <w:spacing w:line="240" w:lineRule="auto"/>
              <w:jc w:val="center"/>
              <w:rPr>
                <w:bCs/>
                <w:kern w:val="44"/>
                <w:sz w:val="21"/>
                <w:szCs w:val="44"/>
                <w14:ligatures w14:val="none"/>
              </w:rPr>
            </w:pPr>
          </w:p>
        </w:tc>
        <w:tc>
          <w:tcPr>
            <w:tcW w:w="296" w:type="pct"/>
            <w:vMerge w:val="continue"/>
            <w:vAlign w:val="center"/>
          </w:tcPr>
          <w:p w14:paraId="60C2B9EE">
            <w:pPr>
              <w:widowControl/>
              <w:adjustRightInd w:val="0"/>
              <w:snapToGrid w:val="0"/>
              <w:spacing w:line="240" w:lineRule="auto"/>
              <w:jc w:val="center"/>
              <w:rPr>
                <w:bCs/>
                <w:kern w:val="44"/>
                <w:sz w:val="21"/>
                <w:szCs w:val="44"/>
                <w14:ligatures w14:val="none"/>
              </w:rPr>
            </w:pPr>
          </w:p>
        </w:tc>
        <w:tc>
          <w:tcPr>
            <w:tcW w:w="2775" w:type="pct"/>
            <w:vAlign w:val="center"/>
          </w:tcPr>
          <w:p w14:paraId="2963BABA">
            <w:pPr>
              <w:widowControl/>
              <w:adjustRightInd w:val="0"/>
              <w:snapToGrid w:val="0"/>
              <w:spacing w:line="240" w:lineRule="auto"/>
              <w:rPr>
                <w:bCs/>
                <w:kern w:val="44"/>
                <w:sz w:val="21"/>
                <w:szCs w:val="44"/>
                <w14:ligatures w14:val="none"/>
              </w:rPr>
            </w:pPr>
            <w:r>
              <w:rPr>
                <w:bCs/>
                <w:kern w:val="44"/>
                <w:sz w:val="21"/>
                <w:szCs w:val="44"/>
                <w14:ligatures w14:val="none"/>
              </w:rPr>
              <w:t>加强有害垃圾规范处置。分类后的有害垃圾交由具备相应利用处置资质的单位利用或无害化处置。统筹建设专业化、规模化的综合性危险废物利用处置设施，不断提升危险废物利用处置能力和水平，实现危险废物就近利用处置，确保有害垃圾得到安全处置和资源利用</w:t>
            </w:r>
          </w:p>
        </w:tc>
        <w:tc>
          <w:tcPr>
            <w:tcW w:w="904" w:type="pct"/>
            <w:vAlign w:val="center"/>
          </w:tcPr>
          <w:p w14:paraId="71FF2E2F">
            <w:pPr>
              <w:widowControl/>
              <w:adjustRightInd w:val="0"/>
              <w:snapToGrid w:val="0"/>
              <w:spacing w:line="240" w:lineRule="auto"/>
              <w:jc w:val="center"/>
              <w:rPr>
                <w:bCs/>
                <w:kern w:val="44"/>
                <w:sz w:val="21"/>
                <w:szCs w:val="44"/>
                <w14:ligatures w14:val="none"/>
              </w:rPr>
            </w:pPr>
            <w:r>
              <w:rPr>
                <w:bCs/>
                <w:kern w:val="44"/>
                <w:sz w:val="21"/>
                <w:szCs w:val="44"/>
                <w14:ligatures w14:val="none"/>
              </w:rPr>
              <w:t>本项目不涉及</w:t>
            </w:r>
          </w:p>
        </w:tc>
        <w:tc>
          <w:tcPr>
            <w:tcW w:w="309" w:type="pct"/>
            <w:vAlign w:val="center"/>
          </w:tcPr>
          <w:p w14:paraId="659BBF40">
            <w:pPr>
              <w:widowControl/>
              <w:adjustRightInd w:val="0"/>
              <w:snapToGrid w:val="0"/>
              <w:spacing w:line="240" w:lineRule="auto"/>
              <w:jc w:val="center"/>
              <w:rPr>
                <w:bCs/>
                <w:kern w:val="44"/>
                <w:sz w:val="21"/>
                <w:szCs w:val="44"/>
                <w14:ligatures w14:val="none"/>
              </w:rPr>
            </w:pPr>
            <w:r>
              <w:rPr>
                <w:rFonts w:hint="eastAsia"/>
                <w:bCs/>
                <w:kern w:val="44"/>
                <w:sz w:val="21"/>
                <w:szCs w:val="44"/>
                <w14:ligatures w14:val="none"/>
              </w:rPr>
              <w:t>/</w:t>
            </w:r>
          </w:p>
        </w:tc>
      </w:tr>
      <w:bookmarkEnd w:id="47"/>
    </w:tbl>
    <w:p w14:paraId="105C8D93"/>
    <w:p w14:paraId="49B00483">
      <w:pPr>
        <w:pStyle w:val="4"/>
        <w:rPr>
          <w:rFonts w:hint="eastAsia"/>
        </w:rPr>
      </w:pPr>
      <w:bookmarkStart w:id="48" w:name="_Toc221056335"/>
      <w:r>
        <w:rPr>
          <w:rFonts w:hint="eastAsia"/>
        </w:rPr>
        <w:t>2.7.4项目与规划环评及审查意见符合性分析</w:t>
      </w:r>
      <w:bookmarkEnd w:id="48"/>
    </w:p>
    <w:p w14:paraId="00A9F3B4">
      <w:pPr>
        <w:ind w:firstLine="468" w:firstLineChars="200"/>
        <w:rPr>
          <w:rFonts w:cs="Times New Roman"/>
          <w:spacing w:val="-3"/>
        </w:rPr>
      </w:pPr>
      <w:r>
        <w:rPr>
          <w:rFonts w:hint="eastAsia" w:cs="Times New Roman"/>
          <w:spacing w:val="-3"/>
        </w:rPr>
        <w:t>本项目位于蚌埠精细化工高新技术产业基地规划范围内，与开发区规划环评及审查意见符合性分析如下表2.7-</w:t>
      </w:r>
      <w:r>
        <w:rPr>
          <w:rFonts w:cs="Times New Roman"/>
          <w:spacing w:val="-3"/>
        </w:rPr>
        <w:t>3</w:t>
      </w:r>
      <w:r>
        <w:rPr>
          <w:rFonts w:hint="eastAsia" w:cs="Times New Roman"/>
          <w:spacing w:val="-3"/>
        </w:rPr>
        <w:t>。</w:t>
      </w:r>
    </w:p>
    <w:p w14:paraId="12F6F944">
      <w:pPr>
        <w:pStyle w:val="28"/>
        <w:rPr>
          <w:rFonts w:hint="eastAsia"/>
        </w:rPr>
      </w:pPr>
      <w:r>
        <w:rPr>
          <w:rFonts w:hint="eastAsia"/>
        </w:rPr>
        <w:t>表</w:t>
      </w:r>
      <w:r>
        <w:t>2</w:t>
      </w:r>
      <w:r>
        <w:rPr>
          <w:rFonts w:hint="eastAsia"/>
        </w:rPr>
        <w:t>.7</w:t>
      </w:r>
      <w:r>
        <w:t>-3</w:t>
      </w:r>
      <w:r>
        <w:rPr>
          <w:rFonts w:hint="eastAsia"/>
        </w:rPr>
        <w:t xml:space="preserve">  本项目与蚌埠精细化工高新技术产业基地规划及规划环评审查意见符合性</w:t>
      </w:r>
    </w:p>
    <w:tbl>
      <w:tblPr>
        <w:tblStyle w:val="36"/>
        <w:tblW w:w="14220"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958"/>
        <w:gridCol w:w="850"/>
        <w:gridCol w:w="6125"/>
        <w:gridCol w:w="5078"/>
        <w:gridCol w:w="1209"/>
      </w:tblGrid>
      <w:tr w14:paraId="7CFA39F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808" w:type="dxa"/>
            <w:gridSpan w:val="2"/>
            <w:tcBorders>
              <w:top w:val="single" w:color="auto" w:sz="4" w:space="0"/>
              <w:left w:val="single" w:color="auto" w:sz="4" w:space="0"/>
              <w:bottom w:val="single" w:color="auto" w:sz="4" w:space="0"/>
              <w:right w:val="single" w:color="auto" w:sz="4" w:space="0"/>
            </w:tcBorders>
            <w:vAlign w:val="center"/>
          </w:tcPr>
          <w:p w14:paraId="27C55403">
            <w:pPr>
              <w:pStyle w:val="43"/>
              <w:snapToGrid w:val="0"/>
              <w:jc w:val="center"/>
              <w:rPr>
                <w:rFonts w:ascii="Times New Roman" w:cs="Times New Roman"/>
                <w:color w:val="000000" w:themeColor="text1"/>
                <w:sz w:val="21"/>
                <w:szCs w:val="21"/>
                <w14:textFill>
                  <w14:solidFill>
                    <w14:schemeClr w14:val="tx1"/>
                  </w14:solidFill>
                </w14:textFill>
              </w:rPr>
            </w:pPr>
            <w:r>
              <w:rPr>
                <w:rFonts w:hint="eastAsia" w:ascii="Times New Roman" w:cs="Times New Roman"/>
                <w:color w:val="000000" w:themeColor="text1"/>
                <w:kern w:val="2"/>
                <w:sz w:val="21"/>
                <w:szCs w:val="21"/>
                <w14:textFill>
                  <w14:solidFill>
                    <w14:schemeClr w14:val="tx1"/>
                  </w14:solidFill>
                </w14:textFill>
              </w:rPr>
              <w:t>分析内容</w:t>
            </w:r>
          </w:p>
        </w:tc>
        <w:tc>
          <w:tcPr>
            <w:tcW w:w="6125" w:type="dxa"/>
            <w:tcBorders>
              <w:top w:val="single" w:color="auto" w:sz="4" w:space="0"/>
              <w:left w:val="single" w:color="auto" w:sz="4" w:space="0"/>
              <w:bottom w:val="single" w:color="auto" w:sz="4" w:space="0"/>
              <w:right w:val="single" w:color="auto" w:sz="4" w:space="0"/>
            </w:tcBorders>
            <w:vAlign w:val="center"/>
          </w:tcPr>
          <w:p w14:paraId="5834BFCE">
            <w:pPr>
              <w:pStyle w:val="43"/>
              <w:snapToGrid w:val="0"/>
              <w:jc w:val="center"/>
              <w:rPr>
                <w:rFonts w:ascii="Times New Roman" w:cs="Times New Roman"/>
                <w:color w:val="000000" w:themeColor="text1"/>
                <w:sz w:val="21"/>
                <w:szCs w:val="21"/>
                <w14:textFill>
                  <w14:solidFill>
                    <w14:schemeClr w14:val="tx1"/>
                  </w14:solidFill>
                </w14:textFill>
              </w:rPr>
            </w:pPr>
            <w:r>
              <w:rPr>
                <w:rFonts w:hint="eastAsia" w:ascii="Times New Roman" w:cs="Times New Roman"/>
                <w:color w:val="000000" w:themeColor="text1"/>
                <w:kern w:val="2"/>
                <w:sz w:val="21"/>
                <w:szCs w:val="21"/>
                <w14:textFill>
                  <w14:solidFill>
                    <w14:schemeClr w14:val="tx1"/>
                  </w14:solidFill>
                </w14:textFill>
              </w:rPr>
              <w:t>蚌埠精细化工高新技术产业基地规划相关内容</w:t>
            </w:r>
          </w:p>
        </w:tc>
        <w:tc>
          <w:tcPr>
            <w:tcW w:w="5078" w:type="dxa"/>
            <w:tcBorders>
              <w:top w:val="single" w:color="auto" w:sz="4" w:space="0"/>
              <w:left w:val="single" w:color="auto" w:sz="4" w:space="0"/>
              <w:bottom w:val="single" w:color="auto" w:sz="4" w:space="0"/>
              <w:right w:val="single" w:color="auto" w:sz="4" w:space="0"/>
            </w:tcBorders>
            <w:vAlign w:val="center"/>
          </w:tcPr>
          <w:p w14:paraId="7AAF39AE">
            <w:pPr>
              <w:pStyle w:val="43"/>
              <w:snapToGrid w:val="0"/>
              <w:jc w:val="center"/>
              <w:rPr>
                <w:rFonts w:ascii="Times New Roman" w:cs="Times New Roman"/>
                <w:color w:val="000000" w:themeColor="text1"/>
                <w:sz w:val="21"/>
                <w:szCs w:val="21"/>
                <w14:textFill>
                  <w14:solidFill>
                    <w14:schemeClr w14:val="tx1"/>
                  </w14:solidFill>
                </w14:textFill>
              </w:rPr>
            </w:pPr>
            <w:r>
              <w:rPr>
                <w:rFonts w:hint="eastAsia" w:ascii="Times New Roman" w:cs="Times New Roman"/>
                <w:color w:val="000000" w:themeColor="text1"/>
                <w:kern w:val="2"/>
                <w:sz w:val="21"/>
                <w:szCs w:val="21"/>
                <w14:textFill>
                  <w14:solidFill>
                    <w14:schemeClr w14:val="tx1"/>
                  </w14:solidFill>
                </w14:textFill>
              </w:rPr>
              <w:t>本项目与规划的符合性情况</w:t>
            </w:r>
          </w:p>
        </w:tc>
        <w:tc>
          <w:tcPr>
            <w:tcW w:w="1209" w:type="dxa"/>
            <w:tcBorders>
              <w:top w:val="single" w:color="auto" w:sz="4" w:space="0"/>
              <w:left w:val="single" w:color="auto" w:sz="4" w:space="0"/>
              <w:bottom w:val="single" w:color="auto" w:sz="4" w:space="0"/>
              <w:right w:val="single" w:color="auto" w:sz="4" w:space="0"/>
            </w:tcBorders>
            <w:vAlign w:val="center"/>
          </w:tcPr>
          <w:p w14:paraId="2F44C9B0">
            <w:pPr>
              <w:pStyle w:val="43"/>
              <w:snapToGrid w:val="0"/>
              <w:jc w:val="center"/>
              <w:rPr>
                <w:rFonts w:ascii="Times New Roman" w:cs="Times New Roman"/>
                <w:color w:val="000000" w:themeColor="text1"/>
                <w:sz w:val="21"/>
                <w:szCs w:val="21"/>
                <w14:textFill>
                  <w14:solidFill>
                    <w14:schemeClr w14:val="tx1"/>
                  </w14:solidFill>
                </w14:textFill>
              </w:rPr>
            </w:pPr>
            <w:r>
              <w:rPr>
                <w:rFonts w:hint="eastAsia" w:ascii="Times New Roman" w:cs="Times New Roman"/>
                <w:color w:val="000000" w:themeColor="text1"/>
                <w:kern w:val="2"/>
                <w:sz w:val="21"/>
                <w:szCs w:val="21"/>
                <w14:textFill>
                  <w14:solidFill>
                    <w14:schemeClr w14:val="tx1"/>
                  </w14:solidFill>
                </w14:textFill>
              </w:rPr>
              <w:t>是否符合</w:t>
            </w:r>
          </w:p>
        </w:tc>
      </w:tr>
      <w:tr w14:paraId="2CB97E8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958" w:type="dxa"/>
            <w:vMerge w:val="restart"/>
            <w:tcBorders>
              <w:top w:val="single" w:color="auto" w:sz="4" w:space="0"/>
              <w:left w:val="single" w:color="auto" w:sz="4" w:space="0"/>
              <w:bottom w:val="single" w:color="auto" w:sz="4" w:space="0"/>
              <w:right w:val="single" w:color="auto" w:sz="4" w:space="0"/>
            </w:tcBorders>
            <w:vAlign w:val="center"/>
          </w:tcPr>
          <w:p w14:paraId="268F323E">
            <w:pPr>
              <w:pStyle w:val="43"/>
              <w:snapToGrid w:val="0"/>
              <w:jc w:val="center"/>
              <w:rPr>
                <w:rFonts w:ascii="Times New Roman" w:cs="Times New Roman"/>
                <w:color w:val="000000" w:themeColor="text1"/>
                <w:sz w:val="21"/>
                <w:szCs w:val="21"/>
                <w14:textFill>
                  <w14:solidFill>
                    <w14:schemeClr w14:val="tx1"/>
                  </w14:solidFill>
                </w14:textFill>
              </w:rPr>
            </w:pPr>
            <w:r>
              <w:rPr>
                <w:rFonts w:hint="eastAsia" w:ascii="Times New Roman" w:cs="Times New Roman"/>
                <w:color w:val="000000" w:themeColor="text1"/>
                <w:kern w:val="2"/>
                <w:sz w:val="21"/>
                <w:szCs w:val="21"/>
                <w14:textFill>
                  <w14:solidFill>
                    <w14:schemeClr w14:val="tx1"/>
                  </w14:solidFill>
                </w14:textFill>
              </w:rPr>
              <w:t>蚌</w:t>
            </w:r>
            <w:r>
              <w:rPr>
                <w:rFonts w:ascii="Times New Roman" w:cs="Times New Roman"/>
                <w:color w:val="000000" w:themeColor="text1"/>
                <w:kern w:val="2"/>
                <w:sz w:val="21"/>
                <w:szCs w:val="21"/>
                <w14:textFill>
                  <w14:solidFill>
                    <w14:schemeClr w14:val="tx1"/>
                  </w14:solidFill>
                </w14:textFill>
              </w:rPr>
              <w:t xml:space="preserve"> </w:t>
            </w:r>
            <w:r>
              <w:rPr>
                <w:rFonts w:hint="eastAsia" w:ascii="Times New Roman" w:cs="Times New Roman"/>
                <w:color w:val="000000" w:themeColor="text1"/>
                <w:kern w:val="2"/>
                <w:sz w:val="21"/>
                <w:szCs w:val="21"/>
                <w14:textFill>
                  <w14:solidFill>
                    <w14:schemeClr w14:val="tx1"/>
                  </w14:solidFill>
                </w14:textFill>
              </w:rPr>
              <w:t>埠</w:t>
            </w:r>
            <w:r>
              <w:rPr>
                <w:rFonts w:ascii="Times New Roman" w:cs="Times New Roman"/>
                <w:color w:val="000000" w:themeColor="text1"/>
                <w:kern w:val="2"/>
                <w:sz w:val="21"/>
                <w:szCs w:val="21"/>
                <w14:textFill>
                  <w14:solidFill>
                    <w14:schemeClr w14:val="tx1"/>
                  </w14:solidFill>
                </w14:textFill>
              </w:rPr>
              <w:t xml:space="preserve"> </w:t>
            </w:r>
            <w:r>
              <w:rPr>
                <w:rFonts w:hint="eastAsia" w:ascii="Times New Roman" w:cs="Times New Roman"/>
                <w:color w:val="000000" w:themeColor="text1"/>
                <w:kern w:val="2"/>
                <w:sz w:val="21"/>
                <w:szCs w:val="21"/>
                <w14:textFill>
                  <w14:solidFill>
                    <w14:schemeClr w14:val="tx1"/>
                  </w14:solidFill>
                </w14:textFill>
              </w:rPr>
              <w:t>精</w:t>
            </w:r>
            <w:r>
              <w:rPr>
                <w:rFonts w:ascii="Times New Roman" w:cs="Times New Roman"/>
                <w:color w:val="000000" w:themeColor="text1"/>
                <w:kern w:val="2"/>
                <w:sz w:val="21"/>
                <w:szCs w:val="21"/>
                <w14:textFill>
                  <w14:solidFill>
                    <w14:schemeClr w14:val="tx1"/>
                  </w14:solidFill>
                </w14:textFill>
              </w:rPr>
              <w:t xml:space="preserve"> </w:t>
            </w:r>
            <w:r>
              <w:rPr>
                <w:rFonts w:hint="eastAsia" w:ascii="Times New Roman" w:cs="Times New Roman"/>
                <w:color w:val="000000" w:themeColor="text1"/>
                <w:kern w:val="2"/>
                <w:sz w:val="21"/>
                <w:szCs w:val="21"/>
                <w14:textFill>
                  <w14:solidFill>
                    <w14:schemeClr w14:val="tx1"/>
                  </w14:solidFill>
                </w14:textFill>
              </w:rPr>
              <w:t>细</w:t>
            </w:r>
            <w:r>
              <w:rPr>
                <w:rFonts w:ascii="Times New Roman" w:cs="Times New Roman"/>
                <w:color w:val="000000" w:themeColor="text1"/>
                <w:kern w:val="2"/>
                <w:sz w:val="21"/>
                <w:szCs w:val="21"/>
                <w14:textFill>
                  <w14:solidFill>
                    <w14:schemeClr w14:val="tx1"/>
                  </w14:solidFill>
                </w14:textFill>
              </w:rPr>
              <w:t xml:space="preserve"> </w:t>
            </w:r>
            <w:r>
              <w:rPr>
                <w:rFonts w:hint="eastAsia" w:ascii="Times New Roman" w:cs="Times New Roman"/>
                <w:color w:val="000000" w:themeColor="text1"/>
                <w:kern w:val="2"/>
                <w:sz w:val="21"/>
                <w:szCs w:val="21"/>
                <w14:textFill>
                  <w14:solidFill>
                    <w14:schemeClr w14:val="tx1"/>
                  </w14:solidFill>
                </w14:textFill>
              </w:rPr>
              <w:t>化</w:t>
            </w:r>
            <w:r>
              <w:rPr>
                <w:rFonts w:ascii="Times New Roman" w:cs="Times New Roman"/>
                <w:color w:val="000000" w:themeColor="text1"/>
                <w:kern w:val="2"/>
                <w:sz w:val="21"/>
                <w:szCs w:val="21"/>
                <w14:textFill>
                  <w14:solidFill>
                    <w14:schemeClr w14:val="tx1"/>
                  </w14:solidFill>
                </w14:textFill>
              </w:rPr>
              <w:t xml:space="preserve"> </w:t>
            </w:r>
            <w:r>
              <w:rPr>
                <w:rFonts w:hint="eastAsia" w:ascii="Times New Roman" w:cs="Times New Roman"/>
                <w:color w:val="000000" w:themeColor="text1"/>
                <w:kern w:val="2"/>
                <w:sz w:val="21"/>
                <w:szCs w:val="21"/>
                <w14:textFill>
                  <w14:solidFill>
                    <w14:schemeClr w14:val="tx1"/>
                  </w14:solidFill>
                </w14:textFill>
              </w:rPr>
              <w:t>工</w:t>
            </w:r>
            <w:r>
              <w:rPr>
                <w:rFonts w:ascii="Times New Roman" w:cs="Times New Roman"/>
                <w:color w:val="000000" w:themeColor="text1"/>
                <w:kern w:val="2"/>
                <w:sz w:val="21"/>
                <w:szCs w:val="21"/>
                <w14:textFill>
                  <w14:solidFill>
                    <w14:schemeClr w14:val="tx1"/>
                  </w14:solidFill>
                </w14:textFill>
              </w:rPr>
              <w:t xml:space="preserve"> </w:t>
            </w:r>
            <w:r>
              <w:rPr>
                <w:rFonts w:hint="eastAsia" w:ascii="Times New Roman" w:cs="Times New Roman"/>
                <w:color w:val="000000" w:themeColor="text1"/>
                <w:kern w:val="2"/>
                <w:sz w:val="21"/>
                <w:szCs w:val="21"/>
                <w14:textFill>
                  <w14:solidFill>
                    <w14:schemeClr w14:val="tx1"/>
                  </w14:solidFill>
                </w14:textFill>
              </w:rPr>
              <w:t>高</w:t>
            </w:r>
            <w:r>
              <w:rPr>
                <w:rFonts w:ascii="Times New Roman" w:cs="Times New Roman"/>
                <w:color w:val="000000" w:themeColor="text1"/>
                <w:kern w:val="2"/>
                <w:sz w:val="21"/>
                <w:szCs w:val="21"/>
                <w14:textFill>
                  <w14:solidFill>
                    <w14:schemeClr w14:val="tx1"/>
                  </w14:solidFill>
                </w14:textFill>
              </w:rPr>
              <w:t xml:space="preserve"> </w:t>
            </w:r>
            <w:r>
              <w:rPr>
                <w:rFonts w:hint="eastAsia" w:ascii="Times New Roman" w:cs="Times New Roman"/>
                <w:color w:val="000000" w:themeColor="text1"/>
                <w:kern w:val="2"/>
                <w:sz w:val="21"/>
                <w:szCs w:val="21"/>
                <w14:textFill>
                  <w14:solidFill>
                    <w14:schemeClr w14:val="tx1"/>
                  </w14:solidFill>
                </w14:textFill>
              </w:rPr>
              <w:t>新</w:t>
            </w:r>
            <w:r>
              <w:rPr>
                <w:rFonts w:ascii="Times New Roman" w:cs="Times New Roman"/>
                <w:color w:val="000000" w:themeColor="text1"/>
                <w:kern w:val="2"/>
                <w:sz w:val="21"/>
                <w:szCs w:val="21"/>
                <w14:textFill>
                  <w14:solidFill>
                    <w14:schemeClr w14:val="tx1"/>
                  </w14:solidFill>
                </w14:textFill>
              </w:rPr>
              <w:t xml:space="preserve"> </w:t>
            </w:r>
            <w:r>
              <w:rPr>
                <w:rFonts w:hint="eastAsia" w:ascii="Times New Roman" w:cs="Times New Roman"/>
                <w:color w:val="000000" w:themeColor="text1"/>
                <w:kern w:val="2"/>
                <w:sz w:val="21"/>
                <w:szCs w:val="21"/>
                <w14:textFill>
                  <w14:solidFill>
                    <w14:schemeClr w14:val="tx1"/>
                  </w14:solidFill>
                </w14:textFill>
              </w:rPr>
              <w:t>技</w:t>
            </w:r>
            <w:r>
              <w:rPr>
                <w:rFonts w:ascii="Times New Roman" w:cs="Times New Roman"/>
                <w:color w:val="000000" w:themeColor="text1"/>
                <w:kern w:val="2"/>
                <w:sz w:val="21"/>
                <w:szCs w:val="21"/>
                <w14:textFill>
                  <w14:solidFill>
                    <w14:schemeClr w14:val="tx1"/>
                  </w14:solidFill>
                </w14:textFill>
              </w:rPr>
              <w:t xml:space="preserve"> </w:t>
            </w:r>
            <w:r>
              <w:rPr>
                <w:rFonts w:hint="eastAsia" w:ascii="Times New Roman" w:cs="Times New Roman"/>
                <w:color w:val="000000" w:themeColor="text1"/>
                <w:kern w:val="2"/>
                <w:sz w:val="21"/>
                <w:szCs w:val="21"/>
                <w14:textFill>
                  <w14:solidFill>
                    <w14:schemeClr w14:val="tx1"/>
                  </w14:solidFill>
                </w14:textFill>
              </w:rPr>
              <w:t>术</w:t>
            </w:r>
            <w:r>
              <w:rPr>
                <w:rFonts w:ascii="Times New Roman" w:cs="Times New Roman"/>
                <w:color w:val="000000" w:themeColor="text1"/>
                <w:kern w:val="2"/>
                <w:sz w:val="21"/>
                <w:szCs w:val="21"/>
                <w14:textFill>
                  <w14:solidFill>
                    <w14:schemeClr w14:val="tx1"/>
                  </w14:solidFill>
                </w14:textFill>
              </w:rPr>
              <w:t xml:space="preserve"> </w:t>
            </w:r>
            <w:r>
              <w:rPr>
                <w:rFonts w:hint="eastAsia" w:ascii="Times New Roman" w:cs="Times New Roman"/>
                <w:color w:val="000000" w:themeColor="text1"/>
                <w:kern w:val="2"/>
                <w:sz w:val="21"/>
                <w:szCs w:val="21"/>
                <w14:textFill>
                  <w14:solidFill>
                    <w14:schemeClr w14:val="tx1"/>
                  </w14:solidFill>
                </w14:textFill>
              </w:rPr>
              <w:t>产</w:t>
            </w:r>
            <w:r>
              <w:rPr>
                <w:rFonts w:ascii="Times New Roman" w:cs="Times New Roman"/>
                <w:color w:val="000000" w:themeColor="text1"/>
                <w:kern w:val="2"/>
                <w:sz w:val="21"/>
                <w:szCs w:val="21"/>
                <w14:textFill>
                  <w14:solidFill>
                    <w14:schemeClr w14:val="tx1"/>
                  </w14:solidFill>
                </w14:textFill>
              </w:rPr>
              <w:t xml:space="preserve"> </w:t>
            </w:r>
            <w:r>
              <w:rPr>
                <w:rFonts w:hint="eastAsia" w:ascii="Times New Roman" w:cs="Times New Roman"/>
                <w:color w:val="000000" w:themeColor="text1"/>
                <w:kern w:val="2"/>
                <w:sz w:val="21"/>
                <w:szCs w:val="21"/>
                <w14:textFill>
                  <w14:solidFill>
                    <w14:schemeClr w14:val="tx1"/>
                  </w14:solidFill>
                </w14:textFill>
              </w:rPr>
              <w:t>业</w:t>
            </w:r>
            <w:r>
              <w:rPr>
                <w:rFonts w:ascii="Times New Roman" w:cs="Times New Roman"/>
                <w:color w:val="000000" w:themeColor="text1"/>
                <w:kern w:val="2"/>
                <w:sz w:val="21"/>
                <w:szCs w:val="21"/>
                <w14:textFill>
                  <w14:solidFill>
                    <w14:schemeClr w14:val="tx1"/>
                  </w14:solidFill>
                </w14:textFill>
              </w:rPr>
              <w:t xml:space="preserve"> </w:t>
            </w:r>
            <w:r>
              <w:rPr>
                <w:rFonts w:hint="eastAsia" w:ascii="Times New Roman" w:cs="Times New Roman"/>
                <w:color w:val="000000" w:themeColor="text1"/>
                <w:kern w:val="2"/>
                <w:sz w:val="21"/>
                <w:szCs w:val="21"/>
                <w14:textFill>
                  <w14:solidFill>
                    <w14:schemeClr w14:val="tx1"/>
                  </w14:solidFill>
                </w14:textFill>
              </w:rPr>
              <w:t>基</w:t>
            </w:r>
            <w:r>
              <w:rPr>
                <w:rFonts w:ascii="Times New Roman" w:cs="Times New Roman"/>
                <w:color w:val="000000" w:themeColor="text1"/>
                <w:kern w:val="2"/>
                <w:sz w:val="21"/>
                <w:szCs w:val="21"/>
                <w14:textFill>
                  <w14:solidFill>
                    <w14:schemeClr w14:val="tx1"/>
                  </w14:solidFill>
                </w14:textFill>
              </w:rPr>
              <w:t xml:space="preserve"> </w:t>
            </w:r>
            <w:r>
              <w:rPr>
                <w:rFonts w:hint="eastAsia" w:ascii="Times New Roman" w:cs="Times New Roman"/>
                <w:color w:val="000000" w:themeColor="text1"/>
                <w:kern w:val="2"/>
                <w:sz w:val="21"/>
                <w:szCs w:val="21"/>
                <w14:textFill>
                  <w14:solidFill>
                    <w14:schemeClr w14:val="tx1"/>
                  </w14:solidFill>
                </w14:textFill>
              </w:rPr>
              <w:t>地</w:t>
            </w:r>
            <w:r>
              <w:rPr>
                <w:rFonts w:ascii="Times New Roman" w:cs="Times New Roman"/>
                <w:color w:val="000000" w:themeColor="text1"/>
                <w:kern w:val="2"/>
                <w:sz w:val="21"/>
                <w:szCs w:val="21"/>
                <w14:textFill>
                  <w14:solidFill>
                    <w14:schemeClr w14:val="tx1"/>
                  </w14:solidFill>
                </w14:textFill>
              </w:rPr>
              <w:t xml:space="preserve"> </w:t>
            </w:r>
            <w:r>
              <w:rPr>
                <w:rFonts w:hint="eastAsia" w:ascii="Times New Roman" w:cs="Times New Roman"/>
                <w:color w:val="000000" w:themeColor="text1"/>
                <w:kern w:val="2"/>
                <w:sz w:val="21"/>
                <w:szCs w:val="21"/>
                <w14:textFill>
                  <w14:solidFill>
                    <w14:schemeClr w14:val="tx1"/>
                  </w14:solidFill>
                </w14:textFill>
              </w:rPr>
              <w:t>规</w:t>
            </w:r>
            <w:r>
              <w:rPr>
                <w:rFonts w:ascii="Times New Roman" w:cs="Times New Roman"/>
                <w:color w:val="000000" w:themeColor="text1"/>
                <w:kern w:val="2"/>
                <w:sz w:val="21"/>
                <w:szCs w:val="21"/>
                <w14:textFill>
                  <w14:solidFill>
                    <w14:schemeClr w14:val="tx1"/>
                  </w14:solidFill>
                </w14:textFill>
              </w:rPr>
              <w:t xml:space="preserve"> </w:t>
            </w:r>
            <w:r>
              <w:rPr>
                <w:rFonts w:hint="eastAsia" w:ascii="Times New Roman" w:cs="Times New Roman"/>
                <w:color w:val="000000" w:themeColor="text1"/>
                <w:kern w:val="2"/>
                <w:sz w:val="21"/>
                <w:szCs w:val="21"/>
                <w14:textFill>
                  <w14:solidFill>
                    <w14:schemeClr w14:val="tx1"/>
                  </w14:solidFill>
                </w14:textFill>
              </w:rPr>
              <w:t>划</w:t>
            </w:r>
          </w:p>
        </w:tc>
        <w:tc>
          <w:tcPr>
            <w:tcW w:w="850" w:type="dxa"/>
            <w:tcBorders>
              <w:top w:val="single" w:color="auto" w:sz="4" w:space="0"/>
              <w:left w:val="single" w:color="auto" w:sz="4" w:space="0"/>
              <w:bottom w:val="single" w:color="auto" w:sz="4" w:space="0"/>
              <w:right w:val="single" w:color="auto" w:sz="4" w:space="0"/>
            </w:tcBorders>
            <w:vAlign w:val="center"/>
          </w:tcPr>
          <w:p w14:paraId="5E874944">
            <w:pPr>
              <w:pStyle w:val="43"/>
              <w:snapToGrid w:val="0"/>
              <w:jc w:val="center"/>
              <w:rPr>
                <w:rFonts w:ascii="Times New Roman" w:cs="Times New Roman"/>
                <w:color w:val="000000" w:themeColor="text1"/>
                <w:sz w:val="21"/>
                <w:szCs w:val="21"/>
                <w14:textFill>
                  <w14:solidFill>
                    <w14:schemeClr w14:val="tx1"/>
                  </w14:solidFill>
                </w14:textFill>
              </w:rPr>
            </w:pPr>
            <w:r>
              <w:rPr>
                <w:rFonts w:hint="eastAsia" w:ascii="Times New Roman" w:cs="Times New Roman"/>
                <w:color w:val="000000" w:themeColor="text1"/>
                <w:kern w:val="2"/>
                <w:sz w:val="21"/>
                <w:szCs w:val="21"/>
                <w14:textFill>
                  <w14:solidFill>
                    <w14:schemeClr w14:val="tx1"/>
                  </w14:solidFill>
                </w14:textFill>
              </w:rPr>
              <w:t>规划区范围</w:t>
            </w:r>
          </w:p>
        </w:tc>
        <w:tc>
          <w:tcPr>
            <w:tcW w:w="6125" w:type="dxa"/>
            <w:tcBorders>
              <w:top w:val="single" w:color="auto" w:sz="4" w:space="0"/>
              <w:left w:val="single" w:color="auto" w:sz="4" w:space="0"/>
              <w:bottom w:val="single" w:color="auto" w:sz="4" w:space="0"/>
              <w:right w:val="single" w:color="auto" w:sz="4" w:space="0"/>
            </w:tcBorders>
            <w:vAlign w:val="center"/>
          </w:tcPr>
          <w:p w14:paraId="0712A041">
            <w:pPr>
              <w:pStyle w:val="43"/>
              <w:snapToGrid w:val="0"/>
              <w:jc w:val="both"/>
              <w:rPr>
                <w:rFonts w:ascii="Times New Roman" w:cs="Times New Roman"/>
                <w:color w:val="000000" w:themeColor="text1"/>
                <w:sz w:val="21"/>
                <w:szCs w:val="21"/>
                <w14:textFill>
                  <w14:solidFill>
                    <w14:schemeClr w14:val="tx1"/>
                  </w14:solidFill>
                </w14:textFill>
              </w:rPr>
            </w:pPr>
            <w:r>
              <w:rPr>
                <w:rFonts w:hint="eastAsia" w:ascii="Times New Roman" w:cs="Times New Roman"/>
                <w:color w:val="000000" w:themeColor="text1"/>
                <w:kern w:val="2"/>
                <w:sz w:val="21"/>
                <w:szCs w:val="21"/>
                <w14:textFill>
                  <w14:solidFill>
                    <w14:schemeClr w14:val="tx1"/>
                  </w14:solidFill>
                </w14:textFill>
              </w:rPr>
              <w:t>蚌埠精细化工高新技术产业基地位于五河县沫河口镇区的东部，南起洪庙路，北至主干路工业大道，西面至三铺大沟，东面至规划的横岭路，总规划面积约</w:t>
            </w:r>
            <w:r>
              <w:rPr>
                <w:rFonts w:ascii="Times New Roman" w:cs="Times New Roman"/>
                <w:color w:val="000000" w:themeColor="text1"/>
                <w:kern w:val="2"/>
                <w:sz w:val="21"/>
                <w:szCs w:val="21"/>
                <w14:textFill>
                  <w14:solidFill>
                    <w14:schemeClr w14:val="tx1"/>
                  </w14:solidFill>
                </w14:textFill>
              </w:rPr>
              <w:t>5.8km</w:t>
            </w:r>
            <w:r>
              <w:rPr>
                <w:rFonts w:ascii="Times New Roman" w:cs="Times New Roman"/>
                <w:color w:val="000000" w:themeColor="text1"/>
                <w:kern w:val="2"/>
                <w:sz w:val="21"/>
                <w:szCs w:val="21"/>
                <w:vertAlign w:val="superscript"/>
                <w14:textFill>
                  <w14:solidFill>
                    <w14:schemeClr w14:val="tx1"/>
                  </w14:solidFill>
                </w14:textFill>
              </w:rPr>
              <w:t>2</w:t>
            </w:r>
            <w:r>
              <w:rPr>
                <w:rFonts w:hint="eastAsia" w:ascii="Times New Roman" w:cs="Times New Roman"/>
                <w:color w:val="000000" w:themeColor="text1"/>
                <w:kern w:val="2"/>
                <w:sz w:val="21"/>
                <w:szCs w:val="21"/>
                <w14:textFill>
                  <w14:solidFill>
                    <w14:schemeClr w14:val="tx1"/>
                  </w14:solidFill>
                </w14:textFill>
              </w:rPr>
              <w:t>；其中近期规划面积</w:t>
            </w:r>
            <w:r>
              <w:rPr>
                <w:rFonts w:ascii="Times New Roman" w:cs="Times New Roman"/>
                <w:color w:val="000000" w:themeColor="text1"/>
                <w:kern w:val="2"/>
                <w:sz w:val="21"/>
                <w:szCs w:val="21"/>
                <w14:textFill>
                  <w14:solidFill>
                    <w14:schemeClr w14:val="tx1"/>
                  </w14:solidFill>
                </w14:textFill>
              </w:rPr>
              <w:t>1.8km</w:t>
            </w:r>
            <w:r>
              <w:rPr>
                <w:rFonts w:ascii="Times New Roman" w:cs="Times New Roman"/>
                <w:color w:val="000000" w:themeColor="text1"/>
                <w:kern w:val="2"/>
                <w:sz w:val="21"/>
                <w:szCs w:val="21"/>
                <w:vertAlign w:val="superscript"/>
                <w14:textFill>
                  <w14:solidFill>
                    <w14:schemeClr w14:val="tx1"/>
                  </w14:solidFill>
                </w14:textFill>
              </w:rPr>
              <w:t>2</w:t>
            </w:r>
            <w:r>
              <w:rPr>
                <w:rFonts w:hint="eastAsia" w:ascii="Times New Roman" w:cs="Times New Roman"/>
                <w:color w:val="000000" w:themeColor="text1"/>
                <w:kern w:val="2"/>
                <w:sz w:val="21"/>
                <w:szCs w:val="21"/>
                <w14:textFill>
                  <w14:solidFill>
                    <w14:schemeClr w14:val="tx1"/>
                  </w14:solidFill>
                </w14:textFill>
              </w:rPr>
              <w:t>，四至范围为：东至横岭路，西至交通路，南至曹吴路，北至工业大道。</w:t>
            </w:r>
          </w:p>
        </w:tc>
        <w:tc>
          <w:tcPr>
            <w:tcW w:w="5078" w:type="dxa"/>
            <w:tcBorders>
              <w:top w:val="single" w:color="auto" w:sz="4" w:space="0"/>
              <w:left w:val="single" w:color="auto" w:sz="4" w:space="0"/>
              <w:bottom w:val="single" w:color="auto" w:sz="4" w:space="0"/>
              <w:right w:val="single" w:color="auto" w:sz="4" w:space="0"/>
            </w:tcBorders>
            <w:vAlign w:val="center"/>
          </w:tcPr>
          <w:p w14:paraId="709A9C53">
            <w:pPr>
              <w:pStyle w:val="43"/>
              <w:snapToGrid w:val="0"/>
              <w:jc w:val="both"/>
              <w:rPr>
                <w:rFonts w:ascii="Times New Roman" w:cs="Times New Roman"/>
                <w:color w:val="000000" w:themeColor="text1"/>
                <w:sz w:val="21"/>
                <w:szCs w:val="21"/>
                <w14:textFill>
                  <w14:solidFill>
                    <w14:schemeClr w14:val="tx1"/>
                  </w14:solidFill>
                </w14:textFill>
              </w:rPr>
            </w:pPr>
            <w:r>
              <w:rPr>
                <w:rFonts w:hint="eastAsia" w:ascii="Times New Roman" w:cs="Times New Roman"/>
                <w:color w:val="000000" w:themeColor="text1"/>
                <w:kern w:val="2"/>
                <w:sz w:val="21"/>
                <w:szCs w:val="21"/>
                <w14:textFill>
                  <w14:solidFill>
                    <w14:schemeClr w14:val="tx1"/>
                  </w14:solidFill>
                </w14:textFill>
              </w:rPr>
              <w:t>本项目位于蚌埠精细化工高新技术产业基地开源大道38号的海华公司现有厂内东侧，属于蚌埠精细化工高新技术产业基地规划范围内</w:t>
            </w:r>
          </w:p>
        </w:tc>
        <w:tc>
          <w:tcPr>
            <w:tcW w:w="1209" w:type="dxa"/>
            <w:tcBorders>
              <w:top w:val="single" w:color="auto" w:sz="4" w:space="0"/>
              <w:left w:val="single" w:color="auto" w:sz="4" w:space="0"/>
              <w:bottom w:val="single" w:color="auto" w:sz="4" w:space="0"/>
              <w:right w:val="single" w:color="auto" w:sz="4" w:space="0"/>
            </w:tcBorders>
            <w:vAlign w:val="center"/>
          </w:tcPr>
          <w:p w14:paraId="766C1DA0">
            <w:pPr>
              <w:pStyle w:val="43"/>
              <w:snapToGrid w:val="0"/>
              <w:jc w:val="center"/>
              <w:rPr>
                <w:rFonts w:ascii="Times New Roman" w:cs="Times New Roman"/>
                <w:color w:val="000000" w:themeColor="text1"/>
                <w:sz w:val="21"/>
                <w:szCs w:val="21"/>
                <w14:textFill>
                  <w14:solidFill>
                    <w14:schemeClr w14:val="tx1"/>
                  </w14:solidFill>
                </w14:textFill>
              </w:rPr>
            </w:pPr>
            <w:r>
              <w:rPr>
                <w:rFonts w:hint="eastAsia" w:ascii="Times New Roman" w:cs="Times New Roman"/>
                <w:color w:val="000000" w:themeColor="text1"/>
                <w:kern w:val="2"/>
                <w:sz w:val="21"/>
                <w:szCs w:val="21"/>
                <w14:textFill>
                  <w14:solidFill>
                    <w14:schemeClr w14:val="tx1"/>
                  </w14:solidFill>
                </w14:textFill>
              </w:rPr>
              <w:t>符合</w:t>
            </w:r>
          </w:p>
        </w:tc>
      </w:tr>
      <w:tr w14:paraId="0B6B1E7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958" w:type="dxa"/>
            <w:vMerge w:val="continue"/>
            <w:tcBorders>
              <w:top w:val="single" w:color="auto" w:sz="4" w:space="0"/>
              <w:left w:val="single" w:color="auto" w:sz="4" w:space="0"/>
              <w:bottom w:val="single" w:color="auto" w:sz="4" w:space="0"/>
              <w:right w:val="single" w:color="auto" w:sz="4" w:space="0"/>
            </w:tcBorders>
            <w:vAlign w:val="center"/>
          </w:tcPr>
          <w:p w14:paraId="6338078A">
            <w:pPr>
              <w:widowControl/>
              <w:spacing w:line="240" w:lineRule="auto"/>
              <w:jc w:val="left"/>
              <w:rPr>
                <w:kern w:val="0"/>
                <w:szCs w:val="21"/>
              </w:rPr>
            </w:pPr>
          </w:p>
        </w:tc>
        <w:tc>
          <w:tcPr>
            <w:tcW w:w="850" w:type="dxa"/>
            <w:tcBorders>
              <w:top w:val="single" w:color="auto" w:sz="4" w:space="0"/>
              <w:left w:val="single" w:color="auto" w:sz="4" w:space="0"/>
              <w:bottom w:val="single" w:color="auto" w:sz="4" w:space="0"/>
              <w:right w:val="single" w:color="auto" w:sz="4" w:space="0"/>
            </w:tcBorders>
            <w:vAlign w:val="center"/>
          </w:tcPr>
          <w:p w14:paraId="778614B1">
            <w:pPr>
              <w:pStyle w:val="43"/>
              <w:snapToGrid w:val="0"/>
              <w:jc w:val="center"/>
              <w:rPr>
                <w:rFonts w:ascii="Times New Roman" w:cs="Times New Roman"/>
                <w:color w:val="000000" w:themeColor="text1"/>
                <w:sz w:val="21"/>
                <w:szCs w:val="21"/>
                <w14:textFill>
                  <w14:solidFill>
                    <w14:schemeClr w14:val="tx1"/>
                  </w14:solidFill>
                </w14:textFill>
              </w:rPr>
            </w:pPr>
            <w:r>
              <w:rPr>
                <w:rFonts w:hint="eastAsia" w:ascii="Times New Roman" w:cs="Times New Roman"/>
                <w:color w:val="000000" w:themeColor="text1"/>
                <w:kern w:val="2"/>
                <w:sz w:val="21"/>
                <w:szCs w:val="21"/>
                <w14:textFill>
                  <w14:solidFill>
                    <w14:schemeClr w14:val="tx1"/>
                  </w14:solidFill>
                </w14:textFill>
              </w:rPr>
              <w:t>规划</w:t>
            </w:r>
          </w:p>
          <w:p w14:paraId="6DD4C927">
            <w:pPr>
              <w:pStyle w:val="43"/>
              <w:snapToGrid w:val="0"/>
              <w:jc w:val="center"/>
              <w:rPr>
                <w:rFonts w:ascii="Times New Roman" w:cs="Times New Roman"/>
                <w:color w:val="000000" w:themeColor="text1"/>
                <w:sz w:val="21"/>
                <w:szCs w:val="21"/>
                <w14:textFill>
                  <w14:solidFill>
                    <w14:schemeClr w14:val="tx1"/>
                  </w14:solidFill>
                </w14:textFill>
              </w:rPr>
            </w:pPr>
            <w:r>
              <w:rPr>
                <w:rFonts w:hint="eastAsia" w:ascii="Times New Roman" w:cs="Times New Roman"/>
                <w:color w:val="000000" w:themeColor="text1"/>
                <w:kern w:val="2"/>
                <w:sz w:val="21"/>
                <w:szCs w:val="21"/>
                <w14:textFill>
                  <w14:solidFill>
                    <w14:schemeClr w14:val="tx1"/>
                  </w14:solidFill>
                </w14:textFill>
              </w:rPr>
              <w:t>目标</w:t>
            </w:r>
          </w:p>
        </w:tc>
        <w:tc>
          <w:tcPr>
            <w:tcW w:w="6125" w:type="dxa"/>
            <w:tcBorders>
              <w:top w:val="single" w:color="auto" w:sz="4" w:space="0"/>
              <w:left w:val="single" w:color="auto" w:sz="4" w:space="0"/>
              <w:bottom w:val="single" w:color="auto" w:sz="4" w:space="0"/>
              <w:right w:val="single" w:color="auto" w:sz="4" w:space="0"/>
            </w:tcBorders>
            <w:vAlign w:val="center"/>
          </w:tcPr>
          <w:p w14:paraId="1735CAF1">
            <w:pPr>
              <w:pStyle w:val="43"/>
              <w:snapToGrid w:val="0"/>
              <w:jc w:val="both"/>
              <w:rPr>
                <w:rFonts w:ascii="Times New Roman" w:cs="Times New Roman"/>
                <w:color w:val="000000" w:themeColor="text1"/>
                <w:sz w:val="21"/>
                <w:szCs w:val="21"/>
                <w14:textFill>
                  <w14:solidFill>
                    <w14:schemeClr w14:val="tx1"/>
                  </w14:solidFill>
                </w14:textFill>
              </w:rPr>
            </w:pPr>
            <w:r>
              <w:rPr>
                <w:rFonts w:hint="eastAsia" w:ascii="Times New Roman" w:cs="Times New Roman"/>
                <w:color w:val="000000" w:themeColor="text1"/>
                <w:kern w:val="2"/>
                <w:sz w:val="21"/>
                <w:szCs w:val="21"/>
                <w14:textFill>
                  <w14:solidFill>
                    <w14:schemeClr w14:val="tx1"/>
                  </w14:solidFill>
                </w14:textFill>
              </w:rPr>
              <w:t>规划的目标是将规划区建成安徽北部一个以化工产业为主的人与自然和谐发展、功能完备、辐射能力较强、示范作用明显的现代生态化工基地。</w:t>
            </w:r>
          </w:p>
        </w:tc>
        <w:tc>
          <w:tcPr>
            <w:tcW w:w="5078" w:type="dxa"/>
            <w:tcBorders>
              <w:top w:val="single" w:color="auto" w:sz="4" w:space="0"/>
              <w:left w:val="single" w:color="auto" w:sz="4" w:space="0"/>
              <w:bottom w:val="single" w:color="auto" w:sz="4" w:space="0"/>
              <w:right w:val="single" w:color="auto" w:sz="4" w:space="0"/>
            </w:tcBorders>
            <w:vAlign w:val="center"/>
          </w:tcPr>
          <w:p w14:paraId="05B73714">
            <w:pPr>
              <w:pStyle w:val="43"/>
              <w:snapToGrid w:val="0"/>
              <w:jc w:val="both"/>
              <w:rPr>
                <w:rFonts w:ascii="Times New Roman" w:cs="Times New Roman"/>
                <w:color w:val="000000" w:themeColor="text1"/>
                <w:sz w:val="21"/>
                <w:szCs w:val="21"/>
                <w14:textFill>
                  <w14:solidFill>
                    <w14:schemeClr w14:val="tx1"/>
                  </w14:solidFill>
                </w14:textFill>
              </w:rPr>
            </w:pPr>
            <w:r>
              <w:rPr>
                <w:rFonts w:hint="eastAsia" w:ascii="Times New Roman" w:cs="Times New Roman"/>
                <w:color w:val="000000" w:themeColor="text1"/>
                <w:kern w:val="2"/>
                <w:sz w:val="21"/>
                <w:szCs w:val="21"/>
                <w14:textFill>
                  <w14:solidFill>
                    <w14:schemeClr w14:val="tx1"/>
                  </w14:solidFill>
                </w14:textFill>
              </w:rPr>
              <w:t>本项目为间甲酚技改项目，在现有生产工艺技术上，通过工艺参数优化，副产品发生了变化，技改后全厂污染物排放量降低。</w:t>
            </w:r>
          </w:p>
        </w:tc>
        <w:tc>
          <w:tcPr>
            <w:tcW w:w="1209" w:type="dxa"/>
            <w:tcBorders>
              <w:top w:val="single" w:color="auto" w:sz="4" w:space="0"/>
              <w:left w:val="single" w:color="auto" w:sz="4" w:space="0"/>
              <w:bottom w:val="single" w:color="auto" w:sz="4" w:space="0"/>
              <w:right w:val="single" w:color="auto" w:sz="4" w:space="0"/>
            </w:tcBorders>
            <w:vAlign w:val="center"/>
          </w:tcPr>
          <w:p w14:paraId="60C89E3B">
            <w:pPr>
              <w:pStyle w:val="43"/>
              <w:snapToGrid w:val="0"/>
              <w:jc w:val="center"/>
              <w:rPr>
                <w:rFonts w:ascii="Times New Roman" w:cs="Times New Roman"/>
                <w:color w:val="000000" w:themeColor="text1"/>
                <w:sz w:val="21"/>
                <w:szCs w:val="21"/>
                <w14:textFill>
                  <w14:solidFill>
                    <w14:schemeClr w14:val="tx1"/>
                  </w14:solidFill>
                </w14:textFill>
              </w:rPr>
            </w:pPr>
            <w:r>
              <w:rPr>
                <w:rFonts w:hint="eastAsia" w:ascii="Times New Roman" w:cs="Times New Roman"/>
                <w:color w:val="000000" w:themeColor="text1"/>
                <w:kern w:val="2"/>
                <w:sz w:val="21"/>
                <w:szCs w:val="21"/>
                <w14:textFill>
                  <w14:solidFill>
                    <w14:schemeClr w14:val="tx1"/>
                  </w14:solidFill>
                </w14:textFill>
              </w:rPr>
              <w:t>符合</w:t>
            </w:r>
          </w:p>
        </w:tc>
      </w:tr>
      <w:tr w14:paraId="09DEEC0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958" w:type="dxa"/>
            <w:vMerge w:val="continue"/>
            <w:tcBorders>
              <w:top w:val="single" w:color="auto" w:sz="4" w:space="0"/>
              <w:left w:val="single" w:color="auto" w:sz="4" w:space="0"/>
              <w:bottom w:val="single" w:color="auto" w:sz="4" w:space="0"/>
              <w:right w:val="single" w:color="auto" w:sz="4" w:space="0"/>
            </w:tcBorders>
            <w:vAlign w:val="center"/>
          </w:tcPr>
          <w:p w14:paraId="277C9DB0">
            <w:pPr>
              <w:widowControl/>
              <w:spacing w:line="240" w:lineRule="auto"/>
              <w:jc w:val="left"/>
              <w:rPr>
                <w:kern w:val="0"/>
                <w:szCs w:val="21"/>
              </w:rPr>
            </w:pPr>
          </w:p>
        </w:tc>
        <w:tc>
          <w:tcPr>
            <w:tcW w:w="850" w:type="dxa"/>
            <w:tcBorders>
              <w:top w:val="single" w:color="auto" w:sz="4" w:space="0"/>
              <w:left w:val="single" w:color="auto" w:sz="4" w:space="0"/>
              <w:bottom w:val="single" w:color="auto" w:sz="4" w:space="0"/>
              <w:right w:val="single" w:color="auto" w:sz="4" w:space="0"/>
            </w:tcBorders>
            <w:vAlign w:val="center"/>
          </w:tcPr>
          <w:p w14:paraId="72BA3656">
            <w:pPr>
              <w:pStyle w:val="43"/>
              <w:snapToGrid w:val="0"/>
              <w:jc w:val="center"/>
              <w:rPr>
                <w:rFonts w:ascii="Times New Roman" w:cs="Times New Roman"/>
                <w:color w:val="000000" w:themeColor="text1"/>
                <w:sz w:val="21"/>
                <w:szCs w:val="21"/>
                <w14:textFill>
                  <w14:solidFill>
                    <w14:schemeClr w14:val="tx1"/>
                  </w14:solidFill>
                </w14:textFill>
              </w:rPr>
            </w:pPr>
            <w:r>
              <w:rPr>
                <w:rFonts w:hint="eastAsia" w:ascii="Times New Roman" w:cs="Times New Roman"/>
                <w:color w:val="000000" w:themeColor="text1"/>
                <w:kern w:val="2"/>
                <w:sz w:val="21"/>
                <w:szCs w:val="21"/>
                <w14:textFill>
                  <w14:solidFill>
                    <w14:schemeClr w14:val="tx1"/>
                  </w14:solidFill>
                </w14:textFill>
              </w:rPr>
              <w:t>产业</w:t>
            </w:r>
          </w:p>
          <w:p w14:paraId="6CC3736E">
            <w:pPr>
              <w:pStyle w:val="43"/>
              <w:snapToGrid w:val="0"/>
              <w:jc w:val="center"/>
              <w:rPr>
                <w:rFonts w:ascii="Times New Roman" w:cs="Times New Roman"/>
                <w:color w:val="000000" w:themeColor="text1"/>
                <w:kern w:val="2"/>
                <w:sz w:val="21"/>
                <w:szCs w:val="21"/>
                <w14:textFill>
                  <w14:solidFill>
                    <w14:schemeClr w14:val="tx1"/>
                  </w14:solidFill>
                </w14:textFill>
              </w:rPr>
            </w:pPr>
            <w:r>
              <w:rPr>
                <w:rFonts w:hint="eastAsia" w:ascii="Times New Roman" w:cs="Times New Roman"/>
                <w:color w:val="000000" w:themeColor="text1"/>
                <w:kern w:val="2"/>
                <w:sz w:val="21"/>
                <w:szCs w:val="21"/>
                <w14:textFill>
                  <w14:solidFill>
                    <w14:schemeClr w14:val="tx1"/>
                  </w14:solidFill>
                </w14:textFill>
              </w:rPr>
              <w:t>定位</w:t>
            </w:r>
          </w:p>
          <w:p w14:paraId="21303C46">
            <w:pPr>
              <w:pStyle w:val="43"/>
              <w:snapToGrid w:val="0"/>
              <w:jc w:val="center"/>
              <w:rPr>
                <w:rFonts w:ascii="Times New Roman" w:cs="Times New Roman"/>
                <w:color w:val="000000" w:themeColor="text1"/>
                <w:kern w:val="2"/>
                <w:sz w:val="21"/>
                <w:szCs w:val="21"/>
                <w14:textFill>
                  <w14:solidFill>
                    <w14:schemeClr w14:val="tx1"/>
                  </w14:solidFill>
                </w14:textFill>
              </w:rPr>
            </w:pPr>
            <w:r>
              <w:rPr>
                <w:rFonts w:hint="eastAsia" w:ascii="Times New Roman" w:cs="Times New Roman"/>
                <w:color w:val="000000" w:themeColor="text1"/>
                <w:kern w:val="2"/>
                <w:sz w:val="21"/>
                <w:szCs w:val="21"/>
                <w14:textFill>
                  <w14:solidFill>
                    <w14:schemeClr w14:val="tx1"/>
                  </w14:solidFill>
                </w14:textFill>
              </w:rPr>
              <w:t>与产</w:t>
            </w:r>
          </w:p>
          <w:p w14:paraId="5284FFE7">
            <w:pPr>
              <w:pStyle w:val="43"/>
              <w:snapToGrid w:val="0"/>
              <w:jc w:val="center"/>
              <w:rPr>
                <w:rFonts w:ascii="Times New Roman" w:cs="Times New Roman"/>
                <w:color w:val="000000" w:themeColor="text1"/>
                <w:kern w:val="2"/>
                <w:sz w:val="21"/>
                <w:szCs w:val="21"/>
                <w14:textFill>
                  <w14:solidFill>
                    <w14:schemeClr w14:val="tx1"/>
                  </w14:solidFill>
                </w14:textFill>
              </w:rPr>
            </w:pPr>
            <w:r>
              <w:rPr>
                <w:rFonts w:hint="eastAsia" w:ascii="Times New Roman" w:cs="Times New Roman"/>
                <w:color w:val="000000" w:themeColor="text1"/>
                <w:kern w:val="2"/>
                <w:sz w:val="21"/>
                <w:szCs w:val="21"/>
                <w14:textFill>
                  <w14:solidFill>
                    <w14:schemeClr w14:val="tx1"/>
                  </w14:solidFill>
                </w14:textFill>
              </w:rPr>
              <w:t>业布</w:t>
            </w:r>
          </w:p>
          <w:p w14:paraId="535A1CC7">
            <w:pPr>
              <w:pStyle w:val="43"/>
              <w:snapToGrid w:val="0"/>
              <w:jc w:val="center"/>
              <w:rPr>
                <w:rFonts w:ascii="Times New Roman" w:cs="Times New Roman"/>
                <w:color w:val="000000" w:themeColor="text1"/>
                <w:sz w:val="21"/>
                <w:szCs w:val="21"/>
                <w14:textFill>
                  <w14:solidFill>
                    <w14:schemeClr w14:val="tx1"/>
                  </w14:solidFill>
                </w14:textFill>
              </w:rPr>
            </w:pPr>
            <w:r>
              <w:rPr>
                <w:rFonts w:hint="eastAsia" w:ascii="Times New Roman" w:cs="Times New Roman"/>
                <w:color w:val="000000" w:themeColor="text1"/>
                <w:kern w:val="2"/>
                <w:sz w:val="21"/>
                <w:szCs w:val="21"/>
                <w14:textFill>
                  <w14:solidFill>
                    <w14:schemeClr w14:val="tx1"/>
                  </w14:solidFill>
                </w14:textFill>
              </w:rPr>
              <w:t>局</w:t>
            </w:r>
          </w:p>
        </w:tc>
        <w:tc>
          <w:tcPr>
            <w:tcW w:w="6125" w:type="dxa"/>
            <w:tcBorders>
              <w:top w:val="single" w:color="auto" w:sz="4" w:space="0"/>
              <w:left w:val="single" w:color="auto" w:sz="4" w:space="0"/>
              <w:bottom w:val="single" w:color="auto" w:sz="4" w:space="0"/>
              <w:right w:val="single" w:color="auto" w:sz="4" w:space="0"/>
            </w:tcBorders>
            <w:vAlign w:val="center"/>
          </w:tcPr>
          <w:p w14:paraId="430EF2A8">
            <w:pPr>
              <w:pStyle w:val="43"/>
              <w:snapToGrid w:val="0"/>
              <w:jc w:val="both"/>
              <w:rPr>
                <w:rFonts w:ascii="Times New Roman" w:cs="Times New Roman"/>
                <w:color w:val="000000" w:themeColor="text1"/>
                <w:sz w:val="21"/>
                <w:szCs w:val="21"/>
                <w14:textFill>
                  <w14:solidFill>
                    <w14:schemeClr w14:val="tx1"/>
                  </w14:solidFill>
                </w14:textFill>
              </w:rPr>
            </w:pPr>
            <w:r>
              <w:rPr>
                <w:rFonts w:hint="eastAsia" w:ascii="Times New Roman" w:cs="Times New Roman"/>
                <w:color w:val="000000" w:themeColor="text1"/>
                <w:kern w:val="2"/>
                <w:sz w:val="21"/>
                <w:szCs w:val="21"/>
                <w14:textFill>
                  <w14:solidFill>
                    <w14:schemeClr w14:val="tx1"/>
                  </w14:solidFill>
                </w14:textFill>
              </w:rPr>
              <w:t>产业基地的产业定位主要是以</w:t>
            </w:r>
            <w:r>
              <w:rPr>
                <w:rFonts w:ascii="Times New Roman" w:cs="Times New Roman"/>
                <w:color w:val="000000" w:themeColor="text1"/>
                <w:kern w:val="2"/>
                <w:sz w:val="21"/>
                <w:szCs w:val="21"/>
                <w14:textFill>
                  <w14:solidFill>
                    <w14:schemeClr w14:val="tx1"/>
                  </w14:solidFill>
                </w14:textFill>
              </w:rPr>
              <w:t>“</w:t>
            </w:r>
            <w:r>
              <w:rPr>
                <w:rFonts w:hint="eastAsia" w:ascii="Times New Roman" w:cs="Times New Roman"/>
                <w:color w:val="000000" w:themeColor="text1"/>
                <w:kern w:val="2"/>
                <w:sz w:val="21"/>
                <w:szCs w:val="21"/>
                <w14:textFill>
                  <w14:solidFill>
                    <w14:schemeClr w14:val="tx1"/>
                  </w14:solidFill>
                </w14:textFill>
              </w:rPr>
              <w:t>退市入园</w:t>
            </w:r>
            <w:r>
              <w:rPr>
                <w:rFonts w:ascii="Times New Roman" w:cs="Times New Roman"/>
                <w:color w:val="000000" w:themeColor="text1"/>
                <w:kern w:val="2"/>
                <w:sz w:val="21"/>
                <w:szCs w:val="21"/>
                <w14:textFill>
                  <w14:solidFill>
                    <w14:schemeClr w14:val="tx1"/>
                  </w14:solidFill>
                </w14:textFill>
              </w:rPr>
              <w:t>”</w:t>
            </w:r>
            <w:r>
              <w:rPr>
                <w:rFonts w:hint="eastAsia" w:ascii="Times New Roman" w:cs="Times New Roman"/>
                <w:color w:val="000000" w:themeColor="text1"/>
                <w:kern w:val="2"/>
                <w:sz w:val="21"/>
                <w:szCs w:val="21"/>
                <w14:textFill>
                  <w14:solidFill>
                    <w14:schemeClr w14:val="tx1"/>
                  </w14:solidFill>
                </w14:textFill>
              </w:rPr>
              <w:t>的精细化工企业为主，依据对</w:t>
            </w:r>
            <w:r>
              <w:rPr>
                <w:rFonts w:ascii="Times New Roman" w:cs="Times New Roman"/>
                <w:color w:val="000000" w:themeColor="text1"/>
                <w:kern w:val="2"/>
                <w:sz w:val="21"/>
                <w:szCs w:val="21"/>
                <w14:textFill>
                  <w14:solidFill>
                    <w14:schemeClr w14:val="tx1"/>
                  </w14:solidFill>
                </w14:textFill>
              </w:rPr>
              <w:t>“</w:t>
            </w:r>
            <w:r>
              <w:rPr>
                <w:rFonts w:hint="eastAsia" w:ascii="Times New Roman" w:cs="Times New Roman"/>
                <w:color w:val="000000" w:themeColor="text1"/>
                <w:kern w:val="2"/>
                <w:sz w:val="21"/>
                <w:szCs w:val="21"/>
                <w14:textFill>
                  <w14:solidFill>
                    <w14:schemeClr w14:val="tx1"/>
                  </w14:solidFill>
                </w14:textFill>
              </w:rPr>
              <w:t>退市入园</w:t>
            </w:r>
            <w:r>
              <w:rPr>
                <w:rFonts w:ascii="Times New Roman" w:cs="Times New Roman"/>
                <w:color w:val="000000" w:themeColor="text1"/>
                <w:kern w:val="2"/>
                <w:sz w:val="21"/>
                <w:szCs w:val="21"/>
                <w14:textFill>
                  <w14:solidFill>
                    <w14:schemeClr w14:val="tx1"/>
                  </w14:solidFill>
                </w14:textFill>
              </w:rPr>
              <w:t>”</w:t>
            </w:r>
            <w:r>
              <w:rPr>
                <w:rFonts w:hint="eastAsia" w:ascii="Times New Roman" w:cs="Times New Roman"/>
                <w:color w:val="000000" w:themeColor="text1"/>
                <w:kern w:val="2"/>
                <w:sz w:val="21"/>
                <w:szCs w:val="21"/>
                <w14:textFill>
                  <w14:solidFill>
                    <w14:schemeClr w14:val="tx1"/>
                  </w14:solidFill>
                </w14:textFill>
              </w:rPr>
              <w:t>企业的分类情况，结合建设用地情况，形成以道路作为方格网框架，将基地规划九大产业分区：有机硅产业分区、橡胶塑料产业分区、日用化学品产业区、涂料产业区、复混肥料产业区、工业气体产业区、专用化学品产业区和有机化工产业区；</w:t>
            </w:r>
            <w:r>
              <w:rPr>
                <w:rFonts w:ascii="Times New Roman" w:cs="Times New Roman"/>
                <w:color w:val="000000" w:themeColor="text1"/>
                <w:kern w:val="2"/>
                <w:sz w:val="21"/>
                <w:szCs w:val="21"/>
                <w14:textFill>
                  <w14:solidFill>
                    <w14:schemeClr w14:val="tx1"/>
                  </w14:solidFill>
                </w14:textFill>
              </w:rPr>
              <w:t xml:space="preserve"> </w:t>
            </w:r>
            <w:r>
              <w:rPr>
                <w:rFonts w:hint="eastAsia" w:ascii="Times New Roman" w:cs="Times New Roman"/>
                <w:color w:val="000000" w:themeColor="text1"/>
                <w:kern w:val="2"/>
                <w:sz w:val="21"/>
                <w:szCs w:val="21"/>
                <w14:textFill>
                  <w14:solidFill>
                    <w14:schemeClr w14:val="tx1"/>
                  </w14:solidFill>
                </w14:textFill>
              </w:rPr>
              <w:t>并设置一个仓储物流区和一个公共设施区。</w:t>
            </w:r>
          </w:p>
        </w:tc>
        <w:tc>
          <w:tcPr>
            <w:tcW w:w="5078" w:type="dxa"/>
            <w:tcBorders>
              <w:top w:val="single" w:color="auto" w:sz="4" w:space="0"/>
              <w:left w:val="single" w:color="auto" w:sz="4" w:space="0"/>
              <w:bottom w:val="single" w:color="auto" w:sz="4" w:space="0"/>
              <w:right w:val="single" w:color="auto" w:sz="4" w:space="0"/>
            </w:tcBorders>
            <w:vAlign w:val="center"/>
          </w:tcPr>
          <w:p w14:paraId="2F7FF43E">
            <w:pPr>
              <w:pStyle w:val="43"/>
              <w:snapToGrid w:val="0"/>
              <w:rPr>
                <w:rFonts w:ascii="Times New Roman" w:cs="Times New Roman"/>
                <w:color w:val="000000" w:themeColor="text1"/>
                <w:sz w:val="21"/>
                <w:szCs w:val="21"/>
                <w14:textFill>
                  <w14:solidFill>
                    <w14:schemeClr w14:val="tx1"/>
                  </w14:solidFill>
                </w14:textFill>
              </w:rPr>
            </w:pPr>
            <w:r>
              <w:rPr>
                <w:rFonts w:hint="eastAsia" w:ascii="Times New Roman" w:cs="Times New Roman"/>
                <w:color w:val="000000" w:themeColor="text1"/>
                <w:kern w:val="2"/>
                <w:sz w:val="21"/>
                <w:szCs w:val="21"/>
                <w14:textFill>
                  <w14:solidFill>
                    <w14:schemeClr w14:val="tx1"/>
                  </w14:solidFill>
                </w14:textFill>
              </w:rPr>
              <w:t>项目属于精细化工行业，符合园区相关产业政策和园区产业定位等要求。</w:t>
            </w:r>
          </w:p>
        </w:tc>
        <w:tc>
          <w:tcPr>
            <w:tcW w:w="1209" w:type="dxa"/>
            <w:tcBorders>
              <w:top w:val="single" w:color="auto" w:sz="4" w:space="0"/>
              <w:left w:val="single" w:color="auto" w:sz="4" w:space="0"/>
              <w:bottom w:val="single" w:color="auto" w:sz="4" w:space="0"/>
              <w:right w:val="single" w:color="auto" w:sz="4" w:space="0"/>
            </w:tcBorders>
            <w:vAlign w:val="center"/>
          </w:tcPr>
          <w:p w14:paraId="5AC9C6DD">
            <w:pPr>
              <w:pStyle w:val="43"/>
              <w:snapToGrid w:val="0"/>
              <w:jc w:val="center"/>
              <w:rPr>
                <w:rFonts w:ascii="Times New Roman" w:cs="Times New Roman"/>
                <w:color w:val="000000" w:themeColor="text1"/>
                <w:sz w:val="21"/>
                <w:szCs w:val="21"/>
                <w14:textFill>
                  <w14:solidFill>
                    <w14:schemeClr w14:val="tx1"/>
                  </w14:solidFill>
                </w14:textFill>
              </w:rPr>
            </w:pPr>
            <w:r>
              <w:rPr>
                <w:rFonts w:hint="eastAsia" w:ascii="Times New Roman" w:cs="Times New Roman"/>
                <w:color w:val="000000" w:themeColor="text1"/>
                <w:kern w:val="2"/>
                <w:sz w:val="21"/>
                <w:szCs w:val="21"/>
                <w14:textFill>
                  <w14:solidFill>
                    <w14:schemeClr w14:val="tx1"/>
                  </w14:solidFill>
                </w14:textFill>
              </w:rPr>
              <w:t>符合</w:t>
            </w:r>
          </w:p>
        </w:tc>
      </w:tr>
      <w:tr w14:paraId="21D03FF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958" w:type="dxa"/>
            <w:vMerge w:val="continue"/>
            <w:tcBorders>
              <w:top w:val="single" w:color="auto" w:sz="4" w:space="0"/>
              <w:left w:val="single" w:color="auto" w:sz="4" w:space="0"/>
              <w:bottom w:val="single" w:color="auto" w:sz="4" w:space="0"/>
              <w:right w:val="single" w:color="auto" w:sz="4" w:space="0"/>
            </w:tcBorders>
            <w:vAlign w:val="center"/>
          </w:tcPr>
          <w:p w14:paraId="48124114">
            <w:pPr>
              <w:widowControl/>
              <w:spacing w:line="240" w:lineRule="auto"/>
              <w:jc w:val="left"/>
              <w:rPr>
                <w:kern w:val="0"/>
                <w:szCs w:val="21"/>
              </w:rPr>
            </w:pPr>
          </w:p>
        </w:tc>
        <w:tc>
          <w:tcPr>
            <w:tcW w:w="850" w:type="dxa"/>
            <w:tcBorders>
              <w:top w:val="single" w:color="auto" w:sz="4" w:space="0"/>
              <w:left w:val="single" w:color="auto" w:sz="4" w:space="0"/>
              <w:bottom w:val="single" w:color="auto" w:sz="4" w:space="0"/>
              <w:right w:val="single" w:color="auto" w:sz="4" w:space="0"/>
            </w:tcBorders>
            <w:vAlign w:val="center"/>
          </w:tcPr>
          <w:p w14:paraId="7F57895C">
            <w:pPr>
              <w:pStyle w:val="43"/>
              <w:snapToGrid w:val="0"/>
              <w:jc w:val="center"/>
              <w:rPr>
                <w:rFonts w:ascii="Times New Roman" w:cs="Times New Roman"/>
                <w:color w:val="000000" w:themeColor="text1"/>
                <w:sz w:val="21"/>
                <w:szCs w:val="21"/>
                <w14:textFill>
                  <w14:solidFill>
                    <w14:schemeClr w14:val="tx1"/>
                  </w14:solidFill>
                </w14:textFill>
              </w:rPr>
            </w:pPr>
            <w:r>
              <w:rPr>
                <w:rFonts w:hint="eastAsia" w:ascii="Times New Roman" w:cs="Times New Roman"/>
                <w:color w:val="000000" w:themeColor="text1"/>
                <w:kern w:val="2"/>
                <w:sz w:val="21"/>
                <w:szCs w:val="21"/>
                <w14:textFill>
                  <w14:solidFill>
                    <w14:schemeClr w14:val="tx1"/>
                  </w14:solidFill>
                </w14:textFill>
              </w:rPr>
              <w:t>给水</w:t>
            </w:r>
          </w:p>
          <w:p w14:paraId="5C3D7A3E">
            <w:pPr>
              <w:pStyle w:val="43"/>
              <w:snapToGrid w:val="0"/>
              <w:jc w:val="center"/>
              <w:rPr>
                <w:rFonts w:ascii="Times New Roman" w:cs="Times New Roman"/>
                <w:color w:val="000000" w:themeColor="text1"/>
                <w:kern w:val="2"/>
                <w:sz w:val="21"/>
                <w:szCs w:val="21"/>
                <w14:textFill>
                  <w14:solidFill>
                    <w14:schemeClr w14:val="tx1"/>
                  </w14:solidFill>
                </w14:textFill>
              </w:rPr>
            </w:pPr>
            <w:r>
              <w:rPr>
                <w:rFonts w:hint="eastAsia" w:ascii="Times New Roman" w:cs="Times New Roman"/>
                <w:color w:val="000000" w:themeColor="text1"/>
                <w:kern w:val="2"/>
                <w:sz w:val="21"/>
                <w:szCs w:val="21"/>
                <w14:textFill>
                  <w14:solidFill>
                    <w14:schemeClr w14:val="tx1"/>
                  </w14:solidFill>
                </w14:textFill>
              </w:rPr>
              <w:t>工程</w:t>
            </w:r>
          </w:p>
          <w:p w14:paraId="3D87850D">
            <w:pPr>
              <w:pStyle w:val="43"/>
              <w:snapToGrid w:val="0"/>
              <w:jc w:val="center"/>
              <w:rPr>
                <w:rFonts w:ascii="Times New Roman" w:cs="Times New Roman"/>
                <w:color w:val="000000" w:themeColor="text1"/>
                <w:sz w:val="21"/>
                <w:szCs w:val="21"/>
                <w14:textFill>
                  <w14:solidFill>
                    <w14:schemeClr w14:val="tx1"/>
                  </w14:solidFill>
                </w14:textFill>
              </w:rPr>
            </w:pPr>
            <w:r>
              <w:rPr>
                <w:rFonts w:hint="eastAsia" w:ascii="Times New Roman" w:cs="Times New Roman"/>
                <w:color w:val="000000" w:themeColor="text1"/>
                <w:kern w:val="2"/>
                <w:sz w:val="21"/>
                <w:szCs w:val="21"/>
                <w14:textFill>
                  <w14:solidFill>
                    <w14:schemeClr w14:val="tx1"/>
                  </w14:solidFill>
                </w14:textFill>
              </w:rPr>
              <w:t>规划</w:t>
            </w:r>
          </w:p>
        </w:tc>
        <w:tc>
          <w:tcPr>
            <w:tcW w:w="6125" w:type="dxa"/>
            <w:tcBorders>
              <w:top w:val="single" w:color="auto" w:sz="4" w:space="0"/>
              <w:left w:val="single" w:color="auto" w:sz="4" w:space="0"/>
              <w:bottom w:val="single" w:color="auto" w:sz="4" w:space="0"/>
              <w:right w:val="single" w:color="auto" w:sz="4" w:space="0"/>
            </w:tcBorders>
            <w:vAlign w:val="center"/>
          </w:tcPr>
          <w:p w14:paraId="1308061D">
            <w:pPr>
              <w:pStyle w:val="43"/>
              <w:snapToGrid w:val="0"/>
              <w:jc w:val="both"/>
              <w:rPr>
                <w:rFonts w:ascii="Times New Roman" w:cs="Times New Roman"/>
                <w:color w:val="000000" w:themeColor="text1"/>
                <w:sz w:val="21"/>
                <w:szCs w:val="21"/>
                <w14:textFill>
                  <w14:solidFill>
                    <w14:schemeClr w14:val="tx1"/>
                  </w14:solidFill>
                </w14:textFill>
              </w:rPr>
            </w:pPr>
            <w:r>
              <w:rPr>
                <w:rFonts w:hint="eastAsia" w:ascii="Times New Roman" w:cs="Times New Roman"/>
                <w:color w:val="000000" w:themeColor="text1"/>
                <w:kern w:val="2"/>
                <w:sz w:val="21"/>
                <w:szCs w:val="21"/>
                <w14:textFill>
                  <w14:solidFill>
                    <w14:schemeClr w14:val="tx1"/>
                  </w14:solidFill>
                </w14:textFill>
              </w:rPr>
              <w:t>远期规划地区的工业用水由工业园区新建的自来水厂供水，计划水源为怀洪新河；近期由工业园区现有一座日产</w:t>
            </w:r>
            <w:r>
              <w:rPr>
                <w:rFonts w:ascii="Times New Roman" w:cs="Times New Roman"/>
                <w:color w:val="000000" w:themeColor="text1"/>
                <w:kern w:val="2"/>
                <w:sz w:val="21"/>
                <w:szCs w:val="21"/>
                <w14:textFill>
                  <w14:solidFill>
                    <w14:schemeClr w14:val="tx1"/>
                  </w14:solidFill>
                </w14:textFill>
              </w:rPr>
              <w:t>3</w:t>
            </w:r>
            <w:r>
              <w:rPr>
                <w:rFonts w:hint="eastAsia" w:ascii="Times New Roman" w:cs="Times New Roman"/>
                <w:color w:val="000000" w:themeColor="text1"/>
                <w:kern w:val="2"/>
                <w:sz w:val="21"/>
                <w:szCs w:val="21"/>
                <w14:textFill>
                  <w14:solidFill>
                    <w14:schemeClr w14:val="tx1"/>
                  </w14:solidFill>
                </w14:textFill>
              </w:rPr>
              <w:t>万吨水厂供水，远期规划拓展供水能力至</w:t>
            </w:r>
            <w:r>
              <w:rPr>
                <w:rFonts w:ascii="Times New Roman" w:cs="Times New Roman"/>
                <w:color w:val="000000" w:themeColor="text1"/>
                <w:kern w:val="2"/>
                <w:sz w:val="21"/>
                <w:szCs w:val="21"/>
                <w14:textFill>
                  <w14:solidFill>
                    <w14:schemeClr w14:val="tx1"/>
                  </w14:solidFill>
                </w14:textFill>
              </w:rPr>
              <w:t>15</w:t>
            </w:r>
            <w:r>
              <w:rPr>
                <w:rFonts w:hint="eastAsia" w:ascii="Times New Roman" w:cs="Times New Roman"/>
                <w:color w:val="000000" w:themeColor="text1"/>
                <w:kern w:val="2"/>
                <w:sz w:val="21"/>
                <w:szCs w:val="21"/>
                <w14:textFill>
                  <w14:solidFill>
                    <w14:schemeClr w14:val="tx1"/>
                  </w14:solidFill>
                </w14:textFill>
              </w:rPr>
              <w:t>万吨，水源取自怀洪新河。</w:t>
            </w:r>
          </w:p>
        </w:tc>
        <w:tc>
          <w:tcPr>
            <w:tcW w:w="5078" w:type="dxa"/>
            <w:tcBorders>
              <w:top w:val="single" w:color="auto" w:sz="4" w:space="0"/>
              <w:left w:val="single" w:color="auto" w:sz="4" w:space="0"/>
              <w:bottom w:val="single" w:color="auto" w:sz="4" w:space="0"/>
              <w:right w:val="single" w:color="auto" w:sz="4" w:space="0"/>
            </w:tcBorders>
            <w:vAlign w:val="center"/>
          </w:tcPr>
          <w:p w14:paraId="35DF3777">
            <w:pPr>
              <w:pStyle w:val="43"/>
              <w:snapToGrid w:val="0"/>
              <w:jc w:val="center"/>
              <w:rPr>
                <w:rFonts w:ascii="Times New Roman" w:cs="Times New Roman"/>
                <w:color w:val="000000" w:themeColor="text1"/>
                <w:sz w:val="21"/>
                <w:szCs w:val="21"/>
                <w14:textFill>
                  <w14:solidFill>
                    <w14:schemeClr w14:val="tx1"/>
                  </w14:solidFill>
                </w14:textFill>
              </w:rPr>
            </w:pPr>
            <w:r>
              <w:rPr>
                <w:rFonts w:hint="eastAsia" w:ascii="Times New Roman" w:cs="Times New Roman"/>
                <w:color w:val="000000" w:themeColor="text1"/>
                <w:kern w:val="2"/>
                <w:sz w:val="21"/>
                <w:szCs w:val="21"/>
                <w14:textFill>
                  <w14:solidFill>
                    <w14:schemeClr w14:val="tx1"/>
                  </w14:solidFill>
                </w14:textFill>
              </w:rPr>
              <w:t>本项目用水来自基地水厂供水，供水水源有保证。</w:t>
            </w:r>
          </w:p>
        </w:tc>
        <w:tc>
          <w:tcPr>
            <w:tcW w:w="1209" w:type="dxa"/>
            <w:tcBorders>
              <w:top w:val="single" w:color="auto" w:sz="4" w:space="0"/>
              <w:left w:val="single" w:color="auto" w:sz="4" w:space="0"/>
              <w:bottom w:val="single" w:color="auto" w:sz="4" w:space="0"/>
              <w:right w:val="single" w:color="auto" w:sz="4" w:space="0"/>
            </w:tcBorders>
            <w:vAlign w:val="center"/>
          </w:tcPr>
          <w:p w14:paraId="4F5F9B28">
            <w:pPr>
              <w:pStyle w:val="43"/>
              <w:snapToGrid w:val="0"/>
              <w:jc w:val="center"/>
              <w:rPr>
                <w:rFonts w:ascii="Times New Roman" w:cs="Times New Roman"/>
                <w:color w:val="000000" w:themeColor="text1"/>
                <w:sz w:val="21"/>
                <w:szCs w:val="21"/>
                <w14:textFill>
                  <w14:solidFill>
                    <w14:schemeClr w14:val="tx1"/>
                  </w14:solidFill>
                </w14:textFill>
              </w:rPr>
            </w:pPr>
            <w:r>
              <w:rPr>
                <w:rFonts w:hint="eastAsia" w:ascii="Times New Roman" w:cs="Times New Roman"/>
                <w:color w:val="000000" w:themeColor="text1"/>
                <w:kern w:val="2"/>
                <w:sz w:val="21"/>
                <w:szCs w:val="21"/>
                <w14:textFill>
                  <w14:solidFill>
                    <w14:schemeClr w14:val="tx1"/>
                  </w14:solidFill>
                </w14:textFill>
              </w:rPr>
              <w:t>符合</w:t>
            </w:r>
          </w:p>
        </w:tc>
      </w:tr>
      <w:tr w14:paraId="17C5F0C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958" w:type="dxa"/>
            <w:vMerge w:val="continue"/>
            <w:tcBorders>
              <w:top w:val="single" w:color="auto" w:sz="4" w:space="0"/>
              <w:left w:val="single" w:color="auto" w:sz="4" w:space="0"/>
              <w:bottom w:val="single" w:color="auto" w:sz="4" w:space="0"/>
              <w:right w:val="single" w:color="auto" w:sz="4" w:space="0"/>
            </w:tcBorders>
            <w:vAlign w:val="center"/>
          </w:tcPr>
          <w:p w14:paraId="4D320EC4">
            <w:pPr>
              <w:widowControl/>
              <w:spacing w:line="240" w:lineRule="auto"/>
              <w:jc w:val="left"/>
              <w:rPr>
                <w:kern w:val="0"/>
                <w:szCs w:val="21"/>
              </w:rPr>
            </w:pPr>
          </w:p>
        </w:tc>
        <w:tc>
          <w:tcPr>
            <w:tcW w:w="850" w:type="dxa"/>
            <w:tcBorders>
              <w:top w:val="single" w:color="auto" w:sz="4" w:space="0"/>
              <w:left w:val="single" w:color="auto" w:sz="4" w:space="0"/>
              <w:bottom w:val="single" w:color="auto" w:sz="4" w:space="0"/>
              <w:right w:val="single" w:color="auto" w:sz="4" w:space="0"/>
            </w:tcBorders>
            <w:vAlign w:val="center"/>
          </w:tcPr>
          <w:p w14:paraId="146D459B">
            <w:pPr>
              <w:pStyle w:val="43"/>
              <w:snapToGrid w:val="0"/>
              <w:jc w:val="center"/>
              <w:rPr>
                <w:rFonts w:ascii="Times New Roman" w:cs="Times New Roman"/>
                <w:color w:val="000000" w:themeColor="text1"/>
                <w:sz w:val="21"/>
                <w:szCs w:val="21"/>
                <w14:textFill>
                  <w14:solidFill>
                    <w14:schemeClr w14:val="tx1"/>
                  </w14:solidFill>
                </w14:textFill>
              </w:rPr>
            </w:pPr>
            <w:r>
              <w:rPr>
                <w:rFonts w:hint="eastAsia" w:ascii="Times New Roman" w:cs="Times New Roman"/>
                <w:color w:val="000000" w:themeColor="text1"/>
                <w:kern w:val="2"/>
                <w:sz w:val="21"/>
                <w:szCs w:val="21"/>
                <w14:textFill>
                  <w14:solidFill>
                    <w14:schemeClr w14:val="tx1"/>
                  </w14:solidFill>
                </w14:textFill>
              </w:rPr>
              <w:t>排水</w:t>
            </w:r>
          </w:p>
          <w:p w14:paraId="3F13FAF7">
            <w:pPr>
              <w:pStyle w:val="43"/>
              <w:snapToGrid w:val="0"/>
              <w:jc w:val="center"/>
              <w:rPr>
                <w:rFonts w:ascii="Times New Roman" w:cs="Times New Roman"/>
                <w:color w:val="000000" w:themeColor="text1"/>
                <w:kern w:val="2"/>
                <w:sz w:val="21"/>
                <w:szCs w:val="21"/>
                <w14:textFill>
                  <w14:solidFill>
                    <w14:schemeClr w14:val="tx1"/>
                  </w14:solidFill>
                </w14:textFill>
              </w:rPr>
            </w:pPr>
            <w:r>
              <w:rPr>
                <w:rFonts w:hint="eastAsia" w:ascii="Times New Roman" w:cs="Times New Roman"/>
                <w:color w:val="000000" w:themeColor="text1"/>
                <w:kern w:val="2"/>
                <w:sz w:val="21"/>
                <w:szCs w:val="21"/>
                <w14:textFill>
                  <w14:solidFill>
                    <w14:schemeClr w14:val="tx1"/>
                  </w14:solidFill>
                </w14:textFill>
              </w:rPr>
              <w:t>工程</w:t>
            </w:r>
          </w:p>
          <w:p w14:paraId="7C8F9D49">
            <w:pPr>
              <w:pStyle w:val="43"/>
              <w:snapToGrid w:val="0"/>
              <w:jc w:val="center"/>
              <w:rPr>
                <w:rFonts w:ascii="Times New Roman" w:cs="Times New Roman"/>
                <w:color w:val="000000" w:themeColor="text1"/>
                <w:sz w:val="21"/>
                <w:szCs w:val="21"/>
                <w14:textFill>
                  <w14:solidFill>
                    <w14:schemeClr w14:val="tx1"/>
                  </w14:solidFill>
                </w14:textFill>
              </w:rPr>
            </w:pPr>
            <w:r>
              <w:rPr>
                <w:rFonts w:hint="eastAsia" w:ascii="Times New Roman" w:cs="Times New Roman"/>
                <w:color w:val="000000" w:themeColor="text1"/>
                <w:kern w:val="2"/>
                <w:sz w:val="21"/>
                <w:szCs w:val="21"/>
                <w14:textFill>
                  <w14:solidFill>
                    <w14:schemeClr w14:val="tx1"/>
                  </w14:solidFill>
                </w14:textFill>
              </w:rPr>
              <w:t>规划</w:t>
            </w:r>
          </w:p>
        </w:tc>
        <w:tc>
          <w:tcPr>
            <w:tcW w:w="6125" w:type="dxa"/>
            <w:tcBorders>
              <w:top w:val="single" w:color="auto" w:sz="4" w:space="0"/>
              <w:left w:val="single" w:color="auto" w:sz="4" w:space="0"/>
              <w:bottom w:val="single" w:color="auto" w:sz="4" w:space="0"/>
              <w:right w:val="single" w:color="auto" w:sz="4" w:space="0"/>
            </w:tcBorders>
            <w:vAlign w:val="center"/>
          </w:tcPr>
          <w:p w14:paraId="2C91E545">
            <w:pPr>
              <w:pStyle w:val="43"/>
              <w:snapToGrid w:val="0"/>
              <w:jc w:val="both"/>
              <w:rPr>
                <w:rFonts w:ascii="Times New Roman" w:cs="Times New Roman"/>
                <w:color w:val="000000" w:themeColor="text1"/>
                <w:sz w:val="21"/>
                <w:szCs w:val="21"/>
                <w14:textFill>
                  <w14:solidFill>
                    <w14:schemeClr w14:val="tx1"/>
                  </w14:solidFill>
                </w14:textFill>
              </w:rPr>
            </w:pPr>
            <w:r>
              <w:rPr>
                <w:rFonts w:hint="eastAsia" w:ascii="Times New Roman" w:cs="Times New Roman"/>
                <w:color w:val="000000" w:themeColor="text1"/>
                <w:kern w:val="2"/>
                <w:sz w:val="21"/>
                <w:szCs w:val="21"/>
                <w14:textFill>
                  <w14:solidFill>
                    <w14:schemeClr w14:val="tx1"/>
                  </w14:solidFill>
                </w14:textFill>
              </w:rPr>
              <w:t>产业基地内建设有集中污水处理厂，接纳来自沫河口工业园区和产业基地及沫河口镇排放的生活和工业废水。处理厂依据水质采用生化处理和深度处理工艺进行处理，达到《城镇污水处理厂污染物排放标准》(</w:t>
            </w:r>
            <w:r>
              <w:rPr>
                <w:rFonts w:ascii="Times New Roman" w:cs="Times New Roman"/>
                <w:color w:val="000000" w:themeColor="text1"/>
                <w:kern w:val="2"/>
                <w:sz w:val="21"/>
                <w:szCs w:val="21"/>
                <w14:textFill>
                  <w14:solidFill>
                    <w14:schemeClr w14:val="tx1"/>
                  </w14:solidFill>
                </w14:textFill>
              </w:rPr>
              <w:t>GB18918-2002</w:t>
            </w:r>
            <w:r>
              <w:rPr>
                <w:rFonts w:hint="eastAsia" w:ascii="Times New Roman" w:cs="Times New Roman"/>
                <w:color w:val="000000" w:themeColor="text1"/>
                <w:kern w:val="2"/>
                <w:sz w:val="21"/>
                <w:szCs w:val="21"/>
                <w14:textFill>
                  <w14:solidFill>
                    <w14:schemeClr w14:val="tx1"/>
                  </w14:solidFill>
                </w14:textFill>
              </w:rPr>
              <w:t>)中的一级</w:t>
            </w:r>
            <w:r>
              <w:rPr>
                <w:rFonts w:ascii="Times New Roman" w:cs="Times New Roman"/>
                <w:color w:val="000000" w:themeColor="text1"/>
                <w:kern w:val="2"/>
                <w:sz w:val="21"/>
                <w:szCs w:val="21"/>
                <w14:textFill>
                  <w14:solidFill>
                    <w14:schemeClr w14:val="tx1"/>
                  </w14:solidFill>
                </w14:textFill>
              </w:rPr>
              <w:t>A</w:t>
            </w:r>
            <w:r>
              <w:rPr>
                <w:rFonts w:hint="eastAsia" w:ascii="Times New Roman" w:cs="Times New Roman"/>
                <w:color w:val="000000" w:themeColor="text1"/>
                <w:kern w:val="2"/>
                <w:sz w:val="21"/>
                <w:szCs w:val="21"/>
                <w14:textFill>
                  <w14:solidFill>
                    <w14:schemeClr w14:val="tx1"/>
                  </w14:solidFill>
                </w14:textFill>
              </w:rPr>
              <w:t>标准后，一部分作为中水回用，其余部分通过管线排至沫冲引河，经三铺大沟后排入淮河。</w:t>
            </w:r>
          </w:p>
        </w:tc>
        <w:tc>
          <w:tcPr>
            <w:tcW w:w="5078" w:type="dxa"/>
            <w:tcBorders>
              <w:top w:val="single" w:color="auto" w:sz="4" w:space="0"/>
              <w:left w:val="single" w:color="auto" w:sz="4" w:space="0"/>
              <w:bottom w:val="single" w:color="auto" w:sz="4" w:space="0"/>
              <w:right w:val="single" w:color="auto" w:sz="4" w:space="0"/>
            </w:tcBorders>
            <w:vAlign w:val="center"/>
          </w:tcPr>
          <w:p w14:paraId="74154355">
            <w:pPr>
              <w:pStyle w:val="43"/>
              <w:snapToGrid w:val="0"/>
              <w:jc w:val="both"/>
              <w:rPr>
                <w:rFonts w:ascii="Times New Roman" w:cs="Times New Roman"/>
                <w:color w:val="000000" w:themeColor="text1"/>
                <w:sz w:val="21"/>
                <w:szCs w:val="21"/>
                <w14:textFill>
                  <w14:solidFill>
                    <w14:schemeClr w14:val="tx1"/>
                  </w14:solidFill>
                </w14:textFill>
              </w:rPr>
            </w:pPr>
            <w:r>
              <w:rPr>
                <w:rFonts w:hint="eastAsia" w:ascii="Times New Roman" w:cs="Times New Roman"/>
                <w:color w:val="000000" w:themeColor="text1"/>
                <w:kern w:val="2"/>
                <w:sz w:val="21"/>
                <w:szCs w:val="21"/>
                <w14:textFill>
                  <w14:solidFill>
                    <w14:schemeClr w14:val="tx1"/>
                  </w14:solidFill>
                </w14:textFill>
              </w:rPr>
              <w:t>本项目产生的各类废水经厂区污水处理站处理达标后排入沫河口污水处理厂，沫河口污水处理厂外排废水执行《城镇污水处理厂污染物排放标准》</w:t>
            </w:r>
            <w:r>
              <w:rPr>
                <w:rFonts w:ascii="Times New Roman" w:cs="Times New Roman"/>
                <w:color w:val="000000" w:themeColor="text1"/>
                <w:kern w:val="2"/>
                <w:sz w:val="21"/>
                <w:szCs w:val="21"/>
                <w14:textFill>
                  <w14:solidFill>
                    <w14:schemeClr w14:val="tx1"/>
                  </w14:solidFill>
                </w14:textFill>
              </w:rPr>
              <w:t>(GB18918-2002)</w:t>
            </w:r>
            <w:r>
              <w:rPr>
                <w:rFonts w:hint="eastAsia" w:ascii="Times New Roman" w:cs="Times New Roman"/>
                <w:color w:val="000000" w:themeColor="text1"/>
                <w:kern w:val="2"/>
                <w:sz w:val="21"/>
                <w:szCs w:val="21"/>
                <w14:textFill>
                  <w14:solidFill>
                    <w14:schemeClr w14:val="tx1"/>
                  </w14:solidFill>
                </w14:textFill>
              </w:rPr>
              <w:t>中一级</w:t>
            </w:r>
            <w:r>
              <w:rPr>
                <w:rFonts w:ascii="Times New Roman" w:cs="Times New Roman"/>
                <w:color w:val="000000" w:themeColor="text1"/>
                <w:kern w:val="2"/>
                <w:sz w:val="21"/>
                <w:szCs w:val="21"/>
                <w14:textFill>
                  <w14:solidFill>
                    <w14:schemeClr w14:val="tx1"/>
                  </w14:solidFill>
                </w14:textFill>
              </w:rPr>
              <w:t>A</w:t>
            </w:r>
            <w:r>
              <w:rPr>
                <w:rFonts w:hint="eastAsia" w:ascii="Times New Roman" w:cs="Times New Roman"/>
                <w:color w:val="000000" w:themeColor="text1"/>
                <w:kern w:val="2"/>
                <w:sz w:val="21"/>
                <w:szCs w:val="21"/>
                <w14:textFill>
                  <w14:solidFill>
                    <w14:schemeClr w14:val="tx1"/>
                  </w14:solidFill>
                </w14:textFill>
              </w:rPr>
              <w:t>标准后排入淮河。</w:t>
            </w:r>
          </w:p>
        </w:tc>
        <w:tc>
          <w:tcPr>
            <w:tcW w:w="1209" w:type="dxa"/>
            <w:tcBorders>
              <w:top w:val="single" w:color="auto" w:sz="4" w:space="0"/>
              <w:left w:val="single" w:color="auto" w:sz="4" w:space="0"/>
              <w:bottom w:val="single" w:color="auto" w:sz="4" w:space="0"/>
              <w:right w:val="single" w:color="auto" w:sz="4" w:space="0"/>
            </w:tcBorders>
            <w:vAlign w:val="center"/>
          </w:tcPr>
          <w:p w14:paraId="6EC507B7">
            <w:pPr>
              <w:pStyle w:val="43"/>
              <w:snapToGrid w:val="0"/>
              <w:jc w:val="center"/>
              <w:rPr>
                <w:rFonts w:ascii="Times New Roman" w:cs="Times New Roman"/>
                <w:color w:val="000000" w:themeColor="text1"/>
                <w:sz w:val="21"/>
                <w:szCs w:val="21"/>
                <w14:textFill>
                  <w14:solidFill>
                    <w14:schemeClr w14:val="tx1"/>
                  </w14:solidFill>
                </w14:textFill>
              </w:rPr>
            </w:pPr>
            <w:r>
              <w:rPr>
                <w:rFonts w:hint="eastAsia" w:ascii="Times New Roman" w:cs="Times New Roman"/>
                <w:color w:val="000000" w:themeColor="text1"/>
                <w:kern w:val="2"/>
                <w:sz w:val="21"/>
                <w:szCs w:val="21"/>
                <w14:textFill>
                  <w14:solidFill>
                    <w14:schemeClr w14:val="tx1"/>
                  </w14:solidFill>
                </w14:textFill>
              </w:rPr>
              <w:t>符合</w:t>
            </w:r>
          </w:p>
        </w:tc>
      </w:tr>
      <w:tr w14:paraId="410B490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958" w:type="dxa"/>
            <w:vMerge w:val="continue"/>
            <w:tcBorders>
              <w:top w:val="single" w:color="auto" w:sz="4" w:space="0"/>
              <w:left w:val="single" w:color="auto" w:sz="4" w:space="0"/>
              <w:bottom w:val="single" w:color="auto" w:sz="4" w:space="0"/>
              <w:right w:val="single" w:color="auto" w:sz="4" w:space="0"/>
            </w:tcBorders>
            <w:vAlign w:val="center"/>
          </w:tcPr>
          <w:p w14:paraId="1FB35239">
            <w:pPr>
              <w:widowControl/>
              <w:spacing w:line="240" w:lineRule="auto"/>
              <w:jc w:val="left"/>
              <w:rPr>
                <w:kern w:val="0"/>
                <w:szCs w:val="21"/>
              </w:rPr>
            </w:pPr>
          </w:p>
        </w:tc>
        <w:tc>
          <w:tcPr>
            <w:tcW w:w="850" w:type="dxa"/>
            <w:tcBorders>
              <w:top w:val="single" w:color="auto" w:sz="4" w:space="0"/>
              <w:left w:val="single" w:color="auto" w:sz="4" w:space="0"/>
              <w:bottom w:val="single" w:color="auto" w:sz="4" w:space="0"/>
              <w:right w:val="single" w:color="auto" w:sz="4" w:space="0"/>
            </w:tcBorders>
            <w:vAlign w:val="center"/>
          </w:tcPr>
          <w:p w14:paraId="3D660A35">
            <w:pPr>
              <w:pStyle w:val="43"/>
              <w:snapToGrid w:val="0"/>
              <w:jc w:val="center"/>
              <w:rPr>
                <w:rFonts w:ascii="Times New Roman" w:cs="Times New Roman"/>
                <w:color w:val="000000" w:themeColor="text1"/>
                <w:sz w:val="21"/>
                <w:szCs w:val="21"/>
                <w14:textFill>
                  <w14:solidFill>
                    <w14:schemeClr w14:val="tx1"/>
                  </w14:solidFill>
                </w14:textFill>
              </w:rPr>
            </w:pPr>
            <w:r>
              <w:rPr>
                <w:rFonts w:hint="eastAsia" w:ascii="Times New Roman" w:cs="Times New Roman"/>
                <w:color w:val="000000" w:themeColor="text1"/>
                <w:kern w:val="2"/>
                <w:sz w:val="21"/>
                <w:szCs w:val="21"/>
                <w14:textFill>
                  <w14:solidFill>
                    <w14:schemeClr w14:val="tx1"/>
                  </w14:solidFill>
                </w14:textFill>
              </w:rPr>
              <w:t>环境</w:t>
            </w:r>
          </w:p>
          <w:p w14:paraId="0EA26142">
            <w:pPr>
              <w:pStyle w:val="43"/>
              <w:snapToGrid w:val="0"/>
              <w:jc w:val="center"/>
              <w:rPr>
                <w:rFonts w:ascii="Times New Roman" w:cs="Times New Roman"/>
                <w:color w:val="000000" w:themeColor="text1"/>
                <w:kern w:val="2"/>
                <w:sz w:val="21"/>
                <w:szCs w:val="21"/>
                <w14:textFill>
                  <w14:solidFill>
                    <w14:schemeClr w14:val="tx1"/>
                  </w14:solidFill>
                </w14:textFill>
              </w:rPr>
            </w:pPr>
            <w:r>
              <w:rPr>
                <w:rFonts w:hint="eastAsia" w:ascii="Times New Roman" w:cs="Times New Roman"/>
                <w:color w:val="000000" w:themeColor="text1"/>
                <w:kern w:val="2"/>
                <w:sz w:val="21"/>
                <w:szCs w:val="21"/>
                <w14:textFill>
                  <w14:solidFill>
                    <w14:schemeClr w14:val="tx1"/>
                  </w14:solidFill>
                </w14:textFill>
              </w:rPr>
              <w:t>保护</w:t>
            </w:r>
          </w:p>
          <w:p w14:paraId="0679D7D4">
            <w:pPr>
              <w:pStyle w:val="43"/>
              <w:snapToGrid w:val="0"/>
              <w:jc w:val="center"/>
              <w:rPr>
                <w:rFonts w:ascii="Times New Roman" w:cs="Times New Roman"/>
                <w:color w:val="000000" w:themeColor="text1"/>
                <w:sz w:val="21"/>
                <w:szCs w:val="21"/>
                <w14:textFill>
                  <w14:solidFill>
                    <w14:schemeClr w14:val="tx1"/>
                  </w14:solidFill>
                </w14:textFill>
              </w:rPr>
            </w:pPr>
            <w:r>
              <w:rPr>
                <w:rFonts w:hint="eastAsia" w:ascii="Times New Roman" w:cs="Times New Roman"/>
                <w:color w:val="000000" w:themeColor="text1"/>
                <w:kern w:val="2"/>
                <w:sz w:val="21"/>
                <w:szCs w:val="21"/>
                <w14:textFill>
                  <w14:solidFill>
                    <w14:schemeClr w14:val="tx1"/>
                  </w14:solidFill>
                </w14:textFill>
              </w:rPr>
              <w:t>规划</w:t>
            </w:r>
          </w:p>
        </w:tc>
        <w:tc>
          <w:tcPr>
            <w:tcW w:w="6125" w:type="dxa"/>
            <w:tcBorders>
              <w:top w:val="single" w:color="auto" w:sz="4" w:space="0"/>
              <w:left w:val="single" w:color="auto" w:sz="4" w:space="0"/>
              <w:bottom w:val="single" w:color="auto" w:sz="4" w:space="0"/>
              <w:right w:val="single" w:color="auto" w:sz="4" w:space="0"/>
            </w:tcBorders>
            <w:vAlign w:val="center"/>
          </w:tcPr>
          <w:p w14:paraId="0B5991FF">
            <w:pPr>
              <w:pStyle w:val="43"/>
              <w:snapToGrid w:val="0"/>
              <w:jc w:val="both"/>
              <w:rPr>
                <w:rFonts w:ascii="Times New Roman" w:cs="Times New Roman"/>
                <w:color w:val="000000" w:themeColor="text1"/>
                <w:sz w:val="21"/>
                <w:szCs w:val="21"/>
                <w14:textFill>
                  <w14:solidFill>
                    <w14:schemeClr w14:val="tx1"/>
                  </w14:solidFill>
                </w14:textFill>
              </w:rPr>
            </w:pPr>
            <w:r>
              <w:rPr>
                <w:rFonts w:hint="eastAsia" w:ascii="Times New Roman" w:cs="Times New Roman"/>
                <w:color w:val="000000" w:themeColor="text1"/>
                <w:kern w:val="2"/>
                <w:sz w:val="21"/>
                <w:szCs w:val="21"/>
                <w14:textFill>
                  <w14:solidFill>
                    <w14:schemeClr w14:val="tx1"/>
                  </w14:solidFill>
                </w14:textFill>
              </w:rPr>
              <w:t>蚌埠精细化工高新技术产业基地环境保护规划的目标是：将化工园区建设成为一个总体布局合理、环境优美、各种资源配置和利用水准高、</w:t>
            </w:r>
            <w:r>
              <w:rPr>
                <w:rFonts w:ascii="Times New Roman" w:cs="Times New Roman"/>
                <w:color w:val="000000" w:themeColor="text1"/>
                <w:kern w:val="2"/>
                <w:sz w:val="21"/>
                <w:szCs w:val="21"/>
                <w14:textFill>
                  <w14:solidFill>
                    <w14:schemeClr w14:val="tx1"/>
                  </w14:solidFill>
                </w14:textFill>
              </w:rPr>
              <w:t xml:space="preserve"> </w:t>
            </w:r>
            <w:r>
              <w:rPr>
                <w:rFonts w:hint="eastAsia" w:ascii="Times New Roman" w:cs="Times New Roman"/>
                <w:color w:val="000000" w:themeColor="text1"/>
                <w:kern w:val="2"/>
                <w:sz w:val="21"/>
                <w:szCs w:val="21"/>
                <w14:textFill>
                  <w14:solidFill>
                    <w14:schemeClr w14:val="tx1"/>
                  </w14:solidFill>
                </w14:textFill>
              </w:rPr>
              <w:t>生产设施完善、经济与社会协调发展、人与自然和谐统一的绿色生态型精细化工园区，同时又是一个可持续发展的，贯彻循环经济理念的精细化工产业园。</w:t>
            </w:r>
          </w:p>
        </w:tc>
        <w:tc>
          <w:tcPr>
            <w:tcW w:w="5078" w:type="dxa"/>
            <w:tcBorders>
              <w:top w:val="single" w:color="auto" w:sz="4" w:space="0"/>
              <w:left w:val="single" w:color="auto" w:sz="4" w:space="0"/>
              <w:bottom w:val="single" w:color="auto" w:sz="4" w:space="0"/>
              <w:right w:val="single" w:color="auto" w:sz="4" w:space="0"/>
            </w:tcBorders>
            <w:vAlign w:val="center"/>
          </w:tcPr>
          <w:p w14:paraId="06429D09">
            <w:pPr>
              <w:pStyle w:val="43"/>
              <w:snapToGrid w:val="0"/>
              <w:jc w:val="both"/>
              <w:rPr>
                <w:rFonts w:ascii="Times New Roman" w:cs="Times New Roman"/>
                <w:color w:val="000000" w:themeColor="text1"/>
                <w:sz w:val="21"/>
                <w:szCs w:val="21"/>
                <w14:textFill>
                  <w14:solidFill>
                    <w14:schemeClr w14:val="tx1"/>
                  </w14:solidFill>
                </w14:textFill>
              </w:rPr>
            </w:pPr>
            <w:r>
              <w:rPr>
                <w:rFonts w:hint="eastAsia" w:ascii="Times New Roman" w:cs="Times New Roman"/>
                <w:color w:val="000000" w:themeColor="text1"/>
                <w:kern w:val="2"/>
                <w:sz w:val="21"/>
                <w:szCs w:val="21"/>
                <w14:textFill>
                  <w14:solidFill>
                    <w14:schemeClr w14:val="tx1"/>
                  </w14:solidFill>
                </w14:textFill>
              </w:rPr>
              <w:t>技改项目产生的废气经东厂区2</w:t>
            </w:r>
            <w:r>
              <w:rPr>
                <w:rFonts w:ascii="Times New Roman" w:cs="Times New Roman"/>
                <w:color w:val="000000" w:themeColor="text1"/>
                <w:kern w:val="2"/>
                <w:sz w:val="21"/>
                <w:szCs w:val="21"/>
                <w14:textFill>
                  <w14:solidFill>
                    <w14:schemeClr w14:val="tx1"/>
                  </w14:solidFill>
                </w14:textFill>
              </w:rPr>
              <w:t>#</w:t>
            </w:r>
            <w:r>
              <w:rPr>
                <w:rFonts w:hint="eastAsia" w:ascii="Times New Roman" w:cs="Times New Roman"/>
                <w:color w:val="000000" w:themeColor="text1"/>
                <w:kern w:val="2"/>
                <w:sz w:val="21"/>
                <w:szCs w:val="21"/>
                <w14:textFill>
                  <w14:solidFill>
                    <w14:schemeClr w14:val="tx1"/>
                  </w14:solidFill>
                </w14:textFill>
              </w:rPr>
              <w:t>RTO装置焚烧处理后排放，废气做到达标排放；厂界噪声做到达标排放，危险废物和一般废物处理和利用率均达到</w:t>
            </w:r>
            <w:r>
              <w:rPr>
                <w:rFonts w:ascii="Times New Roman" w:cs="Times New Roman"/>
                <w:color w:val="000000" w:themeColor="text1"/>
                <w:kern w:val="2"/>
                <w:sz w:val="21"/>
                <w:szCs w:val="21"/>
                <w14:textFill>
                  <w14:solidFill>
                    <w14:schemeClr w14:val="tx1"/>
                  </w14:solidFill>
                </w14:textFill>
              </w:rPr>
              <w:t>100%</w:t>
            </w:r>
            <w:r>
              <w:rPr>
                <w:rFonts w:hint="eastAsia" w:ascii="Times New Roman" w:cs="Times New Roman"/>
                <w:color w:val="000000" w:themeColor="text1"/>
                <w:kern w:val="2"/>
                <w:sz w:val="21"/>
                <w:szCs w:val="21"/>
                <w14:textFill>
                  <w14:solidFill>
                    <w14:schemeClr w14:val="tx1"/>
                  </w14:solidFill>
                </w14:textFill>
              </w:rPr>
              <w:t>。</w:t>
            </w:r>
          </w:p>
        </w:tc>
        <w:tc>
          <w:tcPr>
            <w:tcW w:w="1209" w:type="dxa"/>
            <w:tcBorders>
              <w:top w:val="single" w:color="auto" w:sz="4" w:space="0"/>
              <w:left w:val="single" w:color="auto" w:sz="4" w:space="0"/>
              <w:bottom w:val="single" w:color="auto" w:sz="4" w:space="0"/>
              <w:right w:val="single" w:color="auto" w:sz="4" w:space="0"/>
            </w:tcBorders>
            <w:vAlign w:val="center"/>
          </w:tcPr>
          <w:p w14:paraId="448F1AFE">
            <w:pPr>
              <w:pStyle w:val="43"/>
              <w:snapToGrid w:val="0"/>
              <w:jc w:val="center"/>
              <w:rPr>
                <w:rFonts w:ascii="Times New Roman" w:cs="Times New Roman"/>
                <w:color w:val="000000" w:themeColor="text1"/>
                <w:sz w:val="21"/>
                <w:szCs w:val="21"/>
                <w14:textFill>
                  <w14:solidFill>
                    <w14:schemeClr w14:val="tx1"/>
                  </w14:solidFill>
                </w14:textFill>
              </w:rPr>
            </w:pPr>
            <w:r>
              <w:rPr>
                <w:rFonts w:hint="eastAsia" w:ascii="Times New Roman" w:cs="Times New Roman"/>
                <w:color w:val="000000" w:themeColor="text1"/>
                <w:kern w:val="2"/>
                <w:sz w:val="21"/>
                <w:szCs w:val="21"/>
                <w14:textFill>
                  <w14:solidFill>
                    <w14:schemeClr w14:val="tx1"/>
                  </w14:solidFill>
                </w14:textFill>
              </w:rPr>
              <w:t>符合</w:t>
            </w:r>
          </w:p>
        </w:tc>
      </w:tr>
      <w:tr w14:paraId="475EE2B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958" w:type="dxa"/>
            <w:vMerge w:val="restart"/>
            <w:tcBorders>
              <w:top w:val="single" w:color="auto" w:sz="4" w:space="0"/>
              <w:left w:val="single" w:color="auto" w:sz="4" w:space="0"/>
              <w:bottom w:val="single" w:color="auto" w:sz="4" w:space="0"/>
              <w:right w:val="single" w:color="auto" w:sz="4" w:space="0"/>
            </w:tcBorders>
            <w:vAlign w:val="center"/>
          </w:tcPr>
          <w:p w14:paraId="68FC972F">
            <w:pPr>
              <w:pStyle w:val="43"/>
              <w:snapToGrid w:val="0"/>
              <w:jc w:val="center"/>
              <w:rPr>
                <w:rFonts w:ascii="Times New Roman" w:cs="Times New Roman"/>
                <w:color w:val="000000" w:themeColor="text1"/>
                <w:sz w:val="21"/>
                <w:szCs w:val="21"/>
                <w14:textFill>
                  <w14:solidFill>
                    <w14:schemeClr w14:val="tx1"/>
                  </w14:solidFill>
                </w14:textFill>
              </w:rPr>
            </w:pPr>
            <w:r>
              <w:rPr>
                <w:rFonts w:hint="eastAsia" w:ascii="Times New Roman" w:cs="Times New Roman"/>
                <w:color w:val="000000" w:themeColor="text1"/>
                <w:kern w:val="2"/>
                <w:sz w:val="21"/>
                <w:szCs w:val="21"/>
                <w14:textFill>
                  <w14:solidFill>
                    <w14:schemeClr w14:val="tx1"/>
                  </w14:solidFill>
                </w14:textFill>
              </w:rPr>
              <w:t>规</w:t>
            </w:r>
            <w:r>
              <w:rPr>
                <w:rFonts w:ascii="Times New Roman" w:cs="Times New Roman"/>
                <w:color w:val="000000" w:themeColor="text1"/>
                <w:kern w:val="2"/>
                <w:sz w:val="21"/>
                <w:szCs w:val="21"/>
                <w14:textFill>
                  <w14:solidFill>
                    <w14:schemeClr w14:val="tx1"/>
                  </w14:solidFill>
                </w14:textFill>
              </w:rPr>
              <w:t xml:space="preserve"> </w:t>
            </w:r>
            <w:r>
              <w:rPr>
                <w:rFonts w:hint="eastAsia" w:ascii="Times New Roman" w:cs="Times New Roman"/>
                <w:color w:val="000000" w:themeColor="text1"/>
                <w:kern w:val="2"/>
                <w:sz w:val="21"/>
                <w:szCs w:val="21"/>
                <w14:textFill>
                  <w14:solidFill>
                    <w14:schemeClr w14:val="tx1"/>
                  </w14:solidFill>
                </w14:textFill>
              </w:rPr>
              <w:t>划</w:t>
            </w:r>
            <w:r>
              <w:rPr>
                <w:rFonts w:ascii="Times New Roman" w:cs="Times New Roman"/>
                <w:color w:val="000000" w:themeColor="text1"/>
                <w:kern w:val="2"/>
                <w:sz w:val="21"/>
                <w:szCs w:val="21"/>
                <w14:textFill>
                  <w14:solidFill>
                    <w14:schemeClr w14:val="tx1"/>
                  </w14:solidFill>
                </w14:textFill>
              </w:rPr>
              <w:t xml:space="preserve"> </w:t>
            </w:r>
            <w:r>
              <w:rPr>
                <w:rFonts w:hint="eastAsia" w:ascii="Times New Roman" w:cs="Times New Roman"/>
                <w:color w:val="000000" w:themeColor="text1"/>
                <w:kern w:val="2"/>
                <w:sz w:val="21"/>
                <w:szCs w:val="21"/>
                <w14:textFill>
                  <w14:solidFill>
                    <w14:schemeClr w14:val="tx1"/>
                  </w14:solidFill>
                </w14:textFill>
              </w:rPr>
              <w:t>环</w:t>
            </w:r>
            <w:r>
              <w:rPr>
                <w:rFonts w:ascii="Times New Roman" w:cs="Times New Roman"/>
                <w:color w:val="000000" w:themeColor="text1"/>
                <w:kern w:val="2"/>
                <w:sz w:val="21"/>
                <w:szCs w:val="21"/>
                <w14:textFill>
                  <w14:solidFill>
                    <w14:schemeClr w14:val="tx1"/>
                  </w14:solidFill>
                </w14:textFill>
              </w:rPr>
              <w:t xml:space="preserve"> </w:t>
            </w:r>
            <w:r>
              <w:rPr>
                <w:rFonts w:hint="eastAsia" w:ascii="Times New Roman" w:cs="Times New Roman"/>
                <w:color w:val="000000" w:themeColor="text1"/>
                <w:kern w:val="2"/>
                <w:sz w:val="21"/>
                <w:szCs w:val="21"/>
                <w14:textFill>
                  <w14:solidFill>
                    <w14:schemeClr w14:val="tx1"/>
                  </w14:solidFill>
                </w14:textFill>
              </w:rPr>
              <w:t>评</w:t>
            </w:r>
            <w:r>
              <w:rPr>
                <w:rFonts w:ascii="Times New Roman" w:cs="Times New Roman"/>
                <w:color w:val="000000" w:themeColor="text1"/>
                <w:kern w:val="2"/>
                <w:sz w:val="21"/>
                <w:szCs w:val="21"/>
                <w14:textFill>
                  <w14:solidFill>
                    <w14:schemeClr w14:val="tx1"/>
                  </w14:solidFill>
                </w14:textFill>
              </w:rPr>
              <w:t xml:space="preserve"> </w:t>
            </w:r>
            <w:r>
              <w:rPr>
                <w:rFonts w:hint="eastAsia" w:ascii="Times New Roman" w:cs="Times New Roman"/>
                <w:color w:val="000000" w:themeColor="text1"/>
                <w:kern w:val="2"/>
                <w:sz w:val="21"/>
                <w:szCs w:val="21"/>
                <w14:textFill>
                  <w14:solidFill>
                    <w14:schemeClr w14:val="tx1"/>
                  </w14:solidFill>
                </w14:textFill>
              </w:rPr>
              <w:t>相</w:t>
            </w:r>
            <w:r>
              <w:rPr>
                <w:rFonts w:ascii="Times New Roman" w:cs="Times New Roman"/>
                <w:color w:val="000000" w:themeColor="text1"/>
                <w:kern w:val="2"/>
                <w:sz w:val="21"/>
                <w:szCs w:val="21"/>
                <w14:textFill>
                  <w14:solidFill>
                    <w14:schemeClr w14:val="tx1"/>
                  </w14:solidFill>
                </w14:textFill>
              </w:rPr>
              <w:t xml:space="preserve"> </w:t>
            </w:r>
            <w:r>
              <w:rPr>
                <w:rFonts w:hint="eastAsia" w:ascii="Times New Roman" w:cs="Times New Roman"/>
                <w:color w:val="000000" w:themeColor="text1"/>
                <w:kern w:val="2"/>
                <w:sz w:val="21"/>
                <w:szCs w:val="21"/>
                <w14:textFill>
                  <w14:solidFill>
                    <w14:schemeClr w14:val="tx1"/>
                  </w14:solidFill>
                </w14:textFill>
              </w:rPr>
              <w:t>关</w:t>
            </w:r>
            <w:r>
              <w:rPr>
                <w:rFonts w:ascii="Times New Roman" w:cs="Times New Roman"/>
                <w:color w:val="000000" w:themeColor="text1"/>
                <w:kern w:val="2"/>
                <w:sz w:val="21"/>
                <w:szCs w:val="21"/>
                <w14:textFill>
                  <w14:solidFill>
                    <w14:schemeClr w14:val="tx1"/>
                  </w14:solidFill>
                </w14:textFill>
              </w:rPr>
              <w:t xml:space="preserve"> </w:t>
            </w:r>
            <w:r>
              <w:rPr>
                <w:rFonts w:hint="eastAsia" w:ascii="Times New Roman" w:cs="Times New Roman"/>
                <w:color w:val="000000" w:themeColor="text1"/>
                <w:kern w:val="2"/>
                <w:sz w:val="21"/>
                <w:szCs w:val="21"/>
                <w14:textFill>
                  <w14:solidFill>
                    <w14:schemeClr w14:val="tx1"/>
                  </w14:solidFill>
                </w14:textFill>
              </w:rPr>
              <w:t>要</w:t>
            </w:r>
            <w:r>
              <w:rPr>
                <w:rFonts w:ascii="Times New Roman" w:cs="Times New Roman"/>
                <w:color w:val="000000" w:themeColor="text1"/>
                <w:kern w:val="2"/>
                <w:sz w:val="21"/>
                <w:szCs w:val="21"/>
                <w14:textFill>
                  <w14:solidFill>
                    <w14:schemeClr w14:val="tx1"/>
                  </w14:solidFill>
                </w14:textFill>
              </w:rPr>
              <w:t xml:space="preserve"> </w:t>
            </w:r>
            <w:r>
              <w:rPr>
                <w:rFonts w:hint="eastAsia" w:ascii="Times New Roman" w:cs="Times New Roman"/>
                <w:color w:val="000000" w:themeColor="text1"/>
                <w:kern w:val="2"/>
                <w:sz w:val="21"/>
                <w:szCs w:val="21"/>
                <w14:textFill>
                  <w14:solidFill>
                    <w14:schemeClr w14:val="tx1"/>
                  </w14:solidFill>
                </w14:textFill>
              </w:rPr>
              <w:t>求</w:t>
            </w:r>
          </w:p>
        </w:tc>
        <w:tc>
          <w:tcPr>
            <w:tcW w:w="6975" w:type="dxa"/>
            <w:gridSpan w:val="2"/>
            <w:tcBorders>
              <w:top w:val="single" w:color="auto" w:sz="4" w:space="0"/>
              <w:left w:val="single" w:color="auto" w:sz="4" w:space="0"/>
              <w:bottom w:val="single" w:color="auto" w:sz="4" w:space="0"/>
              <w:right w:val="single" w:color="auto" w:sz="4" w:space="0"/>
            </w:tcBorders>
            <w:vAlign w:val="center"/>
          </w:tcPr>
          <w:p w14:paraId="3D40CE86">
            <w:pPr>
              <w:pStyle w:val="43"/>
              <w:snapToGrid w:val="0"/>
              <w:jc w:val="both"/>
              <w:rPr>
                <w:rFonts w:ascii="Times New Roman" w:cs="Times New Roman"/>
                <w:color w:val="000000" w:themeColor="text1"/>
                <w:sz w:val="21"/>
                <w:szCs w:val="21"/>
                <w14:textFill>
                  <w14:solidFill>
                    <w14:schemeClr w14:val="tx1"/>
                  </w14:solidFill>
                </w14:textFill>
              </w:rPr>
            </w:pPr>
            <w:r>
              <w:rPr>
                <w:rFonts w:hint="eastAsia" w:ascii="Times New Roman" w:cs="Times New Roman"/>
                <w:color w:val="000000" w:themeColor="text1"/>
                <w:kern w:val="2"/>
                <w:sz w:val="21"/>
                <w:szCs w:val="21"/>
                <w14:textFill>
                  <w14:solidFill>
                    <w14:schemeClr w14:val="tx1"/>
                  </w14:solidFill>
                </w14:textFill>
              </w:rPr>
              <w:t>对不符合省政府确定的高新区产业定位和环保要求以及容易引起突发性环境风险的项目禁止入区建设。</w:t>
            </w:r>
          </w:p>
        </w:tc>
        <w:tc>
          <w:tcPr>
            <w:tcW w:w="5078" w:type="dxa"/>
            <w:tcBorders>
              <w:top w:val="single" w:color="auto" w:sz="4" w:space="0"/>
              <w:left w:val="single" w:color="auto" w:sz="4" w:space="0"/>
              <w:bottom w:val="single" w:color="auto" w:sz="4" w:space="0"/>
              <w:right w:val="single" w:color="auto" w:sz="4" w:space="0"/>
            </w:tcBorders>
            <w:vAlign w:val="center"/>
          </w:tcPr>
          <w:p w14:paraId="7A3FCC75">
            <w:pPr>
              <w:pStyle w:val="43"/>
              <w:snapToGrid w:val="0"/>
              <w:jc w:val="both"/>
              <w:rPr>
                <w:rFonts w:ascii="Times New Roman" w:cs="Times New Roman"/>
                <w:color w:val="000000" w:themeColor="text1"/>
                <w:sz w:val="21"/>
                <w:szCs w:val="21"/>
                <w14:textFill>
                  <w14:solidFill>
                    <w14:schemeClr w14:val="tx1"/>
                  </w14:solidFill>
                </w14:textFill>
              </w:rPr>
            </w:pPr>
            <w:r>
              <w:rPr>
                <w:rFonts w:hint="eastAsia" w:ascii="Times New Roman" w:cs="Times New Roman"/>
                <w:color w:val="000000" w:themeColor="text1"/>
                <w:kern w:val="2"/>
                <w:sz w:val="21"/>
                <w:szCs w:val="21"/>
                <w14:textFill>
                  <w14:solidFill>
                    <w14:schemeClr w14:val="tx1"/>
                  </w14:solidFill>
                </w14:textFill>
              </w:rPr>
              <w:t>本项目为间甲酚技改项目，符合园区产业定位和环保要求，不属于禁止入区建设企业。</w:t>
            </w:r>
          </w:p>
        </w:tc>
        <w:tc>
          <w:tcPr>
            <w:tcW w:w="1209" w:type="dxa"/>
            <w:tcBorders>
              <w:top w:val="single" w:color="auto" w:sz="4" w:space="0"/>
              <w:left w:val="single" w:color="auto" w:sz="4" w:space="0"/>
              <w:bottom w:val="single" w:color="auto" w:sz="4" w:space="0"/>
              <w:right w:val="single" w:color="auto" w:sz="4" w:space="0"/>
            </w:tcBorders>
            <w:vAlign w:val="center"/>
          </w:tcPr>
          <w:p w14:paraId="7C93A647">
            <w:pPr>
              <w:pStyle w:val="43"/>
              <w:snapToGrid w:val="0"/>
              <w:jc w:val="center"/>
              <w:rPr>
                <w:rFonts w:ascii="Times New Roman" w:cs="Times New Roman"/>
                <w:color w:val="000000" w:themeColor="text1"/>
                <w:sz w:val="21"/>
                <w:szCs w:val="21"/>
                <w14:textFill>
                  <w14:solidFill>
                    <w14:schemeClr w14:val="tx1"/>
                  </w14:solidFill>
                </w14:textFill>
              </w:rPr>
            </w:pPr>
            <w:r>
              <w:rPr>
                <w:rFonts w:hint="eastAsia" w:ascii="Times New Roman" w:cs="Times New Roman"/>
                <w:color w:val="000000" w:themeColor="text1"/>
                <w:kern w:val="2"/>
                <w:sz w:val="21"/>
                <w:szCs w:val="21"/>
                <w14:textFill>
                  <w14:solidFill>
                    <w14:schemeClr w14:val="tx1"/>
                  </w14:solidFill>
                </w14:textFill>
              </w:rPr>
              <w:t>符合</w:t>
            </w:r>
          </w:p>
        </w:tc>
      </w:tr>
      <w:tr w14:paraId="396EC88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958" w:type="dxa"/>
            <w:vMerge w:val="continue"/>
            <w:tcBorders>
              <w:top w:val="single" w:color="auto" w:sz="4" w:space="0"/>
              <w:left w:val="single" w:color="auto" w:sz="4" w:space="0"/>
              <w:bottom w:val="single" w:color="auto" w:sz="4" w:space="0"/>
              <w:right w:val="single" w:color="auto" w:sz="4" w:space="0"/>
            </w:tcBorders>
            <w:vAlign w:val="center"/>
          </w:tcPr>
          <w:p w14:paraId="1E2C2FC5">
            <w:pPr>
              <w:widowControl/>
              <w:spacing w:line="240" w:lineRule="auto"/>
              <w:jc w:val="left"/>
              <w:rPr>
                <w:kern w:val="0"/>
                <w:szCs w:val="21"/>
              </w:rPr>
            </w:pPr>
          </w:p>
        </w:tc>
        <w:tc>
          <w:tcPr>
            <w:tcW w:w="6975" w:type="dxa"/>
            <w:gridSpan w:val="2"/>
            <w:tcBorders>
              <w:top w:val="single" w:color="auto" w:sz="4" w:space="0"/>
              <w:left w:val="single" w:color="auto" w:sz="4" w:space="0"/>
              <w:bottom w:val="single" w:color="auto" w:sz="4" w:space="0"/>
              <w:right w:val="single" w:color="auto" w:sz="4" w:space="0"/>
            </w:tcBorders>
            <w:vAlign w:val="center"/>
          </w:tcPr>
          <w:p w14:paraId="20314F44">
            <w:pPr>
              <w:pStyle w:val="43"/>
              <w:snapToGrid w:val="0"/>
              <w:jc w:val="both"/>
              <w:rPr>
                <w:rFonts w:ascii="Times New Roman" w:cs="Times New Roman"/>
                <w:color w:val="000000" w:themeColor="text1"/>
                <w:sz w:val="21"/>
                <w:szCs w:val="21"/>
                <w14:textFill>
                  <w14:solidFill>
                    <w14:schemeClr w14:val="tx1"/>
                  </w14:solidFill>
                </w14:textFill>
              </w:rPr>
            </w:pPr>
            <w:r>
              <w:rPr>
                <w:rFonts w:ascii="Times New Roman" w:cs="Times New Roman"/>
                <w:color w:val="000000" w:themeColor="text1"/>
                <w:kern w:val="2"/>
                <w:sz w:val="21"/>
                <w:szCs w:val="21"/>
                <w14:textFill>
                  <w14:solidFill>
                    <w14:schemeClr w14:val="tx1"/>
                  </w14:solidFill>
                </w14:textFill>
              </w:rPr>
              <w:t>新入区的化工项目其工艺装备、安全生产、污染防治及清洁生产水平应达到国际先进水平。</w:t>
            </w:r>
          </w:p>
        </w:tc>
        <w:tc>
          <w:tcPr>
            <w:tcW w:w="5078" w:type="dxa"/>
            <w:tcBorders>
              <w:top w:val="single" w:color="auto" w:sz="4" w:space="0"/>
              <w:left w:val="single" w:color="auto" w:sz="4" w:space="0"/>
              <w:bottom w:val="single" w:color="auto" w:sz="4" w:space="0"/>
              <w:right w:val="single" w:color="auto" w:sz="4" w:space="0"/>
            </w:tcBorders>
            <w:vAlign w:val="center"/>
          </w:tcPr>
          <w:p w14:paraId="1EBAAE1C">
            <w:pPr>
              <w:pStyle w:val="43"/>
              <w:snapToGrid w:val="0"/>
              <w:jc w:val="both"/>
              <w:rPr>
                <w:rFonts w:ascii="Times New Roman" w:cs="Times New Roman"/>
                <w:color w:val="000000" w:themeColor="text1"/>
                <w:sz w:val="21"/>
                <w:szCs w:val="21"/>
                <w14:textFill>
                  <w14:solidFill>
                    <w14:schemeClr w14:val="tx1"/>
                  </w14:solidFill>
                </w14:textFill>
              </w:rPr>
            </w:pPr>
            <w:r>
              <w:rPr>
                <w:rFonts w:ascii="Times New Roman" w:cs="Times New Roman"/>
                <w:color w:val="000000" w:themeColor="text1"/>
                <w:kern w:val="2"/>
                <w:sz w:val="21"/>
                <w:szCs w:val="21"/>
                <w14:textFill>
                  <w14:solidFill>
                    <w14:schemeClr w14:val="tx1"/>
                  </w14:solidFill>
                </w14:textFill>
              </w:rPr>
              <w:t>本项目属于间甲酚生产技改项目，采用企业成熟的烷基化和连续减压蒸馏装置，清洁生产水平达到国际先进水平</w:t>
            </w:r>
          </w:p>
        </w:tc>
        <w:tc>
          <w:tcPr>
            <w:tcW w:w="1209" w:type="dxa"/>
            <w:tcBorders>
              <w:top w:val="single" w:color="auto" w:sz="4" w:space="0"/>
              <w:left w:val="single" w:color="auto" w:sz="4" w:space="0"/>
              <w:bottom w:val="single" w:color="auto" w:sz="4" w:space="0"/>
              <w:right w:val="single" w:color="auto" w:sz="4" w:space="0"/>
            </w:tcBorders>
            <w:vAlign w:val="center"/>
          </w:tcPr>
          <w:p w14:paraId="7AB629CE">
            <w:pPr>
              <w:pStyle w:val="43"/>
              <w:snapToGrid w:val="0"/>
              <w:jc w:val="center"/>
              <w:rPr>
                <w:rFonts w:ascii="Times New Roman" w:cs="Times New Roman"/>
                <w:color w:val="000000" w:themeColor="text1"/>
                <w:sz w:val="21"/>
                <w:szCs w:val="21"/>
                <w14:textFill>
                  <w14:solidFill>
                    <w14:schemeClr w14:val="tx1"/>
                  </w14:solidFill>
                </w14:textFill>
              </w:rPr>
            </w:pPr>
            <w:r>
              <w:rPr>
                <w:rFonts w:hint="eastAsia" w:ascii="Times New Roman" w:cs="Times New Roman"/>
                <w:color w:val="000000" w:themeColor="text1"/>
                <w:kern w:val="2"/>
                <w:sz w:val="21"/>
                <w:szCs w:val="21"/>
                <w14:textFill>
                  <w14:solidFill>
                    <w14:schemeClr w14:val="tx1"/>
                  </w14:solidFill>
                </w14:textFill>
              </w:rPr>
              <w:t>符合</w:t>
            </w:r>
          </w:p>
        </w:tc>
      </w:tr>
      <w:tr w14:paraId="2843670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958" w:type="dxa"/>
            <w:vMerge w:val="continue"/>
            <w:tcBorders>
              <w:top w:val="single" w:color="auto" w:sz="4" w:space="0"/>
              <w:left w:val="single" w:color="auto" w:sz="4" w:space="0"/>
              <w:bottom w:val="single" w:color="auto" w:sz="4" w:space="0"/>
              <w:right w:val="single" w:color="auto" w:sz="4" w:space="0"/>
            </w:tcBorders>
            <w:vAlign w:val="center"/>
          </w:tcPr>
          <w:p w14:paraId="6A0FFD9E">
            <w:pPr>
              <w:widowControl/>
              <w:spacing w:line="240" w:lineRule="auto"/>
              <w:jc w:val="left"/>
              <w:rPr>
                <w:kern w:val="0"/>
                <w:szCs w:val="21"/>
              </w:rPr>
            </w:pPr>
          </w:p>
        </w:tc>
        <w:tc>
          <w:tcPr>
            <w:tcW w:w="6975" w:type="dxa"/>
            <w:gridSpan w:val="2"/>
            <w:tcBorders>
              <w:top w:val="single" w:color="auto" w:sz="4" w:space="0"/>
              <w:left w:val="single" w:color="auto" w:sz="4" w:space="0"/>
              <w:bottom w:val="single" w:color="auto" w:sz="4" w:space="0"/>
              <w:right w:val="single" w:color="auto" w:sz="4" w:space="0"/>
            </w:tcBorders>
            <w:vAlign w:val="center"/>
          </w:tcPr>
          <w:p w14:paraId="02818C0A">
            <w:pPr>
              <w:pStyle w:val="43"/>
              <w:snapToGrid w:val="0"/>
              <w:jc w:val="both"/>
              <w:rPr>
                <w:rFonts w:ascii="Times New Roman" w:cs="Times New Roman"/>
                <w:color w:val="000000" w:themeColor="text1"/>
                <w:sz w:val="21"/>
                <w:szCs w:val="21"/>
                <w14:textFill>
                  <w14:solidFill>
                    <w14:schemeClr w14:val="tx1"/>
                  </w14:solidFill>
                </w14:textFill>
              </w:rPr>
            </w:pPr>
            <w:r>
              <w:rPr>
                <w:rFonts w:ascii="Times New Roman" w:cs="Times New Roman"/>
                <w:color w:val="000000" w:themeColor="text1"/>
                <w:kern w:val="2"/>
                <w:sz w:val="21"/>
                <w:szCs w:val="21"/>
                <w14:textFill>
                  <w14:solidFill>
                    <w14:schemeClr w14:val="tx1"/>
                  </w14:solidFill>
                </w14:textFill>
              </w:rPr>
              <w:t>实施区内清污分流、雨污分流和污水集中处理，所有污水实行全收集、全处理。</w:t>
            </w:r>
          </w:p>
        </w:tc>
        <w:tc>
          <w:tcPr>
            <w:tcW w:w="5078" w:type="dxa"/>
            <w:tcBorders>
              <w:top w:val="single" w:color="auto" w:sz="4" w:space="0"/>
              <w:left w:val="single" w:color="auto" w:sz="4" w:space="0"/>
              <w:bottom w:val="single" w:color="auto" w:sz="4" w:space="0"/>
              <w:right w:val="single" w:color="auto" w:sz="4" w:space="0"/>
            </w:tcBorders>
            <w:vAlign w:val="center"/>
          </w:tcPr>
          <w:p w14:paraId="3EE615DA">
            <w:pPr>
              <w:pStyle w:val="43"/>
              <w:snapToGrid w:val="0"/>
              <w:jc w:val="both"/>
              <w:rPr>
                <w:rFonts w:ascii="Times New Roman" w:cs="Times New Roman"/>
                <w:color w:val="000000" w:themeColor="text1"/>
                <w:sz w:val="21"/>
                <w:szCs w:val="21"/>
                <w14:textFill>
                  <w14:solidFill>
                    <w14:schemeClr w14:val="tx1"/>
                  </w14:solidFill>
                </w14:textFill>
              </w:rPr>
            </w:pPr>
            <w:r>
              <w:rPr>
                <w:rFonts w:ascii="Times New Roman" w:cs="Times New Roman"/>
                <w:color w:val="000000" w:themeColor="text1"/>
                <w:kern w:val="2"/>
                <w:sz w:val="21"/>
                <w:szCs w:val="21"/>
                <w14:textFill>
                  <w14:solidFill>
                    <w14:schemeClr w14:val="tx1"/>
                  </w14:solidFill>
                </w14:textFill>
              </w:rPr>
              <w:t>厂区设计实施了清污分流、雨污分流、污污分流等，收集后集中处理。</w:t>
            </w:r>
          </w:p>
        </w:tc>
        <w:tc>
          <w:tcPr>
            <w:tcW w:w="1209" w:type="dxa"/>
            <w:tcBorders>
              <w:top w:val="single" w:color="auto" w:sz="4" w:space="0"/>
              <w:left w:val="single" w:color="auto" w:sz="4" w:space="0"/>
              <w:bottom w:val="single" w:color="auto" w:sz="4" w:space="0"/>
              <w:right w:val="single" w:color="auto" w:sz="4" w:space="0"/>
            </w:tcBorders>
            <w:vAlign w:val="center"/>
          </w:tcPr>
          <w:p w14:paraId="1BE12B36">
            <w:pPr>
              <w:pStyle w:val="43"/>
              <w:snapToGrid w:val="0"/>
              <w:jc w:val="center"/>
              <w:rPr>
                <w:rFonts w:ascii="Times New Roman" w:cs="Times New Roman"/>
                <w:color w:val="000000" w:themeColor="text1"/>
                <w:sz w:val="21"/>
                <w:szCs w:val="21"/>
                <w14:textFill>
                  <w14:solidFill>
                    <w14:schemeClr w14:val="tx1"/>
                  </w14:solidFill>
                </w14:textFill>
              </w:rPr>
            </w:pPr>
            <w:r>
              <w:rPr>
                <w:rFonts w:hint="eastAsia" w:ascii="Times New Roman" w:cs="Times New Roman"/>
                <w:color w:val="000000" w:themeColor="text1"/>
                <w:kern w:val="2"/>
                <w:sz w:val="21"/>
                <w:szCs w:val="21"/>
                <w14:textFill>
                  <w14:solidFill>
                    <w14:schemeClr w14:val="tx1"/>
                  </w14:solidFill>
                </w14:textFill>
              </w:rPr>
              <w:t>符合</w:t>
            </w:r>
          </w:p>
        </w:tc>
      </w:tr>
      <w:tr w14:paraId="419E160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958" w:type="dxa"/>
            <w:vMerge w:val="continue"/>
            <w:tcBorders>
              <w:top w:val="single" w:color="auto" w:sz="4" w:space="0"/>
              <w:left w:val="single" w:color="auto" w:sz="4" w:space="0"/>
              <w:bottom w:val="single" w:color="auto" w:sz="4" w:space="0"/>
              <w:right w:val="single" w:color="auto" w:sz="4" w:space="0"/>
            </w:tcBorders>
            <w:vAlign w:val="center"/>
          </w:tcPr>
          <w:p w14:paraId="3CD411B2">
            <w:pPr>
              <w:widowControl/>
              <w:spacing w:line="240" w:lineRule="auto"/>
              <w:jc w:val="left"/>
              <w:rPr>
                <w:kern w:val="0"/>
                <w:szCs w:val="21"/>
              </w:rPr>
            </w:pPr>
          </w:p>
        </w:tc>
        <w:tc>
          <w:tcPr>
            <w:tcW w:w="6975" w:type="dxa"/>
            <w:gridSpan w:val="2"/>
            <w:tcBorders>
              <w:top w:val="single" w:color="auto" w:sz="4" w:space="0"/>
              <w:left w:val="single" w:color="auto" w:sz="4" w:space="0"/>
              <w:bottom w:val="single" w:color="auto" w:sz="4" w:space="0"/>
              <w:right w:val="single" w:color="auto" w:sz="4" w:space="0"/>
            </w:tcBorders>
            <w:vAlign w:val="center"/>
          </w:tcPr>
          <w:p w14:paraId="2EB79C34">
            <w:pPr>
              <w:pStyle w:val="43"/>
              <w:snapToGrid w:val="0"/>
              <w:jc w:val="both"/>
              <w:rPr>
                <w:rFonts w:ascii="Times New Roman" w:cs="Times New Roman"/>
                <w:color w:val="000000" w:themeColor="text1"/>
                <w:sz w:val="21"/>
                <w:szCs w:val="21"/>
                <w14:textFill>
                  <w14:solidFill>
                    <w14:schemeClr w14:val="tx1"/>
                  </w14:solidFill>
                </w14:textFill>
              </w:rPr>
            </w:pPr>
            <w:r>
              <w:rPr>
                <w:rFonts w:ascii="Times New Roman" w:cs="Times New Roman"/>
                <w:color w:val="000000" w:themeColor="text1"/>
                <w:kern w:val="2"/>
                <w:sz w:val="21"/>
                <w:szCs w:val="21"/>
                <w14:textFill>
                  <w14:solidFill>
                    <w14:schemeClr w14:val="tx1"/>
                  </w14:solidFill>
                </w14:textFill>
              </w:rPr>
              <w:t>化工企业应做到废水分类收集、分质处理，并对废水进行预处理，达到沫河口污水处理厂接管要求后，方可接入进行集中深度处理</w:t>
            </w:r>
          </w:p>
        </w:tc>
        <w:tc>
          <w:tcPr>
            <w:tcW w:w="5078" w:type="dxa"/>
            <w:tcBorders>
              <w:top w:val="single" w:color="auto" w:sz="4" w:space="0"/>
              <w:left w:val="single" w:color="auto" w:sz="4" w:space="0"/>
              <w:bottom w:val="single" w:color="auto" w:sz="4" w:space="0"/>
              <w:right w:val="single" w:color="auto" w:sz="4" w:space="0"/>
            </w:tcBorders>
            <w:vAlign w:val="center"/>
          </w:tcPr>
          <w:p w14:paraId="54F035C1">
            <w:pPr>
              <w:pStyle w:val="43"/>
              <w:snapToGrid w:val="0"/>
              <w:jc w:val="both"/>
              <w:rPr>
                <w:rFonts w:ascii="Times New Roman" w:cs="Times New Roman"/>
                <w:color w:val="000000" w:themeColor="text1"/>
                <w:sz w:val="21"/>
                <w:szCs w:val="21"/>
                <w14:textFill>
                  <w14:solidFill>
                    <w14:schemeClr w14:val="tx1"/>
                  </w14:solidFill>
                </w14:textFill>
              </w:rPr>
            </w:pPr>
            <w:r>
              <w:rPr>
                <w:rFonts w:ascii="Times New Roman" w:cs="Times New Roman"/>
                <w:color w:val="000000" w:themeColor="text1"/>
                <w:kern w:val="2"/>
                <w:sz w:val="21"/>
                <w:szCs w:val="21"/>
                <w14:textFill>
                  <w14:solidFill>
                    <w14:schemeClr w14:val="tx1"/>
                  </w14:solidFill>
                </w14:textFill>
              </w:rPr>
              <w:t>本项目产生的废水较少，依托海华现有</w:t>
            </w:r>
            <w:r>
              <w:rPr>
                <w:rFonts w:hint="eastAsia" w:ascii="Times New Roman" w:cs="Times New Roman"/>
                <w:color w:val="000000" w:themeColor="text1"/>
                <w:kern w:val="2"/>
                <w:sz w:val="21"/>
                <w:szCs w:val="21"/>
                <w14:textFill>
                  <w14:solidFill>
                    <w14:schemeClr w14:val="tx1"/>
                  </w14:solidFill>
                </w14:textFill>
              </w:rPr>
              <w:t>综合</w:t>
            </w:r>
            <w:r>
              <w:rPr>
                <w:rFonts w:ascii="Times New Roman" w:cs="Times New Roman"/>
                <w:color w:val="000000" w:themeColor="text1"/>
                <w:kern w:val="2"/>
                <w:sz w:val="21"/>
                <w:szCs w:val="21"/>
                <w14:textFill>
                  <w14:solidFill>
                    <w14:schemeClr w14:val="tx1"/>
                  </w14:solidFill>
                </w14:textFill>
              </w:rPr>
              <w:t>污水处理站，经过预处理后外排废水满足沫河口污水处理厂三期工程的接管要求。</w:t>
            </w:r>
          </w:p>
        </w:tc>
        <w:tc>
          <w:tcPr>
            <w:tcW w:w="1209" w:type="dxa"/>
            <w:tcBorders>
              <w:top w:val="single" w:color="auto" w:sz="4" w:space="0"/>
              <w:left w:val="single" w:color="auto" w:sz="4" w:space="0"/>
              <w:bottom w:val="single" w:color="auto" w:sz="4" w:space="0"/>
              <w:right w:val="single" w:color="auto" w:sz="4" w:space="0"/>
            </w:tcBorders>
            <w:vAlign w:val="center"/>
          </w:tcPr>
          <w:p w14:paraId="1E4B162A">
            <w:pPr>
              <w:pStyle w:val="43"/>
              <w:snapToGrid w:val="0"/>
              <w:jc w:val="center"/>
              <w:rPr>
                <w:rFonts w:ascii="Times New Roman" w:cs="Times New Roman"/>
                <w:color w:val="000000" w:themeColor="text1"/>
                <w:sz w:val="21"/>
                <w:szCs w:val="21"/>
                <w14:textFill>
                  <w14:solidFill>
                    <w14:schemeClr w14:val="tx1"/>
                  </w14:solidFill>
                </w14:textFill>
              </w:rPr>
            </w:pPr>
            <w:r>
              <w:rPr>
                <w:rFonts w:hint="eastAsia" w:ascii="Times New Roman" w:cs="Times New Roman"/>
                <w:color w:val="000000" w:themeColor="text1"/>
                <w:kern w:val="2"/>
                <w:sz w:val="21"/>
                <w:szCs w:val="21"/>
                <w14:textFill>
                  <w14:solidFill>
                    <w14:schemeClr w14:val="tx1"/>
                  </w14:solidFill>
                </w14:textFill>
              </w:rPr>
              <w:t>符合</w:t>
            </w:r>
          </w:p>
        </w:tc>
      </w:tr>
      <w:tr w14:paraId="3D05556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958" w:type="dxa"/>
            <w:vMerge w:val="continue"/>
            <w:tcBorders>
              <w:top w:val="single" w:color="auto" w:sz="4" w:space="0"/>
              <w:left w:val="single" w:color="auto" w:sz="4" w:space="0"/>
              <w:bottom w:val="single" w:color="auto" w:sz="4" w:space="0"/>
              <w:right w:val="single" w:color="auto" w:sz="4" w:space="0"/>
            </w:tcBorders>
            <w:vAlign w:val="center"/>
          </w:tcPr>
          <w:p w14:paraId="68C11E41">
            <w:pPr>
              <w:widowControl/>
              <w:spacing w:line="240" w:lineRule="auto"/>
              <w:jc w:val="left"/>
              <w:rPr>
                <w:kern w:val="0"/>
                <w:szCs w:val="21"/>
              </w:rPr>
            </w:pPr>
          </w:p>
        </w:tc>
        <w:tc>
          <w:tcPr>
            <w:tcW w:w="6975" w:type="dxa"/>
            <w:gridSpan w:val="2"/>
            <w:tcBorders>
              <w:top w:val="single" w:color="auto" w:sz="4" w:space="0"/>
              <w:left w:val="single" w:color="auto" w:sz="4" w:space="0"/>
              <w:bottom w:val="single" w:color="auto" w:sz="4" w:space="0"/>
              <w:right w:val="single" w:color="auto" w:sz="4" w:space="0"/>
            </w:tcBorders>
            <w:vAlign w:val="center"/>
          </w:tcPr>
          <w:p w14:paraId="53B29787">
            <w:pPr>
              <w:pStyle w:val="43"/>
              <w:snapToGrid w:val="0"/>
              <w:jc w:val="both"/>
              <w:rPr>
                <w:rFonts w:ascii="Times New Roman" w:cs="Times New Roman"/>
                <w:color w:val="000000" w:themeColor="text1"/>
                <w:sz w:val="21"/>
                <w:szCs w:val="21"/>
                <w14:textFill>
                  <w14:solidFill>
                    <w14:schemeClr w14:val="tx1"/>
                  </w14:solidFill>
                </w14:textFill>
              </w:rPr>
            </w:pPr>
            <w:r>
              <w:rPr>
                <w:rFonts w:ascii="Times New Roman" w:cs="Times New Roman"/>
                <w:color w:val="000000" w:themeColor="text1"/>
                <w:kern w:val="2"/>
                <w:sz w:val="21"/>
                <w:szCs w:val="21"/>
                <w14:textFill>
                  <w14:solidFill>
                    <w14:schemeClr w14:val="tx1"/>
                  </w14:solidFill>
                </w14:textFill>
              </w:rPr>
              <w:t>化工企业排放的废水应经过专用明管输送至集中式水处理厂，并设置在线监控装置、视频监控系统及自控阀门。</w:t>
            </w:r>
          </w:p>
        </w:tc>
        <w:tc>
          <w:tcPr>
            <w:tcW w:w="5078" w:type="dxa"/>
            <w:tcBorders>
              <w:top w:val="single" w:color="auto" w:sz="4" w:space="0"/>
              <w:left w:val="single" w:color="auto" w:sz="4" w:space="0"/>
              <w:bottom w:val="single" w:color="auto" w:sz="4" w:space="0"/>
              <w:right w:val="single" w:color="auto" w:sz="4" w:space="0"/>
            </w:tcBorders>
            <w:vAlign w:val="center"/>
          </w:tcPr>
          <w:p w14:paraId="056BEFD0">
            <w:pPr>
              <w:pStyle w:val="43"/>
              <w:snapToGrid w:val="0"/>
              <w:jc w:val="both"/>
              <w:rPr>
                <w:rFonts w:ascii="Times New Roman" w:cs="Times New Roman"/>
                <w:color w:val="000000" w:themeColor="text1"/>
                <w:sz w:val="21"/>
                <w:szCs w:val="21"/>
                <w14:textFill>
                  <w14:solidFill>
                    <w14:schemeClr w14:val="tx1"/>
                  </w14:solidFill>
                </w14:textFill>
              </w:rPr>
            </w:pPr>
            <w:r>
              <w:rPr>
                <w:rFonts w:ascii="Times New Roman" w:cs="Times New Roman"/>
                <w:color w:val="000000" w:themeColor="text1"/>
                <w:kern w:val="2"/>
                <w:sz w:val="21"/>
                <w:szCs w:val="21"/>
                <w14:textFill>
                  <w14:solidFill>
                    <w14:schemeClr w14:val="tx1"/>
                  </w14:solidFill>
                </w14:textFill>
              </w:rPr>
              <w:t>海华厂区废水已通过园区专用明管输送管道送至沫河口污水处理厂三期工程集中处理，污水处理站安装在线监装置，以及视频监控系统和自控阀门。</w:t>
            </w:r>
          </w:p>
        </w:tc>
        <w:tc>
          <w:tcPr>
            <w:tcW w:w="1209" w:type="dxa"/>
            <w:tcBorders>
              <w:top w:val="single" w:color="auto" w:sz="4" w:space="0"/>
              <w:left w:val="single" w:color="auto" w:sz="4" w:space="0"/>
              <w:bottom w:val="single" w:color="auto" w:sz="4" w:space="0"/>
              <w:right w:val="single" w:color="auto" w:sz="4" w:space="0"/>
            </w:tcBorders>
            <w:vAlign w:val="center"/>
          </w:tcPr>
          <w:p w14:paraId="18DBA2E8">
            <w:pPr>
              <w:pStyle w:val="43"/>
              <w:snapToGrid w:val="0"/>
              <w:jc w:val="center"/>
              <w:rPr>
                <w:rFonts w:ascii="Times New Roman" w:cs="Times New Roman"/>
                <w:color w:val="000000" w:themeColor="text1"/>
                <w:sz w:val="21"/>
                <w:szCs w:val="21"/>
                <w14:textFill>
                  <w14:solidFill>
                    <w14:schemeClr w14:val="tx1"/>
                  </w14:solidFill>
                </w14:textFill>
              </w:rPr>
            </w:pPr>
            <w:r>
              <w:rPr>
                <w:rFonts w:hint="eastAsia" w:ascii="Times New Roman" w:cs="Times New Roman"/>
                <w:color w:val="000000" w:themeColor="text1"/>
                <w:kern w:val="2"/>
                <w:sz w:val="21"/>
                <w:szCs w:val="21"/>
                <w14:textFill>
                  <w14:solidFill>
                    <w14:schemeClr w14:val="tx1"/>
                  </w14:solidFill>
                </w14:textFill>
              </w:rPr>
              <w:t>符合</w:t>
            </w:r>
          </w:p>
        </w:tc>
      </w:tr>
      <w:tr w14:paraId="72C1EC0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958" w:type="dxa"/>
            <w:vMerge w:val="continue"/>
            <w:tcBorders>
              <w:top w:val="single" w:color="auto" w:sz="4" w:space="0"/>
              <w:left w:val="single" w:color="auto" w:sz="4" w:space="0"/>
              <w:bottom w:val="single" w:color="auto" w:sz="4" w:space="0"/>
              <w:right w:val="single" w:color="auto" w:sz="4" w:space="0"/>
            </w:tcBorders>
            <w:vAlign w:val="center"/>
          </w:tcPr>
          <w:p w14:paraId="10AB2AD1">
            <w:pPr>
              <w:widowControl/>
              <w:spacing w:line="240" w:lineRule="auto"/>
              <w:jc w:val="left"/>
              <w:rPr>
                <w:kern w:val="0"/>
                <w:szCs w:val="21"/>
              </w:rPr>
            </w:pPr>
          </w:p>
        </w:tc>
        <w:tc>
          <w:tcPr>
            <w:tcW w:w="6975" w:type="dxa"/>
            <w:gridSpan w:val="2"/>
            <w:tcBorders>
              <w:top w:val="single" w:color="auto" w:sz="4" w:space="0"/>
              <w:left w:val="single" w:color="auto" w:sz="4" w:space="0"/>
              <w:bottom w:val="single" w:color="auto" w:sz="4" w:space="0"/>
              <w:right w:val="single" w:color="auto" w:sz="4" w:space="0"/>
            </w:tcBorders>
            <w:vAlign w:val="center"/>
          </w:tcPr>
          <w:p w14:paraId="11963CD7">
            <w:pPr>
              <w:pStyle w:val="43"/>
              <w:snapToGrid w:val="0"/>
              <w:jc w:val="both"/>
              <w:rPr>
                <w:rFonts w:ascii="Times New Roman" w:cs="Times New Roman"/>
                <w:color w:val="000000" w:themeColor="text1"/>
                <w:sz w:val="21"/>
                <w:szCs w:val="21"/>
                <w14:textFill>
                  <w14:solidFill>
                    <w14:schemeClr w14:val="tx1"/>
                  </w14:solidFill>
                </w14:textFill>
              </w:rPr>
            </w:pPr>
            <w:r>
              <w:rPr>
                <w:rFonts w:ascii="Times New Roman" w:cs="Times New Roman"/>
                <w:color w:val="000000" w:themeColor="text1"/>
                <w:kern w:val="2"/>
                <w:sz w:val="21"/>
                <w:szCs w:val="21"/>
                <w14:textFill>
                  <w14:solidFill>
                    <w14:schemeClr w14:val="tx1"/>
                  </w14:solidFill>
                </w14:textFill>
              </w:rPr>
              <w:t>化工企业的初期雨水、事故废水应全部进行有效收集处理，高度重视水资源节约利用，推行企业用水总量控制，配套建设中水厂，不断提高中水回用率</w:t>
            </w:r>
          </w:p>
        </w:tc>
        <w:tc>
          <w:tcPr>
            <w:tcW w:w="5078" w:type="dxa"/>
            <w:tcBorders>
              <w:top w:val="single" w:color="auto" w:sz="4" w:space="0"/>
              <w:left w:val="single" w:color="auto" w:sz="4" w:space="0"/>
              <w:bottom w:val="single" w:color="auto" w:sz="4" w:space="0"/>
              <w:right w:val="single" w:color="auto" w:sz="4" w:space="0"/>
            </w:tcBorders>
            <w:vAlign w:val="center"/>
          </w:tcPr>
          <w:p w14:paraId="4BA8BE53">
            <w:pPr>
              <w:pStyle w:val="43"/>
              <w:snapToGrid w:val="0"/>
              <w:jc w:val="both"/>
              <w:rPr>
                <w:rFonts w:ascii="Times New Roman" w:cs="Times New Roman"/>
                <w:color w:val="000000" w:themeColor="text1"/>
                <w:sz w:val="21"/>
                <w:szCs w:val="21"/>
                <w14:textFill>
                  <w14:solidFill>
                    <w14:schemeClr w14:val="tx1"/>
                  </w14:solidFill>
                </w14:textFill>
              </w:rPr>
            </w:pPr>
            <w:r>
              <w:rPr>
                <w:rFonts w:ascii="Times New Roman" w:cs="Times New Roman"/>
                <w:color w:val="000000" w:themeColor="text1"/>
                <w:kern w:val="2"/>
                <w:sz w:val="21"/>
                <w:szCs w:val="21"/>
                <w14:textFill>
                  <w14:solidFill>
                    <w14:schemeClr w14:val="tx1"/>
                  </w14:solidFill>
                </w14:textFill>
              </w:rPr>
              <w:t>海华现有厂区初期雨水和事故废水均收集处理，</w:t>
            </w:r>
            <w:r>
              <w:rPr>
                <w:rFonts w:hint="eastAsia" w:ascii="Times New Roman" w:cs="Times New Roman"/>
                <w:color w:val="000000" w:themeColor="text1"/>
                <w:kern w:val="2"/>
                <w:sz w:val="21"/>
                <w:szCs w:val="21"/>
                <w14:textFill>
                  <w14:solidFill>
                    <w14:schemeClr w14:val="tx1"/>
                  </w14:solidFill>
                </w14:textFill>
              </w:rPr>
              <w:t>东</w:t>
            </w:r>
            <w:r>
              <w:rPr>
                <w:rFonts w:ascii="Times New Roman" w:cs="Times New Roman"/>
                <w:color w:val="000000" w:themeColor="text1"/>
                <w:kern w:val="2"/>
                <w:sz w:val="21"/>
                <w:szCs w:val="21"/>
                <w14:textFill>
                  <w14:solidFill>
                    <w14:schemeClr w14:val="tx1"/>
                  </w14:solidFill>
                </w14:textFill>
              </w:rPr>
              <w:t>厂区</w:t>
            </w:r>
            <w:r>
              <w:rPr>
                <w:rFonts w:hint="eastAsia" w:ascii="Times New Roman" w:cs="Times New Roman"/>
                <w:color w:val="000000" w:themeColor="text1"/>
                <w:kern w:val="2"/>
                <w:sz w:val="21"/>
                <w:szCs w:val="21"/>
                <w14:textFill>
                  <w14:solidFill>
                    <w14:schemeClr w14:val="tx1"/>
                  </w14:solidFill>
                </w14:textFill>
              </w:rPr>
              <w:t>已</w:t>
            </w:r>
            <w:r>
              <w:rPr>
                <w:rFonts w:ascii="Times New Roman" w:cs="Times New Roman"/>
                <w:color w:val="000000" w:themeColor="text1"/>
                <w:kern w:val="2"/>
                <w:sz w:val="21"/>
                <w:szCs w:val="21"/>
                <w14:textFill>
                  <w14:solidFill>
                    <w14:schemeClr w14:val="tx1"/>
                  </w14:solidFill>
                </w14:textFill>
              </w:rPr>
              <w:t>内设置事故水池(2000m</w:t>
            </w:r>
            <w:r>
              <w:rPr>
                <w:rFonts w:ascii="Times New Roman" w:cs="Times New Roman"/>
                <w:color w:val="000000" w:themeColor="text1"/>
                <w:kern w:val="2"/>
                <w:sz w:val="21"/>
                <w:szCs w:val="21"/>
                <w:vertAlign w:val="superscript"/>
                <w14:textFill>
                  <w14:solidFill>
                    <w14:schemeClr w14:val="tx1"/>
                  </w14:solidFill>
                </w14:textFill>
              </w:rPr>
              <w:t>3</w:t>
            </w:r>
            <w:r>
              <w:rPr>
                <w:rFonts w:ascii="Times New Roman" w:cs="Times New Roman"/>
                <w:color w:val="000000" w:themeColor="text1"/>
                <w:kern w:val="2"/>
                <w:sz w:val="21"/>
                <w:szCs w:val="21"/>
                <w14:textFill>
                  <w14:solidFill>
                    <w14:schemeClr w14:val="tx1"/>
                  </w14:solidFill>
                </w14:textFill>
              </w:rPr>
              <w:t>)、初期雨水收集池(</w:t>
            </w:r>
            <w:r>
              <w:rPr>
                <w:rFonts w:hint="eastAsia" w:ascii="Times New Roman" w:cs="Times New Roman"/>
                <w:color w:val="000000" w:themeColor="text1"/>
                <w:kern w:val="2"/>
                <w:sz w:val="21"/>
                <w:szCs w:val="21"/>
                <w14:textFill>
                  <w14:solidFill>
                    <w14:schemeClr w14:val="tx1"/>
                  </w14:solidFill>
                </w14:textFill>
              </w:rPr>
              <w:t>10</w:t>
            </w:r>
            <w:r>
              <w:rPr>
                <w:rFonts w:ascii="Times New Roman" w:cs="Times New Roman"/>
                <w:color w:val="000000" w:themeColor="text1"/>
                <w:kern w:val="2"/>
                <w:sz w:val="21"/>
                <w:szCs w:val="21"/>
                <w14:textFill>
                  <w14:solidFill>
                    <w14:schemeClr w14:val="tx1"/>
                  </w14:solidFill>
                </w14:textFill>
              </w:rPr>
              <w:t>00m</w:t>
            </w:r>
            <w:r>
              <w:rPr>
                <w:rFonts w:ascii="Times New Roman" w:cs="Times New Roman"/>
                <w:color w:val="000000" w:themeColor="text1"/>
                <w:kern w:val="2"/>
                <w:sz w:val="21"/>
                <w:szCs w:val="21"/>
                <w:vertAlign w:val="superscript"/>
                <w14:textFill>
                  <w14:solidFill>
                    <w14:schemeClr w14:val="tx1"/>
                  </w14:solidFill>
                </w14:textFill>
              </w:rPr>
              <w:t>3</w:t>
            </w:r>
            <w:r>
              <w:rPr>
                <w:rFonts w:ascii="Times New Roman" w:cs="Times New Roman"/>
                <w:color w:val="000000" w:themeColor="text1"/>
                <w:kern w:val="2"/>
                <w:sz w:val="21"/>
                <w:szCs w:val="21"/>
                <w14:textFill>
                  <w14:solidFill>
                    <w14:schemeClr w14:val="tx1"/>
                  </w14:solidFill>
                </w14:textFill>
              </w:rPr>
              <w:t>)。项目依托海华厂区现有的初期雨水和事故废水收集系统</w:t>
            </w:r>
          </w:p>
        </w:tc>
        <w:tc>
          <w:tcPr>
            <w:tcW w:w="1209" w:type="dxa"/>
            <w:tcBorders>
              <w:top w:val="single" w:color="auto" w:sz="4" w:space="0"/>
              <w:left w:val="single" w:color="auto" w:sz="4" w:space="0"/>
              <w:bottom w:val="single" w:color="auto" w:sz="4" w:space="0"/>
              <w:right w:val="single" w:color="auto" w:sz="4" w:space="0"/>
            </w:tcBorders>
            <w:vAlign w:val="center"/>
          </w:tcPr>
          <w:p w14:paraId="239A552A">
            <w:pPr>
              <w:pStyle w:val="43"/>
              <w:snapToGrid w:val="0"/>
              <w:jc w:val="center"/>
              <w:rPr>
                <w:rFonts w:ascii="Times New Roman" w:cs="Times New Roman"/>
                <w:color w:val="000000" w:themeColor="text1"/>
                <w:sz w:val="21"/>
                <w:szCs w:val="21"/>
                <w14:textFill>
                  <w14:solidFill>
                    <w14:schemeClr w14:val="tx1"/>
                  </w14:solidFill>
                </w14:textFill>
              </w:rPr>
            </w:pPr>
            <w:r>
              <w:rPr>
                <w:rFonts w:hint="eastAsia" w:ascii="Times New Roman" w:cs="Times New Roman"/>
                <w:color w:val="000000" w:themeColor="text1"/>
                <w:kern w:val="2"/>
                <w:sz w:val="21"/>
                <w:szCs w:val="21"/>
                <w14:textFill>
                  <w14:solidFill>
                    <w14:schemeClr w14:val="tx1"/>
                  </w14:solidFill>
                </w14:textFill>
              </w:rPr>
              <w:t>符合</w:t>
            </w:r>
          </w:p>
        </w:tc>
      </w:tr>
      <w:tr w14:paraId="3109A31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958" w:type="dxa"/>
            <w:vMerge w:val="continue"/>
            <w:tcBorders>
              <w:top w:val="single" w:color="auto" w:sz="4" w:space="0"/>
              <w:left w:val="single" w:color="auto" w:sz="4" w:space="0"/>
              <w:bottom w:val="single" w:color="auto" w:sz="4" w:space="0"/>
              <w:right w:val="single" w:color="auto" w:sz="4" w:space="0"/>
            </w:tcBorders>
            <w:vAlign w:val="center"/>
          </w:tcPr>
          <w:p w14:paraId="14886BC3">
            <w:pPr>
              <w:widowControl/>
              <w:spacing w:line="240" w:lineRule="auto"/>
              <w:jc w:val="left"/>
              <w:rPr>
                <w:kern w:val="0"/>
                <w:szCs w:val="21"/>
              </w:rPr>
            </w:pPr>
          </w:p>
        </w:tc>
        <w:tc>
          <w:tcPr>
            <w:tcW w:w="6975" w:type="dxa"/>
            <w:gridSpan w:val="2"/>
            <w:tcBorders>
              <w:top w:val="single" w:color="auto" w:sz="4" w:space="0"/>
              <w:left w:val="single" w:color="auto" w:sz="4" w:space="0"/>
              <w:bottom w:val="single" w:color="auto" w:sz="4" w:space="0"/>
              <w:right w:val="single" w:color="auto" w:sz="4" w:space="0"/>
            </w:tcBorders>
            <w:vAlign w:val="center"/>
          </w:tcPr>
          <w:p w14:paraId="509AD9B3">
            <w:pPr>
              <w:pStyle w:val="43"/>
              <w:snapToGrid w:val="0"/>
              <w:jc w:val="both"/>
              <w:rPr>
                <w:rFonts w:ascii="Times New Roman" w:cs="Times New Roman"/>
                <w:color w:val="000000" w:themeColor="text1"/>
                <w:sz w:val="21"/>
                <w:szCs w:val="21"/>
                <w14:textFill>
                  <w14:solidFill>
                    <w14:schemeClr w14:val="tx1"/>
                  </w14:solidFill>
                </w14:textFill>
              </w:rPr>
            </w:pPr>
            <w:r>
              <w:rPr>
                <w:rFonts w:ascii="Times New Roman" w:cs="Times New Roman"/>
                <w:color w:val="000000" w:themeColor="text1"/>
                <w:kern w:val="2"/>
                <w:sz w:val="21"/>
                <w:szCs w:val="21"/>
                <w14:textFill>
                  <w14:solidFill>
                    <w14:schemeClr w14:val="tx1"/>
                  </w14:solidFill>
                </w14:textFill>
              </w:rPr>
              <w:t>化工生产装置区、罐区、初期雨水收集装置和污水处理设施等应落实相应等级的防渗措施，防止污染地下水。</w:t>
            </w:r>
          </w:p>
        </w:tc>
        <w:tc>
          <w:tcPr>
            <w:tcW w:w="5078" w:type="dxa"/>
            <w:tcBorders>
              <w:top w:val="single" w:color="auto" w:sz="4" w:space="0"/>
              <w:left w:val="single" w:color="auto" w:sz="4" w:space="0"/>
              <w:bottom w:val="single" w:color="auto" w:sz="4" w:space="0"/>
              <w:right w:val="single" w:color="auto" w:sz="4" w:space="0"/>
            </w:tcBorders>
            <w:vAlign w:val="center"/>
          </w:tcPr>
          <w:p w14:paraId="5F9E9B44">
            <w:pPr>
              <w:pStyle w:val="43"/>
              <w:snapToGrid w:val="0"/>
              <w:jc w:val="both"/>
              <w:rPr>
                <w:rFonts w:ascii="Times New Roman" w:cs="Times New Roman"/>
                <w:color w:val="000000" w:themeColor="text1"/>
                <w:sz w:val="21"/>
                <w:szCs w:val="21"/>
                <w14:textFill>
                  <w14:solidFill>
                    <w14:schemeClr w14:val="tx1"/>
                  </w14:solidFill>
                </w14:textFill>
              </w:rPr>
            </w:pPr>
            <w:r>
              <w:rPr>
                <w:rFonts w:hint="eastAsia" w:ascii="Times New Roman" w:cs="Times New Roman"/>
                <w:color w:val="000000" w:themeColor="text1"/>
                <w:kern w:val="2"/>
                <w:sz w:val="21"/>
                <w:szCs w:val="21"/>
                <w14:textFill>
                  <w14:solidFill>
                    <w14:schemeClr w14:val="tx1"/>
                  </w14:solidFill>
                </w14:textFill>
              </w:rPr>
              <w:t>现有工程</w:t>
            </w:r>
            <w:r>
              <w:rPr>
                <w:rFonts w:ascii="Times New Roman" w:cs="Times New Roman"/>
                <w:color w:val="000000" w:themeColor="text1"/>
                <w:kern w:val="2"/>
                <w:sz w:val="21"/>
                <w:szCs w:val="21"/>
                <w14:textFill>
                  <w14:solidFill>
                    <w14:schemeClr w14:val="tx1"/>
                  </w14:solidFill>
                </w14:textFill>
              </w:rPr>
              <w:t>地下水污染防治措施中，</w:t>
            </w:r>
            <w:r>
              <w:rPr>
                <w:rFonts w:hint="eastAsia" w:ascii="Times New Roman" w:cs="Times New Roman"/>
                <w:color w:val="000000" w:themeColor="text1"/>
                <w:kern w:val="2"/>
                <w:sz w:val="21"/>
                <w:szCs w:val="21"/>
                <w14:textFill>
                  <w14:solidFill>
                    <w14:schemeClr w14:val="tx1"/>
                  </w14:solidFill>
                </w14:textFill>
              </w:rPr>
              <w:t>已采取了</w:t>
            </w:r>
            <w:r>
              <w:rPr>
                <w:rFonts w:ascii="Times New Roman" w:cs="Times New Roman"/>
                <w:color w:val="000000" w:themeColor="text1"/>
                <w:kern w:val="2"/>
                <w:sz w:val="21"/>
                <w:szCs w:val="21"/>
                <w14:textFill>
                  <w14:solidFill>
                    <w14:schemeClr w14:val="tx1"/>
                  </w14:solidFill>
                </w14:textFill>
              </w:rPr>
              <w:t>分区防渗，生产装置区、罐区等均采用重点防渗</w:t>
            </w:r>
          </w:p>
        </w:tc>
        <w:tc>
          <w:tcPr>
            <w:tcW w:w="1209" w:type="dxa"/>
            <w:tcBorders>
              <w:top w:val="single" w:color="auto" w:sz="4" w:space="0"/>
              <w:left w:val="single" w:color="auto" w:sz="4" w:space="0"/>
              <w:bottom w:val="single" w:color="auto" w:sz="4" w:space="0"/>
              <w:right w:val="single" w:color="auto" w:sz="4" w:space="0"/>
            </w:tcBorders>
            <w:vAlign w:val="center"/>
          </w:tcPr>
          <w:p w14:paraId="62B7677A">
            <w:pPr>
              <w:pStyle w:val="43"/>
              <w:snapToGrid w:val="0"/>
              <w:jc w:val="center"/>
              <w:rPr>
                <w:rFonts w:ascii="Times New Roman" w:cs="Times New Roman"/>
                <w:color w:val="000000" w:themeColor="text1"/>
                <w:sz w:val="21"/>
                <w:szCs w:val="21"/>
                <w14:textFill>
                  <w14:solidFill>
                    <w14:schemeClr w14:val="tx1"/>
                  </w14:solidFill>
                </w14:textFill>
              </w:rPr>
            </w:pPr>
            <w:r>
              <w:rPr>
                <w:rFonts w:hint="eastAsia" w:ascii="Times New Roman" w:cs="Times New Roman"/>
                <w:color w:val="000000" w:themeColor="text1"/>
                <w:kern w:val="2"/>
                <w:sz w:val="21"/>
                <w:szCs w:val="21"/>
                <w14:textFill>
                  <w14:solidFill>
                    <w14:schemeClr w14:val="tx1"/>
                  </w14:solidFill>
                </w14:textFill>
              </w:rPr>
              <w:t>符合</w:t>
            </w:r>
          </w:p>
        </w:tc>
      </w:tr>
      <w:tr w14:paraId="7EC6538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958" w:type="dxa"/>
            <w:vMerge w:val="continue"/>
            <w:tcBorders>
              <w:top w:val="single" w:color="auto" w:sz="4" w:space="0"/>
              <w:left w:val="single" w:color="auto" w:sz="4" w:space="0"/>
              <w:bottom w:val="single" w:color="auto" w:sz="4" w:space="0"/>
              <w:right w:val="single" w:color="auto" w:sz="4" w:space="0"/>
            </w:tcBorders>
            <w:vAlign w:val="center"/>
          </w:tcPr>
          <w:p w14:paraId="59C369AC">
            <w:pPr>
              <w:widowControl/>
              <w:spacing w:line="240" w:lineRule="auto"/>
              <w:jc w:val="left"/>
              <w:rPr>
                <w:kern w:val="0"/>
                <w:szCs w:val="21"/>
              </w:rPr>
            </w:pPr>
          </w:p>
        </w:tc>
        <w:tc>
          <w:tcPr>
            <w:tcW w:w="6975" w:type="dxa"/>
            <w:gridSpan w:val="2"/>
            <w:tcBorders>
              <w:top w:val="single" w:color="auto" w:sz="4" w:space="0"/>
              <w:left w:val="single" w:color="auto" w:sz="4" w:space="0"/>
              <w:bottom w:val="single" w:color="auto" w:sz="4" w:space="0"/>
              <w:right w:val="single" w:color="auto" w:sz="4" w:space="0"/>
            </w:tcBorders>
            <w:vAlign w:val="center"/>
          </w:tcPr>
          <w:p w14:paraId="38B9D908">
            <w:pPr>
              <w:pStyle w:val="43"/>
              <w:snapToGrid w:val="0"/>
              <w:jc w:val="both"/>
              <w:rPr>
                <w:rFonts w:ascii="Times New Roman" w:cs="Times New Roman"/>
                <w:color w:val="000000" w:themeColor="text1"/>
                <w:sz w:val="21"/>
                <w:szCs w:val="21"/>
                <w14:textFill>
                  <w14:solidFill>
                    <w14:schemeClr w14:val="tx1"/>
                  </w14:solidFill>
                </w14:textFill>
              </w:rPr>
            </w:pPr>
            <w:r>
              <w:rPr>
                <w:rFonts w:ascii="Times New Roman" w:cs="Times New Roman"/>
                <w:color w:val="000000" w:themeColor="text1"/>
                <w:kern w:val="2"/>
                <w:sz w:val="21"/>
                <w:szCs w:val="21"/>
                <w14:textFill>
                  <w14:solidFill>
                    <w14:schemeClr w14:val="tx1"/>
                  </w14:solidFill>
                </w14:textFill>
              </w:rPr>
              <w:t>企业应加强对废气尤其是有毒及恶臭气体的收集和处理， 严格控制挥发性有机物、有毒及恶臭气体的排放，配备相应的环境应急处置设施。</w:t>
            </w:r>
          </w:p>
        </w:tc>
        <w:tc>
          <w:tcPr>
            <w:tcW w:w="5078" w:type="dxa"/>
            <w:tcBorders>
              <w:top w:val="single" w:color="auto" w:sz="4" w:space="0"/>
              <w:left w:val="single" w:color="auto" w:sz="4" w:space="0"/>
              <w:bottom w:val="single" w:color="auto" w:sz="4" w:space="0"/>
              <w:right w:val="single" w:color="auto" w:sz="4" w:space="0"/>
            </w:tcBorders>
            <w:vAlign w:val="center"/>
          </w:tcPr>
          <w:p w14:paraId="4CC7D0D0">
            <w:pPr>
              <w:pStyle w:val="43"/>
              <w:snapToGrid w:val="0"/>
              <w:jc w:val="both"/>
              <w:rPr>
                <w:rFonts w:ascii="Times New Roman" w:cs="Times New Roman"/>
                <w:color w:val="000000" w:themeColor="text1"/>
                <w:sz w:val="21"/>
                <w:szCs w:val="21"/>
                <w14:textFill>
                  <w14:solidFill>
                    <w14:schemeClr w14:val="tx1"/>
                  </w14:solidFill>
                </w14:textFill>
              </w:rPr>
            </w:pPr>
            <w:r>
              <w:rPr>
                <w:rFonts w:ascii="Times New Roman" w:cs="Times New Roman"/>
                <w:color w:val="000000" w:themeColor="text1"/>
                <w:kern w:val="2"/>
                <w:sz w:val="21"/>
                <w:szCs w:val="21"/>
                <w14:textFill>
                  <w14:solidFill>
                    <w14:schemeClr w14:val="tx1"/>
                  </w14:solidFill>
                </w14:textFill>
              </w:rPr>
              <w:t>本项目对产生的工艺废气引入</w:t>
            </w:r>
            <w:r>
              <w:rPr>
                <w:rFonts w:hint="eastAsia" w:ascii="Times New Roman" w:cs="Times New Roman"/>
                <w:color w:val="000000" w:themeColor="text1"/>
                <w:kern w:val="2"/>
                <w:sz w:val="21"/>
                <w:szCs w:val="21"/>
                <w14:textFill>
                  <w14:solidFill>
                    <w14:schemeClr w14:val="tx1"/>
                  </w14:solidFill>
                </w14:textFill>
              </w:rPr>
              <w:t>2</w:t>
            </w:r>
            <w:r>
              <w:rPr>
                <w:rFonts w:ascii="Times New Roman" w:cs="Times New Roman"/>
                <w:color w:val="000000" w:themeColor="text1"/>
                <w:kern w:val="2"/>
                <w:sz w:val="21"/>
                <w:szCs w:val="21"/>
                <w14:textFill>
                  <w14:solidFill>
                    <w14:schemeClr w14:val="tx1"/>
                  </w14:solidFill>
                </w14:textFill>
              </w:rPr>
              <w:t>#RTO装置焚烧处理，做到达标排放，最大限度的减少其排放。</w:t>
            </w:r>
          </w:p>
        </w:tc>
        <w:tc>
          <w:tcPr>
            <w:tcW w:w="1209" w:type="dxa"/>
            <w:tcBorders>
              <w:top w:val="single" w:color="auto" w:sz="4" w:space="0"/>
              <w:left w:val="single" w:color="auto" w:sz="4" w:space="0"/>
              <w:bottom w:val="single" w:color="auto" w:sz="4" w:space="0"/>
              <w:right w:val="single" w:color="auto" w:sz="4" w:space="0"/>
            </w:tcBorders>
            <w:vAlign w:val="center"/>
          </w:tcPr>
          <w:p w14:paraId="28A28B4A">
            <w:pPr>
              <w:pStyle w:val="43"/>
              <w:snapToGrid w:val="0"/>
              <w:jc w:val="center"/>
              <w:rPr>
                <w:rFonts w:ascii="Times New Roman" w:cs="Times New Roman"/>
                <w:color w:val="000000" w:themeColor="text1"/>
                <w:sz w:val="21"/>
                <w:szCs w:val="21"/>
                <w14:textFill>
                  <w14:solidFill>
                    <w14:schemeClr w14:val="tx1"/>
                  </w14:solidFill>
                </w14:textFill>
              </w:rPr>
            </w:pPr>
            <w:r>
              <w:rPr>
                <w:rFonts w:hint="eastAsia" w:ascii="Times New Roman" w:cs="Times New Roman"/>
                <w:color w:val="000000" w:themeColor="text1"/>
                <w:kern w:val="2"/>
                <w:sz w:val="21"/>
                <w:szCs w:val="21"/>
                <w14:textFill>
                  <w14:solidFill>
                    <w14:schemeClr w14:val="tx1"/>
                  </w14:solidFill>
                </w14:textFill>
              </w:rPr>
              <w:t>符合</w:t>
            </w:r>
          </w:p>
        </w:tc>
      </w:tr>
      <w:tr w14:paraId="0E419AD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958" w:type="dxa"/>
            <w:vMerge w:val="continue"/>
            <w:tcBorders>
              <w:top w:val="single" w:color="auto" w:sz="4" w:space="0"/>
              <w:left w:val="single" w:color="auto" w:sz="4" w:space="0"/>
              <w:bottom w:val="single" w:color="auto" w:sz="4" w:space="0"/>
              <w:right w:val="single" w:color="auto" w:sz="4" w:space="0"/>
            </w:tcBorders>
            <w:vAlign w:val="center"/>
          </w:tcPr>
          <w:p w14:paraId="19800E82">
            <w:pPr>
              <w:widowControl/>
              <w:spacing w:line="240" w:lineRule="auto"/>
              <w:jc w:val="left"/>
              <w:rPr>
                <w:kern w:val="0"/>
                <w:szCs w:val="21"/>
              </w:rPr>
            </w:pPr>
          </w:p>
        </w:tc>
        <w:tc>
          <w:tcPr>
            <w:tcW w:w="6975" w:type="dxa"/>
            <w:gridSpan w:val="2"/>
            <w:tcBorders>
              <w:top w:val="single" w:color="auto" w:sz="4" w:space="0"/>
              <w:left w:val="single" w:color="auto" w:sz="4" w:space="0"/>
              <w:bottom w:val="single" w:color="auto" w:sz="4" w:space="0"/>
              <w:right w:val="single" w:color="auto" w:sz="4" w:space="0"/>
            </w:tcBorders>
            <w:vAlign w:val="center"/>
          </w:tcPr>
          <w:p w14:paraId="60B95363">
            <w:pPr>
              <w:pStyle w:val="43"/>
              <w:snapToGrid w:val="0"/>
              <w:jc w:val="both"/>
              <w:rPr>
                <w:rFonts w:ascii="Times New Roman" w:cs="Times New Roman"/>
                <w:color w:val="000000" w:themeColor="text1"/>
                <w:sz w:val="21"/>
                <w:szCs w:val="21"/>
                <w14:textFill>
                  <w14:solidFill>
                    <w14:schemeClr w14:val="tx1"/>
                  </w14:solidFill>
                </w14:textFill>
              </w:rPr>
            </w:pPr>
            <w:r>
              <w:rPr>
                <w:rFonts w:ascii="Times New Roman" w:cs="Times New Roman"/>
                <w:color w:val="000000" w:themeColor="text1"/>
                <w:kern w:val="2"/>
                <w:sz w:val="21"/>
                <w:szCs w:val="21"/>
                <w14:textFill>
                  <w14:solidFill>
                    <w14:schemeClr w14:val="tx1"/>
                  </w14:solidFill>
                </w14:textFill>
              </w:rPr>
              <w:t>确定专人对危险废物进行管理，建立危险废物环境管理台账和信息档案，严格执行危险废物转移联单制度，化工废水处理单元产生的污泥应进行甄别，属于危险废物的须按照危险废物进行管理。</w:t>
            </w:r>
          </w:p>
        </w:tc>
        <w:tc>
          <w:tcPr>
            <w:tcW w:w="5078" w:type="dxa"/>
            <w:tcBorders>
              <w:top w:val="single" w:color="auto" w:sz="4" w:space="0"/>
              <w:left w:val="single" w:color="auto" w:sz="4" w:space="0"/>
              <w:bottom w:val="single" w:color="auto" w:sz="4" w:space="0"/>
              <w:right w:val="single" w:color="auto" w:sz="4" w:space="0"/>
            </w:tcBorders>
            <w:vAlign w:val="center"/>
          </w:tcPr>
          <w:p w14:paraId="40C0E5B7">
            <w:pPr>
              <w:pStyle w:val="43"/>
              <w:snapToGrid w:val="0"/>
              <w:jc w:val="both"/>
              <w:rPr>
                <w:rFonts w:ascii="Times New Roman" w:cs="Times New Roman"/>
                <w:color w:val="000000" w:themeColor="text1"/>
                <w:sz w:val="21"/>
                <w:szCs w:val="21"/>
                <w14:textFill>
                  <w14:solidFill>
                    <w14:schemeClr w14:val="tx1"/>
                  </w14:solidFill>
                </w14:textFill>
              </w:rPr>
            </w:pPr>
            <w:r>
              <w:rPr>
                <w:rFonts w:ascii="Times New Roman" w:cs="Times New Roman"/>
                <w:color w:val="000000" w:themeColor="text1"/>
                <w:kern w:val="2"/>
                <w:sz w:val="21"/>
                <w:szCs w:val="21"/>
                <w14:textFill>
                  <w14:solidFill>
                    <w14:schemeClr w14:val="tx1"/>
                  </w14:solidFill>
                </w14:textFill>
              </w:rPr>
              <w:t>项目产生的危险废物依托海华</w:t>
            </w:r>
            <w:r>
              <w:rPr>
                <w:rFonts w:hint="eastAsia" w:ascii="Times New Roman" w:cs="Times New Roman"/>
                <w:color w:val="000000" w:themeColor="text1"/>
                <w:kern w:val="2"/>
                <w:sz w:val="21"/>
                <w:szCs w:val="21"/>
                <w14:textFill>
                  <w14:solidFill>
                    <w14:schemeClr w14:val="tx1"/>
                  </w14:solidFill>
                </w14:textFill>
              </w:rPr>
              <w:t>东</w:t>
            </w:r>
            <w:r>
              <w:rPr>
                <w:rFonts w:ascii="Times New Roman" w:cs="Times New Roman"/>
                <w:color w:val="000000" w:themeColor="text1"/>
                <w:kern w:val="2"/>
                <w:sz w:val="21"/>
                <w:szCs w:val="21"/>
                <w14:textFill>
                  <w14:solidFill>
                    <w14:schemeClr w14:val="tx1"/>
                  </w14:solidFill>
                </w14:textFill>
              </w:rPr>
              <w:t>厂区现有的危废暂存场所，制定危险废物的管理系统，严格执行危险废物转移联单。</w:t>
            </w:r>
          </w:p>
        </w:tc>
        <w:tc>
          <w:tcPr>
            <w:tcW w:w="1209" w:type="dxa"/>
            <w:tcBorders>
              <w:top w:val="single" w:color="auto" w:sz="4" w:space="0"/>
              <w:left w:val="single" w:color="auto" w:sz="4" w:space="0"/>
              <w:bottom w:val="single" w:color="auto" w:sz="4" w:space="0"/>
              <w:right w:val="single" w:color="auto" w:sz="4" w:space="0"/>
            </w:tcBorders>
            <w:vAlign w:val="center"/>
          </w:tcPr>
          <w:p w14:paraId="433974C6">
            <w:pPr>
              <w:pStyle w:val="43"/>
              <w:snapToGrid w:val="0"/>
              <w:jc w:val="center"/>
              <w:rPr>
                <w:rFonts w:ascii="Times New Roman" w:cs="Times New Roman"/>
                <w:color w:val="000000" w:themeColor="text1"/>
                <w:sz w:val="21"/>
                <w:szCs w:val="21"/>
                <w14:textFill>
                  <w14:solidFill>
                    <w14:schemeClr w14:val="tx1"/>
                  </w14:solidFill>
                </w14:textFill>
              </w:rPr>
            </w:pPr>
            <w:r>
              <w:rPr>
                <w:rFonts w:hint="eastAsia" w:ascii="Times New Roman" w:cs="Times New Roman"/>
                <w:color w:val="000000" w:themeColor="text1"/>
                <w:kern w:val="2"/>
                <w:sz w:val="21"/>
                <w:szCs w:val="21"/>
                <w14:textFill>
                  <w14:solidFill>
                    <w14:schemeClr w14:val="tx1"/>
                  </w14:solidFill>
                </w14:textFill>
              </w:rPr>
              <w:t>符合</w:t>
            </w:r>
          </w:p>
        </w:tc>
      </w:tr>
      <w:tr w14:paraId="6A3ACA0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958" w:type="dxa"/>
            <w:vMerge w:val="continue"/>
            <w:tcBorders>
              <w:top w:val="single" w:color="auto" w:sz="4" w:space="0"/>
              <w:left w:val="single" w:color="auto" w:sz="4" w:space="0"/>
              <w:bottom w:val="single" w:color="auto" w:sz="4" w:space="0"/>
              <w:right w:val="single" w:color="auto" w:sz="4" w:space="0"/>
            </w:tcBorders>
            <w:vAlign w:val="center"/>
          </w:tcPr>
          <w:p w14:paraId="05DEB5FA">
            <w:pPr>
              <w:widowControl/>
              <w:spacing w:line="240" w:lineRule="auto"/>
              <w:jc w:val="left"/>
              <w:rPr>
                <w:kern w:val="0"/>
                <w:szCs w:val="21"/>
              </w:rPr>
            </w:pPr>
          </w:p>
        </w:tc>
        <w:tc>
          <w:tcPr>
            <w:tcW w:w="6975" w:type="dxa"/>
            <w:gridSpan w:val="2"/>
            <w:tcBorders>
              <w:top w:val="single" w:color="auto" w:sz="4" w:space="0"/>
              <w:left w:val="single" w:color="auto" w:sz="4" w:space="0"/>
              <w:bottom w:val="single" w:color="auto" w:sz="4" w:space="0"/>
              <w:right w:val="single" w:color="auto" w:sz="4" w:space="0"/>
            </w:tcBorders>
            <w:vAlign w:val="center"/>
          </w:tcPr>
          <w:p w14:paraId="4BF7F94F">
            <w:pPr>
              <w:pStyle w:val="43"/>
              <w:snapToGrid w:val="0"/>
              <w:jc w:val="both"/>
              <w:rPr>
                <w:rFonts w:ascii="Times New Roman" w:cs="Times New Roman"/>
                <w:color w:val="000000" w:themeColor="text1"/>
                <w:sz w:val="21"/>
                <w:szCs w:val="21"/>
                <w14:textFill>
                  <w14:solidFill>
                    <w14:schemeClr w14:val="tx1"/>
                  </w14:solidFill>
                </w14:textFill>
              </w:rPr>
            </w:pPr>
            <w:r>
              <w:rPr>
                <w:rFonts w:ascii="Times New Roman" w:cs="Times New Roman"/>
                <w:color w:val="000000" w:themeColor="text1"/>
                <w:kern w:val="2"/>
                <w:sz w:val="21"/>
                <w:szCs w:val="21"/>
                <w14:textFill>
                  <w14:solidFill>
                    <w14:schemeClr w14:val="tx1"/>
                  </w14:solidFill>
                </w14:textFill>
              </w:rPr>
              <w:t>建立企业、高新区和周边水系环境风险防控体系，建立完善的环境风险防控设施和有效的拦截、降污、导流等措施，确保污水和初期雨水在任何情况下不直接排入地表水体，以及在事故状态下有效阻隔高新区与外部水体的水力联系。</w:t>
            </w:r>
          </w:p>
        </w:tc>
        <w:tc>
          <w:tcPr>
            <w:tcW w:w="5078" w:type="dxa"/>
            <w:tcBorders>
              <w:top w:val="single" w:color="auto" w:sz="4" w:space="0"/>
              <w:left w:val="single" w:color="auto" w:sz="4" w:space="0"/>
              <w:bottom w:val="single" w:color="auto" w:sz="4" w:space="0"/>
              <w:right w:val="single" w:color="auto" w:sz="4" w:space="0"/>
            </w:tcBorders>
            <w:vAlign w:val="center"/>
          </w:tcPr>
          <w:p w14:paraId="03241C1A">
            <w:pPr>
              <w:pStyle w:val="43"/>
              <w:snapToGrid w:val="0"/>
              <w:jc w:val="both"/>
              <w:rPr>
                <w:rFonts w:ascii="Times New Roman" w:cs="Times New Roman"/>
                <w:color w:val="000000" w:themeColor="text1"/>
                <w:sz w:val="21"/>
                <w:szCs w:val="21"/>
                <w14:textFill>
                  <w14:solidFill>
                    <w14:schemeClr w14:val="tx1"/>
                  </w14:solidFill>
                </w14:textFill>
              </w:rPr>
            </w:pPr>
            <w:r>
              <w:rPr>
                <w:rFonts w:hint="eastAsia" w:ascii="Times New Roman" w:cs="Times New Roman"/>
                <w:color w:val="000000" w:themeColor="text1"/>
                <w:kern w:val="2"/>
                <w:sz w:val="21"/>
                <w:szCs w:val="21"/>
                <w14:textFill>
                  <w14:solidFill>
                    <w14:schemeClr w14:val="tx1"/>
                  </w14:solidFill>
                </w14:textFill>
              </w:rPr>
              <w:t>海华科技现有厂区已落实了</w:t>
            </w:r>
            <w:r>
              <w:rPr>
                <w:rFonts w:ascii="Times New Roman" w:cs="Times New Roman"/>
                <w:color w:val="000000" w:themeColor="text1"/>
                <w:kern w:val="2"/>
                <w:sz w:val="21"/>
                <w:szCs w:val="21"/>
                <w14:textFill>
                  <w14:solidFill>
                    <w14:schemeClr w14:val="tx1"/>
                  </w14:solidFill>
                </w14:textFill>
              </w:rPr>
              <w:t>三级防控体系，初期雨水和事故废水</w:t>
            </w:r>
            <w:r>
              <w:rPr>
                <w:rFonts w:hint="eastAsia" w:ascii="Times New Roman" w:cs="Times New Roman"/>
                <w:color w:val="000000" w:themeColor="text1"/>
                <w:kern w:val="2"/>
                <w:sz w:val="21"/>
                <w:szCs w:val="21"/>
                <w14:textFill>
                  <w14:solidFill>
                    <w14:schemeClr w14:val="tx1"/>
                  </w14:solidFill>
                </w14:textFill>
              </w:rPr>
              <w:t>不会</w:t>
            </w:r>
            <w:r>
              <w:rPr>
                <w:rFonts w:ascii="Times New Roman" w:cs="Times New Roman"/>
                <w:color w:val="000000" w:themeColor="text1"/>
                <w:kern w:val="2"/>
                <w:sz w:val="21"/>
                <w:szCs w:val="21"/>
                <w14:textFill>
                  <w14:solidFill>
                    <w14:schemeClr w14:val="tx1"/>
                  </w14:solidFill>
                </w14:textFill>
              </w:rPr>
              <w:t>直接外排到地表水体</w:t>
            </w:r>
          </w:p>
        </w:tc>
        <w:tc>
          <w:tcPr>
            <w:tcW w:w="1209" w:type="dxa"/>
            <w:tcBorders>
              <w:top w:val="single" w:color="auto" w:sz="4" w:space="0"/>
              <w:left w:val="single" w:color="auto" w:sz="4" w:space="0"/>
              <w:bottom w:val="single" w:color="auto" w:sz="4" w:space="0"/>
              <w:right w:val="single" w:color="auto" w:sz="4" w:space="0"/>
            </w:tcBorders>
            <w:vAlign w:val="center"/>
          </w:tcPr>
          <w:p w14:paraId="1B56C11A">
            <w:pPr>
              <w:pStyle w:val="43"/>
              <w:snapToGrid w:val="0"/>
              <w:jc w:val="center"/>
              <w:rPr>
                <w:rFonts w:ascii="Times New Roman" w:cs="Times New Roman"/>
                <w:color w:val="000000" w:themeColor="text1"/>
                <w:sz w:val="21"/>
                <w:szCs w:val="21"/>
                <w14:textFill>
                  <w14:solidFill>
                    <w14:schemeClr w14:val="tx1"/>
                  </w14:solidFill>
                </w14:textFill>
              </w:rPr>
            </w:pPr>
            <w:r>
              <w:rPr>
                <w:rFonts w:hint="eastAsia" w:ascii="Times New Roman" w:cs="Times New Roman"/>
                <w:color w:val="000000" w:themeColor="text1"/>
                <w:kern w:val="2"/>
                <w:sz w:val="21"/>
                <w:szCs w:val="21"/>
                <w14:textFill>
                  <w14:solidFill>
                    <w14:schemeClr w14:val="tx1"/>
                  </w14:solidFill>
                </w14:textFill>
              </w:rPr>
              <w:t>符合</w:t>
            </w:r>
          </w:p>
        </w:tc>
      </w:tr>
    </w:tbl>
    <w:p w14:paraId="6C6464BF">
      <w:pPr>
        <w:rPr>
          <w:rFonts w:cs="Times New Roman"/>
          <w:spacing w:val="-3"/>
        </w:rPr>
      </w:pPr>
    </w:p>
    <w:p w14:paraId="6279F22A">
      <w:pPr>
        <w:pStyle w:val="4"/>
        <w:rPr>
          <w:rFonts w:hint="eastAsia"/>
        </w:rPr>
      </w:pPr>
      <w:bookmarkStart w:id="49" w:name="_Toc221056336"/>
      <w:r>
        <w:rPr>
          <w:rFonts w:hint="eastAsia"/>
        </w:rPr>
        <w:t>2.7.5其他相关规划符合性分析</w:t>
      </w:r>
      <w:bookmarkEnd w:id="49"/>
    </w:p>
    <w:p w14:paraId="7B4C1BFB">
      <w:pPr>
        <w:ind w:firstLine="468" w:firstLineChars="200"/>
        <w:rPr>
          <w:rFonts w:cs="Times New Roman"/>
          <w:spacing w:val="-3"/>
        </w:rPr>
      </w:pPr>
      <w:r>
        <w:rPr>
          <w:rFonts w:hint="eastAsia" w:cs="Times New Roman"/>
          <w:spacing w:val="-3"/>
        </w:rPr>
        <w:t>对照《挥发性有机物(VOCs)污染防治技术政策》《安徽省淮河流域水污染防治条例》等相关政策要求，本项目的政策相符性分析汇总见表2.7-2。</w:t>
      </w:r>
    </w:p>
    <w:p w14:paraId="31DA6D83">
      <w:pPr>
        <w:pStyle w:val="28"/>
        <w:rPr>
          <w:rFonts w:hint="eastAsia"/>
        </w:rPr>
      </w:pPr>
      <w:r>
        <w:rPr>
          <w:rFonts w:hint="eastAsia"/>
        </w:rPr>
        <w:t>表2.7</w:t>
      </w:r>
      <w:r>
        <w:t>-</w:t>
      </w:r>
      <w:r>
        <w:rPr>
          <w:rFonts w:hint="eastAsia"/>
        </w:rPr>
        <w:t>4</w:t>
      </w:r>
      <w:r>
        <w:t xml:space="preserve">  </w:t>
      </w:r>
      <w:r>
        <w:rPr>
          <w:rFonts w:hint="eastAsia"/>
        </w:rPr>
        <w:t>本项目与相关实施政策符合性分析一览表</w:t>
      </w:r>
    </w:p>
    <w:tbl>
      <w:tblPr>
        <w:tblStyle w:val="36"/>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768"/>
        <w:gridCol w:w="1672"/>
        <w:gridCol w:w="5337"/>
        <w:gridCol w:w="5215"/>
        <w:gridCol w:w="1226"/>
      </w:tblGrid>
      <w:tr w14:paraId="6AF41FC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270" w:type="pct"/>
            <w:tcBorders>
              <w:top w:val="single" w:color="auto" w:sz="4" w:space="0"/>
              <w:left w:val="single" w:color="auto" w:sz="4" w:space="0"/>
              <w:bottom w:val="single" w:color="auto" w:sz="4" w:space="0"/>
              <w:right w:val="single" w:color="auto" w:sz="4" w:space="0"/>
            </w:tcBorders>
            <w:vAlign w:val="center"/>
          </w:tcPr>
          <w:p w14:paraId="23A801D9">
            <w:pPr>
              <w:pStyle w:val="64"/>
            </w:pPr>
            <w:r>
              <w:rPr>
                <w:rFonts w:hint="eastAsia"/>
              </w:rPr>
              <w:t>序号</w:t>
            </w:r>
          </w:p>
        </w:tc>
        <w:tc>
          <w:tcPr>
            <w:tcW w:w="588" w:type="pct"/>
            <w:tcBorders>
              <w:top w:val="single" w:color="auto" w:sz="4" w:space="0"/>
              <w:left w:val="single" w:color="auto" w:sz="4" w:space="0"/>
              <w:bottom w:val="single" w:color="auto" w:sz="4" w:space="0"/>
              <w:right w:val="single" w:color="auto" w:sz="4" w:space="0"/>
            </w:tcBorders>
            <w:vAlign w:val="center"/>
          </w:tcPr>
          <w:p w14:paraId="7F5BB1B4">
            <w:pPr>
              <w:pStyle w:val="64"/>
            </w:pPr>
            <w:r>
              <w:rPr>
                <w:rFonts w:hint="eastAsia"/>
              </w:rPr>
              <w:t>政策名称</w:t>
            </w:r>
          </w:p>
        </w:tc>
        <w:tc>
          <w:tcPr>
            <w:tcW w:w="1877" w:type="pct"/>
            <w:tcBorders>
              <w:top w:val="single" w:color="auto" w:sz="4" w:space="0"/>
              <w:left w:val="single" w:color="auto" w:sz="4" w:space="0"/>
              <w:bottom w:val="single" w:color="auto" w:sz="4" w:space="0"/>
              <w:right w:val="single" w:color="auto" w:sz="4" w:space="0"/>
            </w:tcBorders>
            <w:vAlign w:val="center"/>
          </w:tcPr>
          <w:p w14:paraId="7BBD385A">
            <w:pPr>
              <w:pStyle w:val="64"/>
            </w:pPr>
            <w:r>
              <w:rPr>
                <w:rFonts w:hint="eastAsia"/>
              </w:rPr>
              <w:t>相关要求</w:t>
            </w:r>
          </w:p>
        </w:tc>
        <w:tc>
          <w:tcPr>
            <w:tcW w:w="1834" w:type="pct"/>
            <w:tcBorders>
              <w:top w:val="single" w:color="auto" w:sz="4" w:space="0"/>
              <w:left w:val="single" w:color="auto" w:sz="4" w:space="0"/>
              <w:bottom w:val="single" w:color="auto" w:sz="4" w:space="0"/>
              <w:right w:val="single" w:color="auto" w:sz="4" w:space="0"/>
            </w:tcBorders>
            <w:vAlign w:val="center"/>
          </w:tcPr>
          <w:p w14:paraId="2527DF8A">
            <w:pPr>
              <w:pStyle w:val="64"/>
            </w:pPr>
            <w:r>
              <w:rPr>
                <w:rFonts w:hint="eastAsia"/>
              </w:rPr>
              <w:t>符合性分析</w:t>
            </w:r>
          </w:p>
        </w:tc>
        <w:tc>
          <w:tcPr>
            <w:tcW w:w="431" w:type="pct"/>
            <w:tcBorders>
              <w:top w:val="single" w:color="auto" w:sz="4" w:space="0"/>
              <w:left w:val="single" w:color="auto" w:sz="4" w:space="0"/>
              <w:bottom w:val="single" w:color="auto" w:sz="4" w:space="0"/>
              <w:right w:val="single" w:color="auto" w:sz="4" w:space="0"/>
            </w:tcBorders>
            <w:vAlign w:val="center"/>
          </w:tcPr>
          <w:p w14:paraId="05B77AF1">
            <w:pPr>
              <w:pStyle w:val="64"/>
            </w:pPr>
            <w:r>
              <w:rPr>
                <w:rFonts w:hint="eastAsia"/>
              </w:rPr>
              <w:t>是否符合</w:t>
            </w:r>
          </w:p>
        </w:tc>
      </w:tr>
      <w:tr w14:paraId="00AF5C4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270" w:type="pct"/>
            <w:tcBorders>
              <w:top w:val="single" w:color="auto" w:sz="4" w:space="0"/>
              <w:left w:val="single" w:color="auto" w:sz="4" w:space="0"/>
              <w:bottom w:val="single" w:color="auto" w:sz="4" w:space="0"/>
              <w:right w:val="single" w:color="auto" w:sz="4" w:space="0"/>
            </w:tcBorders>
            <w:vAlign w:val="center"/>
          </w:tcPr>
          <w:p w14:paraId="3274FAC7">
            <w:pPr>
              <w:pStyle w:val="64"/>
            </w:pPr>
            <w:r>
              <w:rPr>
                <w:rFonts w:hint="eastAsia"/>
              </w:rPr>
              <w:t>1</w:t>
            </w:r>
          </w:p>
        </w:tc>
        <w:tc>
          <w:tcPr>
            <w:tcW w:w="588" w:type="pct"/>
            <w:tcBorders>
              <w:top w:val="single" w:color="auto" w:sz="4" w:space="0"/>
              <w:left w:val="single" w:color="auto" w:sz="4" w:space="0"/>
              <w:bottom w:val="single" w:color="auto" w:sz="4" w:space="0"/>
              <w:right w:val="single" w:color="auto" w:sz="4" w:space="0"/>
            </w:tcBorders>
            <w:vAlign w:val="center"/>
          </w:tcPr>
          <w:p w14:paraId="4CC56F25">
            <w:pPr>
              <w:pStyle w:val="64"/>
            </w:pPr>
            <w:r>
              <w:rPr>
                <w:rFonts w:cs="Times New Roman"/>
                <w:szCs w:val="21"/>
              </w:rPr>
              <w:t>《挥发性有机物(VOCs</w:t>
            </w:r>
            <w:r>
              <w:rPr>
                <w:rFonts w:hint="eastAsia" w:cs="Times New Roman"/>
                <w:szCs w:val="21"/>
              </w:rPr>
              <w:t>)</w:t>
            </w:r>
            <w:r>
              <w:rPr>
                <w:rFonts w:cs="Times New Roman"/>
                <w:szCs w:val="21"/>
              </w:rPr>
              <w:t>污染防治技术政策》</w:t>
            </w:r>
          </w:p>
        </w:tc>
        <w:tc>
          <w:tcPr>
            <w:tcW w:w="1877" w:type="pct"/>
            <w:tcBorders>
              <w:top w:val="single" w:color="auto" w:sz="4" w:space="0"/>
              <w:left w:val="single" w:color="auto" w:sz="4" w:space="0"/>
              <w:bottom w:val="single" w:color="auto" w:sz="4" w:space="0"/>
              <w:right w:val="single" w:color="auto" w:sz="4" w:space="0"/>
            </w:tcBorders>
            <w:vAlign w:val="center"/>
          </w:tcPr>
          <w:p w14:paraId="4D45C9E3">
            <w:pPr>
              <w:spacing w:line="240" w:lineRule="auto"/>
              <w:rPr>
                <w:rFonts w:cs="Times New Roman"/>
                <w:sz w:val="21"/>
                <w:szCs w:val="21"/>
              </w:rPr>
            </w:pPr>
            <w:r>
              <w:rPr>
                <w:rFonts w:cs="Times New Roman"/>
                <w:sz w:val="21"/>
                <w:szCs w:val="21"/>
              </w:rPr>
              <w:t>(1</w:t>
            </w:r>
            <w:r>
              <w:rPr>
                <w:rFonts w:hint="eastAsia" w:cs="Times New Roman"/>
                <w:sz w:val="21"/>
                <w:szCs w:val="21"/>
              </w:rPr>
              <w:t>)</w:t>
            </w:r>
            <w:r>
              <w:rPr>
                <w:rFonts w:cs="Times New Roman"/>
                <w:sz w:val="21"/>
                <w:szCs w:val="21"/>
              </w:rPr>
              <w:t>对泵、压缩机、阀门、法兰等易发生泄漏的设备与管线组件，制定泄漏检测与修复(LDAR</w:t>
            </w:r>
            <w:r>
              <w:rPr>
                <w:rFonts w:hint="eastAsia" w:cs="Times New Roman"/>
                <w:sz w:val="21"/>
                <w:szCs w:val="21"/>
              </w:rPr>
              <w:t>)</w:t>
            </w:r>
            <w:r>
              <w:rPr>
                <w:rFonts w:cs="Times New Roman"/>
                <w:sz w:val="21"/>
                <w:szCs w:val="21"/>
              </w:rPr>
              <w:t>计划，定期检测、及时修复，防止或减少跑、冒、滴、漏现象；</w:t>
            </w:r>
          </w:p>
          <w:p w14:paraId="095EF571">
            <w:pPr>
              <w:spacing w:line="240" w:lineRule="auto"/>
              <w:rPr>
                <w:rFonts w:cs="Times New Roman"/>
                <w:sz w:val="21"/>
                <w:szCs w:val="21"/>
              </w:rPr>
            </w:pPr>
            <w:r>
              <w:rPr>
                <w:rFonts w:cs="Times New Roman"/>
                <w:sz w:val="21"/>
                <w:szCs w:val="21"/>
              </w:rPr>
              <w:t>(2</w:t>
            </w:r>
            <w:r>
              <w:rPr>
                <w:rFonts w:hint="eastAsia" w:cs="Times New Roman"/>
                <w:sz w:val="21"/>
                <w:szCs w:val="21"/>
              </w:rPr>
              <w:t>)</w:t>
            </w:r>
            <w:r>
              <w:rPr>
                <w:rFonts w:cs="Times New Roman"/>
                <w:sz w:val="21"/>
                <w:szCs w:val="21"/>
              </w:rPr>
              <w:t>对生产装置排放的含VOCs工艺排气宜优先回收利用，不能(或不能完全</w:t>
            </w:r>
            <w:r>
              <w:rPr>
                <w:rFonts w:hint="eastAsia" w:cs="Times New Roman"/>
                <w:sz w:val="21"/>
                <w:szCs w:val="21"/>
              </w:rPr>
              <w:t>)</w:t>
            </w:r>
            <w:r>
              <w:rPr>
                <w:rFonts w:cs="Times New Roman"/>
                <w:sz w:val="21"/>
                <w:szCs w:val="21"/>
              </w:rPr>
              <w:t>回收利用的经处理后达标排放；应急情况下的泄放气可导入燃烧塔(火炬</w:t>
            </w:r>
            <w:r>
              <w:rPr>
                <w:rFonts w:hint="eastAsia" w:cs="Times New Roman"/>
                <w:sz w:val="21"/>
                <w:szCs w:val="21"/>
              </w:rPr>
              <w:t>)</w:t>
            </w:r>
            <w:r>
              <w:rPr>
                <w:rFonts w:cs="Times New Roman"/>
                <w:sz w:val="21"/>
                <w:szCs w:val="21"/>
              </w:rPr>
              <w:t>，经过充分燃烧后排放；</w:t>
            </w:r>
          </w:p>
          <w:p w14:paraId="1AFA99B7">
            <w:pPr>
              <w:spacing w:line="240" w:lineRule="auto"/>
              <w:rPr>
                <w:rFonts w:cs="Times New Roman"/>
                <w:sz w:val="21"/>
                <w:szCs w:val="21"/>
              </w:rPr>
            </w:pPr>
            <w:r>
              <w:rPr>
                <w:rFonts w:cs="Times New Roman"/>
                <w:sz w:val="21"/>
                <w:szCs w:val="21"/>
              </w:rPr>
              <w:t>(3</w:t>
            </w:r>
            <w:r>
              <w:rPr>
                <w:rFonts w:hint="eastAsia" w:cs="Times New Roman"/>
                <w:sz w:val="21"/>
                <w:szCs w:val="21"/>
              </w:rPr>
              <w:t>)</w:t>
            </w:r>
            <w:r>
              <w:rPr>
                <w:rFonts w:cs="Times New Roman"/>
                <w:sz w:val="21"/>
                <w:szCs w:val="21"/>
              </w:rPr>
              <w:t>废水收集和处理过程产生的含VOCs废气经收集处理后达标排放。</w:t>
            </w:r>
          </w:p>
          <w:p w14:paraId="1AE7B4A9">
            <w:pPr>
              <w:spacing w:line="240" w:lineRule="auto"/>
              <w:rPr>
                <w:rFonts w:cs="Times New Roman"/>
                <w:sz w:val="21"/>
                <w:szCs w:val="21"/>
              </w:rPr>
            </w:pPr>
            <w:r>
              <w:rPr>
                <w:rFonts w:cs="Times New Roman"/>
                <w:sz w:val="21"/>
                <w:szCs w:val="21"/>
              </w:rPr>
              <w:t>(4</w:t>
            </w:r>
            <w:r>
              <w:rPr>
                <w:rFonts w:hint="eastAsia" w:cs="Times New Roman"/>
                <w:sz w:val="21"/>
                <w:szCs w:val="21"/>
              </w:rPr>
              <w:t>)</w:t>
            </w:r>
            <w:r>
              <w:rPr>
                <w:rFonts w:cs="Times New Roman"/>
                <w:sz w:val="21"/>
                <w:szCs w:val="21"/>
              </w:rPr>
              <w:t>对于含高浓度VOCs的废气，宜优先采用冷凝回收、吸附回收技术进行回收利用，并辅助以其他治理技术实现达标排放。</w:t>
            </w:r>
          </w:p>
        </w:tc>
        <w:tc>
          <w:tcPr>
            <w:tcW w:w="1834" w:type="pct"/>
            <w:tcBorders>
              <w:top w:val="single" w:color="auto" w:sz="4" w:space="0"/>
              <w:left w:val="single" w:color="auto" w:sz="4" w:space="0"/>
              <w:bottom w:val="single" w:color="auto" w:sz="4" w:space="0"/>
              <w:right w:val="single" w:color="auto" w:sz="4" w:space="0"/>
            </w:tcBorders>
            <w:vAlign w:val="center"/>
          </w:tcPr>
          <w:p w14:paraId="460A6D31">
            <w:pPr>
              <w:spacing w:line="240" w:lineRule="auto"/>
              <w:rPr>
                <w:rFonts w:cs="Times New Roman"/>
                <w:sz w:val="21"/>
                <w:szCs w:val="21"/>
              </w:rPr>
            </w:pPr>
            <w:r>
              <w:rPr>
                <w:rFonts w:cs="Times New Roman"/>
                <w:sz w:val="21"/>
                <w:szCs w:val="21"/>
              </w:rPr>
              <w:t>(1</w:t>
            </w:r>
            <w:r>
              <w:rPr>
                <w:rFonts w:hint="eastAsia" w:cs="Times New Roman"/>
                <w:sz w:val="21"/>
                <w:szCs w:val="21"/>
              </w:rPr>
              <w:t>)</w:t>
            </w:r>
            <w:r>
              <w:rPr>
                <w:rFonts w:cs="Times New Roman"/>
                <w:sz w:val="21"/>
                <w:szCs w:val="21"/>
              </w:rPr>
              <w:t>建设单位针对</w:t>
            </w:r>
            <w:r>
              <w:rPr>
                <w:rFonts w:hint="eastAsia" w:cs="Times New Roman"/>
                <w:sz w:val="21"/>
                <w:szCs w:val="21"/>
              </w:rPr>
              <w:t>厂区</w:t>
            </w:r>
            <w:r>
              <w:rPr>
                <w:rFonts w:cs="Times New Roman"/>
                <w:sz w:val="21"/>
                <w:szCs w:val="21"/>
              </w:rPr>
              <w:t>已制定LDAR计划并定期开展检测，针对发现的泄漏及的进行了修复。</w:t>
            </w:r>
          </w:p>
          <w:p w14:paraId="190BDAAD">
            <w:pPr>
              <w:spacing w:line="240" w:lineRule="auto"/>
              <w:rPr>
                <w:rFonts w:cs="Times New Roman"/>
                <w:sz w:val="21"/>
                <w:szCs w:val="21"/>
              </w:rPr>
            </w:pPr>
            <w:r>
              <w:rPr>
                <w:rFonts w:cs="Times New Roman"/>
                <w:sz w:val="21"/>
                <w:szCs w:val="21"/>
              </w:rPr>
              <w:t>(2</w:t>
            </w:r>
            <w:r>
              <w:rPr>
                <w:rFonts w:hint="eastAsia" w:cs="Times New Roman"/>
                <w:sz w:val="21"/>
                <w:szCs w:val="21"/>
              </w:rPr>
              <w:t>)有机废气</w:t>
            </w:r>
            <w:r>
              <w:rPr>
                <w:rFonts w:cs="Times New Roman"/>
                <w:sz w:val="21"/>
                <w:szCs w:val="21"/>
              </w:rPr>
              <w:t>在车间进行</w:t>
            </w:r>
            <w:r>
              <w:rPr>
                <w:rFonts w:hint="eastAsia" w:cs="Times New Roman"/>
                <w:sz w:val="21"/>
                <w:szCs w:val="21"/>
              </w:rPr>
              <w:t>冷凝</w:t>
            </w:r>
            <w:r>
              <w:rPr>
                <w:rFonts w:cs="Times New Roman"/>
                <w:sz w:val="21"/>
                <w:szCs w:val="21"/>
              </w:rPr>
              <w:t>预处理后接入</w:t>
            </w:r>
            <w:r>
              <w:rPr>
                <w:rFonts w:hint="eastAsia" w:cs="Times New Roman"/>
                <w:sz w:val="21"/>
                <w:szCs w:val="21"/>
              </w:rPr>
              <w:t>车间尾气总管，尾气总管进行深冷后再经“两级溶剂吸收+一级碱液吸收+一级深冷”后送入东厂区2</w:t>
            </w:r>
            <w:r>
              <w:rPr>
                <w:rFonts w:cs="Times New Roman"/>
                <w:sz w:val="21"/>
                <w:szCs w:val="21"/>
              </w:rPr>
              <w:t>#</w:t>
            </w:r>
            <w:r>
              <w:rPr>
                <w:rFonts w:hint="eastAsia" w:cs="Times New Roman"/>
                <w:sz w:val="21"/>
                <w:szCs w:val="21"/>
              </w:rPr>
              <w:t>RTO</w:t>
            </w:r>
            <w:r>
              <w:rPr>
                <w:rFonts w:cs="Times New Roman"/>
                <w:sz w:val="21"/>
                <w:szCs w:val="21"/>
              </w:rPr>
              <w:t>装置进行焚烧，确保尾气达标。</w:t>
            </w:r>
          </w:p>
          <w:p w14:paraId="76D0EB92">
            <w:pPr>
              <w:spacing w:line="240" w:lineRule="auto"/>
              <w:rPr>
                <w:rFonts w:cs="Times New Roman"/>
                <w:sz w:val="21"/>
                <w:szCs w:val="21"/>
              </w:rPr>
            </w:pPr>
            <w:r>
              <w:rPr>
                <w:rFonts w:cs="Times New Roman"/>
                <w:sz w:val="21"/>
                <w:szCs w:val="21"/>
              </w:rPr>
              <w:t>(3</w:t>
            </w:r>
            <w:r>
              <w:rPr>
                <w:rFonts w:hint="eastAsia" w:cs="Times New Roman"/>
                <w:sz w:val="21"/>
                <w:szCs w:val="21"/>
              </w:rPr>
              <w:t>)</w:t>
            </w:r>
            <w:r>
              <w:rPr>
                <w:rFonts w:cs="Times New Roman"/>
                <w:sz w:val="21"/>
                <w:szCs w:val="21"/>
              </w:rPr>
              <w:t>对生产车间的产生的有机废气经汇总收集后进入RTO焚烧处理，充分燃烧后高空排放。</w:t>
            </w:r>
          </w:p>
        </w:tc>
        <w:tc>
          <w:tcPr>
            <w:tcW w:w="431" w:type="pct"/>
            <w:tcBorders>
              <w:top w:val="single" w:color="auto" w:sz="4" w:space="0"/>
              <w:left w:val="single" w:color="auto" w:sz="4" w:space="0"/>
              <w:bottom w:val="single" w:color="auto" w:sz="4" w:space="0"/>
              <w:right w:val="single" w:color="auto" w:sz="4" w:space="0"/>
            </w:tcBorders>
            <w:vAlign w:val="center"/>
          </w:tcPr>
          <w:p w14:paraId="47EA403E">
            <w:pPr>
              <w:pStyle w:val="64"/>
            </w:pPr>
            <w:r>
              <w:rPr>
                <w:rFonts w:hint="eastAsia"/>
              </w:rPr>
              <w:t>符合</w:t>
            </w:r>
          </w:p>
        </w:tc>
      </w:tr>
      <w:tr w14:paraId="36DE6FA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270" w:type="pct"/>
            <w:tcBorders>
              <w:top w:val="single" w:color="auto" w:sz="4" w:space="0"/>
              <w:left w:val="single" w:color="auto" w:sz="4" w:space="0"/>
              <w:bottom w:val="single" w:color="auto" w:sz="4" w:space="0"/>
              <w:right w:val="single" w:color="auto" w:sz="4" w:space="0"/>
            </w:tcBorders>
            <w:vAlign w:val="center"/>
          </w:tcPr>
          <w:p w14:paraId="6273A36C">
            <w:pPr>
              <w:pStyle w:val="64"/>
            </w:pPr>
            <w:r>
              <w:rPr>
                <w:rFonts w:hint="eastAsia"/>
              </w:rPr>
              <w:t>2</w:t>
            </w:r>
          </w:p>
        </w:tc>
        <w:tc>
          <w:tcPr>
            <w:tcW w:w="588" w:type="pct"/>
            <w:tcBorders>
              <w:top w:val="single" w:color="auto" w:sz="4" w:space="0"/>
              <w:left w:val="single" w:color="auto" w:sz="4" w:space="0"/>
              <w:bottom w:val="single" w:color="auto" w:sz="4" w:space="0"/>
              <w:right w:val="single" w:color="auto" w:sz="4" w:space="0"/>
            </w:tcBorders>
            <w:vAlign w:val="center"/>
          </w:tcPr>
          <w:p w14:paraId="095156B5">
            <w:pPr>
              <w:pStyle w:val="64"/>
            </w:pPr>
            <w:r>
              <w:rPr>
                <w:rFonts w:hint="eastAsia"/>
              </w:rPr>
              <w:t>《重点行业挥发性有机物综合治理方案》</w:t>
            </w:r>
          </w:p>
          <w:p w14:paraId="10780EFC">
            <w:pPr>
              <w:pStyle w:val="64"/>
            </w:pPr>
            <w:r>
              <w:rPr>
                <w:rFonts w:hint="eastAsia"/>
              </w:rPr>
              <w:t>(环大气〔2019〕53号)</w:t>
            </w:r>
          </w:p>
        </w:tc>
        <w:tc>
          <w:tcPr>
            <w:tcW w:w="1877" w:type="pct"/>
            <w:tcBorders>
              <w:top w:val="single" w:color="auto" w:sz="4" w:space="0"/>
              <w:left w:val="single" w:color="auto" w:sz="4" w:space="0"/>
              <w:bottom w:val="single" w:color="auto" w:sz="4" w:space="0"/>
              <w:right w:val="single" w:color="auto" w:sz="4" w:space="0"/>
            </w:tcBorders>
            <w:vAlign w:val="center"/>
          </w:tcPr>
          <w:p w14:paraId="68E399FC">
            <w:pPr>
              <w:pStyle w:val="64"/>
              <w:jc w:val="both"/>
            </w:pPr>
            <w:r>
              <w:rPr>
                <w:rFonts w:hint="eastAsia"/>
              </w:rPr>
              <w:t>(1)含VOCs物料应储存于密闭容器、包装袋，高效密封储罐，封闭式储库、料仓等。含VOCs物料转移和输送，应采用密闭管道或密闭容器、罐车等。高VOCs含量废水的集输、储存和处理过程，应加盖密闭。含VOCs物料生产和使用过程，应采取有效收集措施或在密闭空间中操作。</w:t>
            </w:r>
          </w:p>
          <w:p w14:paraId="7E973A7A">
            <w:pPr>
              <w:pStyle w:val="64"/>
              <w:jc w:val="both"/>
            </w:pPr>
            <w:r>
              <w:rPr>
                <w:rFonts w:hint="eastAsia"/>
              </w:rPr>
              <w:t>(2)通过采用全密闭、连续化、自动化等生产技术，及高效工艺与设备等，减少工艺过程无组织排放。挥发性有机液体装载优先采用底部装载方式。石化、化工行业重点推进使用低(无)泄漏泵、压缩机、过滤机、离心机、干燥设备等，推广油品在线调和技术、密闭式循环水冷却系统等。</w:t>
            </w:r>
          </w:p>
          <w:p w14:paraId="0AAB43AC">
            <w:pPr>
              <w:pStyle w:val="64"/>
              <w:jc w:val="both"/>
            </w:pPr>
            <w:r>
              <w:rPr>
                <w:rFonts w:hint="eastAsia"/>
              </w:rPr>
              <w:t>(3)科学设计废气收集系统，将无组织排放转变为有组织排放进行控制。采用全密闭集气罩或密闭空间的，除行业有特殊要求外，应保持微负压状态，并根据相关规范合理设置通风量。</w:t>
            </w:r>
          </w:p>
          <w:p w14:paraId="674FDFF2">
            <w:pPr>
              <w:pStyle w:val="64"/>
              <w:jc w:val="both"/>
            </w:pPr>
            <w:r>
              <w:rPr>
                <w:rFonts w:hint="eastAsia"/>
              </w:rPr>
              <w:t>(4)载有气态、液态VOCs物料的设备与管线组件，密封点数量大于等于2000个，应开展LDAR工作。石化企业按行业排放标准规定执行。</w:t>
            </w:r>
          </w:p>
          <w:p w14:paraId="7E4F252C">
            <w:pPr>
              <w:pStyle w:val="64"/>
              <w:jc w:val="both"/>
            </w:pPr>
            <w:r>
              <w:rPr>
                <w:rFonts w:hint="eastAsia"/>
              </w:rPr>
              <w:t>(5)企业新建治污设施或对现有治污设施实施改造，合理选择治理技术。鼓励企业采用多种技术的组合工艺，提高VOCs治理效率。非水溶性的VOCs废气禁止采用水或水溶液喷淋吸收处理。采用一次性活性炭吸附技术的，应定期更换活性炭，废旧活性炭应再生或处理处置。</w:t>
            </w:r>
          </w:p>
          <w:p w14:paraId="3D51F628">
            <w:pPr>
              <w:pStyle w:val="64"/>
              <w:jc w:val="both"/>
            </w:pPr>
            <w:r>
              <w:rPr>
                <w:rFonts w:hint="eastAsia"/>
              </w:rPr>
              <w:t>(6)重点区域应组织VOCs排放量较大企业开展“一厂一策”方案编制。</w:t>
            </w:r>
          </w:p>
          <w:p w14:paraId="0C5D2909">
            <w:pPr>
              <w:pStyle w:val="64"/>
              <w:jc w:val="both"/>
            </w:pPr>
            <w:r>
              <w:rPr>
                <w:rFonts w:hint="eastAsia"/>
              </w:rPr>
              <w:t>(7)系统梳理VOCs排放主要环节和工序。健全内部考核制度。加强人员能力培训和技术交流。建立管理台账，记录企业生产和治污设施运行关键参数，在线监控参数要确保能够实时调取，相关台账记录至少保存三年。</w:t>
            </w:r>
          </w:p>
        </w:tc>
        <w:tc>
          <w:tcPr>
            <w:tcW w:w="1834" w:type="pct"/>
            <w:tcBorders>
              <w:top w:val="single" w:color="auto" w:sz="4" w:space="0"/>
              <w:left w:val="single" w:color="auto" w:sz="4" w:space="0"/>
              <w:bottom w:val="single" w:color="auto" w:sz="4" w:space="0"/>
              <w:right w:val="single" w:color="auto" w:sz="4" w:space="0"/>
            </w:tcBorders>
            <w:vAlign w:val="center"/>
          </w:tcPr>
          <w:p w14:paraId="6CFC0333">
            <w:pPr>
              <w:spacing w:line="240" w:lineRule="auto"/>
              <w:rPr>
                <w:rFonts w:cs="Times New Roman"/>
                <w:sz w:val="21"/>
                <w:szCs w:val="21"/>
              </w:rPr>
            </w:pPr>
            <w:r>
              <w:rPr>
                <w:rFonts w:cs="Times New Roman"/>
                <w:sz w:val="21"/>
                <w:szCs w:val="21"/>
              </w:rPr>
              <w:t>(1</w:t>
            </w:r>
            <w:r>
              <w:rPr>
                <w:rFonts w:hint="eastAsia" w:cs="Times New Roman"/>
                <w:sz w:val="21"/>
                <w:szCs w:val="21"/>
              </w:rPr>
              <w:t>)</w:t>
            </w:r>
            <w:r>
              <w:rPr>
                <w:rFonts w:cs="Times New Roman"/>
                <w:sz w:val="21"/>
                <w:szCs w:val="21"/>
              </w:rPr>
              <w:t>项目</w:t>
            </w:r>
            <w:r>
              <w:rPr>
                <w:rFonts w:hint="eastAsia" w:cs="Times New Roman"/>
                <w:sz w:val="21"/>
                <w:szCs w:val="21"/>
              </w:rPr>
              <w:t>使用的</w:t>
            </w:r>
            <w:r>
              <w:rPr>
                <w:rFonts w:cs="Times New Roman"/>
                <w:sz w:val="21"/>
                <w:szCs w:val="21"/>
              </w:rPr>
              <w:t>储罐区、仓库等，有机原料均采用高效密闭储罐储存。有机物料输送和转移采用密闭管道，各</w:t>
            </w:r>
            <w:r>
              <w:rPr>
                <w:rFonts w:hint="eastAsia" w:cs="Times New Roman"/>
                <w:sz w:val="21"/>
                <w:szCs w:val="21"/>
              </w:rPr>
              <w:t>类</w:t>
            </w:r>
            <w:r>
              <w:rPr>
                <w:rFonts w:cs="Times New Roman"/>
                <w:sz w:val="21"/>
                <w:szCs w:val="21"/>
              </w:rPr>
              <w:t>废水经</w:t>
            </w:r>
            <w:r>
              <w:rPr>
                <w:rFonts w:hint="eastAsia" w:cs="Times New Roman"/>
                <w:sz w:val="21"/>
                <w:szCs w:val="21"/>
              </w:rPr>
              <w:t>不同</w:t>
            </w:r>
            <w:r>
              <w:rPr>
                <w:rFonts w:cs="Times New Roman"/>
                <w:sz w:val="21"/>
                <w:szCs w:val="21"/>
              </w:rPr>
              <w:t>管道输送至各自处理单元进行处理，全过程密闭。废气产生点均采用管道直接收集，收集效率高。</w:t>
            </w:r>
          </w:p>
          <w:p w14:paraId="1B13BFEE">
            <w:pPr>
              <w:spacing w:line="240" w:lineRule="auto"/>
              <w:rPr>
                <w:rFonts w:cs="Times New Roman"/>
                <w:sz w:val="21"/>
                <w:szCs w:val="21"/>
              </w:rPr>
            </w:pPr>
            <w:r>
              <w:rPr>
                <w:rFonts w:cs="Times New Roman"/>
                <w:sz w:val="21"/>
                <w:szCs w:val="21"/>
              </w:rPr>
              <w:t>(2</w:t>
            </w:r>
            <w:r>
              <w:rPr>
                <w:rFonts w:hint="eastAsia" w:cs="Times New Roman"/>
                <w:sz w:val="21"/>
                <w:szCs w:val="21"/>
              </w:rPr>
              <w:t>)</w:t>
            </w:r>
            <w:r>
              <w:rPr>
                <w:rFonts w:cs="Times New Roman"/>
                <w:sz w:val="21"/>
                <w:szCs w:val="21"/>
              </w:rPr>
              <w:t>项目采用全密闭、连续化、自动化工艺，设备高效。挥发有机物装载采用底部装载方式，输送转移采用无泄漏泵。</w:t>
            </w:r>
          </w:p>
          <w:p w14:paraId="5FB6BF70">
            <w:pPr>
              <w:spacing w:line="240" w:lineRule="auto"/>
              <w:rPr>
                <w:rFonts w:cs="Times New Roman"/>
                <w:sz w:val="21"/>
                <w:szCs w:val="21"/>
              </w:rPr>
            </w:pPr>
            <w:r>
              <w:rPr>
                <w:rFonts w:cs="Times New Roman"/>
                <w:sz w:val="21"/>
                <w:szCs w:val="21"/>
              </w:rPr>
              <w:t>(3</w:t>
            </w:r>
            <w:r>
              <w:rPr>
                <w:rFonts w:hint="eastAsia" w:cs="Times New Roman"/>
                <w:sz w:val="21"/>
                <w:szCs w:val="21"/>
              </w:rPr>
              <w:t>)</w:t>
            </w:r>
            <w:r>
              <w:rPr>
                <w:rFonts w:cs="Times New Roman"/>
                <w:sz w:val="21"/>
                <w:szCs w:val="21"/>
              </w:rPr>
              <w:t>项目废气均采用管道收集，满足相应规范要求。</w:t>
            </w:r>
          </w:p>
          <w:p w14:paraId="00DB0B73">
            <w:pPr>
              <w:spacing w:line="240" w:lineRule="auto"/>
              <w:rPr>
                <w:rFonts w:cs="Times New Roman"/>
                <w:sz w:val="21"/>
                <w:szCs w:val="21"/>
              </w:rPr>
            </w:pPr>
            <w:r>
              <w:rPr>
                <w:rFonts w:cs="Times New Roman"/>
                <w:sz w:val="21"/>
                <w:szCs w:val="21"/>
              </w:rPr>
              <w:t>(4</w:t>
            </w:r>
            <w:r>
              <w:rPr>
                <w:rFonts w:hint="eastAsia" w:cs="Times New Roman"/>
                <w:sz w:val="21"/>
                <w:szCs w:val="21"/>
              </w:rPr>
              <w:t>)</w:t>
            </w:r>
            <w:r>
              <w:rPr>
                <w:rFonts w:cs="Times New Roman"/>
                <w:sz w:val="21"/>
                <w:szCs w:val="21"/>
              </w:rPr>
              <w:t>建设单位针对本项目制定LDAR计划并定期开展检测，发现泄漏及时进行修复。</w:t>
            </w:r>
          </w:p>
          <w:p w14:paraId="6E52F37F">
            <w:pPr>
              <w:spacing w:line="240" w:lineRule="auto"/>
              <w:rPr>
                <w:rFonts w:cs="Times New Roman"/>
                <w:sz w:val="21"/>
                <w:szCs w:val="21"/>
              </w:rPr>
            </w:pPr>
            <w:r>
              <w:rPr>
                <w:rFonts w:cs="Times New Roman"/>
                <w:sz w:val="21"/>
                <w:szCs w:val="21"/>
              </w:rPr>
              <w:t>(5</w:t>
            </w:r>
            <w:r>
              <w:rPr>
                <w:rFonts w:hint="eastAsia" w:cs="Times New Roman"/>
                <w:sz w:val="21"/>
                <w:szCs w:val="21"/>
              </w:rPr>
              <w:t>)</w:t>
            </w:r>
            <w:r>
              <w:rPr>
                <w:rFonts w:cs="Times New Roman"/>
                <w:sz w:val="21"/>
                <w:szCs w:val="21"/>
              </w:rPr>
              <w:t>对生产车间的产生的有机废气</w:t>
            </w:r>
            <w:r>
              <w:rPr>
                <w:rFonts w:hint="eastAsia" w:cs="Times New Roman"/>
                <w:sz w:val="21"/>
                <w:szCs w:val="21"/>
              </w:rPr>
              <w:t>先经冷凝回收，再经多级吸收处理后</w:t>
            </w:r>
            <w:r>
              <w:rPr>
                <w:rFonts w:cs="Times New Roman"/>
                <w:sz w:val="21"/>
                <w:szCs w:val="21"/>
              </w:rPr>
              <w:t>进入</w:t>
            </w:r>
            <w:r>
              <w:rPr>
                <w:rFonts w:hint="eastAsia" w:cs="Times New Roman"/>
                <w:sz w:val="21"/>
                <w:szCs w:val="21"/>
              </w:rPr>
              <w:t>2</w:t>
            </w:r>
            <w:r>
              <w:rPr>
                <w:rFonts w:cs="Times New Roman"/>
                <w:sz w:val="21"/>
                <w:szCs w:val="21"/>
              </w:rPr>
              <w:t>#RTO燃烧处理。</w:t>
            </w:r>
          </w:p>
          <w:p w14:paraId="7F543C3B">
            <w:pPr>
              <w:spacing w:line="240" w:lineRule="auto"/>
              <w:rPr>
                <w:rFonts w:cs="Times New Roman"/>
                <w:sz w:val="21"/>
                <w:szCs w:val="21"/>
              </w:rPr>
            </w:pPr>
            <w:r>
              <w:rPr>
                <w:rFonts w:cs="Times New Roman"/>
                <w:sz w:val="21"/>
                <w:szCs w:val="21"/>
              </w:rPr>
              <w:t>(6</w:t>
            </w:r>
            <w:r>
              <w:rPr>
                <w:rFonts w:hint="eastAsia" w:cs="Times New Roman"/>
                <w:sz w:val="21"/>
                <w:szCs w:val="21"/>
              </w:rPr>
              <w:t>)</w:t>
            </w:r>
            <w:r>
              <w:rPr>
                <w:rFonts w:cs="Times New Roman"/>
                <w:sz w:val="21"/>
                <w:szCs w:val="21"/>
              </w:rPr>
              <w:t>建设单位</w:t>
            </w:r>
            <w:r>
              <w:rPr>
                <w:rFonts w:hint="eastAsia" w:cs="Times New Roman"/>
                <w:sz w:val="21"/>
                <w:szCs w:val="21"/>
              </w:rPr>
              <w:t>已</w:t>
            </w:r>
            <w:r>
              <w:rPr>
                <w:rFonts w:cs="Times New Roman"/>
                <w:sz w:val="21"/>
                <w:szCs w:val="21"/>
              </w:rPr>
              <w:t>根据实际生产情况按照要求完成VOCs“一厂一策”方案的修编。</w:t>
            </w:r>
          </w:p>
          <w:p w14:paraId="5D979ACB">
            <w:pPr>
              <w:pStyle w:val="64"/>
              <w:jc w:val="both"/>
            </w:pPr>
            <w:r>
              <w:rPr>
                <w:rFonts w:cs="Times New Roman"/>
                <w:szCs w:val="21"/>
              </w:rPr>
              <w:t>(7</w:t>
            </w:r>
            <w:r>
              <w:rPr>
                <w:rFonts w:hint="eastAsia" w:cs="Times New Roman"/>
                <w:szCs w:val="21"/>
              </w:rPr>
              <w:t>)</w:t>
            </w:r>
            <w:r>
              <w:rPr>
                <w:rFonts w:cs="Times New Roman"/>
                <w:szCs w:val="21"/>
              </w:rPr>
              <w:t>建设单位</w:t>
            </w:r>
            <w:r>
              <w:rPr>
                <w:rFonts w:hint="eastAsia" w:cs="Times New Roman"/>
                <w:szCs w:val="21"/>
              </w:rPr>
              <w:t>已</w:t>
            </w:r>
            <w:r>
              <w:rPr>
                <w:rFonts w:cs="Times New Roman"/>
                <w:szCs w:val="21"/>
              </w:rPr>
              <w:t>制定严格的环境管理制度，梳理VOCs排放主要环节和工序，落实到具体责任人。健全内部考核制度，加强人员能力培训和技术交流。建立管理台账，记录企业生产和治污设施运行的关键参数。如项目纳入重点管理企业，需设置在线监测设备，则在线监控参数要确保能够实时调取，相关台账记录至少保存三年。</w:t>
            </w:r>
          </w:p>
        </w:tc>
        <w:tc>
          <w:tcPr>
            <w:tcW w:w="431" w:type="pct"/>
            <w:tcBorders>
              <w:top w:val="single" w:color="auto" w:sz="4" w:space="0"/>
              <w:left w:val="single" w:color="auto" w:sz="4" w:space="0"/>
              <w:bottom w:val="single" w:color="auto" w:sz="4" w:space="0"/>
              <w:right w:val="single" w:color="auto" w:sz="4" w:space="0"/>
            </w:tcBorders>
            <w:vAlign w:val="center"/>
          </w:tcPr>
          <w:p w14:paraId="1C1A4539">
            <w:pPr>
              <w:pStyle w:val="64"/>
            </w:pPr>
            <w:r>
              <w:rPr>
                <w:rFonts w:hint="eastAsia"/>
              </w:rPr>
              <w:t>符合</w:t>
            </w:r>
          </w:p>
        </w:tc>
      </w:tr>
      <w:tr w14:paraId="5E68517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270" w:type="pct"/>
            <w:tcBorders>
              <w:top w:val="single" w:color="auto" w:sz="4" w:space="0"/>
              <w:left w:val="single" w:color="auto" w:sz="4" w:space="0"/>
              <w:bottom w:val="single" w:color="auto" w:sz="4" w:space="0"/>
              <w:right w:val="single" w:color="auto" w:sz="4" w:space="0"/>
            </w:tcBorders>
            <w:vAlign w:val="center"/>
          </w:tcPr>
          <w:p w14:paraId="0E6D37C0">
            <w:pPr>
              <w:pStyle w:val="64"/>
            </w:pPr>
            <w:r>
              <w:rPr>
                <w:rFonts w:hint="eastAsia"/>
              </w:rPr>
              <w:t>3</w:t>
            </w:r>
          </w:p>
        </w:tc>
        <w:tc>
          <w:tcPr>
            <w:tcW w:w="588" w:type="pct"/>
            <w:tcBorders>
              <w:top w:val="single" w:color="auto" w:sz="4" w:space="0"/>
              <w:left w:val="single" w:color="auto" w:sz="4" w:space="0"/>
              <w:bottom w:val="single" w:color="auto" w:sz="4" w:space="0"/>
              <w:right w:val="single" w:color="auto" w:sz="4" w:space="0"/>
            </w:tcBorders>
            <w:vAlign w:val="center"/>
          </w:tcPr>
          <w:p w14:paraId="0F008670">
            <w:pPr>
              <w:pStyle w:val="64"/>
            </w:pPr>
            <w:r>
              <w:t>《淮河流域水污染防治暂行条例》</w:t>
            </w:r>
          </w:p>
        </w:tc>
        <w:tc>
          <w:tcPr>
            <w:tcW w:w="1877" w:type="pct"/>
            <w:tcBorders>
              <w:top w:val="single" w:color="auto" w:sz="4" w:space="0"/>
              <w:left w:val="single" w:color="auto" w:sz="4" w:space="0"/>
              <w:bottom w:val="single" w:color="auto" w:sz="4" w:space="0"/>
              <w:right w:val="single" w:color="auto" w:sz="4" w:space="0"/>
            </w:tcBorders>
            <w:vAlign w:val="center"/>
          </w:tcPr>
          <w:p w14:paraId="22322751">
            <w:pPr>
              <w:spacing w:line="240" w:lineRule="auto"/>
              <w:rPr>
                <w:rFonts w:cs="Times New Roman"/>
                <w:sz w:val="21"/>
                <w:szCs w:val="21"/>
              </w:rPr>
            </w:pPr>
            <w:r>
              <w:rPr>
                <w:rFonts w:cs="Times New Roman"/>
                <w:sz w:val="21"/>
                <w:szCs w:val="21"/>
              </w:rPr>
              <w:t>禁止在淮河流域新建化学制浆造纸企业。</w:t>
            </w:r>
          </w:p>
          <w:p w14:paraId="791B23D7">
            <w:pPr>
              <w:spacing w:line="240" w:lineRule="auto"/>
              <w:rPr>
                <w:rFonts w:cs="Times New Roman"/>
                <w:sz w:val="21"/>
                <w:szCs w:val="21"/>
              </w:rPr>
            </w:pPr>
            <w:r>
              <w:rPr>
                <w:rFonts w:cs="Times New Roman"/>
                <w:sz w:val="21"/>
                <w:szCs w:val="21"/>
              </w:rPr>
              <w:t>禁止在淮河流域新建制革、化工、印染、电镀、酿造等污染严重的小型企业。</w:t>
            </w:r>
          </w:p>
          <w:p w14:paraId="213AF202">
            <w:pPr>
              <w:pStyle w:val="64"/>
              <w:jc w:val="both"/>
            </w:pPr>
            <w:r>
              <w:rPr>
                <w:rFonts w:cs="Times New Roman"/>
                <w:szCs w:val="21"/>
              </w:rPr>
              <w:t>严格限制在淮河流域新建前款所列大中型项目或者其他污染严重的项目；建设该类项目的，必须事先征得有关省人民政府环境保护行政主管部门的同意，并报国务院</w:t>
            </w:r>
            <w:r>
              <w:rPr>
                <w:rFonts w:hint="eastAsia" w:cs="Times New Roman"/>
                <w:szCs w:val="21"/>
              </w:rPr>
              <w:t>环境</w:t>
            </w:r>
            <w:r>
              <w:rPr>
                <w:rFonts w:cs="Times New Roman"/>
                <w:szCs w:val="21"/>
              </w:rPr>
              <w:t>保护行政主管部门备案</w:t>
            </w:r>
          </w:p>
        </w:tc>
        <w:tc>
          <w:tcPr>
            <w:tcW w:w="1834" w:type="pct"/>
            <w:tcBorders>
              <w:top w:val="single" w:color="auto" w:sz="4" w:space="0"/>
              <w:left w:val="single" w:color="auto" w:sz="4" w:space="0"/>
              <w:bottom w:val="single" w:color="auto" w:sz="4" w:space="0"/>
              <w:right w:val="single" w:color="auto" w:sz="4" w:space="0"/>
            </w:tcBorders>
            <w:vAlign w:val="center"/>
          </w:tcPr>
          <w:p w14:paraId="6D62F6CA">
            <w:pPr>
              <w:pStyle w:val="64"/>
              <w:jc w:val="both"/>
            </w:pPr>
            <w:r>
              <w:rPr>
                <w:rFonts w:cs="Times New Roman"/>
                <w:szCs w:val="21"/>
              </w:rPr>
              <w:t>本次</w:t>
            </w:r>
            <w:r>
              <w:rPr>
                <w:rFonts w:hint="eastAsia" w:cs="Times New Roman"/>
                <w:szCs w:val="21"/>
              </w:rPr>
              <w:t>项目为技改项目。不属于</w:t>
            </w:r>
            <w:r>
              <w:rPr>
                <w:rFonts w:cs="Times New Roman"/>
                <w:szCs w:val="21"/>
              </w:rPr>
              <w:t>制革、化工、印染、电镀、酿造等污染严重的</w:t>
            </w:r>
            <w:r>
              <w:rPr>
                <w:rFonts w:hint="eastAsia" w:cs="Times New Roman"/>
                <w:szCs w:val="21"/>
              </w:rPr>
              <w:t>新建</w:t>
            </w:r>
            <w:r>
              <w:rPr>
                <w:rFonts w:cs="Times New Roman"/>
                <w:szCs w:val="21"/>
              </w:rPr>
              <w:t>小型企业。</w:t>
            </w:r>
          </w:p>
        </w:tc>
        <w:tc>
          <w:tcPr>
            <w:tcW w:w="431" w:type="pct"/>
            <w:tcBorders>
              <w:top w:val="single" w:color="auto" w:sz="4" w:space="0"/>
              <w:left w:val="single" w:color="auto" w:sz="4" w:space="0"/>
              <w:bottom w:val="single" w:color="auto" w:sz="4" w:space="0"/>
              <w:right w:val="single" w:color="auto" w:sz="4" w:space="0"/>
            </w:tcBorders>
            <w:vAlign w:val="center"/>
          </w:tcPr>
          <w:p w14:paraId="08A288D7">
            <w:pPr>
              <w:pStyle w:val="64"/>
            </w:pPr>
            <w:r>
              <w:rPr>
                <w:rFonts w:hint="eastAsia"/>
              </w:rPr>
              <w:t>符合</w:t>
            </w:r>
          </w:p>
        </w:tc>
      </w:tr>
      <w:tr w14:paraId="30E7C20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270" w:type="pct"/>
            <w:tcBorders>
              <w:top w:val="single" w:color="auto" w:sz="4" w:space="0"/>
              <w:left w:val="single" w:color="auto" w:sz="4" w:space="0"/>
              <w:bottom w:val="single" w:color="auto" w:sz="4" w:space="0"/>
              <w:right w:val="single" w:color="auto" w:sz="4" w:space="0"/>
            </w:tcBorders>
            <w:vAlign w:val="center"/>
          </w:tcPr>
          <w:p w14:paraId="630AD06C">
            <w:pPr>
              <w:pStyle w:val="64"/>
            </w:pPr>
            <w:r>
              <w:rPr>
                <w:rFonts w:hint="eastAsia"/>
              </w:rPr>
              <w:t>4</w:t>
            </w:r>
          </w:p>
        </w:tc>
        <w:tc>
          <w:tcPr>
            <w:tcW w:w="588" w:type="pct"/>
            <w:tcBorders>
              <w:top w:val="single" w:color="auto" w:sz="4" w:space="0"/>
              <w:left w:val="single" w:color="auto" w:sz="4" w:space="0"/>
              <w:bottom w:val="single" w:color="auto" w:sz="4" w:space="0"/>
              <w:right w:val="single" w:color="auto" w:sz="4" w:space="0"/>
            </w:tcBorders>
            <w:vAlign w:val="center"/>
          </w:tcPr>
          <w:p w14:paraId="30EA98ED">
            <w:pPr>
              <w:pStyle w:val="64"/>
            </w:pPr>
            <w:r>
              <w:rPr>
                <w:rFonts w:hint="eastAsia"/>
              </w:rPr>
              <w:t>《安徽省淮河流域水污染防治条例》</w:t>
            </w:r>
          </w:p>
        </w:tc>
        <w:tc>
          <w:tcPr>
            <w:tcW w:w="1877" w:type="pct"/>
            <w:tcBorders>
              <w:top w:val="single" w:color="auto" w:sz="4" w:space="0"/>
              <w:left w:val="single" w:color="auto" w:sz="4" w:space="0"/>
              <w:bottom w:val="single" w:color="auto" w:sz="4" w:space="0"/>
              <w:right w:val="single" w:color="auto" w:sz="4" w:space="0"/>
            </w:tcBorders>
            <w:vAlign w:val="center"/>
          </w:tcPr>
          <w:p w14:paraId="32F97FD5">
            <w:pPr>
              <w:pStyle w:val="64"/>
              <w:jc w:val="both"/>
            </w:pPr>
            <w:r>
              <w:rPr>
                <w:rFonts w:hint="eastAsia"/>
              </w:rPr>
              <w:t>严格限制在淮河流域新建印染、制革、化工、电镀、酿造等大中型项目或者其他污染严重的项目；建设该类项目的，应当事前征得省人民政府生态环境行政主管部门的同意，并按照规定办理有关手续。</w:t>
            </w:r>
          </w:p>
          <w:p w14:paraId="28A9F003">
            <w:pPr>
              <w:pStyle w:val="64"/>
              <w:jc w:val="both"/>
            </w:pPr>
            <w:r>
              <w:rPr>
                <w:rFonts w:hint="eastAsia"/>
              </w:rPr>
              <w:t>新建、改建、扩建直接或者间接向水体排放污染物的建设项目和其他水上设施，应当依法进行环境影响评价。建设项目的水污染防治设施，应当符合经批准或者备案的环境影响评价文件的要求，并与主体工程同时设计、同时施工、同时投入使用。除执行前款规定外，还应当遵守下列规定：新建项目的选址应符合城市总体规划，避开饮用水水源地和对环境有特殊要求的功能区；采用资源利用率高、污染物排放量少的先进设备和先进工艺。</w:t>
            </w:r>
          </w:p>
          <w:p w14:paraId="1A697091">
            <w:pPr>
              <w:pStyle w:val="64"/>
              <w:jc w:val="both"/>
            </w:pPr>
            <w:r>
              <w:rPr>
                <w:rFonts w:hint="eastAsia"/>
              </w:rPr>
              <w:t>在饮用水水源保护区内，禁止设置排污口。</w:t>
            </w:r>
          </w:p>
          <w:p w14:paraId="5A103D78">
            <w:pPr>
              <w:pStyle w:val="64"/>
              <w:jc w:val="both"/>
            </w:pPr>
            <w:r>
              <w:rPr>
                <w:rFonts w:hint="eastAsia"/>
              </w:rPr>
              <w:t>禁止下列行为：向水体排放或者倾倒油类、酸液、碱液和其他有毒有害液体；在水体中清洗装贮过有毒有害污染物的车辆、船舶和容器；向水体排放、倾倒含有汞、镉、砷、铬、铅、氰化物、黄磷等可溶性剧毒废液或者将上述物质直接埋入地下；向水体排放、倾倒工业废渣、城镇垃圾和其他废弃物；在河流、湖泊、运河、渠道、水库最高水位线以下的滩地和岸坡堆放、贮存固体废弃物和其他污染物；引进不符合国家环境保护规定要求的技术和设备；法律、法规禁止的其他行为。</w:t>
            </w:r>
          </w:p>
        </w:tc>
        <w:tc>
          <w:tcPr>
            <w:tcW w:w="1834" w:type="pct"/>
            <w:tcBorders>
              <w:top w:val="single" w:color="auto" w:sz="4" w:space="0"/>
              <w:left w:val="single" w:color="auto" w:sz="4" w:space="0"/>
              <w:bottom w:val="single" w:color="auto" w:sz="4" w:space="0"/>
              <w:right w:val="single" w:color="auto" w:sz="4" w:space="0"/>
            </w:tcBorders>
            <w:vAlign w:val="center"/>
          </w:tcPr>
          <w:p w14:paraId="3C1319C8">
            <w:pPr>
              <w:pStyle w:val="64"/>
              <w:jc w:val="both"/>
            </w:pPr>
            <w:r>
              <w:t>1</w:t>
            </w:r>
            <w:r>
              <w:rPr>
                <w:rFonts w:hint="eastAsia"/>
              </w:rPr>
              <w:t>、技改项目已取得淮上区经发委的备案，项目代码：</w:t>
            </w:r>
            <w:r>
              <w:rPr>
                <w:kern w:val="0"/>
              </w:rPr>
              <w:t>2506-340311-07-02-731702</w:t>
            </w:r>
            <w:r>
              <w:rPr>
                <w:rFonts w:hint="eastAsia"/>
              </w:rPr>
              <w:t>；</w:t>
            </w:r>
          </w:p>
          <w:p w14:paraId="43D0EACB">
            <w:pPr>
              <w:pStyle w:val="64"/>
              <w:jc w:val="both"/>
            </w:pPr>
            <w:r>
              <w:t>2</w:t>
            </w:r>
            <w:r>
              <w:rPr>
                <w:rFonts w:hint="eastAsia"/>
              </w:rPr>
              <w:t>、技改项目依法履行环境影响评价，废水依托海华现有工程配套综合污水处理站，厂区废水经处理后排入沫河口污水处理厂三期扩建工程，不单独设置排污口。</w:t>
            </w:r>
          </w:p>
          <w:p w14:paraId="40CC3F1E">
            <w:pPr>
              <w:pStyle w:val="64"/>
              <w:jc w:val="both"/>
            </w:pPr>
            <w:r>
              <w:rPr>
                <w:rFonts w:hint="eastAsia"/>
              </w:rPr>
              <w:t>3、各类危废依托海华现有危废暂存暂存后委托有资质单位处理处置，不外排。</w:t>
            </w:r>
          </w:p>
        </w:tc>
        <w:tc>
          <w:tcPr>
            <w:tcW w:w="431" w:type="pct"/>
            <w:tcBorders>
              <w:top w:val="single" w:color="auto" w:sz="4" w:space="0"/>
              <w:left w:val="single" w:color="auto" w:sz="4" w:space="0"/>
              <w:bottom w:val="single" w:color="auto" w:sz="4" w:space="0"/>
              <w:right w:val="single" w:color="auto" w:sz="4" w:space="0"/>
            </w:tcBorders>
            <w:vAlign w:val="center"/>
          </w:tcPr>
          <w:p w14:paraId="769E45C6">
            <w:pPr>
              <w:pStyle w:val="64"/>
            </w:pPr>
            <w:r>
              <w:rPr>
                <w:rFonts w:hint="eastAsia"/>
              </w:rPr>
              <w:t>符合</w:t>
            </w:r>
          </w:p>
        </w:tc>
      </w:tr>
      <w:tr w14:paraId="45C5BFA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270" w:type="pct"/>
            <w:tcBorders>
              <w:top w:val="single" w:color="auto" w:sz="4" w:space="0"/>
              <w:left w:val="single" w:color="auto" w:sz="4" w:space="0"/>
              <w:bottom w:val="single" w:color="auto" w:sz="4" w:space="0"/>
              <w:right w:val="single" w:color="auto" w:sz="4" w:space="0"/>
            </w:tcBorders>
            <w:vAlign w:val="center"/>
          </w:tcPr>
          <w:p w14:paraId="460A6A9E">
            <w:pPr>
              <w:pStyle w:val="64"/>
            </w:pPr>
            <w:r>
              <w:rPr>
                <w:rFonts w:hint="eastAsia"/>
              </w:rPr>
              <w:t>5</w:t>
            </w:r>
          </w:p>
        </w:tc>
        <w:tc>
          <w:tcPr>
            <w:tcW w:w="588" w:type="pct"/>
            <w:tcBorders>
              <w:top w:val="single" w:color="auto" w:sz="4" w:space="0"/>
              <w:left w:val="single" w:color="auto" w:sz="4" w:space="0"/>
              <w:bottom w:val="single" w:color="auto" w:sz="4" w:space="0"/>
              <w:right w:val="single" w:color="auto" w:sz="4" w:space="0"/>
            </w:tcBorders>
            <w:vAlign w:val="center"/>
          </w:tcPr>
          <w:p w14:paraId="18A90977">
            <w:pPr>
              <w:pStyle w:val="64"/>
            </w:pPr>
            <w:r>
              <w:rPr>
                <w:rFonts w:cs="Times New Roman"/>
                <w:szCs w:val="21"/>
              </w:rPr>
              <w:t>安徽省生态环境厅《关于加强化工行业建设项目环境管理的通知》皖环发〔2020〕73号</w:t>
            </w:r>
          </w:p>
        </w:tc>
        <w:tc>
          <w:tcPr>
            <w:tcW w:w="1877" w:type="pct"/>
            <w:tcBorders>
              <w:top w:val="single" w:color="auto" w:sz="4" w:space="0"/>
              <w:left w:val="single" w:color="auto" w:sz="4" w:space="0"/>
              <w:bottom w:val="single" w:color="auto" w:sz="4" w:space="0"/>
              <w:right w:val="single" w:color="auto" w:sz="4" w:space="0"/>
            </w:tcBorders>
            <w:vAlign w:val="center"/>
          </w:tcPr>
          <w:p w14:paraId="27DCDA72">
            <w:pPr>
              <w:spacing w:line="240" w:lineRule="auto"/>
              <w:rPr>
                <w:rFonts w:cs="Times New Roman"/>
                <w:sz w:val="21"/>
              </w:rPr>
            </w:pPr>
            <w:r>
              <w:rPr>
                <w:rFonts w:cs="Times New Roman"/>
                <w:sz w:val="21"/>
              </w:rPr>
              <w:t>(1</w:t>
            </w:r>
            <w:r>
              <w:rPr>
                <w:rFonts w:hint="eastAsia" w:cs="Times New Roman"/>
                <w:sz w:val="21"/>
                <w:szCs w:val="21"/>
              </w:rPr>
              <w:t>)</w:t>
            </w:r>
            <w:r>
              <w:rPr>
                <w:rFonts w:cs="Times New Roman"/>
                <w:sz w:val="21"/>
              </w:rPr>
              <w:t>严控化工建设项目环境准入。按照有关法律法规和政策性文件要求，禁止在淮河、巢湖流域新建化工等水污染严重的小型项目，严格限制新建化工大中型项目；禁止新建《产业结构调整指导目录》中淘汰类化工项目，严格限制高VOCs排放化工项目，不得新建未纳入《石化产业规划布局方案》的炼化项目。新建化工项目必须进入规范化工园区，并符合园区规划及规划环评要求，与“三线一单”成果相协调；在长江、淮河、新安江流域建设化工项目的，要严格执行《中共安徽省委安徽省人民政府关于全面打造水清岸绿产业优美丽长江(安徽</w:t>
            </w:r>
            <w:r>
              <w:rPr>
                <w:rFonts w:hint="eastAsia" w:cs="Times New Roman"/>
                <w:sz w:val="21"/>
              </w:rPr>
              <w:t>)</w:t>
            </w:r>
            <w:r>
              <w:rPr>
                <w:rFonts w:cs="Times New Roman"/>
                <w:sz w:val="21"/>
              </w:rPr>
              <w:t>经济带的实施意见》的要求；在居民集中区、医院和学校附近，禁止新建或扩建可能引发风险的化工项目。</w:t>
            </w:r>
          </w:p>
          <w:p w14:paraId="5EB51470">
            <w:pPr>
              <w:pStyle w:val="64"/>
              <w:jc w:val="both"/>
            </w:pPr>
            <w:r>
              <w:rPr>
                <w:rFonts w:cs="Times New Roman"/>
              </w:rPr>
              <w:t>(2</w:t>
            </w:r>
            <w:r>
              <w:rPr>
                <w:rFonts w:hint="eastAsia" w:cs="Times New Roman"/>
                <w:szCs w:val="21"/>
              </w:rPr>
              <w:t>)</w:t>
            </w:r>
            <w:r>
              <w:rPr>
                <w:rFonts w:cs="Times New Roman"/>
              </w:rPr>
              <w:t>严格执行省级预审。按照《安徽省淮河流域水污染条例》《巢湖流域水污染防治条例》等法规要求，淮河、巢湖流域新建大中型化工项目按照《安徽省环保厅关于进一步明确淮河巢湖流域重污染行业项目省级环保预审范围及内容的通知》(皖环发</w:t>
            </w:r>
            <w:r>
              <w:rPr>
                <w:rFonts w:cs="Times New Roman"/>
                <w:szCs w:val="21"/>
              </w:rPr>
              <w:t>〔2013〕</w:t>
            </w:r>
            <w:r>
              <w:rPr>
                <w:rFonts w:cs="Times New Roman"/>
              </w:rPr>
              <w:t>85号</w:t>
            </w:r>
            <w:r>
              <w:rPr>
                <w:rFonts w:hint="eastAsia" w:cs="Times New Roman"/>
              </w:rPr>
              <w:t>)</w:t>
            </w:r>
            <w:r>
              <w:rPr>
                <w:rFonts w:cs="Times New Roman"/>
              </w:rPr>
              <w:t>有关规定，依法报我厅开展预审。未经预审的，各地不得受理。</w:t>
            </w:r>
          </w:p>
        </w:tc>
        <w:tc>
          <w:tcPr>
            <w:tcW w:w="1834" w:type="pct"/>
            <w:tcBorders>
              <w:top w:val="single" w:color="auto" w:sz="4" w:space="0"/>
              <w:left w:val="single" w:color="auto" w:sz="4" w:space="0"/>
              <w:bottom w:val="single" w:color="auto" w:sz="4" w:space="0"/>
              <w:right w:val="single" w:color="auto" w:sz="4" w:space="0"/>
            </w:tcBorders>
            <w:vAlign w:val="center"/>
          </w:tcPr>
          <w:p w14:paraId="63DE0266">
            <w:pPr>
              <w:spacing w:line="240" w:lineRule="auto"/>
              <w:rPr>
                <w:rFonts w:cs="Times New Roman"/>
                <w:sz w:val="21"/>
                <w:szCs w:val="21"/>
              </w:rPr>
            </w:pPr>
            <w:r>
              <w:rPr>
                <w:rFonts w:cs="Times New Roman"/>
                <w:sz w:val="21"/>
                <w:szCs w:val="21"/>
              </w:rPr>
              <w:t>(1</w:t>
            </w:r>
            <w:r>
              <w:rPr>
                <w:rFonts w:hint="eastAsia" w:cs="Times New Roman"/>
                <w:sz w:val="21"/>
                <w:szCs w:val="21"/>
              </w:rPr>
              <w:t>)</w:t>
            </w:r>
            <w:r>
              <w:rPr>
                <w:rFonts w:cs="Times New Roman"/>
                <w:sz w:val="21"/>
                <w:szCs w:val="21"/>
              </w:rPr>
              <w:t>本项目属于化工</w:t>
            </w:r>
            <w:r>
              <w:rPr>
                <w:rFonts w:hint="eastAsia" w:cs="Times New Roman"/>
                <w:sz w:val="21"/>
                <w:szCs w:val="21"/>
              </w:rPr>
              <w:t>技改</w:t>
            </w:r>
            <w:r>
              <w:rPr>
                <w:rFonts w:cs="Times New Roman"/>
                <w:sz w:val="21"/>
                <w:szCs w:val="21"/>
              </w:rPr>
              <w:t>项目，不属于《产业结构调整指导目录》中淘汰类化工项目。项目建设符合园区规划及规划环评要求，符合蚌埠市</w:t>
            </w:r>
            <w:r>
              <w:rPr>
                <w:rFonts w:hint="eastAsia" w:cs="Times New Roman"/>
                <w:sz w:val="21"/>
                <w:szCs w:val="21"/>
              </w:rPr>
              <w:t>生态环境分区管控</w:t>
            </w:r>
            <w:r>
              <w:rPr>
                <w:rFonts w:cs="Times New Roman"/>
                <w:sz w:val="21"/>
                <w:szCs w:val="21"/>
              </w:rPr>
              <w:t>要求，满足</w:t>
            </w:r>
            <w:r>
              <w:rPr>
                <w:rFonts w:cs="Times New Roman"/>
                <w:sz w:val="21"/>
              </w:rPr>
              <w:t>《安徽省淮河流域水污染条例》</w:t>
            </w:r>
            <w:r>
              <w:rPr>
                <w:rFonts w:cs="Times New Roman"/>
                <w:sz w:val="21"/>
                <w:szCs w:val="21"/>
              </w:rPr>
              <w:t>的要求，项目周边无居民集中区、医院和学校。</w:t>
            </w:r>
          </w:p>
          <w:p w14:paraId="570EEA9B">
            <w:pPr>
              <w:pStyle w:val="64"/>
              <w:jc w:val="both"/>
            </w:pPr>
            <w:r>
              <w:rPr>
                <w:rFonts w:hint="eastAsia" w:cs="Times New Roman"/>
                <w:szCs w:val="21"/>
              </w:rPr>
              <w:t>(2)本项目属于不增加主要水污染物排放量的扩建项目，由市级环保部门直接依法审批文件，无需经过省厅预审。</w:t>
            </w:r>
          </w:p>
        </w:tc>
        <w:tc>
          <w:tcPr>
            <w:tcW w:w="431" w:type="pct"/>
            <w:tcBorders>
              <w:top w:val="single" w:color="auto" w:sz="4" w:space="0"/>
              <w:left w:val="single" w:color="auto" w:sz="4" w:space="0"/>
              <w:bottom w:val="single" w:color="auto" w:sz="4" w:space="0"/>
              <w:right w:val="single" w:color="auto" w:sz="4" w:space="0"/>
            </w:tcBorders>
            <w:vAlign w:val="center"/>
          </w:tcPr>
          <w:p w14:paraId="724B1732">
            <w:pPr>
              <w:pStyle w:val="64"/>
            </w:pPr>
            <w:r>
              <w:rPr>
                <w:rFonts w:hint="eastAsia"/>
              </w:rPr>
              <w:t>符合</w:t>
            </w:r>
          </w:p>
        </w:tc>
      </w:tr>
      <w:tr w14:paraId="14B6BB4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270" w:type="pct"/>
            <w:tcBorders>
              <w:top w:val="single" w:color="auto" w:sz="4" w:space="0"/>
              <w:left w:val="single" w:color="auto" w:sz="4" w:space="0"/>
              <w:bottom w:val="single" w:color="auto" w:sz="4" w:space="0"/>
              <w:right w:val="single" w:color="auto" w:sz="4" w:space="0"/>
            </w:tcBorders>
            <w:vAlign w:val="center"/>
          </w:tcPr>
          <w:p w14:paraId="4E56C92E">
            <w:pPr>
              <w:pStyle w:val="64"/>
            </w:pPr>
            <w:r>
              <w:rPr>
                <w:rFonts w:hint="eastAsia"/>
              </w:rPr>
              <w:t>6</w:t>
            </w:r>
          </w:p>
        </w:tc>
        <w:tc>
          <w:tcPr>
            <w:tcW w:w="588" w:type="pct"/>
            <w:tcBorders>
              <w:top w:val="single" w:color="auto" w:sz="4" w:space="0"/>
              <w:left w:val="single" w:color="auto" w:sz="4" w:space="0"/>
              <w:bottom w:val="single" w:color="auto" w:sz="4" w:space="0"/>
              <w:right w:val="single" w:color="auto" w:sz="4" w:space="0"/>
            </w:tcBorders>
            <w:vAlign w:val="center"/>
          </w:tcPr>
          <w:p w14:paraId="7270BD2E">
            <w:pPr>
              <w:pStyle w:val="64"/>
            </w:pPr>
            <w:r>
              <w:rPr>
                <w:rFonts w:hint="eastAsia"/>
              </w:rPr>
              <w:t>《安徽省“十四五”生态环境保护规划》(</w:t>
            </w:r>
            <w:r>
              <w:rPr>
                <w:rFonts w:hint="eastAsia" w:cs="Times New Roman"/>
              </w:rPr>
              <w:t>皖环发〔20</w:t>
            </w:r>
            <w:r>
              <w:rPr>
                <w:rFonts w:cs="Times New Roman"/>
              </w:rPr>
              <w:t>22</w:t>
            </w:r>
            <w:r>
              <w:rPr>
                <w:rFonts w:hint="eastAsia" w:cs="Times New Roman"/>
              </w:rPr>
              <w:t>〕</w:t>
            </w:r>
            <w:r>
              <w:rPr>
                <w:rFonts w:cs="Times New Roman"/>
              </w:rPr>
              <w:t>8</w:t>
            </w:r>
            <w:r>
              <w:rPr>
                <w:rFonts w:hint="eastAsia" w:cs="Times New Roman"/>
              </w:rPr>
              <w:t>号)</w:t>
            </w:r>
          </w:p>
        </w:tc>
        <w:tc>
          <w:tcPr>
            <w:tcW w:w="1877" w:type="pct"/>
            <w:tcBorders>
              <w:top w:val="single" w:color="auto" w:sz="4" w:space="0"/>
              <w:left w:val="single" w:color="auto" w:sz="4" w:space="0"/>
              <w:bottom w:val="single" w:color="auto" w:sz="4" w:space="0"/>
              <w:right w:val="single" w:color="auto" w:sz="4" w:space="0"/>
            </w:tcBorders>
            <w:vAlign w:val="center"/>
          </w:tcPr>
          <w:p w14:paraId="6A1674E3">
            <w:pPr>
              <w:spacing w:line="240" w:lineRule="auto"/>
              <w:rPr>
                <w:rFonts w:cs="Times New Roman"/>
                <w:sz w:val="21"/>
                <w:szCs w:val="21"/>
              </w:rPr>
            </w:pPr>
            <w:r>
              <w:rPr>
                <w:rFonts w:hint="eastAsia" w:cs="Times New Roman"/>
                <w:sz w:val="21"/>
                <w:szCs w:val="21"/>
              </w:rPr>
              <w:t>(</w:t>
            </w:r>
            <w:r>
              <w:rPr>
                <w:rFonts w:cs="Times New Roman"/>
                <w:sz w:val="21"/>
                <w:szCs w:val="21"/>
              </w:rPr>
              <w:t>1)</w:t>
            </w:r>
            <w:r>
              <w:rPr>
                <w:rFonts w:hint="eastAsia" w:cs="Times New Roman"/>
                <w:sz w:val="21"/>
                <w:szCs w:val="21"/>
              </w:rPr>
              <w:t>以钢铁、水泥、石化、化工、玻璃、有色、印染等行业为重点，开展全流程清洁化、循环化、低碳化改造，促进传统产业绿色转型升级，在火电、钢铁、建材等行业开展减污降碳协同增效。支持各市因地制宜制定化工项目入园标准，建立入园项目准入评审制度。</w:t>
            </w:r>
          </w:p>
          <w:p w14:paraId="7A8F06F2">
            <w:pPr>
              <w:pStyle w:val="64"/>
              <w:jc w:val="both"/>
            </w:pPr>
            <w:r>
              <w:rPr>
                <w:rFonts w:cs="Times New Roman"/>
                <w:szCs w:val="21"/>
              </w:rPr>
              <w:t>(2)</w:t>
            </w:r>
            <w:r>
              <w:rPr>
                <w:rFonts w:hint="eastAsia" w:cs="Times New Roman"/>
                <w:szCs w:val="21"/>
              </w:rPr>
              <w:t>强化挥发性有机物(VOCs)治理精细化管理，在石化、化工、包装印刷、工业涂装等重点行业建立完善源头、过程和末端的VOCs全过程控制体系，实施VOCs 排放总量控制</w:t>
            </w:r>
          </w:p>
        </w:tc>
        <w:tc>
          <w:tcPr>
            <w:tcW w:w="1834" w:type="pct"/>
            <w:tcBorders>
              <w:top w:val="single" w:color="auto" w:sz="4" w:space="0"/>
              <w:left w:val="single" w:color="auto" w:sz="4" w:space="0"/>
              <w:bottom w:val="single" w:color="auto" w:sz="4" w:space="0"/>
              <w:right w:val="single" w:color="auto" w:sz="4" w:space="0"/>
            </w:tcBorders>
            <w:vAlign w:val="center"/>
          </w:tcPr>
          <w:p w14:paraId="5C0A73FD">
            <w:pPr>
              <w:spacing w:line="240" w:lineRule="auto"/>
              <w:rPr>
                <w:rFonts w:cs="Times New Roman"/>
                <w:sz w:val="21"/>
                <w:szCs w:val="21"/>
              </w:rPr>
            </w:pPr>
            <w:r>
              <w:rPr>
                <w:rFonts w:hint="eastAsia" w:cs="Times New Roman"/>
                <w:sz w:val="21"/>
                <w:szCs w:val="21"/>
              </w:rPr>
              <w:t>(</w:t>
            </w:r>
            <w:r>
              <w:rPr>
                <w:rFonts w:cs="Times New Roman"/>
                <w:sz w:val="21"/>
                <w:szCs w:val="21"/>
              </w:rPr>
              <w:t>1)</w:t>
            </w:r>
            <w:r>
              <w:rPr>
                <w:rFonts w:hint="eastAsia" w:cs="Times New Roman"/>
                <w:sz w:val="21"/>
                <w:szCs w:val="21"/>
              </w:rPr>
              <w:t>本项目属于化工行业，项目的建设符合</w:t>
            </w:r>
            <w:r>
              <w:rPr>
                <w:rFonts w:cs="Times New Roman"/>
                <w:sz w:val="21"/>
                <w:szCs w:val="21"/>
              </w:rPr>
              <w:t>《蚌埠市化工园区项目准入条件》</w:t>
            </w:r>
            <w:r>
              <w:rPr>
                <w:rFonts w:hint="eastAsia" w:cs="Times New Roman"/>
                <w:sz w:val="21"/>
                <w:szCs w:val="21"/>
              </w:rPr>
              <w:t>要求。</w:t>
            </w:r>
          </w:p>
          <w:p w14:paraId="18109757">
            <w:pPr>
              <w:pStyle w:val="64"/>
              <w:jc w:val="both"/>
            </w:pPr>
            <w:r>
              <w:rPr>
                <w:rFonts w:hint="eastAsia" w:cs="Times New Roman"/>
                <w:szCs w:val="21"/>
              </w:rPr>
              <w:t>(</w:t>
            </w:r>
            <w:r>
              <w:rPr>
                <w:rFonts w:cs="Times New Roman"/>
                <w:szCs w:val="21"/>
              </w:rPr>
              <w:t>2)</w:t>
            </w:r>
            <w:r>
              <w:rPr>
                <w:rFonts w:hint="eastAsia" w:cs="Times New Roman"/>
                <w:szCs w:val="21"/>
              </w:rPr>
              <w:t>项目通过源头控制和末端治理设施，减少V</w:t>
            </w:r>
            <w:r>
              <w:rPr>
                <w:rFonts w:cs="Times New Roman"/>
                <w:szCs w:val="21"/>
              </w:rPr>
              <w:t>OC</w:t>
            </w:r>
            <w:r>
              <w:rPr>
                <w:rFonts w:hint="eastAsia" w:cs="Times New Roman"/>
                <w:szCs w:val="21"/>
              </w:rPr>
              <w:t>s的排放量，项目实施后V</w:t>
            </w:r>
            <w:r>
              <w:rPr>
                <w:rFonts w:cs="Times New Roman"/>
                <w:szCs w:val="21"/>
              </w:rPr>
              <w:t>OC</w:t>
            </w:r>
            <w:r>
              <w:rPr>
                <w:rFonts w:hint="eastAsia" w:cs="Times New Roman"/>
                <w:szCs w:val="21"/>
              </w:rPr>
              <w:t>s排放实行总量控制。</w:t>
            </w:r>
          </w:p>
        </w:tc>
        <w:tc>
          <w:tcPr>
            <w:tcW w:w="431" w:type="pct"/>
            <w:tcBorders>
              <w:top w:val="single" w:color="auto" w:sz="4" w:space="0"/>
              <w:left w:val="single" w:color="auto" w:sz="4" w:space="0"/>
              <w:bottom w:val="single" w:color="auto" w:sz="4" w:space="0"/>
              <w:right w:val="single" w:color="auto" w:sz="4" w:space="0"/>
            </w:tcBorders>
            <w:vAlign w:val="center"/>
          </w:tcPr>
          <w:p w14:paraId="4F8AA3B2">
            <w:pPr>
              <w:pStyle w:val="64"/>
            </w:pPr>
            <w:r>
              <w:rPr>
                <w:rFonts w:hint="eastAsia"/>
              </w:rPr>
              <w:t>符合</w:t>
            </w:r>
          </w:p>
        </w:tc>
      </w:tr>
      <w:tr w14:paraId="14A9A34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270" w:type="pct"/>
            <w:tcBorders>
              <w:top w:val="single" w:color="auto" w:sz="4" w:space="0"/>
              <w:left w:val="single" w:color="auto" w:sz="4" w:space="0"/>
              <w:bottom w:val="single" w:color="auto" w:sz="4" w:space="0"/>
              <w:right w:val="single" w:color="auto" w:sz="4" w:space="0"/>
            </w:tcBorders>
            <w:vAlign w:val="center"/>
          </w:tcPr>
          <w:p w14:paraId="413A936A">
            <w:pPr>
              <w:pStyle w:val="64"/>
            </w:pPr>
            <w:r>
              <w:rPr>
                <w:rFonts w:hint="eastAsia"/>
              </w:rPr>
              <w:t>7</w:t>
            </w:r>
          </w:p>
        </w:tc>
        <w:tc>
          <w:tcPr>
            <w:tcW w:w="588" w:type="pct"/>
            <w:tcBorders>
              <w:top w:val="single" w:color="auto" w:sz="4" w:space="0"/>
              <w:left w:val="single" w:color="auto" w:sz="4" w:space="0"/>
              <w:bottom w:val="single" w:color="auto" w:sz="4" w:space="0"/>
              <w:right w:val="single" w:color="auto" w:sz="4" w:space="0"/>
            </w:tcBorders>
            <w:vAlign w:val="center"/>
          </w:tcPr>
          <w:p w14:paraId="7F362B70">
            <w:pPr>
              <w:pStyle w:val="64"/>
              <w:jc w:val="both"/>
            </w:pPr>
            <w:r>
              <w:rPr>
                <w:rFonts w:cs="Times New Roman"/>
                <w:szCs w:val="21"/>
              </w:rPr>
              <w:t>《蚌埠市化工园区项目准入条件》</w:t>
            </w:r>
          </w:p>
        </w:tc>
        <w:tc>
          <w:tcPr>
            <w:tcW w:w="1877" w:type="pct"/>
            <w:tcBorders>
              <w:top w:val="single" w:color="auto" w:sz="4" w:space="0"/>
              <w:left w:val="single" w:color="auto" w:sz="4" w:space="0"/>
              <w:bottom w:val="single" w:color="auto" w:sz="4" w:space="0"/>
              <w:right w:val="single" w:color="auto" w:sz="4" w:space="0"/>
            </w:tcBorders>
            <w:vAlign w:val="center"/>
          </w:tcPr>
          <w:p w14:paraId="5C2D5109">
            <w:pPr>
              <w:spacing w:line="240" w:lineRule="auto"/>
              <w:rPr>
                <w:rFonts w:cs="Times New Roman"/>
                <w:sz w:val="21"/>
                <w:szCs w:val="21"/>
              </w:rPr>
            </w:pPr>
            <w:r>
              <w:rPr>
                <w:rFonts w:cs="Times New Roman"/>
                <w:sz w:val="21"/>
                <w:szCs w:val="21"/>
              </w:rPr>
              <w:t>(一</w:t>
            </w:r>
            <w:r>
              <w:rPr>
                <w:rFonts w:hint="eastAsia" w:cs="Times New Roman"/>
                <w:sz w:val="21"/>
                <w:szCs w:val="21"/>
              </w:rPr>
              <w:t>)</w:t>
            </w:r>
            <w:r>
              <w:rPr>
                <w:rFonts w:cs="Times New Roman"/>
                <w:sz w:val="21"/>
                <w:szCs w:val="21"/>
              </w:rPr>
              <w:t>项目须入驻淮上经济开发区(沫河口</w:t>
            </w:r>
            <w:r>
              <w:rPr>
                <w:rFonts w:hint="eastAsia" w:cs="Times New Roman"/>
                <w:sz w:val="21"/>
                <w:szCs w:val="21"/>
              </w:rPr>
              <w:t>)</w:t>
            </w:r>
            <w:r>
              <w:rPr>
                <w:rFonts w:cs="Times New Roman"/>
                <w:sz w:val="21"/>
                <w:szCs w:val="21"/>
              </w:rPr>
              <w:t>和固镇经济开发区化工集中区等省政府认定的合规化工园区，并符合相关化工园区的产业规划定位。</w:t>
            </w:r>
          </w:p>
          <w:p w14:paraId="518AAF18">
            <w:pPr>
              <w:spacing w:line="240" w:lineRule="auto"/>
              <w:rPr>
                <w:rFonts w:cs="Times New Roman"/>
                <w:sz w:val="21"/>
                <w:szCs w:val="21"/>
              </w:rPr>
            </w:pPr>
            <w:r>
              <w:rPr>
                <w:rFonts w:cs="Times New Roman"/>
                <w:sz w:val="21"/>
                <w:szCs w:val="21"/>
              </w:rPr>
              <w:t>(</w:t>
            </w:r>
            <w:r>
              <w:rPr>
                <w:rFonts w:hint="eastAsia" w:cs="Times New Roman"/>
                <w:sz w:val="21"/>
                <w:szCs w:val="21"/>
              </w:rPr>
              <w:t>二)</w:t>
            </w:r>
            <w:r>
              <w:rPr>
                <w:rFonts w:cs="Times New Roman"/>
                <w:sz w:val="21"/>
                <w:szCs w:val="21"/>
              </w:rPr>
              <w:t>投资规模</w:t>
            </w:r>
          </w:p>
          <w:p w14:paraId="506C09FA">
            <w:pPr>
              <w:spacing w:line="240" w:lineRule="auto"/>
              <w:rPr>
                <w:rFonts w:cs="Times New Roman"/>
                <w:sz w:val="21"/>
                <w:szCs w:val="21"/>
              </w:rPr>
            </w:pPr>
            <w:r>
              <w:rPr>
                <w:rFonts w:cs="Times New Roman"/>
                <w:sz w:val="21"/>
                <w:szCs w:val="21"/>
              </w:rPr>
              <w:t>淮上经济开发区(沫河口</w:t>
            </w:r>
            <w:r>
              <w:rPr>
                <w:rFonts w:hint="eastAsia" w:cs="Times New Roman"/>
                <w:sz w:val="21"/>
                <w:szCs w:val="21"/>
              </w:rPr>
              <w:t>)</w:t>
            </w:r>
            <w:r>
              <w:rPr>
                <w:rFonts w:cs="Times New Roman"/>
                <w:sz w:val="21"/>
                <w:szCs w:val="21"/>
              </w:rPr>
              <w:t>项目固定资产投资原则上不低于1亿元，亩均固投原则上不低于350万元，亩均税收不低于35万元。</w:t>
            </w:r>
          </w:p>
          <w:p w14:paraId="5BC7A8FD">
            <w:pPr>
              <w:spacing w:line="240" w:lineRule="auto"/>
              <w:rPr>
                <w:rFonts w:cs="Times New Roman"/>
                <w:sz w:val="21"/>
                <w:szCs w:val="21"/>
              </w:rPr>
            </w:pPr>
            <w:r>
              <w:rPr>
                <w:rFonts w:cs="Times New Roman"/>
                <w:sz w:val="21"/>
                <w:szCs w:val="21"/>
              </w:rPr>
              <w:t>固镇经济开发区化工集中区项目固定资产投资原则上不低于1亿元，亩均固投原则上不低于250万元，亩均税收不低于25万元。</w:t>
            </w:r>
          </w:p>
          <w:p w14:paraId="15AAE4B4">
            <w:pPr>
              <w:spacing w:line="240" w:lineRule="auto"/>
              <w:rPr>
                <w:rFonts w:cs="Times New Roman"/>
                <w:sz w:val="21"/>
                <w:szCs w:val="21"/>
              </w:rPr>
            </w:pPr>
            <w:r>
              <w:rPr>
                <w:rFonts w:cs="Times New Roman"/>
                <w:sz w:val="21"/>
                <w:szCs w:val="21"/>
              </w:rPr>
              <w:t>已入园企业在现有厂区内开展的提升工艺、安全、环保、节能的技改项目和产能提升项目不受投资规模的限制。</w:t>
            </w:r>
          </w:p>
          <w:p w14:paraId="58148B5B">
            <w:pPr>
              <w:spacing w:line="240" w:lineRule="auto"/>
              <w:rPr>
                <w:rFonts w:cs="Times New Roman"/>
                <w:sz w:val="21"/>
                <w:szCs w:val="21"/>
              </w:rPr>
            </w:pPr>
            <w:r>
              <w:rPr>
                <w:rFonts w:cs="Times New Roman"/>
                <w:sz w:val="21"/>
                <w:szCs w:val="21"/>
              </w:rPr>
              <w:t>(三</w:t>
            </w:r>
            <w:r>
              <w:rPr>
                <w:rFonts w:hint="eastAsia" w:cs="Times New Roman"/>
                <w:sz w:val="21"/>
                <w:szCs w:val="21"/>
              </w:rPr>
              <w:t>)</w:t>
            </w:r>
            <w:r>
              <w:rPr>
                <w:rFonts w:cs="Times New Roman"/>
                <w:sz w:val="21"/>
                <w:szCs w:val="21"/>
              </w:rPr>
              <w:t>安全准入</w:t>
            </w:r>
          </w:p>
          <w:p w14:paraId="27330437">
            <w:pPr>
              <w:spacing w:line="240" w:lineRule="auto"/>
              <w:rPr>
                <w:rFonts w:cs="Times New Roman"/>
                <w:sz w:val="21"/>
                <w:szCs w:val="21"/>
              </w:rPr>
            </w:pPr>
            <w:r>
              <w:rPr>
                <w:rFonts w:cs="Times New Roman"/>
                <w:sz w:val="21"/>
                <w:szCs w:val="21"/>
              </w:rPr>
              <w:t>1、涉及“两重点一重大”(重点监管的危险化工工艺、重点监管的危险化学品和危险化学品重大危险源</w:t>
            </w:r>
            <w:r>
              <w:rPr>
                <w:rFonts w:hint="eastAsia" w:cs="Times New Roman"/>
                <w:sz w:val="21"/>
                <w:szCs w:val="21"/>
              </w:rPr>
              <w:t>)</w:t>
            </w:r>
            <w:r>
              <w:rPr>
                <w:rFonts w:cs="Times New Roman"/>
                <w:sz w:val="21"/>
                <w:szCs w:val="21"/>
              </w:rPr>
              <w:t>的危险化学品建设项目按国家有关规定，明确由省政府投资主管部门核准的，由省政府投资主管部门牵头，在委托评估的基础上，根据需要征求同级经济和信息化、应急管理等相关部门意见后，依法依规核准；应属地备案的，属地备案部门应依法依规征求同级相关部门意见。</w:t>
            </w:r>
          </w:p>
          <w:p w14:paraId="6B3589DE">
            <w:pPr>
              <w:spacing w:line="240" w:lineRule="auto"/>
              <w:rPr>
                <w:rFonts w:cs="Times New Roman"/>
                <w:sz w:val="21"/>
                <w:szCs w:val="21"/>
              </w:rPr>
            </w:pPr>
            <w:r>
              <w:rPr>
                <w:rFonts w:cs="Times New Roman"/>
                <w:sz w:val="21"/>
                <w:szCs w:val="21"/>
              </w:rPr>
              <w:t>2、项目化工工艺属国内首次使用的，须经省级人民政府有关部门组织安全可靠性论证后实施。</w:t>
            </w:r>
          </w:p>
          <w:p w14:paraId="7FF70C52">
            <w:pPr>
              <w:spacing w:line="240" w:lineRule="auto"/>
              <w:rPr>
                <w:rFonts w:cs="Times New Roman"/>
                <w:sz w:val="21"/>
                <w:szCs w:val="21"/>
              </w:rPr>
            </w:pPr>
            <w:r>
              <w:rPr>
                <w:rFonts w:cs="Times New Roman"/>
                <w:sz w:val="21"/>
                <w:szCs w:val="21"/>
              </w:rPr>
              <w:t>3、对列入原国家安全监管总局《关于加强精细化工反应安全风险评估工作的指导意见》(安监总管三</w:t>
            </w:r>
            <w:r>
              <w:rPr>
                <w:rFonts w:hint="eastAsia" w:cs="Times New Roman"/>
                <w:sz w:val="21"/>
                <w:szCs w:val="21"/>
              </w:rPr>
              <w:t>[</w:t>
            </w:r>
            <w:r>
              <w:rPr>
                <w:rFonts w:cs="Times New Roman"/>
                <w:sz w:val="21"/>
                <w:szCs w:val="21"/>
              </w:rPr>
              <w:t>2017</w:t>
            </w:r>
            <w:r>
              <w:rPr>
                <w:rFonts w:hint="eastAsia" w:cs="Times New Roman"/>
                <w:sz w:val="21"/>
                <w:szCs w:val="21"/>
              </w:rPr>
              <w:t>]</w:t>
            </w:r>
            <w:r>
              <w:rPr>
                <w:rFonts w:cs="Times New Roman"/>
                <w:sz w:val="21"/>
                <w:szCs w:val="21"/>
              </w:rPr>
              <w:t>1号</w:t>
            </w:r>
            <w:r>
              <w:rPr>
                <w:rFonts w:hint="eastAsia" w:cs="Times New Roman"/>
                <w:sz w:val="21"/>
                <w:szCs w:val="21"/>
              </w:rPr>
              <w:t>)</w:t>
            </w:r>
            <w:r>
              <w:rPr>
                <w:rFonts w:cs="Times New Roman"/>
                <w:sz w:val="21"/>
                <w:szCs w:val="21"/>
              </w:rPr>
              <w:t>文件中精细化工反应安全风险评估范围的精细化工生产装置，应按规定开展精细化工反应安全风险评估，项目反应工艺危险度(名词解释见附件一</w:t>
            </w:r>
            <w:r>
              <w:rPr>
                <w:rFonts w:hint="eastAsia" w:cs="Times New Roman"/>
                <w:sz w:val="21"/>
                <w:szCs w:val="21"/>
              </w:rPr>
              <w:t>)</w:t>
            </w:r>
            <w:r>
              <w:rPr>
                <w:rFonts w:cs="Times New Roman"/>
                <w:sz w:val="21"/>
                <w:szCs w:val="21"/>
              </w:rPr>
              <w:t>等级≤3。</w:t>
            </w:r>
          </w:p>
          <w:p w14:paraId="43A09D99">
            <w:pPr>
              <w:spacing w:line="240" w:lineRule="auto"/>
              <w:rPr>
                <w:rFonts w:cs="Times New Roman"/>
                <w:sz w:val="21"/>
                <w:szCs w:val="21"/>
              </w:rPr>
            </w:pPr>
            <w:r>
              <w:rPr>
                <w:rFonts w:cs="Times New Roman"/>
                <w:sz w:val="21"/>
                <w:szCs w:val="21"/>
              </w:rPr>
              <w:t>(四</w:t>
            </w:r>
            <w:r>
              <w:rPr>
                <w:rFonts w:hint="eastAsia" w:cs="Times New Roman"/>
                <w:sz w:val="21"/>
                <w:szCs w:val="21"/>
              </w:rPr>
              <w:t>)</w:t>
            </w:r>
            <w:r>
              <w:rPr>
                <w:rFonts w:cs="Times New Roman"/>
                <w:sz w:val="21"/>
                <w:szCs w:val="21"/>
              </w:rPr>
              <w:t>环保准入</w:t>
            </w:r>
          </w:p>
          <w:p w14:paraId="03CAE182">
            <w:pPr>
              <w:spacing w:line="240" w:lineRule="auto"/>
              <w:rPr>
                <w:rFonts w:cs="Times New Roman"/>
                <w:sz w:val="21"/>
                <w:szCs w:val="21"/>
              </w:rPr>
            </w:pPr>
            <w:r>
              <w:rPr>
                <w:rFonts w:cs="Times New Roman"/>
                <w:sz w:val="21"/>
                <w:szCs w:val="21"/>
              </w:rPr>
              <w:t>1、项目应与“三线一单”(生态保护红线、环境质量底线、资源利用上线和生态环境准入清单</w:t>
            </w:r>
            <w:r>
              <w:rPr>
                <w:rFonts w:hint="eastAsia" w:cs="Times New Roman"/>
                <w:sz w:val="21"/>
                <w:szCs w:val="21"/>
              </w:rPr>
              <w:t>)</w:t>
            </w:r>
            <w:r>
              <w:rPr>
                <w:rFonts w:cs="Times New Roman"/>
                <w:sz w:val="21"/>
                <w:szCs w:val="21"/>
              </w:rPr>
              <w:t>相协调，并符合园区规划及规划环评要求。</w:t>
            </w:r>
          </w:p>
          <w:p w14:paraId="1939F36C">
            <w:pPr>
              <w:pStyle w:val="64"/>
              <w:jc w:val="both"/>
            </w:pPr>
            <w:r>
              <w:rPr>
                <w:rFonts w:cs="Times New Roman"/>
                <w:szCs w:val="21"/>
              </w:rPr>
              <w:t>2、新建大中型化工项目须按照《安徽省淮河流域水污染防治条例》和《安徽省环保厅关于进一步明确淮河巢湖流域重污染行业项目省级环保预审范围及内容的通知》(皖环发〔2013</w:t>
            </w:r>
            <w:r>
              <w:rPr>
                <w:rFonts w:hint="eastAsia" w:cs="Times New Roman"/>
                <w:szCs w:val="21"/>
              </w:rPr>
              <w:t>)</w:t>
            </w:r>
            <w:r>
              <w:rPr>
                <w:rFonts w:cs="Times New Roman"/>
                <w:szCs w:val="21"/>
              </w:rPr>
              <w:t>85号</w:t>
            </w:r>
            <w:r>
              <w:rPr>
                <w:rFonts w:hint="eastAsia" w:cs="Times New Roman"/>
                <w:szCs w:val="21"/>
              </w:rPr>
              <w:t>)</w:t>
            </w:r>
            <w:r>
              <w:rPr>
                <w:rFonts w:cs="Times New Roman"/>
                <w:szCs w:val="21"/>
              </w:rPr>
              <w:t>有关规定，依法报安徽省生态环境厅开展环评文件预审。</w:t>
            </w:r>
          </w:p>
        </w:tc>
        <w:tc>
          <w:tcPr>
            <w:tcW w:w="1834" w:type="pct"/>
            <w:tcBorders>
              <w:top w:val="single" w:color="auto" w:sz="4" w:space="0"/>
              <w:left w:val="single" w:color="auto" w:sz="4" w:space="0"/>
              <w:bottom w:val="single" w:color="auto" w:sz="4" w:space="0"/>
              <w:right w:val="single" w:color="auto" w:sz="4" w:space="0"/>
            </w:tcBorders>
            <w:vAlign w:val="center"/>
          </w:tcPr>
          <w:p w14:paraId="5F3C3CBE">
            <w:pPr>
              <w:spacing w:line="240" w:lineRule="auto"/>
              <w:rPr>
                <w:rFonts w:cs="Times New Roman"/>
                <w:sz w:val="21"/>
                <w:szCs w:val="21"/>
              </w:rPr>
            </w:pPr>
            <w:r>
              <w:rPr>
                <w:rFonts w:cs="Times New Roman"/>
                <w:sz w:val="21"/>
                <w:szCs w:val="21"/>
              </w:rPr>
              <w:t>(1)本项目位于淮上经济开发区，是省政府认定的合规化工园区，项目属于精细化工，性质符合园区的产业规划定位。</w:t>
            </w:r>
          </w:p>
          <w:p w14:paraId="24F31BF1">
            <w:pPr>
              <w:spacing w:line="240" w:lineRule="auto"/>
              <w:rPr>
                <w:rFonts w:cs="Times New Roman"/>
                <w:sz w:val="21"/>
                <w:szCs w:val="21"/>
              </w:rPr>
            </w:pPr>
            <w:r>
              <w:rPr>
                <w:rFonts w:cs="Times New Roman"/>
                <w:sz w:val="21"/>
                <w:szCs w:val="21"/>
              </w:rPr>
              <w:t>(2)项目投资140万元，为对现有项目进行技改，不受投资规模限制。</w:t>
            </w:r>
          </w:p>
          <w:p w14:paraId="1D83BB01">
            <w:pPr>
              <w:spacing w:line="240" w:lineRule="auto"/>
              <w:rPr>
                <w:rFonts w:cs="Times New Roman"/>
                <w:sz w:val="21"/>
                <w:szCs w:val="21"/>
              </w:rPr>
            </w:pPr>
            <w:r>
              <w:rPr>
                <w:rFonts w:cs="Times New Roman"/>
                <w:sz w:val="21"/>
                <w:szCs w:val="21"/>
              </w:rPr>
              <w:t>(3)项目生产工艺不属于国内首次使用，生产工艺在厂区内稳定运行。</w:t>
            </w:r>
          </w:p>
          <w:p w14:paraId="61A9CFA8">
            <w:pPr>
              <w:spacing w:line="240" w:lineRule="auto"/>
              <w:rPr>
                <w:rFonts w:cs="Times New Roman"/>
                <w:sz w:val="21"/>
                <w:szCs w:val="21"/>
              </w:rPr>
            </w:pPr>
            <w:r>
              <w:rPr>
                <w:rFonts w:cs="Times New Roman"/>
                <w:sz w:val="21"/>
                <w:szCs w:val="21"/>
              </w:rPr>
              <w:t>(4)根据分析，项目符合蚌埠市生态环境分区管控要求。</w:t>
            </w:r>
          </w:p>
          <w:p w14:paraId="4A904602">
            <w:pPr>
              <w:spacing w:line="240" w:lineRule="auto"/>
              <w:rPr>
                <w:rFonts w:cs="Times New Roman"/>
                <w:sz w:val="21"/>
                <w:szCs w:val="21"/>
              </w:rPr>
            </w:pPr>
            <w:r>
              <w:rPr>
                <w:rFonts w:cs="Times New Roman"/>
                <w:sz w:val="21"/>
                <w:szCs w:val="21"/>
              </w:rPr>
              <w:t>(5)本项目属于技改项目，不属于新建项目。</w:t>
            </w:r>
          </w:p>
          <w:p w14:paraId="1BDA9CBC">
            <w:pPr>
              <w:spacing w:line="240" w:lineRule="auto"/>
              <w:rPr>
                <w:rFonts w:cs="Times New Roman"/>
                <w:sz w:val="21"/>
                <w:szCs w:val="21"/>
              </w:rPr>
            </w:pPr>
            <w:r>
              <w:rPr>
                <w:rFonts w:cs="Times New Roman"/>
                <w:sz w:val="21"/>
                <w:szCs w:val="21"/>
              </w:rPr>
              <w:t>(6)本项目不属于“两高类”项目。</w:t>
            </w:r>
          </w:p>
          <w:p w14:paraId="2CBBA241">
            <w:pPr>
              <w:spacing w:line="240" w:lineRule="auto"/>
              <w:rPr>
                <w:rFonts w:cs="Times New Roman"/>
                <w:sz w:val="21"/>
                <w:szCs w:val="21"/>
              </w:rPr>
            </w:pPr>
            <w:r>
              <w:rPr>
                <w:rFonts w:cs="Times New Roman"/>
                <w:sz w:val="21"/>
                <w:szCs w:val="21"/>
              </w:rPr>
              <w:t>(7)经对照，项目的建设符合蚌埠市生态环境分区管控要求，符合园区规划及规划环评要求。</w:t>
            </w:r>
          </w:p>
          <w:p w14:paraId="354C55CE">
            <w:pPr>
              <w:pStyle w:val="64"/>
              <w:jc w:val="both"/>
            </w:pPr>
            <w:r>
              <w:rPr>
                <w:rFonts w:cs="Times New Roman"/>
                <w:szCs w:val="21"/>
              </w:rPr>
              <w:t>(8)对照安徽省环保厅关于进一步明确淮河巢湖流域重污染行业项目省级环保预审范围及内容的通知，本项目符合不增加主要水污染物排放量的扩建、改建项目，可不经过省厅预审</w:t>
            </w:r>
          </w:p>
        </w:tc>
        <w:tc>
          <w:tcPr>
            <w:tcW w:w="431" w:type="pct"/>
            <w:tcBorders>
              <w:top w:val="single" w:color="auto" w:sz="4" w:space="0"/>
              <w:left w:val="single" w:color="auto" w:sz="4" w:space="0"/>
              <w:bottom w:val="single" w:color="auto" w:sz="4" w:space="0"/>
              <w:right w:val="single" w:color="auto" w:sz="4" w:space="0"/>
            </w:tcBorders>
            <w:vAlign w:val="center"/>
          </w:tcPr>
          <w:p w14:paraId="4C849089">
            <w:pPr>
              <w:pStyle w:val="64"/>
            </w:pPr>
            <w:r>
              <w:rPr>
                <w:rFonts w:hint="eastAsia"/>
              </w:rPr>
              <w:t>符合</w:t>
            </w:r>
          </w:p>
        </w:tc>
      </w:tr>
      <w:tr w14:paraId="7ED4EDE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270" w:type="pct"/>
            <w:tcBorders>
              <w:top w:val="single" w:color="auto" w:sz="4" w:space="0"/>
              <w:left w:val="single" w:color="auto" w:sz="4" w:space="0"/>
              <w:bottom w:val="single" w:color="auto" w:sz="4" w:space="0"/>
              <w:right w:val="single" w:color="auto" w:sz="4" w:space="0"/>
            </w:tcBorders>
            <w:vAlign w:val="center"/>
          </w:tcPr>
          <w:p w14:paraId="4AEA780B">
            <w:pPr>
              <w:pStyle w:val="64"/>
            </w:pPr>
            <w:r>
              <w:rPr>
                <w:rFonts w:hint="eastAsia"/>
              </w:rPr>
              <w:t>8</w:t>
            </w:r>
          </w:p>
        </w:tc>
        <w:tc>
          <w:tcPr>
            <w:tcW w:w="588" w:type="pct"/>
            <w:tcBorders>
              <w:top w:val="single" w:color="auto" w:sz="4" w:space="0"/>
              <w:left w:val="single" w:color="auto" w:sz="4" w:space="0"/>
              <w:bottom w:val="single" w:color="auto" w:sz="4" w:space="0"/>
              <w:right w:val="single" w:color="auto" w:sz="4" w:space="0"/>
            </w:tcBorders>
            <w:vAlign w:val="center"/>
          </w:tcPr>
          <w:p w14:paraId="200C2B3E">
            <w:pPr>
              <w:pStyle w:val="64"/>
            </w:pPr>
            <w:r>
              <w:rPr>
                <w:rFonts w:hint="eastAsia"/>
              </w:rPr>
              <w:t>《</w:t>
            </w:r>
            <w:r>
              <w:t>蚌埠市空气质量提升攻坚行动方案</w:t>
            </w:r>
            <w:r>
              <w:rPr>
                <w:rFonts w:hint="eastAsia"/>
              </w:rPr>
              <w:t>》</w:t>
            </w:r>
          </w:p>
        </w:tc>
        <w:tc>
          <w:tcPr>
            <w:tcW w:w="1877" w:type="pct"/>
            <w:tcBorders>
              <w:top w:val="single" w:color="auto" w:sz="4" w:space="0"/>
              <w:left w:val="single" w:color="auto" w:sz="4" w:space="0"/>
              <w:bottom w:val="single" w:color="auto" w:sz="4" w:space="0"/>
              <w:right w:val="single" w:color="auto" w:sz="4" w:space="0"/>
            </w:tcBorders>
            <w:vAlign w:val="center"/>
          </w:tcPr>
          <w:p w14:paraId="0DE3BCEC">
            <w:pPr>
              <w:pStyle w:val="64"/>
              <w:jc w:val="both"/>
            </w:pPr>
            <w:r>
              <w:t>1.开展产业绿色发展提升行动。坚决遏制“两高”项目盲目发展。全面推进水泥、建材、化工等重点行业及燃煤锅炉超低排放改造。大力整治“散乱污”企业。</w:t>
            </w:r>
          </w:p>
          <w:p w14:paraId="74D36393">
            <w:pPr>
              <w:pStyle w:val="64"/>
              <w:jc w:val="both"/>
            </w:pPr>
            <w:r>
              <w:t>2.开展减污协同增效提升行动。坚持“源头替代、综合治理、总量削减”原则，大力推动家具制造、板材加工、化工等涉挥发性有机物工业源重点行业全过程治理。</w:t>
            </w:r>
          </w:p>
        </w:tc>
        <w:tc>
          <w:tcPr>
            <w:tcW w:w="1834" w:type="pct"/>
            <w:tcBorders>
              <w:top w:val="single" w:color="auto" w:sz="4" w:space="0"/>
              <w:left w:val="single" w:color="auto" w:sz="4" w:space="0"/>
              <w:bottom w:val="single" w:color="auto" w:sz="4" w:space="0"/>
              <w:right w:val="single" w:color="auto" w:sz="4" w:space="0"/>
            </w:tcBorders>
            <w:vAlign w:val="center"/>
          </w:tcPr>
          <w:p w14:paraId="6CA0074B">
            <w:pPr>
              <w:pStyle w:val="64"/>
              <w:jc w:val="both"/>
            </w:pPr>
            <w:r>
              <w:rPr>
                <w:rFonts w:hint="eastAsia"/>
              </w:rPr>
              <w:t>项目不属于“两高”项目，生产过程不涉及燃煤锅炉，海华科技集团不属于“散乱污”企业。</w:t>
            </w:r>
          </w:p>
          <w:p w14:paraId="5244C30E">
            <w:pPr>
              <w:pStyle w:val="64"/>
              <w:jc w:val="both"/>
            </w:pPr>
            <w:r>
              <w:rPr>
                <w:rFonts w:hint="eastAsia"/>
              </w:rPr>
              <w:t>本项目生产过程中的有机废气通过管道收集后，引入公司配套的2</w:t>
            </w:r>
            <w:r>
              <w:t>#</w:t>
            </w:r>
            <w:r>
              <w:rPr>
                <w:rFonts w:hint="eastAsia"/>
              </w:rPr>
              <w:t>RTO装置集中处理，有效控制挥发性有机物的排放。</w:t>
            </w:r>
          </w:p>
        </w:tc>
        <w:tc>
          <w:tcPr>
            <w:tcW w:w="431" w:type="pct"/>
            <w:tcBorders>
              <w:top w:val="single" w:color="auto" w:sz="4" w:space="0"/>
              <w:left w:val="single" w:color="auto" w:sz="4" w:space="0"/>
              <w:bottom w:val="single" w:color="auto" w:sz="4" w:space="0"/>
              <w:right w:val="single" w:color="auto" w:sz="4" w:space="0"/>
            </w:tcBorders>
            <w:vAlign w:val="center"/>
          </w:tcPr>
          <w:p w14:paraId="32FBBED6">
            <w:pPr>
              <w:pStyle w:val="64"/>
            </w:pPr>
            <w:r>
              <w:rPr>
                <w:rFonts w:hint="eastAsia"/>
              </w:rPr>
              <w:t>符合</w:t>
            </w:r>
          </w:p>
        </w:tc>
      </w:tr>
    </w:tbl>
    <w:p w14:paraId="49B7D923">
      <w:pPr>
        <w:rPr>
          <w:rFonts w:cs="Times New Roman"/>
          <w:spacing w:val="-3"/>
        </w:rPr>
      </w:pPr>
    </w:p>
    <w:p w14:paraId="2D11F74C">
      <w:pPr>
        <w:rPr>
          <w:rFonts w:cs="Times New Roman"/>
          <w:spacing w:val="-3"/>
        </w:rPr>
        <w:sectPr>
          <w:pgSz w:w="16838" w:h="11906" w:orient="landscape"/>
          <w:pgMar w:top="1418" w:right="1418" w:bottom="1418" w:left="1418" w:header="851" w:footer="992" w:gutter="0"/>
          <w:cols w:space="425" w:num="1"/>
          <w:docGrid w:type="lines" w:linePitch="326" w:charSpace="0"/>
        </w:sectPr>
      </w:pPr>
    </w:p>
    <w:p w14:paraId="2548E173">
      <w:pPr>
        <w:pStyle w:val="3"/>
        <w:spacing w:before="240"/>
        <w:rPr>
          <w:rFonts w:hint="eastAsia"/>
        </w:rPr>
      </w:pPr>
      <w:bookmarkStart w:id="50" w:name="_Toc221056337"/>
      <w:r>
        <w:rPr>
          <w:rFonts w:hint="eastAsia"/>
        </w:rPr>
        <w:t>2.8评价工作程序</w:t>
      </w:r>
      <w:bookmarkEnd w:id="50"/>
    </w:p>
    <w:p w14:paraId="77FDAD26">
      <w:pPr>
        <w:ind w:firstLine="468" w:firstLineChars="200"/>
        <w:rPr>
          <w:rFonts w:cs="Times New Roman"/>
          <w:spacing w:val="-3"/>
        </w:rPr>
      </w:pPr>
      <w:r>
        <w:rPr>
          <w:rFonts w:hint="eastAsia" w:cs="Times New Roman"/>
          <w:spacing w:val="-3"/>
        </w:rPr>
        <w:t>根据《建设项目环境影响评价技术导则 总纲》(HJ2.1-2016)的要求，本项目评价工作程序如下图：</w:t>
      </w:r>
    </w:p>
    <w:p w14:paraId="59E889BB">
      <w:pPr>
        <w:spacing w:line="240" w:lineRule="auto"/>
        <w:jc w:val="center"/>
        <w:rPr>
          <w:rFonts w:cs="Times New Roman"/>
          <w:spacing w:val="-3"/>
        </w:rPr>
      </w:pPr>
      <w:r>
        <w:object>
          <v:shape id="_x0000_i1025" o:spt="75" type="#_x0000_t75" style="height:576pt;width:432.5pt;" o:ole="t" filled="f" o:preferrelative="t" stroked="f" coordsize="21600,21600">
            <v:path/>
            <v:fill on="f" focussize="0,0"/>
            <v:stroke on="f" joinstyle="miter"/>
            <v:imagedata r:id="rId18" o:title=""/>
            <o:lock v:ext="edit" aspectratio="t"/>
            <w10:wrap type="none"/>
            <w10:anchorlock/>
          </v:shape>
          <o:OLEObject Type="Embed" ProgID="Visio.Drawing.11" ShapeID="_x0000_i1025" DrawAspect="Content" ObjectID="_1468075725" r:id="rId17">
            <o:LockedField>false</o:LockedField>
          </o:OLEObject>
        </w:object>
      </w:r>
    </w:p>
    <w:p w14:paraId="48F8BFBF">
      <w:pPr>
        <w:pStyle w:val="28"/>
        <w:rPr>
          <w:rFonts w:hint="eastAsia"/>
        </w:rPr>
      </w:pPr>
      <w:r>
        <w:rPr>
          <w:rFonts w:hint="eastAsia"/>
        </w:rPr>
        <w:t>图2.8-1  项目环境影响评价工作程序图</w:t>
      </w:r>
    </w:p>
    <w:p w14:paraId="09E0E30C">
      <w:pPr>
        <w:pStyle w:val="2"/>
        <w:spacing w:before="120" w:after="120"/>
        <w:rPr>
          <w:rFonts w:hint="eastAsia"/>
        </w:rPr>
      </w:pPr>
      <w:bookmarkStart w:id="51" w:name="_Toc221056338"/>
      <w:r>
        <w:rPr>
          <w:rFonts w:hint="eastAsia"/>
        </w:rPr>
        <w:t>3现有工程概况</w:t>
      </w:r>
      <w:bookmarkEnd w:id="51"/>
    </w:p>
    <w:p w14:paraId="1A7E935C">
      <w:pPr>
        <w:rPr>
          <w:rFonts w:ascii="黑体" w:hAnsi="黑体" w:eastAsia="黑体"/>
        </w:rPr>
      </w:pPr>
    </w:p>
    <w:p w14:paraId="22EA9C2B">
      <w:pPr>
        <w:rPr>
          <w:rFonts w:hint="eastAsia" w:ascii="黑体" w:hAnsi="黑体" w:eastAsia="黑体"/>
        </w:rPr>
        <w:sectPr>
          <w:pgSz w:w="11906" w:h="16838"/>
          <w:pgMar w:top="1418" w:right="1418" w:bottom="1418" w:left="1418" w:header="851" w:footer="992" w:gutter="0"/>
          <w:cols w:space="425" w:num="1"/>
          <w:docGrid w:linePitch="312" w:charSpace="0"/>
        </w:sectPr>
      </w:pPr>
    </w:p>
    <w:p w14:paraId="4EA5FD9B">
      <w:pPr>
        <w:pStyle w:val="2"/>
        <w:spacing w:before="163" w:after="163"/>
        <w:rPr>
          <w:rFonts w:hint="eastAsia"/>
        </w:rPr>
      </w:pPr>
      <w:bookmarkStart w:id="52" w:name="_Toc221056367"/>
      <w:r>
        <w:rPr>
          <w:rFonts w:hint="eastAsia"/>
        </w:rPr>
        <w:t>4拟建项目工程分析</w:t>
      </w:r>
      <w:bookmarkEnd w:id="52"/>
    </w:p>
    <w:p w14:paraId="07450381">
      <w:pPr>
        <w:rPr>
          <w:rFonts w:cs="Times New Roman"/>
          <w:spacing w:val="-3"/>
        </w:rPr>
      </w:pPr>
    </w:p>
    <w:p w14:paraId="574FD881">
      <w:pPr>
        <w:rPr>
          <w:rFonts w:hint="eastAsia" w:cs="Times New Roman"/>
          <w:spacing w:val="-3"/>
        </w:rPr>
        <w:sectPr>
          <w:pgSz w:w="11906" w:h="16838"/>
          <w:pgMar w:top="1418" w:right="1418" w:bottom="1418" w:left="1418" w:header="851" w:footer="992" w:gutter="0"/>
          <w:cols w:space="425" w:num="1"/>
          <w:docGrid w:type="lines" w:linePitch="326" w:charSpace="0"/>
        </w:sectPr>
      </w:pPr>
    </w:p>
    <w:p w14:paraId="2D31BDB5">
      <w:pPr>
        <w:pStyle w:val="2"/>
        <w:spacing w:before="163" w:after="163"/>
        <w:rPr>
          <w:rFonts w:hint="eastAsia"/>
        </w:rPr>
      </w:pPr>
      <w:bookmarkStart w:id="53" w:name="_Toc221056392"/>
      <w:r>
        <w:rPr>
          <w:rFonts w:hint="eastAsia"/>
        </w:rPr>
        <w:t>5环境现状调查与评价</w:t>
      </w:r>
      <w:bookmarkEnd w:id="53"/>
    </w:p>
    <w:p w14:paraId="6847915B">
      <w:pPr>
        <w:pStyle w:val="3"/>
        <w:spacing w:before="326"/>
        <w:rPr>
          <w:rFonts w:hint="eastAsia"/>
        </w:rPr>
      </w:pPr>
      <w:bookmarkStart w:id="54" w:name="_Toc221056393"/>
      <w:r>
        <w:rPr>
          <w:rFonts w:hint="eastAsia"/>
        </w:rPr>
        <w:t>5.1自然环境现状调查</w:t>
      </w:r>
      <w:bookmarkEnd w:id="54"/>
    </w:p>
    <w:p w14:paraId="1CA050A3">
      <w:pPr>
        <w:pStyle w:val="4"/>
        <w:rPr>
          <w:rFonts w:hint="eastAsia"/>
        </w:rPr>
      </w:pPr>
      <w:bookmarkStart w:id="55" w:name="_Toc221056394"/>
      <w:r>
        <w:rPr>
          <w:rFonts w:hint="eastAsia"/>
        </w:rPr>
        <w:t>5</w:t>
      </w:r>
      <w:r>
        <w:t>.</w:t>
      </w:r>
      <w:r>
        <w:rPr>
          <w:rFonts w:hint="eastAsia"/>
        </w:rPr>
        <w:t>1</w:t>
      </w:r>
      <w:r>
        <w:t>.</w:t>
      </w:r>
      <w:r>
        <w:rPr>
          <w:rFonts w:hint="eastAsia"/>
        </w:rPr>
        <w:t>1地理位置</w:t>
      </w:r>
      <w:bookmarkEnd w:id="55"/>
    </w:p>
    <w:p w14:paraId="4D424B5D">
      <w:pPr>
        <w:ind w:firstLine="480" w:firstLineChars="200"/>
      </w:pPr>
      <w:r>
        <w:rPr>
          <w:rFonts w:hint="eastAsia"/>
        </w:rPr>
        <w:t>技改项目位于</w:t>
      </w:r>
      <w:r>
        <w:t>安徽省蚌埠市淮上区沫河口工业园区</w:t>
      </w:r>
      <w:r>
        <w:rPr>
          <w:rFonts w:hint="eastAsia"/>
        </w:rPr>
        <w:t>安徽海华科技集团有限公司现有东厂区内。</w:t>
      </w:r>
      <w:r>
        <w:t>沫河口工业园区</w:t>
      </w:r>
      <w:r>
        <w:rPr>
          <w:rFonts w:hint="eastAsia"/>
        </w:rPr>
        <w:t>位于蚌埠市淮上区东部，紧靠淮河北岸，南洛高速、蚌五泗高速、蚌五公路(306省道)穿园而过，距主城区仅15公里，交通十分便利，完全共享蚌埠在铁路、公路、水运、科技、人才、城市功能等方面的优势。</w:t>
      </w:r>
    </w:p>
    <w:p w14:paraId="035219F0">
      <w:pPr>
        <w:ind w:firstLine="480" w:firstLineChars="200"/>
        <w:rPr>
          <w:rFonts w:cs="Times New Roman"/>
        </w:rPr>
      </w:pPr>
      <w:r>
        <w:rPr>
          <w:rFonts w:hint="eastAsia"/>
        </w:rPr>
        <w:t>淮上区位于蚌埠市区北</w:t>
      </w:r>
      <w:r>
        <w:rPr>
          <w:rFonts w:cs="Times New Roman"/>
        </w:rPr>
        <w:t>部、淮河以北，成立于2004年3月，东与固镇县的王庄镇接壤,北与固镇县的新马桥镇毗邻，西与怀远县魏庄镇和五岔镇相连，南以淮河为界，与龙子湖区、蚌山区、禹会区隔河相望。2013年6月份，蚌埠市实施新一轮区划调整，淮上区托管了沫河口镇，人口7万人，面积167平方公里。</w:t>
      </w:r>
    </w:p>
    <w:p w14:paraId="7FB9B5EB">
      <w:pPr>
        <w:ind w:firstLine="480" w:firstLineChars="200"/>
      </w:pPr>
      <w:r>
        <w:rPr>
          <w:rFonts w:cs="Times New Roman"/>
        </w:rPr>
        <w:t>沫河口镇位于五河县西南部，地处北纬32°08′，东经117°32′，紧邻蚌埠市，是安徽省63个重点建制镇之一。镇域总面积166.5平方公里，东与五河县大新镇相邻、西接蚌埠市与固镇县接壤、南临淮河、北接五河县浍南镇。镇驻地距五河县城43公里，距蚌埠市区17公里。306省道横穿全镇20公里，</w:t>
      </w:r>
      <w:r>
        <w:t>蚌宁高速公路穿镇而过；淮河码头年吞吐量为20万吨，轮渡载客每天500人次。境内阡陌纵横，公路四通八达。</w:t>
      </w:r>
    </w:p>
    <w:p w14:paraId="1284FF3F">
      <w:pPr>
        <w:pStyle w:val="4"/>
        <w:rPr>
          <w:rFonts w:hint="eastAsia"/>
        </w:rPr>
      </w:pPr>
      <w:bookmarkStart w:id="56" w:name="_Toc221056395"/>
      <w:r>
        <w:rPr>
          <w:rFonts w:hint="eastAsia"/>
        </w:rPr>
        <w:t>5</w:t>
      </w:r>
      <w:r>
        <w:t>.</w:t>
      </w:r>
      <w:r>
        <w:rPr>
          <w:rFonts w:hint="eastAsia"/>
        </w:rPr>
        <w:t>1</w:t>
      </w:r>
      <w:r>
        <w:t>.</w:t>
      </w:r>
      <w:r>
        <w:rPr>
          <w:rFonts w:hint="eastAsia"/>
        </w:rPr>
        <w:t>2地形地质</w:t>
      </w:r>
      <w:bookmarkEnd w:id="56"/>
    </w:p>
    <w:p w14:paraId="1340DCA5">
      <w:pPr>
        <w:ind w:firstLine="480" w:firstLineChars="200"/>
      </w:pPr>
      <w:r>
        <w:rPr>
          <w:rFonts w:hint="eastAsia"/>
        </w:rPr>
        <w:t>(1)地质</w:t>
      </w:r>
    </w:p>
    <w:p w14:paraId="3A5D67BB">
      <w:pPr>
        <w:ind w:firstLine="480" w:firstLineChars="200"/>
      </w:pPr>
      <w:r>
        <w:rPr>
          <w:rFonts w:hint="eastAsia"/>
        </w:rPr>
        <w:t>评价区内岩体隐伏在第四系覆盖层之下，建造类型为变质岩建造，岩性为上太古界五河群(Ar2wh)，岩性由变粒岩、片麻岩、变流纹岩等组成，岩石单轴搞压强度为74~250MPa，属坚硬中一厚层状片麻岩、大理岩岩组。</w:t>
      </w:r>
    </w:p>
    <w:p w14:paraId="2C6136D8">
      <w:pPr>
        <w:ind w:firstLine="480" w:firstLineChars="200"/>
      </w:pPr>
      <w:r>
        <w:rPr>
          <w:rFonts w:hint="eastAsia"/>
        </w:rPr>
        <w:t>根据收集到评价区内及周边钻探资料，评价区自上而下可分为七层:1粘土(Q3m):褐黄、黄褐色，硬塑状态，湿，光滑，无摇振反应，含氧化铁、铁锰结核，具铁锰质浸染，杂青灰色团块，干强度高，韧性高。层厚一般为3.0~5.80m，其静力触探比贯入阻力Ps值为2.9~3.6MPa。fak=240~280kPa,Es=11.0~14.0MPa。2粉土夹砂(Q3m):层厚7.0~12.6m。褐灰、灰黄，稍密状态，局部夹薄层粉细砂，很湿，无光泽反应，震动析水，摇振反应迅速，干强度低，韧性低。其标贯试验实测击数N一般值为13~17击/30cm。其静力触探比贯入阻力PS值为3.0~5.0MPa。fak=160~190kPa，Es=7.5~9.0MPa。</w:t>
      </w:r>
    </w:p>
    <w:p w14:paraId="2881C201">
      <w:pPr>
        <w:ind w:firstLine="480" w:firstLineChars="200"/>
      </w:pPr>
      <w:r>
        <w:rPr>
          <w:rFonts w:hint="eastAsia"/>
        </w:rPr>
        <w:t>(2)地形</w:t>
      </w:r>
    </w:p>
    <w:p w14:paraId="14FC696C">
      <w:pPr>
        <w:ind w:firstLine="480" w:firstLineChars="200"/>
      </w:pPr>
      <w:r>
        <w:rPr>
          <w:rFonts w:hint="eastAsia"/>
        </w:rPr>
        <w:t>评价区地处淮河北岸，地形平坦，地势呈北高南低之趋势，向淮河倾斜，自然坡降约万分之一，区域地面高程14.3~27.4m，评价区内地面高程17.0~18.7m。最高点位于东北侧，标高为18.7m，最低点位于南侧，标高为17.0m。</w:t>
      </w:r>
    </w:p>
    <w:p w14:paraId="32650B88">
      <w:pPr>
        <w:ind w:firstLine="480" w:firstLineChars="200"/>
      </w:pPr>
      <w:r>
        <w:rPr>
          <w:rFonts w:hint="eastAsia"/>
        </w:rPr>
        <w:t>(3)地貌</w:t>
      </w:r>
    </w:p>
    <w:p w14:paraId="69783C31">
      <w:pPr>
        <w:ind w:firstLine="480" w:firstLineChars="200"/>
      </w:pPr>
      <w:r>
        <w:rPr>
          <w:rFonts w:hint="eastAsia"/>
        </w:rPr>
        <w:t>评价区域位于淮北平原区淮北中南部河谷和河间平原区，区域地貌类型为河漫滩、河间坡平地、岗坡地和低丘四种类型。</w:t>
      </w:r>
    </w:p>
    <w:p w14:paraId="44AA1132">
      <w:pPr>
        <w:pStyle w:val="28"/>
        <w:rPr>
          <w:rFonts w:hint="eastAsia"/>
        </w:rPr>
      </w:pPr>
      <w:r>
        <w:rPr>
          <w:rFonts w:hint="eastAsia"/>
        </w:rPr>
        <w:t>表5.1-1  区域地貌分类简表</w:t>
      </w:r>
    </w:p>
    <w:tbl>
      <w:tblPr>
        <w:tblStyle w:val="3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36"/>
        <w:gridCol w:w="721"/>
        <w:gridCol w:w="1018"/>
        <w:gridCol w:w="7111"/>
      </w:tblGrid>
      <w:tr w14:paraId="16A114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1171" w:type="pct"/>
            <w:gridSpan w:val="3"/>
            <w:vAlign w:val="center"/>
          </w:tcPr>
          <w:p w14:paraId="4B628C7F">
            <w:pPr>
              <w:pStyle w:val="64"/>
              <w:wordWrap w:val="0"/>
            </w:pPr>
            <w:r>
              <w:rPr>
                <w:rFonts w:hint="eastAsia"/>
              </w:rPr>
              <w:t>形态类型</w:t>
            </w:r>
          </w:p>
        </w:tc>
        <w:tc>
          <w:tcPr>
            <w:tcW w:w="3829" w:type="pct"/>
            <w:vAlign w:val="center"/>
          </w:tcPr>
          <w:p w14:paraId="1EB4BC1B">
            <w:pPr>
              <w:pStyle w:val="64"/>
              <w:wordWrap w:val="0"/>
            </w:pPr>
            <w:r>
              <w:rPr>
                <w:rFonts w:hint="eastAsia"/>
              </w:rPr>
              <w:t>特征</w:t>
            </w:r>
          </w:p>
        </w:tc>
      </w:tr>
      <w:tr w14:paraId="6BAFF1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9" w:hRule="atLeast"/>
        </w:trPr>
        <w:tc>
          <w:tcPr>
            <w:tcW w:w="235" w:type="pct"/>
            <w:vMerge w:val="restart"/>
            <w:vAlign w:val="center"/>
          </w:tcPr>
          <w:p w14:paraId="3CA4F0E6">
            <w:pPr>
              <w:pStyle w:val="64"/>
            </w:pPr>
            <w:r>
              <w:rPr>
                <w:rFonts w:hint="eastAsia"/>
              </w:rPr>
              <w:t>平原</w:t>
            </w:r>
          </w:p>
        </w:tc>
        <w:tc>
          <w:tcPr>
            <w:tcW w:w="388" w:type="pct"/>
            <w:vMerge w:val="restart"/>
            <w:vAlign w:val="center"/>
          </w:tcPr>
          <w:p w14:paraId="1EBA6C6B">
            <w:pPr>
              <w:pStyle w:val="64"/>
              <w:wordWrap w:val="0"/>
            </w:pPr>
            <w:r>
              <w:rPr>
                <w:rFonts w:hint="eastAsia"/>
              </w:rPr>
              <w:t>平原</w:t>
            </w:r>
          </w:p>
        </w:tc>
        <w:tc>
          <w:tcPr>
            <w:tcW w:w="548" w:type="pct"/>
            <w:vAlign w:val="center"/>
          </w:tcPr>
          <w:p w14:paraId="70DDF592">
            <w:pPr>
              <w:pStyle w:val="64"/>
              <w:wordWrap w:val="0"/>
            </w:pPr>
            <w:r>
              <w:rPr>
                <w:rFonts w:hint="eastAsia"/>
              </w:rPr>
              <w:t>河漫滩</w:t>
            </w:r>
          </w:p>
        </w:tc>
        <w:tc>
          <w:tcPr>
            <w:tcW w:w="3829" w:type="pct"/>
            <w:vAlign w:val="center"/>
          </w:tcPr>
          <w:p w14:paraId="0E22E4CB">
            <w:pPr>
              <w:pStyle w:val="64"/>
              <w:wordWrap w:val="0"/>
              <w:jc w:val="both"/>
              <w:rPr>
                <w:rFonts w:cs="Times New Roman"/>
              </w:rPr>
            </w:pPr>
            <w:r>
              <w:rPr>
                <w:rFonts w:cs="Times New Roman"/>
              </w:rPr>
              <w:t>主要分布在淮河及其支流两侧平行展布，宽2</w:t>
            </w:r>
            <w:r>
              <w:rPr>
                <w:rFonts w:hint="eastAsia" w:cs="Times New Roman"/>
              </w:rPr>
              <w:t>~</w:t>
            </w:r>
            <w:r>
              <w:rPr>
                <w:rFonts w:cs="Times New Roman"/>
              </w:rPr>
              <w:t>10km</w:t>
            </w:r>
            <w:r>
              <w:rPr>
                <w:rFonts w:hint="eastAsia" w:cs="Times New Roman"/>
              </w:rPr>
              <w:t>，</w:t>
            </w:r>
            <w:r>
              <w:rPr>
                <w:rFonts w:cs="Times New Roman"/>
              </w:rPr>
              <w:t>地形低洼，一般低于周围地形0.5</w:t>
            </w:r>
            <w:r>
              <w:rPr>
                <w:rFonts w:hint="eastAsia" w:cs="Times New Roman"/>
              </w:rPr>
              <w:t>~</w:t>
            </w:r>
            <w:r>
              <w:rPr>
                <w:rFonts w:cs="Times New Roman"/>
              </w:rPr>
              <w:t>1m左右，微向河面倾斜，组成物为河流近代沉积物、岩性为全新统粉土、粉质粘土、粘土。标高一般10</w:t>
            </w:r>
            <w:r>
              <w:rPr>
                <w:rFonts w:hint="eastAsia" w:cs="Times New Roman"/>
              </w:rPr>
              <w:t>~</w:t>
            </w:r>
            <w:r>
              <w:rPr>
                <w:rFonts w:cs="Times New Roman"/>
              </w:rPr>
              <w:t>18m左右。</w:t>
            </w:r>
          </w:p>
        </w:tc>
      </w:tr>
      <w:tr w14:paraId="786B48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9" w:hRule="atLeast"/>
        </w:trPr>
        <w:tc>
          <w:tcPr>
            <w:tcW w:w="235" w:type="pct"/>
            <w:vMerge w:val="continue"/>
            <w:vAlign w:val="center"/>
          </w:tcPr>
          <w:p w14:paraId="57DEE5B5">
            <w:pPr>
              <w:pStyle w:val="64"/>
              <w:wordWrap w:val="0"/>
            </w:pPr>
          </w:p>
        </w:tc>
        <w:tc>
          <w:tcPr>
            <w:tcW w:w="388" w:type="pct"/>
            <w:vMerge w:val="continue"/>
            <w:vAlign w:val="center"/>
          </w:tcPr>
          <w:p w14:paraId="1D1F2799">
            <w:pPr>
              <w:pStyle w:val="64"/>
              <w:wordWrap w:val="0"/>
            </w:pPr>
          </w:p>
        </w:tc>
        <w:tc>
          <w:tcPr>
            <w:tcW w:w="548" w:type="pct"/>
            <w:vAlign w:val="center"/>
          </w:tcPr>
          <w:p w14:paraId="4F3EE010">
            <w:pPr>
              <w:pStyle w:val="64"/>
              <w:wordWrap w:val="0"/>
            </w:pPr>
            <w:r>
              <w:rPr>
                <w:rFonts w:hint="eastAsia"/>
              </w:rPr>
              <w:t>河间坡平地</w:t>
            </w:r>
          </w:p>
        </w:tc>
        <w:tc>
          <w:tcPr>
            <w:tcW w:w="3829" w:type="pct"/>
            <w:vAlign w:val="center"/>
          </w:tcPr>
          <w:p w14:paraId="3A26AA97">
            <w:pPr>
              <w:pStyle w:val="64"/>
              <w:wordWrap w:val="0"/>
              <w:jc w:val="both"/>
              <w:rPr>
                <w:rFonts w:cs="Times New Roman"/>
              </w:rPr>
            </w:pPr>
            <w:r>
              <w:rPr>
                <w:rFonts w:cs="Times New Roman"/>
              </w:rPr>
              <w:t>分布于距淮河以北2</w:t>
            </w:r>
            <w:r>
              <w:rPr>
                <w:rFonts w:hint="eastAsia" w:cs="Times New Roman"/>
              </w:rPr>
              <w:t>~</w:t>
            </w:r>
            <w:r>
              <w:rPr>
                <w:rFonts w:cs="Times New Roman"/>
              </w:rPr>
              <w:t>5km以外的广大地区，地形开阔，局部发育微高地、微洼地，地面标高16.5</w:t>
            </w:r>
            <w:r>
              <w:rPr>
                <w:rFonts w:hint="eastAsia" w:cs="Times New Roman"/>
              </w:rPr>
              <w:t>~</w:t>
            </w:r>
            <w:r>
              <w:rPr>
                <w:rFonts w:cs="Times New Roman"/>
              </w:rPr>
              <w:t>25m。地表岩性为上更新统粘土、粉质粘土。</w:t>
            </w:r>
          </w:p>
        </w:tc>
      </w:tr>
      <w:tr w14:paraId="763AF6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2" w:hRule="atLeast"/>
        </w:trPr>
        <w:tc>
          <w:tcPr>
            <w:tcW w:w="235" w:type="pct"/>
            <w:vMerge w:val="continue"/>
            <w:vAlign w:val="center"/>
          </w:tcPr>
          <w:p w14:paraId="46C79608">
            <w:pPr>
              <w:pStyle w:val="64"/>
              <w:wordWrap w:val="0"/>
            </w:pPr>
          </w:p>
        </w:tc>
        <w:tc>
          <w:tcPr>
            <w:tcW w:w="388" w:type="pct"/>
            <w:vAlign w:val="center"/>
          </w:tcPr>
          <w:p w14:paraId="71D38F8A">
            <w:pPr>
              <w:pStyle w:val="64"/>
              <w:wordWrap w:val="0"/>
            </w:pPr>
            <w:r>
              <w:rPr>
                <w:rFonts w:hint="eastAsia"/>
              </w:rPr>
              <w:t>波状平原</w:t>
            </w:r>
          </w:p>
        </w:tc>
        <w:tc>
          <w:tcPr>
            <w:tcW w:w="548" w:type="pct"/>
            <w:vAlign w:val="center"/>
          </w:tcPr>
          <w:p w14:paraId="5C368AC8">
            <w:pPr>
              <w:pStyle w:val="64"/>
              <w:wordWrap w:val="0"/>
            </w:pPr>
            <w:r>
              <w:rPr>
                <w:rFonts w:hint="eastAsia"/>
              </w:rPr>
              <w:t>岗坡地</w:t>
            </w:r>
          </w:p>
        </w:tc>
        <w:tc>
          <w:tcPr>
            <w:tcW w:w="3829" w:type="pct"/>
            <w:vAlign w:val="center"/>
          </w:tcPr>
          <w:p w14:paraId="3376F8FE">
            <w:pPr>
              <w:pStyle w:val="64"/>
              <w:wordWrap w:val="0"/>
              <w:jc w:val="both"/>
              <w:rPr>
                <w:rFonts w:cs="Times New Roman"/>
              </w:rPr>
            </w:pPr>
            <w:r>
              <w:rPr>
                <w:rFonts w:cs="Times New Roman"/>
              </w:rPr>
              <w:t>主要分布在淮河以南河间地区。标高20</w:t>
            </w:r>
            <w:r>
              <w:rPr>
                <w:rFonts w:hint="eastAsia" w:cs="Times New Roman"/>
              </w:rPr>
              <w:t>~</w:t>
            </w:r>
            <w:r>
              <w:rPr>
                <w:rFonts w:cs="Times New Roman"/>
              </w:rPr>
              <w:t>30m，高出沿湖洼地地形1</w:t>
            </w:r>
            <w:r>
              <w:rPr>
                <w:rFonts w:hint="eastAsia" w:cs="Times New Roman"/>
              </w:rPr>
              <w:t>~</w:t>
            </w:r>
            <w:r>
              <w:rPr>
                <w:rFonts w:cs="Times New Roman"/>
              </w:rPr>
              <w:t>8m，实为河流的一级阶地面，前缘与沿湖洼地以缓坡相连，组成物为第四系上更新统粘土、粉质粘土。</w:t>
            </w:r>
          </w:p>
        </w:tc>
      </w:tr>
      <w:tr w14:paraId="3199AA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4" w:hRule="atLeast"/>
        </w:trPr>
        <w:tc>
          <w:tcPr>
            <w:tcW w:w="235" w:type="pct"/>
            <w:vAlign w:val="center"/>
          </w:tcPr>
          <w:p w14:paraId="4EFE1907">
            <w:pPr>
              <w:pStyle w:val="64"/>
              <w:wordWrap w:val="0"/>
            </w:pPr>
            <w:r>
              <w:rPr>
                <w:rFonts w:hint="eastAsia"/>
              </w:rPr>
              <w:t>丘陵</w:t>
            </w:r>
          </w:p>
        </w:tc>
        <w:tc>
          <w:tcPr>
            <w:tcW w:w="936" w:type="pct"/>
            <w:gridSpan w:val="2"/>
            <w:vAlign w:val="center"/>
          </w:tcPr>
          <w:p w14:paraId="05130653">
            <w:pPr>
              <w:pStyle w:val="64"/>
              <w:wordWrap w:val="0"/>
            </w:pPr>
            <w:r>
              <w:rPr>
                <w:rFonts w:hint="eastAsia"/>
              </w:rPr>
              <w:t>低丘</w:t>
            </w:r>
          </w:p>
        </w:tc>
        <w:tc>
          <w:tcPr>
            <w:tcW w:w="3829" w:type="pct"/>
            <w:vAlign w:val="center"/>
          </w:tcPr>
          <w:p w14:paraId="45E65D64">
            <w:pPr>
              <w:pStyle w:val="64"/>
              <w:wordWrap w:val="0"/>
              <w:jc w:val="both"/>
              <w:rPr>
                <w:rFonts w:cs="Times New Roman"/>
              </w:rPr>
            </w:pPr>
            <w:r>
              <w:rPr>
                <w:rFonts w:cs="Times New Roman"/>
              </w:rPr>
              <w:t>主要分布在淮河南侧临淮关东部一带，其岩石裸露，地形坡度5</w:t>
            </w:r>
            <w:r>
              <w:rPr>
                <w:rFonts w:hint="eastAsia" w:cs="Times New Roman"/>
              </w:rPr>
              <w:t>~</w:t>
            </w:r>
            <w:r>
              <w:rPr>
                <w:rFonts w:cs="Times New Roman"/>
              </w:rPr>
              <w:t>20°，海拔高度低，分布面积小，植被较发育，以不连续的孤、残丘出现。4km²范围内相对高差在30</w:t>
            </w:r>
            <w:r>
              <w:rPr>
                <w:rFonts w:hint="eastAsia" w:cs="Times New Roman"/>
              </w:rPr>
              <w:t>~</w:t>
            </w:r>
            <w:r>
              <w:rPr>
                <w:rFonts w:cs="Times New Roman"/>
              </w:rPr>
              <w:t>50m。</w:t>
            </w:r>
          </w:p>
        </w:tc>
      </w:tr>
    </w:tbl>
    <w:p w14:paraId="6F3C721E">
      <w:pPr>
        <w:spacing w:line="500" w:lineRule="exact"/>
      </w:pPr>
    </w:p>
    <w:p w14:paraId="7CF2CB93">
      <w:pPr>
        <w:pStyle w:val="4"/>
        <w:rPr>
          <w:rFonts w:hint="eastAsia"/>
        </w:rPr>
      </w:pPr>
      <w:bookmarkStart w:id="57" w:name="_Toc221056396"/>
      <w:r>
        <w:rPr>
          <w:rFonts w:hint="eastAsia"/>
        </w:rPr>
        <w:t>5</w:t>
      </w:r>
      <w:r>
        <w:t>.</w:t>
      </w:r>
      <w:r>
        <w:rPr>
          <w:rFonts w:hint="eastAsia"/>
        </w:rPr>
        <w:t>1</w:t>
      </w:r>
      <w:r>
        <w:t>.</w:t>
      </w:r>
      <w:r>
        <w:rPr>
          <w:rFonts w:hint="eastAsia"/>
        </w:rPr>
        <w:t>3气候气象</w:t>
      </w:r>
      <w:bookmarkEnd w:id="57"/>
    </w:p>
    <w:p w14:paraId="0978CF26">
      <w:pPr>
        <w:spacing w:line="500" w:lineRule="exact"/>
        <w:ind w:firstLine="468" w:firstLineChars="200"/>
        <w:rPr>
          <w:rFonts w:cs="Times New Roman"/>
          <w:spacing w:val="-3"/>
        </w:rPr>
      </w:pPr>
      <w:r>
        <w:rPr>
          <w:rFonts w:hint="eastAsia" w:cs="Times New Roman"/>
          <w:spacing w:val="-3"/>
        </w:rPr>
        <w:t>淮上区气候属暖温带半湿润季风气候区，由于地处亚热带和暖温带的过渡带，所以兼具南方和北方的气候特点。全区季风显著，无霜期较长，但因处在中纬度，冷暖风团活动交锋频繁，且变化大，加上降雨集中，常有旱、涝灾害发生，对农业生产有一定影响。年平均气温摄氏15度，最低气温摄氏零下19.4度(1969年2月5日)，最高气温摄氏41.3度(1959年8月21日)。年平均无霜期为216.8天。太阳辐射总量为119.1卡/平方厘米，夏热多雨，秋旱少雨，冬寒晴燥，气温自北向南递增，常年干燥度为1.05。暴雨天气系统主要受涡切变和台风影响，大多出现6至9月份，期间约占全年的60%至80%，隆雨量年际变化大，年平均隆雨量为837.8毫米，最大年降雨量1565毫米(1956年)，最小年降雨量为376毫米(1922年)。汛期暴雨集中，成灾暴雨多发生在7至8月份。降雨年际、年内分配不均，是造成本区洼地洪涝灾害频繁的主要原因。</w:t>
      </w:r>
    </w:p>
    <w:p w14:paraId="7AAFAB4F">
      <w:pPr>
        <w:spacing w:line="500" w:lineRule="exact"/>
        <w:ind w:firstLine="468" w:firstLineChars="200"/>
        <w:rPr>
          <w:rFonts w:cs="Times New Roman"/>
          <w:spacing w:val="-3"/>
        </w:rPr>
      </w:pPr>
      <w:r>
        <w:rPr>
          <w:rFonts w:hint="eastAsia" w:cs="Times New Roman"/>
          <w:spacing w:val="-3"/>
        </w:rPr>
        <w:t>气温：历年平均气温16.1</w:t>
      </w:r>
      <w:r>
        <w:rPr>
          <w:rFonts w:cs="Times New Roman"/>
          <w:spacing w:val="-3"/>
        </w:rPr>
        <w:t>℃</w:t>
      </w:r>
      <w:r>
        <w:rPr>
          <w:rFonts w:hint="eastAsia" w:cs="Times New Roman"/>
          <w:spacing w:val="-3"/>
        </w:rPr>
        <w:t>，极端最高气温39.9</w:t>
      </w:r>
      <w:r>
        <w:rPr>
          <w:rFonts w:cs="Times New Roman"/>
          <w:spacing w:val="-3"/>
        </w:rPr>
        <w:t>℃</w:t>
      </w:r>
      <w:r>
        <w:rPr>
          <w:rFonts w:hint="eastAsia" w:cs="Times New Roman"/>
          <w:spacing w:val="-3"/>
        </w:rPr>
        <w:t>，极端最低气温-11.1</w:t>
      </w:r>
      <w:r>
        <w:rPr>
          <w:rFonts w:cs="Times New Roman"/>
          <w:spacing w:val="-3"/>
        </w:rPr>
        <w:t>℃</w:t>
      </w:r>
      <w:r>
        <w:rPr>
          <w:rFonts w:hint="eastAsia" w:cs="Times New Roman"/>
          <w:spacing w:val="-3"/>
        </w:rPr>
        <w:t>，最冷月平均气温1</w:t>
      </w:r>
      <w:r>
        <w:rPr>
          <w:rFonts w:cs="Times New Roman"/>
          <w:spacing w:val="-3"/>
        </w:rPr>
        <w:t>℃</w:t>
      </w:r>
      <w:r>
        <w:rPr>
          <w:rFonts w:hint="eastAsia" w:cs="Times New Roman"/>
          <w:spacing w:val="-3"/>
        </w:rPr>
        <w:t>，最热月平均气温28</w:t>
      </w:r>
      <w:r>
        <w:rPr>
          <w:rFonts w:cs="Times New Roman"/>
          <w:spacing w:val="-3"/>
        </w:rPr>
        <w:t>℃</w:t>
      </w:r>
      <w:r>
        <w:rPr>
          <w:rFonts w:hint="eastAsia" w:cs="Times New Roman"/>
          <w:spacing w:val="-3"/>
        </w:rPr>
        <w:t>。</w:t>
      </w:r>
    </w:p>
    <w:p w14:paraId="404BF2FB">
      <w:pPr>
        <w:spacing w:line="500" w:lineRule="exact"/>
        <w:ind w:firstLine="468" w:firstLineChars="200"/>
        <w:rPr>
          <w:rFonts w:cs="Times New Roman"/>
          <w:spacing w:val="-3"/>
        </w:rPr>
      </w:pPr>
      <w:r>
        <w:rPr>
          <w:rFonts w:hint="eastAsia" w:cs="Times New Roman"/>
          <w:spacing w:val="-3"/>
        </w:rPr>
        <w:t>降水：历年平均降雨量905.4mm，月最大降雨量216.9mm，平均降雨天数为105天。雨量较为集中，冬季降雨量较少，大部分雨量集中在夏秋两季。</w:t>
      </w:r>
    </w:p>
    <w:p w14:paraId="3CB555A2">
      <w:pPr>
        <w:spacing w:line="500" w:lineRule="exact"/>
        <w:ind w:firstLine="468" w:firstLineChars="200"/>
        <w:rPr>
          <w:rFonts w:cs="Times New Roman"/>
          <w:spacing w:val="-3"/>
        </w:rPr>
      </w:pPr>
      <w:r>
        <w:rPr>
          <w:rFonts w:hint="eastAsia" w:cs="Times New Roman"/>
          <w:spacing w:val="-3"/>
        </w:rPr>
        <w:t>风向风速：全年主导风向位NE，频率为12%。历年平均风速2.8m/s，最大风速19.5m/s。</w:t>
      </w:r>
    </w:p>
    <w:p w14:paraId="13A30883">
      <w:pPr>
        <w:pStyle w:val="4"/>
        <w:rPr>
          <w:rFonts w:hint="eastAsia"/>
        </w:rPr>
      </w:pPr>
      <w:bookmarkStart w:id="58" w:name="_Toc221056397"/>
      <w:r>
        <w:rPr>
          <w:rFonts w:hint="eastAsia"/>
        </w:rPr>
        <w:t>5.1.4区域水文水系</w:t>
      </w:r>
      <w:bookmarkEnd w:id="58"/>
    </w:p>
    <w:p w14:paraId="708A4934">
      <w:pPr>
        <w:spacing w:line="500" w:lineRule="exact"/>
        <w:ind w:firstLine="480" w:firstLineChars="200"/>
      </w:pPr>
      <w:r>
        <w:rPr>
          <w:rFonts w:hint="eastAsia"/>
        </w:rPr>
        <w:t>区域周边地表水以淮河、北淝河和怀洪新河为主，周边其它小型河沟有三铺大沟、沫冲引河等。小型水道河道短，支流量小，干旱年份常出现断流</w:t>
      </w:r>
      <w:r>
        <w:t>。</w:t>
      </w:r>
    </w:p>
    <w:p w14:paraId="042731E7">
      <w:pPr>
        <w:spacing w:line="500" w:lineRule="exact"/>
        <w:ind w:firstLine="480" w:firstLineChars="200"/>
      </w:pPr>
      <w:r>
        <w:t>(1)淮河</w:t>
      </w:r>
    </w:p>
    <w:p w14:paraId="6EB20E82">
      <w:pPr>
        <w:spacing w:line="500" w:lineRule="exact"/>
        <w:ind w:firstLine="480" w:firstLineChars="200"/>
      </w:pPr>
      <w:r>
        <w:t>淮河干流源于河南省桐柏山北麓，流经豫、皖至江苏扬州三江营入长江，全长1000公里，总落差196米，流域面积18.9万平方公里。豫皖两省交界的洪河口以上为上游，长360公里，流域面积3万平方公里，比降0.5‰；洪河口至洪泽湖出口处的三河闸为中游，长490公里，流域面积16万平方公里；洪泽湖以下为下游，面积3万平方公里，入江水道长150公里。淮河于蚌埠以下由邵家大路流入五河县，至东卡子以东流出五河县境，长度为83.2km，是横贯县境东西主要河流，五河段最高水位面积6.5万亩，正常河槽水位面积4.1万亩。</w:t>
      </w:r>
    </w:p>
    <w:p w14:paraId="3FE375C8">
      <w:pPr>
        <w:spacing w:line="500" w:lineRule="exact"/>
        <w:ind w:firstLine="480" w:firstLineChars="200"/>
      </w:pPr>
      <w:r>
        <w:t>淮河蚌埠段长度147公里，河道纵比降为2.9×10</w:t>
      </w:r>
      <w:r>
        <w:rPr>
          <w:vertAlign w:val="superscript"/>
        </w:rPr>
        <w:t>-5</w:t>
      </w:r>
      <w:r>
        <w:t>。市区河段上游建有蚌埠闸、船闸及分洪道，蚌埠闸蓄水位17.5米，死水位15.5米。据统计，蚌埠闸自1961年投入运行26年间，连续关闸在两个月以上的有5次，三个月以上的有4次，平均年关闸天数为135天。</w:t>
      </w:r>
    </w:p>
    <w:p w14:paraId="142A4A82">
      <w:pPr>
        <w:spacing w:line="500" w:lineRule="exact"/>
        <w:ind w:firstLine="480" w:firstLineChars="200"/>
      </w:pPr>
      <w:r>
        <w:t>淮河蚌埠段(吴家渡水文断面)多年平均流量约852m</w:t>
      </w:r>
      <w:r>
        <w:rPr>
          <w:vertAlign w:val="superscript"/>
        </w:rPr>
        <w:t>3</w:t>
      </w:r>
      <w:r>
        <w:t>/s，最大年平均流量2940m</w:t>
      </w:r>
      <w:r>
        <w:rPr>
          <w:vertAlign w:val="superscript"/>
        </w:rPr>
        <w:t>3</w:t>
      </w:r>
      <w:r>
        <w:t>/s，最小年平均流量85.2m</w:t>
      </w:r>
      <w:r>
        <w:rPr>
          <w:vertAlign w:val="superscript"/>
        </w:rPr>
        <w:t>3</w:t>
      </w:r>
      <w:r>
        <w:t>/s，最大洪峰流量11600m</w:t>
      </w:r>
      <w:r>
        <w:rPr>
          <w:vertAlign w:val="superscript"/>
        </w:rPr>
        <w:t>3</w:t>
      </w:r>
      <w:r>
        <w:t>/s，最小流量以关闸时渗漏量和船闸泄水量计为12.5m</w:t>
      </w:r>
      <w:r>
        <w:rPr>
          <w:vertAlign w:val="superscript"/>
        </w:rPr>
        <w:t>3</w:t>
      </w:r>
      <w:r>
        <w:t>/s，流速一般在0.07~0.7m/s，平均流速为0.45m/s左右，历年最高水位22.18m，最低水位10.35m，平均水位12.15m，正常水位下河宽约400m。</w:t>
      </w:r>
    </w:p>
    <w:p w14:paraId="35791054">
      <w:pPr>
        <w:spacing w:line="500" w:lineRule="exact"/>
        <w:ind w:firstLine="480" w:firstLineChars="200"/>
      </w:pPr>
      <w:r>
        <w:t>(2)北淝河</w:t>
      </w:r>
    </w:p>
    <w:p w14:paraId="00743BB7">
      <w:pPr>
        <w:spacing w:line="500" w:lineRule="exact"/>
        <w:ind w:firstLine="480" w:firstLineChars="200"/>
      </w:pPr>
      <w:r>
        <w:t>北淝河：源出河南商丘，流经蒙城，与瓦埠集进入县境，流域面积1047平方公里，河面宽而水浅。</w:t>
      </w:r>
    </w:p>
    <w:p w14:paraId="06237CC1">
      <w:pPr>
        <w:spacing w:line="500" w:lineRule="exact"/>
        <w:ind w:firstLine="480" w:firstLineChars="200"/>
      </w:pPr>
      <w:r>
        <w:t>(3)怀洪新河</w:t>
      </w:r>
    </w:p>
    <w:p w14:paraId="1A759E1B">
      <w:pPr>
        <w:spacing w:line="500" w:lineRule="exact"/>
        <w:ind w:firstLine="480" w:firstLineChars="200"/>
      </w:pPr>
      <w:r>
        <w:t>怀洪新河：人工河道。自涡河何巷在孙巷过北淝河，后入澥河，再经浍河，最后在江苏泗洪县入洪泽湖。怀远县境内长约25公里。其主要作用是分担淮河蚌埠段洪水流量</w:t>
      </w:r>
      <w:r>
        <w:rPr>
          <w:rFonts w:hint="eastAsia"/>
        </w:rPr>
        <w:t>。</w:t>
      </w:r>
    </w:p>
    <w:p w14:paraId="2D3F344E">
      <w:pPr>
        <w:spacing w:line="500" w:lineRule="exact"/>
        <w:ind w:firstLine="480" w:firstLineChars="200"/>
      </w:pPr>
      <w:r>
        <w:rPr>
          <w:rFonts w:hint="eastAsia"/>
        </w:rPr>
        <w:t>(4)地下水</w:t>
      </w:r>
    </w:p>
    <w:p w14:paraId="6CC65B46">
      <w:pPr>
        <w:spacing w:line="500" w:lineRule="exact"/>
        <w:ind w:firstLine="480" w:firstLineChars="200"/>
      </w:pPr>
      <w:r>
        <w:rPr>
          <w:rFonts w:hint="eastAsia"/>
        </w:rPr>
        <w:t>蚌埠市境内地下水基本属于渗蒸发型，静储存量约3.2亿立方米。年地下水调节储量为1500~2500万吨之间。南岸为贫水区，北岸为富水区。日最高开采量为7万吨。北岸地下水储量不大。南岸地下水主要作为民用生活及工厂辅助补给水。</w:t>
      </w:r>
    </w:p>
    <w:p w14:paraId="10A86EAA">
      <w:pPr>
        <w:pStyle w:val="4"/>
        <w:rPr>
          <w:rFonts w:hint="eastAsia"/>
        </w:rPr>
      </w:pPr>
      <w:bookmarkStart w:id="59" w:name="_Toc221056398"/>
      <w:r>
        <w:rPr>
          <w:rFonts w:hint="eastAsia"/>
        </w:rPr>
        <w:t>5.1.5自然资源</w:t>
      </w:r>
      <w:bookmarkEnd w:id="59"/>
    </w:p>
    <w:p w14:paraId="28AA2855">
      <w:pPr>
        <w:spacing w:line="500" w:lineRule="exact"/>
        <w:ind w:firstLine="480" w:firstLineChars="200"/>
      </w:pPr>
      <w:r>
        <w:rPr>
          <w:rFonts w:hint="eastAsia"/>
        </w:rPr>
        <w:t>蚌埠市土地总面积595072.23公顷，其中耕地378585.41公顷，占土地总面积的63.62%；林地18156.63公顷，占土地总面积的3.07%；园地用地1356.04公顷，占土地总面积的0.23%。牧地187.63公顷，占土地总面积的0.03%；城镇村及工矿用地面积为76170.14公顷，占土地总面积的12.80%；交通运输用地面积为18729.17公顷，占土地总面积的3.15%；水域及水利设施用地面积为3733.67公顷，占土地总面积的0.63%。</w:t>
      </w:r>
    </w:p>
    <w:p w14:paraId="22D9FDAD">
      <w:pPr>
        <w:spacing w:line="500" w:lineRule="exact"/>
        <w:ind w:firstLine="480" w:firstLineChars="200"/>
      </w:pPr>
      <w:r>
        <w:rPr>
          <w:rFonts w:hint="eastAsia"/>
        </w:rPr>
        <w:t>市区土地利用程度：土地垦殖率36.31%，土地利用率96.09%，耕地复种指数215%，森林覆盖率28.35%，农业用地率76.88%，建设用地率19.21%。</w:t>
      </w:r>
    </w:p>
    <w:p w14:paraId="1FE5A38D">
      <w:pPr>
        <w:spacing w:line="500" w:lineRule="exact"/>
        <w:ind w:firstLine="480" w:firstLineChars="200"/>
      </w:pPr>
      <w:r>
        <w:rPr>
          <w:rFonts w:hint="eastAsia"/>
        </w:rPr>
        <w:t>蚌埠市处于两个生物带交界处，由于地形和地貌不同，成土类型多样，成土母质主要为第四系近代堆积物，受黄泛影响土壤类型及分布较为复杂。根据土壤普查，市境内土壤大致分为澎、黄棕壤、砂浆黑土、水稻土等类型，总面积445平方公里。</w:t>
      </w:r>
    </w:p>
    <w:p w14:paraId="47C0198F">
      <w:pPr>
        <w:spacing w:line="500" w:lineRule="exact"/>
        <w:ind w:firstLine="480" w:firstLineChars="200"/>
      </w:pPr>
      <w:r>
        <w:rPr>
          <w:rFonts w:hint="eastAsia"/>
        </w:rPr>
        <w:t>淮上区地处暖温带落叶阔叶林带及热带落叶阔叶与常绿阔叶混交林带过渡的地带，主要植被属暖温带落叶阔叶林，也称为夏绿林。因历史的变迁，原始植被已消失殆尽，但典型的南北方树种在境内多有分布。植被除耕耘的农作物外，在张公山、燕山、曹山、老山、芦山、黄山、锥子山等山场有近20年内营造的人工林，属幼龄林区，也伴有少量的老龄人工林木。人工林单一，纯林多，混交林少，一般为黑松、马尾松与刺槐、麻栎的混交。在沿淮滩河堤岸边，营造有防护林带；村庄周围多林木茂密。道路两旁以杨树、梧桐、雪松、中槐为主；公路边已普遍绿化，除杨树外，还有柳树、泡桐、刺槐等树种。园艺场及林果专业村种有苹果、梨、葡萄和石榴等经济林木。</w:t>
      </w:r>
    </w:p>
    <w:p w14:paraId="2FA16BC6">
      <w:pPr>
        <w:pStyle w:val="3"/>
        <w:spacing w:before="326"/>
        <w:rPr>
          <w:rFonts w:hint="eastAsia"/>
        </w:rPr>
      </w:pPr>
      <w:bookmarkStart w:id="60" w:name="_Toc221056399"/>
      <w:r>
        <w:rPr>
          <w:rFonts w:hint="eastAsia"/>
        </w:rPr>
        <w:t>5.2区域环境质量现状监测与评价</w:t>
      </w:r>
      <w:bookmarkEnd w:id="60"/>
    </w:p>
    <w:p w14:paraId="5EB06930">
      <w:pPr>
        <w:pStyle w:val="4"/>
        <w:rPr>
          <w:rFonts w:hint="eastAsia"/>
        </w:rPr>
      </w:pPr>
      <w:bookmarkStart w:id="61" w:name="_Toc221056400"/>
      <w:r>
        <w:rPr>
          <w:rFonts w:hint="eastAsia"/>
        </w:rPr>
        <w:t>5.2.1大气环境质量现状</w:t>
      </w:r>
      <w:bookmarkEnd w:id="61"/>
    </w:p>
    <w:p w14:paraId="30C0439C">
      <w:pPr>
        <w:ind w:firstLine="480" w:firstLineChars="200"/>
      </w:pPr>
      <w:r>
        <w:rPr>
          <w:rFonts w:hint="eastAsia"/>
        </w:rPr>
        <w:t>1、空气质量达标区判定</w:t>
      </w:r>
    </w:p>
    <w:p w14:paraId="5AEE8419">
      <w:pPr>
        <w:ind w:firstLine="480" w:firstLineChars="200"/>
      </w:pPr>
      <w:r>
        <w:t>根据《环境影响评价技术导则大气环境》(HJ2.2-2018)要求，本项目所在区域环境空气达标情况评价指标为SO</w:t>
      </w:r>
      <w:r>
        <w:rPr>
          <w:vertAlign w:val="subscript"/>
        </w:rPr>
        <w:t>2</w:t>
      </w:r>
      <w:r>
        <w:t>、NO、PM</w:t>
      </w:r>
      <w:r>
        <w:rPr>
          <w:vertAlign w:val="subscript"/>
        </w:rPr>
        <w:t>10</w:t>
      </w:r>
      <w:r>
        <w:t>、PM</w:t>
      </w:r>
      <w:r>
        <w:rPr>
          <w:vertAlign w:val="subscript"/>
        </w:rPr>
        <w:t>2.5</w:t>
      </w:r>
      <w:r>
        <w:t>、CO和O</w:t>
      </w:r>
      <w:r>
        <w:rPr>
          <w:vertAlign w:val="subscript"/>
        </w:rPr>
        <w:t>3</w:t>
      </w:r>
      <w:r>
        <w:t>，六项基本污染物全部达标即为城市环境空气质量达标。基本污染物环境质量现状数据优先采用国家或地方生态环境主管部门发布的评价基准年环境质量公告或环境质量报告中的数据或结论。</w:t>
      </w:r>
    </w:p>
    <w:p w14:paraId="0B4E976A">
      <w:pPr>
        <w:ind w:firstLine="480" w:firstLineChars="200"/>
      </w:pPr>
      <w:r>
        <w:t>根据《202</w:t>
      </w:r>
      <w:r>
        <w:rPr>
          <w:rFonts w:hint="eastAsia"/>
        </w:rPr>
        <w:t>4</w:t>
      </w:r>
      <w:r>
        <w:t>年蚌埠市生态环境质量状况公报》，蚌埠市202</w:t>
      </w:r>
      <w:r>
        <w:rPr>
          <w:rFonts w:hint="eastAsia"/>
        </w:rPr>
        <w:t>4</w:t>
      </w:r>
      <w:r>
        <w:t>年PM</w:t>
      </w:r>
      <w:r>
        <w:rPr>
          <w:vertAlign w:val="subscript"/>
        </w:rPr>
        <w:t>10</w:t>
      </w:r>
      <w:r>
        <w:t>、NO</w:t>
      </w:r>
      <w:r>
        <w:rPr>
          <w:vertAlign w:val="subscript"/>
        </w:rPr>
        <w:t>2</w:t>
      </w:r>
      <w:r>
        <w:t>、SO</w:t>
      </w:r>
      <w:r>
        <w:rPr>
          <w:vertAlign w:val="subscript"/>
        </w:rPr>
        <w:t>2</w:t>
      </w:r>
      <w:r>
        <w:t>年平均浓度值、CO日均值第95百分位数浓度值均满足《环境空气质量标准》(GB3095-2012)中二级标准，PM</w:t>
      </w:r>
      <w:r>
        <w:rPr>
          <w:vertAlign w:val="subscript"/>
        </w:rPr>
        <w:t>2.5</w:t>
      </w:r>
      <w:r>
        <w:t>年平均浓度值</w:t>
      </w:r>
      <w:r>
        <w:rPr>
          <w:rFonts w:hint="eastAsia"/>
        </w:rPr>
        <w:t>、</w:t>
      </w:r>
      <w:r>
        <w:t>O</w:t>
      </w:r>
      <w:r>
        <w:rPr>
          <w:vertAlign w:val="subscript"/>
        </w:rPr>
        <w:t>3</w:t>
      </w:r>
      <w:r>
        <w:t>最大8小时平均值第90百分位数浓度值不达标。因此，判定蚌埠市环境空气质量为不达标区。</w:t>
      </w:r>
    </w:p>
    <w:p w14:paraId="6113794D">
      <w:pPr>
        <w:ind w:firstLine="480" w:firstLineChars="200"/>
      </w:pPr>
      <w:r>
        <w:t>项目区域环境空气基本污染物质量现状见表</w:t>
      </w:r>
      <w:r>
        <w:rPr>
          <w:rFonts w:hint="eastAsia"/>
        </w:rPr>
        <w:t>5</w:t>
      </w:r>
      <w:r>
        <w:t>.2-1。</w:t>
      </w:r>
    </w:p>
    <w:p w14:paraId="432156DD">
      <w:pPr>
        <w:jc w:val="center"/>
        <w:rPr>
          <w:rFonts w:hint="eastAsia" w:ascii="黑体" w:hAnsi="黑体" w:eastAsia="黑体" w:cs="Times New Roman"/>
        </w:rPr>
      </w:pPr>
      <w:r>
        <w:rPr>
          <w:rFonts w:ascii="黑体" w:hAnsi="黑体" w:eastAsia="黑体" w:cs="Times New Roman"/>
        </w:rPr>
        <w:t>表</w:t>
      </w:r>
      <w:r>
        <w:rPr>
          <w:rFonts w:hint="eastAsia" w:ascii="黑体" w:hAnsi="黑体" w:eastAsia="黑体" w:cs="Times New Roman"/>
        </w:rPr>
        <w:t>5</w:t>
      </w:r>
      <w:r>
        <w:rPr>
          <w:rFonts w:ascii="黑体" w:hAnsi="黑体" w:eastAsia="黑体" w:cs="Times New Roman"/>
        </w:rPr>
        <w:t>.2-1  区域空气质量现状评价表</w:t>
      </w:r>
    </w:p>
    <w:tbl>
      <w:tblPr>
        <w:tblStyle w:val="3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81"/>
        <w:gridCol w:w="2100"/>
        <w:gridCol w:w="1749"/>
        <w:gridCol w:w="1751"/>
        <w:gridCol w:w="1224"/>
        <w:gridCol w:w="1381"/>
      </w:tblGrid>
      <w:tr w14:paraId="451DED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82" w:type="pct"/>
            <w:tcBorders>
              <w:top w:val="single" w:color="auto" w:sz="4" w:space="0"/>
              <w:left w:val="single" w:color="auto" w:sz="4" w:space="0"/>
              <w:bottom w:val="single" w:color="auto" w:sz="4" w:space="0"/>
              <w:right w:val="single" w:color="auto" w:sz="4" w:space="0"/>
            </w:tcBorders>
            <w:vAlign w:val="center"/>
          </w:tcPr>
          <w:p w14:paraId="710E3898">
            <w:pPr>
              <w:spacing w:line="240" w:lineRule="auto"/>
              <w:jc w:val="center"/>
              <w:rPr>
                <w:sz w:val="21"/>
                <w:szCs w:val="21"/>
              </w:rPr>
            </w:pPr>
            <w:r>
              <w:rPr>
                <w:sz w:val="21"/>
                <w:szCs w:val="21"/>
              </w:rPr>
              <w:t>污染物</w:t>
            </w:r>
          </w:p>
        </w:tc>
        <w:tc>
          <w:tcPr>
            <w:tcW w:w="1131" w:type="pct"/>
            <w:tcBorders>
              <w:top w:val="single" w:color="auto" w:sz="4" w:space="0"/>
              <w:left w:val="nil"/>
              <w:bottom w:val="single" w:color="auto" w:sz="4" w:space="0"/>
              <w:right w:val="single" w:color="auto" w:sz="4" w:space="0"/>
            </w:tcBorders>
            <w:vAlign w:val="center"/>
          </w:tcPr>
          <w:p w14:paraId="499E1707">
            <w:pPr>
              <w:spacing w:line="240" w:lineRule="auto"/>
              <w:jc w:val="center"/>
              <w:rPr>
                <w:sz w:val="21"/>
                <w:szCs w:val="21"/>
              </w:rPr>
            </w:pPr>
            <w:r>
              <w:rPr>
                <w:sz w:val="21"/>
                <w:szCs w:val="21"/>
              </w:rPr>
              <w:t>年评价指标</w:t>
            </w:r>
          </w:p>
        </w:tc>
        <w:tc>
          <w:tcPr>
            <w:tcW w:w="942" w:type="pct"/>
            <w:tcBorders>
              <w:top w:val="single" w:color="auto" w:sz="4" w:space="0"/>
              <w:left w:val="nil"/>
              <w:bottom w:val="single" w:color="auto" w:sz="4" w:space="0"/>
              <w:right w:val="single" w:color="auto" w:sz="4" w:space="0"/>
            </w:tcBorders>
            <w:vAlign w:val="center"/>
          </w:tcPr>
          <w:p w14:paraId="50E65277">
            <w:pPr>
              <w:spacing w:line="240" w:lineRule="auto"/>
              <w:jc w:val="center"/>
              <w:rPr>
                <w:sz w:val="21"/>
                <w:szCs w:val="21"/>
              </w:rPr>
            </w:pPr>
            <w:r>
              <w:rPr>
                <w:sz w:val="21"/>
                <w:szCs w:val="21"/>
              </w:rPr>
              <w:t>现状浓度(μg/m</w:t>
            </w:r>
            <w:r>
              <w:rPr>
                <w:sz w:val="21"/>
                <w:szCs w:val="21"/>
                <w:vertAlign w:val="superscript"/>
              </w:rPr>
              <w:t>3</w:t>
            </w:r>
            <w:r>
              <w:rPr>
                <w:sz w:val="21"/>
                <w:szCs w:val="21"/>
              </w:rPr>
              <w:t>)</w:t>
            </w:r>
          </w:p>
        </w:tc>
        <w:tc>
          <w:tcPr>
            <w:tcW w:w="943" w:type="pct"/>
            <w:tcBorders>
              <w:top w:val="single" w:color="auto" w:sz="4" w:space="0"/>
              <w:left w:val="nil"/>
              <w:bottom w:val="single" w:color="auto" w:sz="4" w:space="0"/>
              <w:right w:val="single" w:color="auto" w:sz="4" w:space="0"/>
            </w:tcBorders>
            <w:vAlign w:val="center"/>
          </w:tcPr>
          <w:p w14:paraId="2EF680CA">
            <w:pPr>
              <w:spacing w:line="240" w:lineRule="auto"/>
              <w:jc w:val="center"/>
              <w:rPr>
                <w:sz w:val="21"/>
                <w:szCs w:val="21"/>
              </w:rPr>
            </w:pPr>
            <w:r>
              <w:rPr>
                <w:sz w:val="21"/>
                <w:szCs w:val="21"/>
              </w:rPr>
              <w:t>标准值(μg/m</w:t>
            </w:r>
            <w:r>
              <w:rPr>
                <w:sz w:val="21"/>
                <w:szCs w:val="21"/>
                <w:vertAlign w:val="superscript"/>
              </w:rPr>
              <w:t>3</w:t>
            </w:r>
            <w:r>
              <w:rPr>
                <w:sz w:val="21"/>
                <w:szCs w:val="21"/>
              </w:rPr>
              <w:t>)</w:t>
            </w:r>
          </w:p>
        </w:tc>
        <w:tc>
          <w:tcPr>
            <w:tcW w:w="659" w:type="pct"/>
            <w:tcBorders>
              <w:top w:val="single" w:color="auto" w:sz="4" w:space="0"/>
              <w:left w:val="nil"/>
              <w:bottom w:val="single" w:color="auto" w:sz="4" w:space="0"/>
              <w:right w:val="single" w:color="auto" w:sz="4" w:space="0"/>
            </w:tcBorders>
            <w:vAlign w:val="center"/>
          </w:tcPr>
          <w:p w14:paraId="41B78BE4">
            <w:pPr>
              <w:spacing w:line="240" w:lineRule="auto"/>
              <w:jc w:val="center"/>
              <w:rPr>
                <w:sz w:val="21"/>
                <w:szCs w:val="21"/>
              </w:rPr>
            </w:pPr>
            <w:r>
              <w:rPr>
                <w:sz w:val="21"/>
                <w:szCs w:val="21"/>
              </w:rPr>
              <w:t>占标率(%)</w:t>
            </w:r>
          </w:p>
        </w:tc>
        <w:tc>
          <w:tcPr>
            <w:tcW w:w="743" w:type="pct"/>
            <w:tcBorders>
              <w:top w:val="single" w:color="auto" w:sz="4" w:space="0"/>
              <w:left w:val="nil"/>
              <w:bottom w:val="single" w:color="auto" w:sz="4" w:space="0"/>
              <w:right w:val="single" w:color="auto" w:sz="4" w:space="0"/>
            </w:tcBorders>
            <w:vAlign w:val="center"/>
          </w:tcPr>
          <w:p w14:paraId="397E80BF">
            <w:pPr>
              <w:spacing w:line="240" w:lineRule="auto"/>
              <w:jc w:val="center"/>
              <w:rPr>
                <w:sz w:val="21"/>
                <w:szCs w:val="21"/>
              </w:rPr>
            </w:pPr>
            <w:r>
              <w:rPr>
                <w:sz w:val="21"/>
                <w:szCs w:val="21"/>
              </w:rPr>
              <w:t>达标情况</w:t>
            </w:r>
          </w:p>
        </w:tc>
      </w:tr>
      <w:tr w14:paraId="1AFFD8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82" w:type="pct"/>
            <w:tcBorders>
              <w:top w:val="single" w:color="auto" w:sz="4" w:space="0"/>
              <w:left w:val="single" w:color="auto" w:sz="4" w:space="0"/>
              <w:bottom w:val="single" w:color="auto" w:sz="4" w:space="0"/>
              <w:right w:val="single" w:color="auto" w:sz="4" w:space="0"/>
            </w:tcBorders>
            <w:vAlign w:val="center"/>
          </w:tcPr>
          <w:p w14:paraId="283A0B67">
            <w:pPr>
              <w:spacing w:line="240" w:lineRule="auto"/>
              <w:jc w:val="center"/>
              <w:rPr>
                <w:sz w:val="21"/>
                <w:szCs w:val="21"/>
              </w:rPr>
            </w:pPr>
            <w:r>
              <w:rPr>
                <w:sz w:val="21"/>
                <w:szCs w:val="21"/>
              </w:rPr>
              <w:t>PM</w:t>
            </w:r>
            <w:r>
              <w:rPr>
                <w:sz w:val="21"/>
                <w:szCs w:val="21"/>
                <w:vertAlign w:val="subscript"/>
              </w:rPr>
              <w:t>10</w:t>
            </w:r>
          </w:p>
        </w:tc>
        <w:tc>
          <w:tcPr>
            <w:tcW w:w="1131" w:type="pct"/>
            <w:vMerge w:val="restart"/>
            <w:tcBorders>
              <w:top w:val="nil"/>
              <w:left w:val="nil"/>
              <w:bottom w:val="single" w:color="auto" w:sz="4" w:space="0"/>
              <w:right w:val="single" w:color="auto" w:sz="4" w:space="0"/>
            </w:tcBorders>
            <w:vAlign w:val="center"/>
          </w:tcPr>
          <w:p w14:paraId="55D42E08">
            <w:pPr>
              <w:spacing w:line="240" w:lineRule="auto"/>
              <w:jc w:val="center"/>
              <w:rPr>
                <w:sz w:val="21"/>
                <w:szCs w:val="21"/>
              </w:rPr>
            </w:pPr>
            <w:r>
              <w:rPr>
                <w:sz w:val="21"/>
                <w:szCs w:val="21"/>
              </w:rPr>
              <w:t>年平均质量浓度</w:t>
            </w:r>
          </w:p>
        </w:tc>
        <w:tc>
          <w:tcPr>
            <w:tcW w:w="942" w:type="pct"/>
            <w:tcBorders>
              <w:top w:val="single" w:color="auto" w:sz="4" w:space="0"/>
              <w:left w:val="nil"/>
              <w:bottom w:val="single" w:color="auto" w:sz="4" w:space="0"/>
              <w:right w:val="single" w:color="auto" w:sz="4" w:space="0"/>
            </w:tcBorders>
            <w:vAlign w:val="center"/>
          </w:tcPr>
          <w:p w14:paraId="47F6CAEA">
            <w:pPr>
              <w:spacing w:line="240" w:lineRule="auto"/>
              <w:jc w:val="center"/>
              <w:rPr>
                <w:sz w:val="21"/>
                <w:szCs w:val="21"/>
              </w:rPr>
            </w:pPr>
            <w:r>
              <w:rPr>
                <w:rFonts w:hint="eastAsia"/>
                <w:sz w:val="21"/>
                <w:szCs w:val="21"/>
              </w:rPr>
              <w:t>62</w:t>
            </w:r>
          </w:p>
        </w:tc>
        <w:tc>
          <w:tcPr>
            <w:tcW w:w="943" w:type="pct"/>
            <w:tcBorders>
              <w:top w:val="single" w:color="auto" w:sz="4" w:space="0"/>
              <w:left w:val="nil"/>
              <w:bottom w:val="single" w:color="auto" w:sz="4" w:space="0"/>
              <w:right w:val="single" w:color="auto" w:sz="4" w:space="0"/>
            </w:tcBorders>
            <w:vAlign w:val="center"/>
          </w:tcPr>
          <w:p w14:paraId="61D33CF6">
            <w:pPr>
              <w:spacing w:line="240" w:lineRule="auto"/>
              <w:jc w:val="center"/>
              <w:rPr>
                <w:sz w:val="21"/>
                <w:szCs w:val="21"/>
              </w:rPr>
            </w:pPr>
            <w:r>
              <w:rPr>
                <w:sz w:val="21"/>
                <w:szCs w:val="21"/>
              </w:rPr>
              <w:t>70</w:t>
            </w:r>
          </w:p>
        </w:tc>
        <w:tc>
          <w:tcPr>
            <w:tcW w:w="659" w:type="pct"/>
            <w:tcBorders>
              <w:top w:val="single" w:color="auto" w:sz="4" w:space="0"/>
              <w:left w:val="nil"/>
              <w:bottom w:val="single" w:color="auto" w:sz="4" w:space="0"/>
              <w:right w:val="single" w:color="auto" w:sz="4" w:space="0"/>
            </w:tcBorders>
            <w:vAlign w:val="center"/>
          </w:tcPr>
          <w:p w14:paraId="7FD68DEB">
            <w:pPr>
              <w:spacing w:line="240" w:lineRule="auto"/>
              <w:jc w:val="center"/>
              <w:rPr>
                <w:sz w:val="21"/>
                <w:szCs w:val="21"/>
              </w:rPr>
            </w:pPr>
            <w:r>
              <w:rPr>
                <w:rFonts w:hint="eastAsia"/>
                <w:sz w:val="21"/>
                <w:szCs w:val="21"/>
              </w:rPr>
              <w:t>88.5</w:t>
            </w:r>
          </w:p>
        </w:tc>
        <w:tc>
          <w:tcPr>
            <w:tcW w:w="743" w:type="pct"/>
            <w:tcBorders>
              <w:top w:val="single" w:color="auto" w:sz="4" w:space="0"/>
              <w:left w:val="nil"/>
              <w:bottom w:val="single" w:color="auto" w:sz="4" w:space="0"/>
              <w:right w:val="single" w:color="auto" w:sz="4" w:space="0"/>
            </w:tcBorders>
            <w:vAlign w:val="center"/>
          </w:tcPr>
          <w:p w14:paraId="650F676E">
            <w:pPr>
              <w:spacing w:line="240" w:lineRule="auto"/>
              <w:jc w:val="center"/>
              <w:rPr>
                <w:sz w:val="21"/>
                <w:szCs w:val="21"/>
              </w:rPr>
            </w:pPr>
            <w:r>
              <w:rPr>
                <w:sz w:val="21"/>
                <w:szCs w:val="21"/>
              </w:rPr>
              <w:t>达标</w:t>
            </w:r>
          </w:p>
        </w:tc>
      </w:tr>
      <w:tr w14:paraId="22A1C2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82" w:type="pct"/>
            <w:tcBorders>
              <w:top w:val="single" w:color="auto" w:sz="4" w:space="0"/>
              <w:left w:val="single" w:color="auto" w:sz="4" w:space="0"/>
              <w:bottom w:val="single" w:color="auto" w:sz="4" w:space="0"/>
              <w:right w:val="single" w:color="auto" w:sz="4" w:space="0"/>
            </w:tcBorders>
            <w:vAlign w:val="center"/>
          </w:tcPr>
          <w:p w14:paraId="6431E080">
            <w:pPr>
              <w:spacing w:line="240" w:lineRule="auto"/>
              <w:jc w:val="center"/>
              <w:rPr>
                <w:sz w:val="21"/>
                <w:szCs w:val="21"/>
              </w:rPr>
            </w:pPr>
            <w:r>
              <w:rPr>
                <w:sz w:val="21"/>
                <w:szCs w:val="21"/>
              </w:rPr>
              <w:t>PM</w:t>
            </w:r>
            <w:r>
              <w:rPr>
                <w:sz w:val="21"/>
                <w:szCs w:val="21"/>
                <w:vertAlign w:val="subscript"/>
              </w:rPr>
              <w:t>2.5</w:t>
            </w:r>
          </w:p>
        </w:tc>
        <w:tc>
          <w:tcPr>
            <w:tcW w:w="0" w:type="auto"/>
            <w:vMerge w:val="continue"/>
            <w:tcBorders>
              <w:top w:val="nil"/>
              <w:left w:val="nil"/>
              <w:bottom w:val="single" w:color="auto" w:sz="4" w:space="0"/>
              <w:right w:val="single" w:color="auto" w:sz="4" w:space="0"/>
            </w:tcBorders>
            <w:vAlign w:val="center"/>
          </w:tcPr>
          <w:p w14:paraId="687E779F">
            <w:pPr>
              <w:spacing w:line="240" w:lineRule="auto"/>
              <w:jc w:val="center"/>
              <w:rPr>
                <w:sz w:val="21"/>
                <w:szCs w:val="21"/>
              </w:rPr>
            </w:pPr>
          </w:p>
        </w:tc>
        <w:tc>
          <w:tcPr>
            <w:tcW w:w="942" w:type="pct"/>
            <w:tcBorders>
              <w:top w:val="single" w:color="auto" w:sz="4" w:space="0"/>
              <w:left w:val="nil"/>
              <w:bottom w:val="single" w:color="auto" w:sz="4" w:space="0"/>
              <w:right w:val="single" w:color="auto" w:sz="4" w:space="0"/>
            </w:tcBorders>
            <w:vAlign w:val="center"/>
          </w:tcPr>
          <w:p w14:paraId="56C008E5">
            <w:pPr>
              <w:spacing w:line="240" w:lineRule="auto"/>
              <w:jc w:val="center"/>
              <w:rPr>
                <w:sz w:val="21"/>
                <w:szCs w:val="21"/>
              </w:rPr>
            </w:pPr>
            <w:r>
              <w:rPr>
                <w:rFonts w:hint="eastAsia"/>
                <w:sz w:val="21"/>
                <w:szCs w:val="21"/>
              </w:rPr>
              <w:t>39</w:t>
            </w:r>
          </w:p>
        </w:tc>
        <w:tc>
          <w:tcPr>
            <w:tcW w:w="943" w:type="pct"/>
            <w:tcBorders>
              <w:top w:val="single" w:color="auto" w:sz="4" w:space="0"/>
              <w:left w:val="nil"/>
              <w:bottom w:val="single" w:color="auto" w:sz="4" w:space="0"/>
              <w:right w:val="single" w:color="auto" w:sz="4" w:space="0"/>
            </w:tcBorders>
            <w:vAlign w:val="center"/>
          </w:tcPr>
          <w:p w14:paraId="202215E1">
            <w:pPr>
              <w:spacing w:line="240" w:lineRule="auto"/>
              <w:jc w:val="center"/>
              <w:rPr>
                <w:sz w:val="21"/>
                <w:szCs w:val="21"/>
              </w:rPr>
            </w:pPr>
            <w:r>
              <w:rPr>
                <w:sz w:val="21"/>
                <w:szCs w:val="21"/>
              </w:rPr>
              <w:t>35</w:t>
            </w:r>
          </w:p>
        </w:tc>
        <w:tc>
          <w:tcPr>
            <w:tcW w:w="659" w:type="pct"/>
            <w:tcBorders>
              <w:top w:val="single" w:color="auto" w:sz="4" w:space="0"/>
              <w:left w:val="nil"/>
              <w:bottom w:val="single" w:color="auto" w:sz="4" w:space="0"/>
              <w:right w:val="single" w:color="auto" w:sz="4" w:space="0"/>
            </w:tcBorders>
            <w:vAlign w:val="center"/>
          </w:tcPr>
          <w:p w14:paraId="56AE26AA">
            <w:pPr>
              <w:spacing w:line="240" w:lineRule="auto"/>
              <w:jc w:val="center"/>
              <w:rPr>
                <w:sz w:val="21"/>
                <w:szCs w:val="21"/>
              </w:rPr>
            </w:pPr>
            <w:r>
              <w:rPr>
                <w:sz w:val="21"/>
                <w:szCs w:val="21"/>
              </w:rPr>
              <w:t>1</w:t>
            </w:r>
            <w:r>
              <w:rPr>
                <w:rFonts w:hint="eastAsia"/>
                <w:sz w:val="21"/>
                <w:szCs w:val="21"/>
              </w:rPr>
              <w:t>11.4</w:t>
            </w:r>
          </w:p>
        </w:tc>
        <w:tc>
          <w:tcPr>
            <w:tcW w:w="743" w:type="pct"/>
            <w:tcBorders>
              <w:top w:val="single" w:color="auto" w:sz="4" w:space="0"/>
              <w:left w:val="nil"/>
              <w:bottom w:val="single" w:color="auto" w:sz="4" w:space="0"/>
              <w:right w:val="single" w:color="auto" w:sz="4" w:space="0"/>
            </w:tcBorders>
            <w:vAlign w:val="center"/>
          </w:tcPr>
          <w:p w14:paraId="720E1DFF">
            <w:pPr>
              <w:spacing w:line="240" w:lineRule="auto"/>
              <w:jc w:val="center"/>
              <w:rPr>
                <w:sz w:val="21"/>
                <w:szCs w:val="21"/>
              </w:rPr>
            </w:pPr>
            <w:r>
              <w:rPr>
                <w:sz w:val="21"/>
                <w:szCs w:val="21"/>
              </w:rPr>
              <w:t>不达标</w:t>
            </w:r>
          </w:p>
        </w:tc>
      </w:tr>
      <w:tr w14:paraId="2F3947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82" w:type="pct"/>
            <w:tcBorders>
              <w:top w:val="single" w:color="auto" w:sz="4" w:space="0"/>
              <w:left w:val="single" w:color="auto" w:sz="4" w:space="0"/>
              <w:bottom w:val="single" w:color="auto" w:sz="4" w:space="0"/>
              <w:right w:val="single" w:color="auto" w:sz="4" w:space="0"/>
            </w:tcBorders>
            <w:vAlign w:val="center"/>
          </w:tcPr>
          <w:p w14:paraId="32AE0867">
            <w:pPr>
              <w:spacing w:line="240" w:lineRule="auto"/>
              <w:jc w:val="center"/>
              <w:rPr>
                <w:sz w:val="21"/>
                <w:szCs w:val="21"/>
              </w:rPr>
            </w:pPr>
            <w:r>
              <w:rPr>
                <w:sz w:val="21"/>
                <w:szCs w:val="21"/>
              </w:rPr>
              <w:t>SO</w:t>
            </w:r>
            <w:r>
              <w:rPr>
                <w:sz w:val="21"/>
                <w:szCs w:val="21"/>
                <w:vertAlign w:val="subscript"/>
              </w:rPr>
              <w:t>2</w:t>
            </w:r>
          </w:p>
        </w:tc>
        <w:tc>
          <w:tcPr>
            <w:tcW w:w="0" w:type="auto"/>
            <w:vMerge w:val="continue"/>
            <w:tcBorders>
              <w:top w:val="nil"/>
              <w:left w:val="nil"/>
              <w:bottom w:val="single" w:color="auto" w:sz="4" w:space="0"/>
              <w:right w:val="single" w:color="auto" w:sz="4" w:space="0"/>
            </w:tcBorders>
            <w:vAlign w:val="center"/>
          </w:tcPr>
          <w:p w14:paraId="59852199">
            <w:pPr>
              <w:spacing w:line="240" w:lineRule="auto"/>
              <w:jc w:val="center"/>
              <w:rPr>
                <w:sz w:val="21"/>
                <w:szCs w:val="21"/>
              </w:rPr>
            </w:pPr>
          </w:p>
        </w:tc>
        <w:tc>
          <w:tcPr>
            <w:tcW w:w="942" w:type="pct"/>
            <w:tcBorders>
              <w:top w:val="single" w:color="auto" w:sz="4" w:space="0"/>
              <w:left w:val="nil"/>
              <w:bottom w:val="single" w:color="auto" w:sz="4" w:space="0"/>
              <w:right w:val="single" w:color="auto" w:sz="4" w:space="0"/>
            </w:tcBorders>
            <w:vAlign w:val="center"/>
          </w:tcPr>
          <w:p w14:paraId="6366BDAD">
            <w:pPr>
              <w:spacing w:line="240" w:lineRule="auto"/>
              <w:jc w:val="center"/>
              <w:rPr>
                <w:sz w:val="21"/>
                <w:szCs w:val="21"/>
              </w:rPr>
            </w:pPr>
            <w:r>
              <w:rPr>
                <w:rFonts w:hint="eastAsia"/>
                <w:sz w:val="21"/>
                <w:szCs w:val="21"/>
              </w:rPr>
              <w:t>7</w:t>
            </w:r>
          </w:p>
        </w:tc>
        <w:tc>
          <w:tcPr>
            <w:tcW w:w="943" w:type="pct"/>
            <w:tcBorders>
              <w:top w:val="single" w:color="auto" w:sz="4" w:space="0"/>
              <w:left w:val="nil"/>
              <w:bottom w:val="single" w:color="auto" w:sz="4" w:space="0"/>
              <w:right w:val="single" w:color="auto" w:sz="4" w:space="0"/>
            </w:tcBorders>
            <w:vAlign w:val="center"/>
          </w:tcPr>
          <w:p w14:paraId="7787808B">
            <w:pPr>
              <w:spacing w:line="240" w:lineRule="auto"/>
              <w:jc w:val="center"/>
              <w:rPr>
                <w:sz w:val="21"/>
                <w:szCs w:val="21"/>
              </w:rPr>
            </w:pPr>
            <w:r>
              <w:rPr>
                <w:sz w:val="21"/>
                <w:szCs w:val="21"/>
              </w:rPr>
              <w:t>60</w:t>
            </w:r>
          </w:p>
        </w:tc>
        <w:tc>
          <w:tcPr>
            <w:tcW w:w="659" w:type="pct"/>
            <w:tcBorders>
              <w:top w:val="single" w:color="auto" w:sz="4" w:space="0"/>
              <w:left w:val="nil"/>
              <w:bottom w:val="single" w:color="auto" w:sz="4" w:space="0"/>
              <w:right w:val="single" w:color="auto" w:sz="4" w:space="0"/>
            </w:tcBorders>
            <w:vAlign w:val="center"/>
          </w:tcPr>
          <w:p w14:paraId="245B4783">
            <w:pPr>
              <w:spacing w:line="240" w:lineRule="auto"/>
              <w:jc w:val="center"/>
              <w:rPr>
                <w:sz w:val="21"/>
                <w:szCs w:val="21"/>
              </w:rPr>
            </w:pPr>
            <w:r>
              <w:rPr>
                <w:rFonts w:hint="eastAsia"/>
                <w:sz w:val="21"/>
                <w:szCs w:val="21"/>
              </w:rPr>
              <w:t>11.7</w:t>
            </w:r>
          </w:p>
        </w:tc>
        <w:tc>
          <w:tcPr>
            <w:tcW w:w="743" w:type="pct"/>
            <w:tcBorders>
              <w:top w:val="single" w:color="auto" w:sz="4" w:space="0"/>
              <w:left w:val="nil"/>
              <w:bottom w:val="single" w:color="auto" w:sz="4" w:space="0"/>
              <w:right w:val="single" w:color="auto" w:sz="4" w:space="0"/>
            </w:tcBorders>
            <w:vAlign w:val="center"/>
          </w:tcPr>
          <w:p w14:paraId="5CD33F89">
            <w:pPr>
              <w:spacing w:line="240" w:lineRule="auto"/>
              <w:jc w:val="center"/>
              <w:rPr>
                <w:sz w:val="21"/>
                <w:szCs w:val="21"/>
              </w:rPr>
            </w:pPr>
            <w:r>
              <w:rPr>
                <w:sz w:val="21"/>
                <w:szCs w:val="21"/>
              </w:rPr>
              <w:t>达标</w:t>
            </w:r>
          </w:p>
        </w:tc>
      </w:tr>
      <w:tr w14:paraId="1F324A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82" w:type="pct"/>
            <w:tcBorders>
              <w:top w:val="single" w:color="auto" w:sz="4" w:space="0"/>
              <w:left w:val="single" w:color="auto" w:sz="4" w:space="0"/>
              <w:bottom w:val="single" w:color="auto" w:sz="4" w:space="0"/>
              <w:right w:val="single" w:color="auto" w:sz="4" w:space="0"/>
            </w:tcBorders>
            <w:vAlign w:val="center"/>
          </w:tcPr>
          <w:p w14:paraId="437A014D">
            <w:pPr>
              <w:spacing w:line="240" w:lineRule="auto"/>
              <w:jc w:val="center"/>
              <w:rPr>
                <w:sz w:val="21"/>
                <w:szCs w:val="21"/>
              </w:rPr>
            </w:pPr>
            <w:r>
              <w:rPr>
                <w:sz w:val="21"/>
                <w:szCs w:val="21"/>
              </w:rPr>
              <w:t>NO</w:t>
            </w:r>
            <w:r>
              <w:rPr>
                <w:sz w:val="21"/>
                <w:szCs w:val="21"/>
                <w:vertAlign w:val="subscript"/>
              </w:rPr>
              <w:t>2</w:t>
            </w:r>
          </w:p>
        </w:tc>
        <w:tc>
          <w:tcPr>
            <w:tcW w:w="0" w:type="auto"/>
            <w:vMerge w:val="continue"/>
            <w:tcBorders>
              <w:top w:val="nil"/>
              <w:left w:val="nil"/>
              <w:bottom w:val="single" w:color="auto" w:sz="4" w:space="0"/>
              <w:right w:val="single" w:color="auto" w:sz="4" w:space="0"/>
            </w:tcBorders>
            <w:vAlign w:val="center"/>
          </w:tcPr>
          <w:p w14:paraId="3A90B918">
            <w:pPr>
              <w:spacing w:line="240" w:lineRule="auto"/>
              <w:jc w:val="center"/>
              <w:rPr>
                <w:sz w:val="21"/>
                <w:szCs w:val="21"/>
              </w:rPr>
            </w:pPr>
          </w:p>
        </w:tc>
        <w:tc>
          <w:tcPr>
            <w:tcW w:w="942" w:type="pct"/>
            <w:tcBorders>
              <w:top w:val="single" w:color="auto" w:sz="4" w:space="0"/>
              <w:left w:val="nil"/>
              <w:bottom w:val="single" w:color="auto" w:sz="4" w:space="0"/>
              <w:right w:val="single" w:color="auto" w:sz="4" w:space="0"/>
            </w:tcBorders>
            <w:vAlign w:val="center"/>
          </w:tcPr>
          <w:p w14:paraId="5D19AA8E">
            <w:pPr>
              <w:spacing w:line="240" w:lineRule="auto"/>
              <w:jc w:val="center"/>
              <w:rPr>
                <w:sz w:val="21"/>
                <w:szCs w:val="21"/>
              </w:rPr>
            </w:pPr>
            <w:r>
              <w:rPr>
                <w:rFonts w:hint="eastAsia"/>
                <w:sz w:val="21"/>
                <w:szCs w:val="21"/>
              </w:rPr>
              <w:t>21</w:t>
            </w:r>
          </w:p>
        </w:tc>
        <w:tc>
          <w:tcPr>
            <w:tcW w:w="943" w:type="pct"/>
            <w:tcBorders>
              <w:top w:val="single" w:color="auto" w:sz="4" w:space="0"/>
              <w:left w:val="nil"/>
              <w:bottom w:val="single" w:color="auto" w:sz="4" w:space="0"/>
              <w:right w:val="single" w:color="auto" w:sz="4" w:space="0"/>
            </w:tcBorders>
            <w:vAlign w:val="center"/>
          </w:tcPr>
          <w:p w14:paraId="3CB0E573">
            <w:pPr>
              <w:spacing w:line="240" w:lineRule="auto"/>
              <w:jc w:val="center"/>
              <w:rPr>
                <w:sz w:val="21"/>
                <w:szCs w:val="21"/>
              </w:rPr>
            </w:pPr>
            <w:r>
              <w:rPr>
                <w:sz w:val="21"/>
                <w:szCs w:val="21"/>
              </w:rPr>
              <w:t>40</w:t>
            </w:r>
          </w:p>
        </w:tc>
        <w:tc>
          <w:tcPr>
            <w:tcW w:w="659" w:type="pct"/>
            <w:tcBorders>
              <w:top w:val="single" w:color="auto" w:sz="4" w:space="0"/>
              <w:left w:val="nil"/>
              <w:bottom w:val="single" w:color="auto" w:sz="4" w:space="0"/>
              <w:right w:val="single" w:color="auto" w:sz="4" w:space="0"/>
            </w:tcBorders>
            <w:vAlign w:val="center"/>
          </w:tcPr>
          <w:p w14:paraId="695F3AC7">
            <w:pPr>
              <w:spacing w:line="240" w:lineRule="auto"/>
              <w:jc w:val="center"/>
              <w:rPr>
                <w:sz w:val="21"/>
                <w:szCs w:val="21"/>
              </w:rPr>
            </w:pPr>
            <w:r>
              <w:rPr>
                <w:rFonts w:hint="eastAsia"/>
                <w:sz w:val="21"/>
                <w:szCs w:val="21"/>
              </w:rPr>
              <w:t>52.5</w:t>
            </w:r>
          </w:p>
        </w:tc>
        <w:tc>
          <w:tcPr>
            <w:tcW w:w="743" w:type="pct"/>
            <w:tcBorders>
              <w:top w:val="single" w:color="auto" w:sz="4" w:space="0"/>
              <w:left w:val="nil"/>
              <w:bottom w:val="single" w:color="auto" w:sz="4" w:space="0"/>
              <w:right w:val="single" w:color="auto" w:sz="4" w:space="0"/>
            </w:tcBorders>
            <w:vAlign w:val="center"/>
          </w:tcPr>
          <w:p w14:paraId="055EC182">
            <w:pPr>
              <w:spacing w:line="240" w:lineRule="auto"/>
              <w:jc w:val="center"/>
              <w:rPr>
                <w:sz w:val="21"/>
                <w:szCs w:val="21"/>
              </w:rPr>
            </w:pPr>
            <w:r>
              <w:rPr>
                <w:sz w:val="21"/>
                <w:szCs w:val="21"/>
              </w:rPr>
              <w:t>达标</w:t>
            </w:r>
          </w:p>
        </w:tc>
      </w:tr>
      <w:tr w14:paraId="3F3378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82" w:type="pct"/>
            <w:tcBorders>
              <w:top w:val="single" w:color="auto" w:sz="4" w:space="0"/>
              <w:left w:val="single" w:color="auto" w:sz="4" w:space="0"/>
              <w:bottom w:val="single" w:color="auto" w:sz="4" w:space="0"/>
              <w:right w:val="single" w:color="auto" w:sz="4" w:space="0"/>
            </w:tcBorders>
            <w:vAlign w:val="center"/>
          </w:tcPr>
          <w:p w14:paraId="67558CA6">
            <w:pPr>
              <w:spacing w:line="240" w:lineRule="auto"/>
              <w:jc w:val="center"/>
              <w:rPr>
                <w:sz w:val="21"/>
                <w:szCs w:val="21"/>
              </w:rPr>
            </w:pPr>
            <w:r>
              <w:rPr>
                <w:sz w:val="21"/>
                <w:szCs w:val="21"/>
              </w:rPr>
              <w:t>CO</w:t>
            </w:r>
          </w:p>
        </w:tc>
        <w:tc>
          <w:tcPr>
            <w:tcW w:w="1131" w:type="pct"/>
            <w:tcBorders>
              <w:top w:val="single" w:color="auto" w:sz="4" w:space="0"/>
              <w:left w:val="nil"/>
              <w:bottom w:val="single" w:color="auto" w:sz="4" w:space="0"/>
              <w:right w:val="single" w:color="auto" w:sz="4" w:space="0"/>
            </w:tcBorders>
            <w:vAlign w:val="center"/>
          </w:tcPr>
          <w:p w14:paraId="58019B63">
            <w:pPr>
              <w:spacing w:line="240" w:lineRule="auto"/>
              <w:jc w:val="center"/>
              <w:rPr>
                <w:sz w:val="21"/>
                <w:szCs w:val="21"/>
              </w:rPr>
            </w:pPr>
            <w:r>
              <w:rPr>
                <w:sz w:val="21"/>
                <w:szCs w:val="21"/>
              </w:rPr>
              <w:t>第95百分位数日平均质量浓度</w:t>
            </w:r>
          </w:p>
        </w:tc>
        <w:tc>
          <w:tcPr>
            <w:tcW w:w="942" w:type="pct"/>
            <w:tcBorders>
              <w:top w:val="single" w:color="auto" w:sz="4" w:space="0"/>
              <w:left w:val="nil"/>
              <w:bottom w:val="single" w:color="auto" w:sz="4" w:space="0"/>
              <w:right w:val="single" w:color="auto" w:sz="4" w:space="0"/>
            </w:tcBorders>
            <w:vAlign w:val="center"/>
          </w:tcPr>
          <w:p w14:paraId="50B3120F">
            <w:pPr>
              <w:spacing w:line="240" w:lineRule="auto"/>
              <w:jc w:val="center"/>
              <w:rPr>
                <w:sz w:val="21"/>
                <w:szCs w:val="21"/>
              </w:rPr>
            </w:pPr>
            <w:r>
              <w:rPr>
                <w:rFonts w:hint="eastAsia"/>
                <w:sz w:val="21"/>
                <w:szCs w:val="21"/>
              </w:rPr>
              <w:t>8</w:t>
            </w:r>
            <w:r>
              <w:rPr>
                <w:sz w:val="21"/>
                <w:szCs w:val="21"/>
              </w:rPr>
              <w:t>00</w:t>
            </w:r>
          </w:p>
        </w:tc>
        <w:tc>
          <w:tcPr>
            <w:tcW w:w="943" w:type="pct"/>
            <w:tcBorders>
              <w:top w:val="single" w:color="auto" w:sz="4" w:space="0"/>
              <w:left w:val="nil"/>
              <w:bottom w:val="single" w:color="auto" w:sz="4" w:space="0"/>
              <w:right w:val="single" w:color="auto" w:sz="4" w:space="0"/>
            </w:tcBorders>
            <w:vAlign w:val="center"/>
          </w:tcPr>
          <w:p w14:paraId="00C8B546">
            <w:pPr>
              <w:spacing w:line="240" w:lineRule="auto"/>
              <w:jc w:val="center"/>
              <w:rPr>
                <w:sz w:val="21"/>
                <w:szCs w:val="21"/>
              </w:rPr>
            </w:pPr>
            <w:r>
              <w:rPr>
                <w:sz w:val="21"/>
                <w:szCs w:val="21"/>
              </w:rPr>
              <w:t>4000</w:t>
            </w:r>
          </w:p>
        </w:tc>
        <w:tc>
          <w:tcPr>
            <w:tcW w:w="659" w:type="pct"/>
            <w:tcBorders>
              <w:top w:val="single" w:color="auto" w:sz="4" w:space="0"/>
              <w:left w:val="nil"/>
              <w:bottom w:val="single" w:color="auto" w:sz="4" w:space="0"/>
              <w:right w:val="single" w:color="auto" w:sz="4" w:space="0"/>
            </w:tcBorders>
            <w:vAlign w:val="center"/>
          </w:tcPr>
          <w:p w14:paraId="2EDF0085">
            <w:pPr>
              <w:spacing w:line="240" w:lineRule="auto"/>
              <w:jc w:val="center"/>
              <w:rPr>
                <w:sz w:val="21"/>
                <w:szCs w:val="21"/>
              </w:rPr>
            </w:pPr>
            <w:r>
              <w:rPr>
                <w:rFonts w:hint="eastAsia"/>
                <w:sz w:val="21"/>
                <w:szCs w:val="21"/>
              </w:rPr>
              <w:t>20.0</w:t>
            </w:r>
          </w:p>
        </w:tc>
        <w:tc>
          <w:tcPr>
            <w:tcW w:w="743" w:type="pct"/>
            <w:tcBorders>
              <w:top w:val="single" w:color="auto" w:sz="4" w:space="0"/>
              <w:left w:val="nil"/>
              <w:bottom w:val="single" w:color="auto" w:sz="4" w:space="0"/>
              <w:right w:val="single" w:color="auto" w:sz="4" w:space="0"/>
            </w:tcBorders>
            <w:vAlign w:val="center"/>
          </w:tcPr>
          <w:p w14:paraId="3C23A9BC">
            <w:pPr>
              <w:spacing w:line="240" w:lineRule="auto"/>
              <w:jc w:val="center"/>
              <w:rPr>
                <w:sz w:val="21"/>
                <w:szCs w:val="21"/>
              </w:rPr>
            </w:pPr>
            <w:r>
              <w:rPr>
                <w:sz w:val="21"/>
                <w:szCs w:val="21"/>
              </w:rPr>
              <w:t>达标</w:t>
            </w:r>
          </w:p>
        </w:tc>
      </w:tr>
      <w:tr w14:paraId="2EA32D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82" w:type="pct"/>
            <w:tcBorders>
              <w:top w:val="single" w:color="auto" w:sz="4" w:space="0"/>
              <w:left w:val="single" w:color="auto" w:sz="4" w:space="0"/>
              <w:bottom w:val="single" w:color="auto" w:sz="4" w:space="0"/>
              <w:right w:val="single" w:color="auto" w:sz="4" w:space="0"/>
            </w:tcBorders>
            <w:vAlign w:val="center"/>
          </w:tcPr>
          <w:p w14:paraId="349788C8">
            <w:pPr>
              <w:spacing w:line="240" w:lineRule="auto"/>
              <w:jc w:val="center"/>
              <w:rPr>
                <w:sz w:val="21"/>
                <w:szCs w:val="21"/>
              </w:rPr>
            </w:pPr>
            <w:r>
              <w:rPr>
                <w:sz w:val="21"/>
                <w:szCs w:val="21"/>
              </w:rPr>
              <w:t>O</w:t>
            </w:r>
            <w:r>
              <w:rPr>
                <w:sz w:val="21"/>
                <w:szCs w:val="21"/>
                <w:vertAlign w:val="subscript"/>
              </w:rPr>
              <w:t>3</w:t>
            </w:r>
          </w:p>
        </w:tc>
        <w:tc>
          <w:tcPr>
            <w:tcW w:w="1131" w:type="pct"/>
            <w:tcBorders>
              <w:top w:val="single" w:color="auto" w:sz="4" w:space="0"/>
              <w:left w:val="nil"/>
              <w:bottom w:val="single" w:color="auto" w:sz="4" w:space="0"/>
              <w:right w:val="single" w:color="auto" w:sz="4" w:space="0"/>
            </w:tcBorders>
            <w:vAlign w:val="center"/>
          </w:tcPr>
          <w:p w14:paraId="34674057">
            <w:pPr>
              <w:spacing w:line="240" w:lineRule="auto"/>
              <w:jc w:val="center"/>
              <w:rPr>
                <w:sz w:val="21"/>
                <w:szCs w:val="21"/>
              </w:rPr>
            </w:pPr>
            <w:r>
              <w:rPr>
                <w:sz w:val="21"/>
                <w:szCs w:val="21"/>
              </w:rPr>
              <w:t>最大8h第90百分位数平均质量浓度</w:t>
            </w:r>
          </w:p>
        </w:tc>
        <w:tc>
          <w:tcPr>
            <w:tcW w:w="942" w:type="pct"/>
            <w:tcBorders>
              <w:top w:val="single" w:color="auto" w:sz="4" w:space="0"/>
              <w:left w:val="nil"/>
              <w:bottom w:val="single" w:color="auto" w:sz="4" w:space="0"/>
              <w:right w:val="single" w:color="auto" w:sz="4" w:space="0"/>
            </w:tcBorders>
            <w:vAlign w:val="center"/>
          </w:tcPr>
          <w:p w14:paraId="781C21B8">
            <w:pPr>
              <w:spacing w:line="240" w:lineRule="auto"/>
              <w:jc w:val="center"/>
              <w:rPr>
                <w:sz w:val="21"/>
                <w:szCs w:val="21"/>
              </w:rPr>
            </w:pPr>
            <w:r>
              <w:rPr>
                <w:rFonts w:hint="eastAsia"/>
                <w:sz w:val="21"/>
                <w:szCs w:val="21"/>
              </w:rPr>
              <w:t>163</w:t>
            </w:r>
          </w:p>
        </w:tc>
        <w:tc>
          <w:tcPr>
            <w:tcW w:w="943" w:type="pct"/>
            <w:tcBorders>
              <w:top w:val="single" w:color="auto" w:sz="4" w:space="0"/>
              <w:left w:val="nil"/>
              <w:bottom w:val="single" w:color="auto" w:sz="4" w:space="0"/>
              <w:right w:val="single" w:color="auto" w:sz="4" w:space="0"/>
            </w:tcBorders>
            <w:vAlign w:val="center"/>
          </w:tcPr>
          <w:p w14:paraId="6A46810F">
            <w:pPr>
              <w:spacing w:line="240" w:lineRule="auto"/>
              <w:jc w:val="center"/>
              <w:rPr>
                <w:sz w:val="21"/>
                <w:szCs w:val="21"/>
              </w:rPr>
            </w:pPr>
            <w:r>
              <w:rPr>
                <w:sz w:val="21"/>
                <w:szCs w:val="21"/>
              </w:rPr>
              <w:t>160</w:t>
            </w:r>
          </w:p>
        </w:tc>
        <w:tc>
          <w:tcPr>
            <w:tcW w:w="659" w:type="pct"/>
            <w:tcBorders>
              <w:top w:val="single" w:color="auto" w:sz="4" w:space="0"/>
              <w:left w:val="nil"/>
              <w:bottom w:val="single" w:color="auto" w:sz="4" w:space="0"/>
              <w:right w:val="single" w:color="auto" w:sz="4" w:space="0"/>
            </w:tcBorders>
            <w:vAlign w:val="center"/>
          </w:tcPr>
          <w:p w14:paraId="2DD207F9">
            <w:pPr>
              <w:spacing w:line="240" w:lineRule="auto"/>
              <w:jc w:val="center"/>
              <w:rPr>
                <w:sz w:val="21"/>
                <w:szCs w:val="21"/>
              </w:rPr>
            </w:pPr>
            <w:r>
              <w:rPr>
                <w:rFonts w:hint="eastAsia"/>
                <w:sz w:val="21"/>
                <w:szCs w:val="21"/>
              </w:rPr>
              <w:t>101.9</w:t>
            </w:r>
          </w:p>
        </w:tc>
        <w:tc>
          <w:tcPr>
            <w:tcW w:w="743" w:type="pct"/>
            <w:tcBorders>
              <w:top w:val="single" w:color="auto" w:sz="4" w:space="0"/>
              <w:left w:val="nil"/>
              <w:bottom w:val="single" w:color="auto" w:sz="4" w:space="0"/>
              <w:right w:val="single" w:color="auto" w:sz="4" w:space="0"/>
            </w:tcBorders>
            <w:vAlign w:val="center"/>
          </w:tcPr>
          <w:p w14:paraId="6D88A808">
            <w:pPr>
              <w:spacing w:line="240" w:lineRule="auto"/>
              <w:jc w:val="center"/>
              <w:rPr>
                <w:sz w:val="21"/>
                <w:szCs w:val="21"/>
              </w:rPr>
            </w:pPr>
            <w:r>
              <w:rPr>
                <w:rFonts w:hint="eastAsia"/>
                <w:sz w:val="21"/>
                <w:szCs w:val="21"/>
              </w:rPr>
              <w:t>不</w:t>
            </w:r>
            <w:r>
              <w:rPr>
                <w:sz w:val="21"/>
                <w:szCs w:val="21"/>
              </w:rPr>
              <w:t>达标</w:t>
            </w:r>
          </w:p>
        </w:tc>
      </w:tr>
    </w:tbl>
    <w:p w14:paraId="4508CAF9"/>
    <w:p w14:paraId="7D5F9210">
      <w:pPr>
        <w:ind w:firstLine="480" w:firstLineChars="200"/>
      </w:pPr>
      <w:r>
        <w:rPr>
          <w:rFonts w:hint="eastAsia"/>
        </w:rPr>
        <w:t>2、</w:t>
      </w:r>
      <w:r>
        <w:t>其他污染物现状监测与评价</w:t>
      </w:r>
    </w:p>
    <w:p w14:paraId="56736752">
      <w:pPr>
        <w:ind w:firstLine="480" w:firstLineChars="200"/>
      </w:pPr>
      <w:r>
        <w:rPr>
          <w:rFonts w:hint="eastAsia"/>
        </w:rPr>
        <w:t>技改项目大气污染物特征因子为非甲烷总烃、酚类、硫酸雾，其中非甲烷总烃现状监测数据引用《蚌埠精细化工高新技术产业基地环境影响区域评估+环境标准报告》中“G3三铺村”点位监测数据，三铺村监测点位距项目厂界约1380m，位于评价范围内，监测时间为2024年4月16日-2024年5月2日期间连续监测7天，引用数据有效。</w:t>
      </w:r>
    </w:p>
    <w:p w14:paraId="244FAA34">
      <w:pPr>
        <w:ind w:firstLine="480" w:firstLineChars="200"/>
      </w:pPr>
      <w:r>
        <w:rPr>
          <w:rFonts w:hint="eastAsia"/>
        </w:rPr>
        <w:t>酚类现状监测数据引用《安徽德诺化工有限公司年产20万吨甲醛、10万吨脲醛树脂及5万吨酚醛树脂项目环境影响报告书》监测数据，德诺化工厂区监测点位距项目厂界约820m，位于评价范围内，监测时间为2023年5月9日-2023年5月15日，引用数据有效。</w:t>
      </w:r>
    </w:p>
    <w:p w14:paraId="1F415892">
      <w:pPr>
        <w:ind w:firstLine="480" w:firstLineChars="200"/>
      </w:pPr>
      <w:r>
        <w:rPr>
          <w:rFonts w:hint="eastAsia"/>
        </w:rPr>
        <w:t>硫酸雾现状监测数据引用《蚌埠市圣光化工有限公司年产5万吨七水硫酸镁、1万吨无水硫酸镁及2万吨三水醋酸钠项目环境影响报告书》监测数据，圣光化工厂区监测点位距项目厂界约1015m，位于评价范围内，监测时间为2024年7月1日-2024年7月7日，引用数据有效。</w:t>
      </w:r>
    </w:p>
    <w:p w14:paraId="28EF9E0D">
      <w:pPr>
        <w:ind w:firstLine="480" w:firstLineChars="200"/>
      </w:pPr>
      <w:r>
        <w:t>1</w:t>
      </w:r>
      <w:r>
        <w:rPr>
          <w:rFonts w:hint="eastAsia"/>
        </w:rPr>
        <w:t>、监测布点</w:t>
      </w:r>
    </w:p>
    <w:p w14:paraId="0B8F175E">
      <w:pPr>
        <w:ind w:firstLine="480" w:firstLineChars="200"/>
      </w:pPr>
      <w:r>
        <w:rPr>
          <w:rFonts w:hint="eastAsia"/>
        </w:rPr>
        <w:t>大气环境监测点的设置见表5.2-2和图5.2-1。</w:t>
      </w:r>
    </w:p>
    <w:p w14:paraId="0B801EEF">
      <w:pPr>
        <w:jc w:val="center"/>
        <w:rPr>
          <w:rFonts w:hint="eastAsia" w:ascii="黑体" w:hAnsi="黑体" w:eastAsia="黑体" w:cs="Times New Roman"/>
        </w:rPr>
      </w:pPr>
      <w:r>
        <w:rPr>
          <w:rFonts w:ascii="黑体" w:hAnsi="黑体" w:eastAsia="黑体" w:cs="Times New Roman"/>
        </w:rPr>
        <w:t>表</w:t>
      </w:r>
      <w:r>
        <w:rPr>
          <w:rFonts w:hint="eastAsia" w:ascii="黑体" w:hAnsi="黑体" w:eastAsia="黑体" w:cs="Times New Roman"/>
        </w:rPr>
        <w:t>5</w:t>
      </w:r>
      <w:r>
        <w:rPr>
          <w:rFonts w:ascii="黑体" w:hAnsi="黑体" w:eastAsia="黑体" w:cs="Times New Roman"/>
        </w:rPr>
        <w:t>.2-2  环境空气质量现状监测点位一览表</w:t>
      </w:r>
    </w:p>
    <w:tbl>
      <w:tblPr>
        <w:tblStyle w:val="3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62"/>
        <w:gridCol w:w="1157"/>
        <w:gridCol w:w="1163"/>
        <w:gridCol w:w="1454"/>
        <w:gridCol w:w="4350"/>
      </w:tblGrid>
      <w:tr w14:paraId="660F90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26" w:type="pct"/>
            <w:vAlign w:val="center"/>
          </w:tcPr>
          <w:p w14:paraId="4D2F69A0">
            <w:pPr>
              <w:spacing w:line="240" w:lineRule="auto"/>
              <w:jc w:val="center"/>
              <w:rPr>
                <w:rFonts w:cs="Times New Roman"/>
                <w:sz w:val="21"/>
                <w:szCs w:val="21"/>
              </w:rPr>
            </w:pPr>
            <w:bookmarkStart w:id="62" w:name="_Hlk195710876"/>
            <w:r>
              <w:rPr>
                <w:rFonts w:cs="Times New Roman"/>
                <w:sz w:val="21"/>
                <w:szCs w:val="21"/>
              </w:rPr>
              <w:t>点位编号</w:t>
            </w:r>
          </w:p>
        </w:tc>
        <w:tc>
          <w:tcPr>
            <w:tcW w:w="623" w:type="pct"/>
            <w:vAlign w:val="center"/>
          </w:tcPr>
          <w:p w14:paraId="2EF3FECF">
            <w:pPr>
              <w:spacing w:line="240" w:lineRule="auto"/>
              <w:jc w:val="center"/>
              <w:rPr>
                <w:rFonts w:cs="Times New Roman"/>
                <w:sz w:val="21"/>
                <w:szCs w:val="21"/>
              </w:rPr>
            </w:pPr>
            <w:r>
              <w:rPr>
                <w:rFonts w:cs="Times New Roman"/>
                <w:sz w:val="21"/>
                <w:szCs w:val="21"/>
              </w:rPr>
              <w:t>点位名称</w:t>
            </w:r>
          </w:p>
        </w:tc>
        <w:tc>
          <w:tcPr>
            <w:tcW w:w="626" w:type="pct"/>
            <w:vAlign w:val="center"/>
          </w:tcPr>
          <w:p w14:paraId="61832350">
            <w:pPr>
              <w:spacing w:line="240" w:lineRule="auto"/>
              <w:jc w:val="center"/>
              <w:rPr>
                <w:rFonts w:cs="Times New Roman"/>
                <w:sz w:val="21"/>
                <w:szCs w:val="21"/>
              </w:rPr>
            </w:pPr>
            <w:r>
              <w:rPr>
                <w:rFonts w:hint="eastAsia" w:cs="Times New Roman"/>
                <w:sz w:val="21"/>
                <w:szCs w:val="21"/>
              </w:rPr>
              <w:t>相对方位</w:t>
            </w:r>
          </w:p>
        </w:tc>
        <w:tc>
          <w:tcPr>
            <w:tcW w:w="783" w:type="pct"/>
            <w:vAlign w:val="center"/>
          </w:tcPr>
          <w:p w14:paraId="7EEEA547">
            <w:pPr>
              <w:spacing w:line="240" w:lineRule="auto"/>
              <w:jc w:val="center"/>
              <w:rPr>
                <w:rFonts w:cs="Times New Roman"/>
                <w:sz w:val="21"/>
                <w:szCs w:val="21"/>
              </w:rPr>
            </w:pPr>
            <w:r>
              <w:rPr>
                <w:rFonts w:cs="Times New Roman"/>
                <w:sz w:val="21"/>
                <w:szCs w:val="21"/>
              </w:rPr>
              <w:t>距厂址距离</w:t>
            </w:r>
          </w:p>
        </w:tc>
        <w:tc>
          <w:tcPr>
            <w:tcW w:w="2342" w:type="pct"/>
            <w:vAlign w:val="center"/>
          </w:tcPr>
          <w:p w14:paraId="2447803E">
            <w:pPr>
              <w:spacing w:line="240" w:lineRule="auto"/>
              <w:jc w:val="center"/>
              <w:rPr>
                <w:rFonts w:cs="Times New Roman"/>
                <w:sz w:val="21"/>
                <w:szCs w:val="21"/>
              </w:rPr>
            </w:pPr>
            <w:r>
              <w:rPr>
                <w:rFonts w:cs="Times New Roman"/>
                <w:sz w:val="21"/>
                <w:szCs w:val="21"/>
              </w:rPr>
              <w:t>数据来源</w:t>
            </w:r>
          </w:p>
        </w:tc>
      </w:tr>
      <w:tr w14:paraId="02C9CC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26" w:type="pct"/>
            <w:vAlign w:val="center"/>
          </w:tcPr>
          <w:p w14:paraId="7E1EF81D">
            <w:pPr>
              <w:spacing w:line="240" w:lineRule="auto"/>
              <w:jc w:val="center"/>
              <w:rPr>
                <w:rFonts w:cs="Times New Roman"/>
                <w:sz w:val="21"/>
                <w:szCs w:val="21"/>
              </w:rPr>
            </w:pPr>
            <w:r>
              <w:rPr>
                <w:rFonts w:hint="eastAsia" w:cs="Times New Roman"/>
                <w:sz w:val="21"/>
                <w:szCs w:val="21"/>
              </w:rPr>
              <w:t>G1</w:t>
            </w:r>
          </w:p>
        </w:tc>
        <w:tc>
          <w:tcPr>
            <w:tcW w:w="623" w:type="pct"/>
            <w:vAlign w:val="center"/>
          </w:tcPr>
          <w:p w14:paraId="05216833">
            <w:pPr>
              <w:spacing w:line="240" w:lineRule="auto"/>
              <w:jc w:val="center"/>
              <w:rPr>
                <w:rFonts w:cs="Times New Roman"/>
                <w:sz w:val="21"/>
                <w:szCs w:val="21"/>
              </w:rPr>
            </w:pPr>
            <w:r>
              <w:rPr>
                <w:rFonts w:hint="eastAsia" w:cs="Times New Roman"/>
                <w:sz w:val="21"/>
                <w:szCs w:val="21"/>
              </w:rPr>
              <w:t>三铺村</w:t>
            </w:r>
          </w:p>
        </w:tc>
        <w:tc>
          <w:tcPr>
            <w:tcW w:w="626" w:type="pct"/>
            <w:vAlign w:val="center"/>
          </w:tcPr>
          <w:p w14:paraId="6DA72326">
            <w:pPr>
              <w:spacing w:line="240" w:lineRule="auto"/>
              <w:jc w:val="center"/>
              <w:rPr>
                <w:rFonts w:cs="Times New Roman"/>
                <w:sz w:val="21"/>
                <w:szCs w:val="21"/>
              </w:rPr>
            </w:pPr>
            <w:r>
              <w:rPr>
                <w:rFonts w:hint="eastAsia" w:cs="Times New Roman"/>
                <w:sz w:val="21"/>
                <w:szCs w:val="21"/>
              </w:rPr>
              <w:t>西北</w:t>
            </w:r>
          </w:p>
        </w:tc>
        <w:tc>
          <w:tcPr>
            <w:tcW w:w="783" w:type="pct"/>
            <w:vAlign w:val="center"/>
          </w:tcPr>
          <w:p w14:paraId="3FFC529B">
            <w:pPr>
              <w:spacing w:line="240" w:lineRule="auto"/>
              <w:jc w:val="center"/>
              <w:rPr>
                <w:rFonts w:cs="Times New Roman"/>
                <w:sz w:val="21"/>
                <w:szCs w:val="21"/>
              </w:rPr>
            </w:pPr>
            <w:r>
              <w:rPr>
                <w:rFonts w:hint="eastAsia" w:cs="Times New Roman"/>
                <w:sz w:val="21"/>
                <w:szCs w:val="21"/>
              </w:rPr>
              <w:t>约1380m</w:t>
            </w:r>
          </w:p>
        </w:tc>
        <w:tc>
          <w:tcPr>
            <w:tcW w:w="2342" w:type="pct"/>
            <w:vAlign w:val="center"/>
          </w:tcPr>
          <w:p w14:paraId="4DF9CA11">
            <w:pPr>
              <w:spacing w:line="240" w:lineRule="auto"/>
              <w:rPr>
                <w:rFonts w:cs="Times New Roman"/>
                <w:sz w:val="21"/>
                <w:szCs w:val="21"/>
              </w:rPr>
            </w:pPr>
            <w:r>
              <w:rPr>
                <w:rFonts w:hint="eastAsia" w:cs="Times New Roman"/>
                <w:sz w:val="21"/>
                <w:szCs w:val="21"/>
              </w:rPr>
              <w:t>《蚌埠精细化工高新技术产业基地环境影响区域评估+环境标准报告》</w:t>
            </w:r>
          </w:p>
        </w:tc>
      </w:tr>
      <w:tr w14:paraId="40A51B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26" w:type="pct"/>
            <w:vAlign w:val="center"/>
          </w:tcPr>
          <w:p w14:paraId="12A92C04">
            <w:pPr>
              <w:spacing w:line="240" w:lineRule="auto"/>
              <w:jc w:val="center"/>
              <w:rPr>
                <w:rFonts w:cs="Times New Roman"/>
                <w:sz w:val="21"/>
                <w:szCs w:val="21"/>
              </w:rPr>
            </w:pPr>
            <w:r>
              <w:rPr>
                <w:rFonts w:hint="eastAsia" w:cs="Times New Roman"/>
                <w:sz w:val="21"/>
                <w:szCs w:val="21"/>
              </w:rPr>
              <w:t>G2</w:t>
            </w:r>
          </w:p>
        </w:tc>
        <w:tc>
          <w:tcPr>
            <w:tcW w:w="623" w:type="pct"/>
            <w:vAlign w:val="center"/>
          </w:tcPr>
          <w:p w14:paraId="7F0A4C00">
            <w:pPr>
              <w:spacing w:line="240" w:lineRule="auto"/>
              <w:jc w:val="center"/>
              <w:rPr>
                <w:rFonts w:cs="Times New Roman"/>
                <w:sz w:val="21"/>
                <w:szCs w:val="21"/>
              </w:rPr>
            </w:pPr>
            <w:r>
              <w:rPr>
                <w:rFonts w:hint="eastAsia" w:cs="Times New Roman"/>
                <w:sz w:val="21"/>
                <w:szCs w:val="21"/>
              </w:rPr>
              <w:t>德诺化工厂区</w:t>
            </w:r>
          </w:p>
        </w:tc>
        <w:tc>
          <w:tcPr>
            <w:tcW w:w="626" w:type="pct"/>
            <w:vAlign w:val="center"/>
          </w:tcPr>
          <w:p w14:paraId="491295D5">
            <w:pPr>
              <w:spacing w:line="240" w:lineRule="auto"/>
              <w:jc w:val="center"/>
              <w:rPr>
                <w:rFonts w:cs="Times New Roman"/>
                <w:sz w:val="21"/>
                <w:szCs w:val="21"/>
              </w:rPr>
            </w:pPr>
            <w:r>
              <w:rPr>
                <w:rFonts w:hint="eastAsia" w:cs="Times New Roman"/>
                <w:sz w:val="21"/>
                <w:szCs w:val="21"/>
              </w:rPr>
              <w:t>西</w:t>
            </w:r>
          </w:p>
        </w:tc>
        <w:tc>
          <w:tcPr>
            <w:tcW w:w="783" w:type="pct"/>
            <w:vAlign w:val="center"/>
          </w:tcPr>
          <w:p w14:paraId="690AF3B4">
            <w:pPr>
              <w:spacing w:line="240" w:lineRule="auto"/>
              <w:jc w:val="center"/>
              <w:rPr>
                <w:rFonts w:cs="Times New Roman"/>
                <w:sz w:val="21"/>
                <w:szCs w:val="21"/>
              </w:rPr>
            </w:pPr>
            <w:r>
              <w:rPr>
                <w:rFonts w:hint="eastAsia" w:cs="Times New Roman"/>
                <w:sz w:val="21"/>
                <w:szCs w:val="21"/>
              </w:rPr>
              <w:t>约820m</w:t>
            </w:r>
          </w:p>
        </w:tc>
        <w:tc>
          <w:tcPr>
            <w:tcW w:w="2342" w:type="pct"/>
            <w:vAlign w:val="center"/>
          </w:tcPr>
          <w:p w14:paraId="64342CBC">
            <w:pPr>
              <w:spacing w:line="240" w:lineRule="auto"/>
              <w:rPr>
                <w:rFonts w:cs="Times New Roman"/>
                <w:sz w:val="21"/>
                <w:szCs w:val="21"/>
              </w:rPr>
            </w:pPr>
            <w:r>
              <w:rPr>
                <w:rFonts w:cs="Times New Roman"/>
                <w:sz w:val="21"/>
                <w:szCs w:val="21"/>
              </w:rPr>
              <w:t>《安徽德诺化工有限公司年产20万吨甲醛、10万吨脲醛树脂及5万吨酚醛树脂项目环境影响报告书》</w:t>
            </w:r>
          </w:p>
        </w:tc>
      </w:tr>
      <w:tr w14:paraId="22EE61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26" w:type="pct"/>
            <w:vAlign w:val="center"/>
          </w:tcPr>
          <w:p w14:paraId="190FDF32">
            <w:pPr>
              <w:spacing w:line="240" w:lineRule="auto"/>
              <w:jc w:val="center"/>
              <w:rPr>
                <w:rFonts w:cs="Times New Roman"/>
                <w:sz w:val="21"/>
                <w:szCs w:val="21"/>
              </w:rPr>
            </w:pPr>
            <w:r>
              <w:rPr>
                <w:rFonts w:hint="eastAsia"/>
                <w:sz w:val="21"/>
                <w:szCs w:val="21"/>
              </w:rPr>
              <w:t>G3</w:t>
            </w:r>
          </w:p>
        </w:tc>
        <w:tc>
          <w:tcPr>
            <w:tcW w:w="623" w:type="pct"/>
            <w:vAlign w:val="center"/>
          </w:tcPr>
          <w:p w14:paraId="10F238D7">
            <w:pPr>
              <w:spacing w:line="240" w:lineRule="auto"/>
              <w:jc w:val="center"/>
              <w:rPr>
                <w:rFonts w:cs="Times New Roman"/>
                <w:sz w:val="21"/>
                <w:szCs w:val="21"/>
              </w:rPr>
            </w:pPr>
            <w:r>
              <w:rPr>
                <w:rFonts w:hint="eastAsia" w:ascii="宋体" w:hAnsi="宋体"/>
                <w:sz w:val="21"/>
                <w:szCs w:val="21"/>
              </w:rPr>
              <w:t>圣光化工厂区</w:t>
            </w:r>
          </w:p>
        </w:tc>
        <w:tc>
          <w:tcPr>
            <w:tcW w:w="626" w:type="pct"/>
            <w:vAlign w:val="center"/>
          </w:tcPr>
          <w:p w14:paraId="377B4202">
            <w:pPr>
              <w:spacing w:line="240" w:lineRule="auto"/>
              <w:jc w:val="center"/>
              <w:rPr>
                <w:rFonts w:cs="Times New Roman"/>
                <w:sz w:val="21"/>
                <w:szCs w:val="21"/>
              </w:rPr>
            </w:pPr>
            <w:r>
              <w:rPr>
                <w:rFonts w:hint="eastAsia" w:ascii="宋体" w:hAnsi="宋体"/>
                <w:sz w:val="21"/>
                <w:szCs w:val="21"/>
              </w:rPr>
              <w:t>西</w:t>
            </w:r>
          </w:p>
        </w:tc>
        <w:tc>
          <w:tcPr>
            <w:tcW w:w="783" w:type="pct"/>
            <w:vAlign w:val="center"/>
          </w:tcPr>
          <w:p w14:paraId="0EA01F85">
            <w:pPr>
              <w:spacing w:line="240" w:lineRule="auto"/>
              <w:jc w:val="center"/>
              <w:rPr>
                <w:rFonts w:cs="Times New Roman"/>
                <w:sz w:val="21"/>
                <w:szCs w:val="21"/>
              </w:rPr>
            </w:pPr>
            <w:r>
              <w:rPr>
                <w:rFonts w:hint="eastAsia" w:cs="Times New Roman"/>
                <w:sz w:val="21"/>
                <w:szCs w:val="21"/>
              </w:rPr>
              <w:t>约1015m</w:t>
            </w:r>
          </w:p>
        </w:tc>
        <w:tc>
          <w:tcPr>
            <w:tcW w:w="2342" w:type="pct"/>
            <w:vAlign w:val="center"/>
          </w:tcPr>
          <w:p w14:paraId="2FE5EE29">
            <w:pPr>
              <w:spacing w:line="240" w:lineRule="auto"/>
              <w:rPr>
                <w:rFonts w:cs="Times New Roman"/>
                <w:sz w:val="21"/>
                <w:szCs w:val="21"/>
              </w:rPr>
            </w:pPr>
            <w:r>
              <w:rPr>
                <w:rFonts w:cs="Times New Roman"/>
                <w:sz w:val="21"/>
                <w:szCs w:val="21"/>
              </w:rPr>
              <w:t>《蚌埠市圣光化工有限公司年产5万吨七水硫酸镁、1万吨无水硫酸镁及2万吨三水醋酸钠项目环境影响报告书》</w:t>
            </w:r>
          </w:p>
        </w:tc>
      </w:tr>
      <w:bookmarkEnd w:id="62"/>
    </w:tbl>
    <w:p w14:paraId="2E15C398"/>
    <w:p w14:paraId="13FD74EA">
      <w:pPr>
        <w:spacing w:line="240" w:lineRule="auto"/>
        <w:jc w:val="center"/>
        <w:rPr>
          <w:rFonts w:cs="Times New Roman"/>
        </w:rPr>
      </w:pPr>
      <w:r>
        <w:rPr>
          <w:rFonts w:cs="Times New Roman"/>
        </w:rPr>
        <w:drawing>
          <wp:inline distT="0" distB="0" distL="0" distR="0">
            <wp:extent cx="5399405" cy="3712845"/>
            <wp:effectExtent l="0" t="0" r="0" b="1905"/>
            <wp:docPr id="1295309059"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309059" name="图片 155"/>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400000" cy="3713319"/>
                    </a:xfrm>
                    <a:prstGeom prst="rect">
                      <a:avLst/>
                    </a:prstGeom>
                  </pic:spPr>
                </pic:pic>
              </a:graphicData>
            </a:graphic>
          </wp:inline>
        </w:drawing>
      </w:r>
    </w:p>
    <w:p w14:paraId="7D7AEE8D">
      <w:pPr>
        <w:pStyle w:val="28"/>
        <w:rPr>
          <w:rFonts w:hint="eastAsia"/>
        </w:rPr>
      </w:pPr>
      <w:r>
        <w:rPr>
          <w:rFonts w:hint="eastAsia"/>
        </w:rPr>
        <w:t xml:space="preserve">图5.2-1 </w:t>
      </w:r>
      <w:r>
        <w:t>大气环境质量现状监测布点图</w:t>
      </w:r>
    </w:p>
    <w:p w14:paraId="701E843E">
      <w:pPr>
        <w:ind w:firstLine="480" w:firstLineChars="200"/>
      </w:pPr>
      <w:r>
        <w:t>2</w:t>
      </w:r>
      <w:r>
        <w:rPr>
          <w:rFonts w:hint="eastAsia"/>
        </w:rPr>
        <w:t>、监测因子</w:t>
      </w:r>
    </w:p>
    <w:p w14:paraId="5DC42373">
      <w:pPr>
        <w:pStyle w:val="82"/>
        <w:ind w:firstLine="480"/>
        <w:rPr>
          <w:rFonts w:ascii="Times New Roman" w:hAnsi="Times New Roman" w:cs="Times New Roman"/>
          <w:color w:val="000000" w:themeColor="text1"/>
          <w14:textFill>
            <w14:solidFill>
              <w14:schemeClr w14:val="tx1"/>
            </w14:solidFill>
          </w14:textFill>
        </w:rPr>
      </w:pPr>
      <w:r>
        <w:rPr>
          <w:rFonts w:hint="eastAsia"/>
          <w:color w:val="000000" w:themeColor="text1"/>
          <w14:textFill>
            <w14:solidFill>
              <w14:schemeClr w14:val="tx1"/>
            </w14:solidFill>
          </w14:textFill>
        </w:rPr>
        <w:t>各点位监测因</w:t>
      </w:r>
      <w:r>
        <w:rPr>
          <w:rFonts w:ascii="Times New Roman" w:hAnsi="Times New Roman" w:cs="Times New Roman"/>
          <w:color w:val="000000" w:themeColor="text1"/>
          <w14:textFill>
            <w14:solidFill>
              <w14:schemeClr w14:val="tx1"/>
            </w14:solidFill>
          </w14:textFill>
        </w:rPr>
        <w:t>子如表</w:t>
      </w:r>
      <w:r>
        <w:rPr>
          <w:rFonts w:hint="eastAsia" w:ascii="Times New Roman" w:hAnsi="Times New Roman" w:cs="Times New Roman"/>
          <w:color w:val="000000" w:themeColor="text1"/>
          <w14:textFill>
            <w14:solidFill>
              <w14:schemeClr w14:val="tx1"/>
            </w14:solidFill>
          </w14:textFill>
        </w:rPr>
        <w:t>5</w:t>
      </w:r>
      <w:r>
        <w:rPr>
          <w:rFonts w:ascii="Times New Roman" w:hAnsi="Times New Roman" w:cs="Times New Roman"/>
          <w:color w:val="000000" w:themeColor="text1"/>
          <w14:textFill>
            <w14:solidFill>
              <w14:schemeClr w14:val="tx1"/>
            </w14:solidFill>
          </w14:textFill>
        </w:rPr>
        <w:t>.2-3所示。</w:t>
      </w:r>
    </w:p>
    <w:p w14:paraId="4890E664">
      <w:pPr>
        <w:pStyle w:val="82"/>
        <w:ind w:firstLine="0" w:firstLineChars="0"/>
        <w:jc w:val="center"/>
        <w:rPr>
          <w:rFonts w:hint="eastAsia" w:ascii="黑体" w:hAnsi="黑体" w:eastAsia="黑体" w:cs="Times New Roman"/>
          <w:color w:val="000000" w:themeColor="text1"/>
          <w14:textFill>
            <w14:solidFill>
              <w14:schemeClr w14:val="tx1"/>
            </w14:solidFill>
          </w14:textFill>
        </w:rPr>
      </w:pPr>
      <w:r>
        <w:rPr>
          <w:rFonts w:ascii="黑体" w:hAnsi="黑体" w:eastAsia="黑体" w:cs="Times New Roman"/>
          <w:color w:val="000000" w:themeColor="text1"/>
          <w14:textFill>
            <w14:solidFill>
              <w14:schemeClr w14:val="tx1"/>
            </w14:solidFill>
          </w14:textFill>
        </w:rPr>
        <w:t>表</w:t>
      </w:r>
      <w:r>
        <w:rPr>
          <w:rFonts w:hint="eastAsia" w:ascii="黑体" w:hAnsi="黑体" w:eastAsia="黑体" w:cs="Times New Roman"/>
          <w:color w:val="000000" w:themeColor="text1"/>
          <w14:textFill>
            <w14:solidFill>
              <w14:schemeClr w14:val="tx1"/>
            </w14:solidFill>
          </w14:textFill>
        </w:rPr>
        <w:t>5</w:t>
      </w:r>
      <w:r>
        <w:rPr>
          <w:rFonts w:ascii="黑体" w:hAnsi="黑体" w:eastAsia="黑体" w:cs="Times New Roman"/>
          <w:color w:val="000000" w:themeColor="text1"/>
          <w14:textFill>
            <w14:solidFill>
              <w14:schemeClr w14:val="tx1"/>
            </w14:solidFill>
          </w14:textFill>
        </w:rPr>
        <w:t>.2-3  监测因子一览表</w:t>
      </w:r>
    </w:p>
    <w:tbl>
      <w:tblPr>
        <w:tblStyle w:val="3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38"/>
        <w:gridCol w:w="2470"/>
        <w:gridCol w:w="5078"/>
      </w:tblGrid>
      <w:tr w14:paraId="3BC334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936" w:type="pct"/>
            <w:vAlign w:val="center"/>
          </w:tcPr>
          <w:p w14:paraId="79E36E94">
            <w:pPr>
              <w:spacing w:line="240" w:lineRule="auto"/>
              <w:jc w:val="center"/>
              <w:rPr>
                <w:rFonts w:cs="Times New Roman"/>
                <w:sz w:val="21"/>
                <w:szCs w:val="21"/>
              </w:rPr>
            </w:pPr>
            <w:r>
              <w:rPr>
                <w:rFonts w:cs="Times New Roman"/>
                <w:sz w:val="21"/>
                <w:szCs w:val="21"/>
              </w:rPr>
              <w:t>点位编号</w:t>
            </w:r>
          </w:p>
        </w:tc>
        <w:tc>
          <w:tcPr>
            <w:tcW w:w="1330" w:type="pct"/>
            <w:vAlign w:val="center"/>
          </w:tcPr>
          <w:p w14:paraId="25162552">
            <w:pPr>
              <w:spacing w:line="240" w:lineRule="auto"/>
              <w:jc w:val="center"/>
              <w:rPr>
                <w:rFonts w:cs="Times New Roman"/>
                <w:sz w:val="21"/>
                <w:szCs w:val="21"/>
              </w:rPr>
            </w:pPr>
            <w:r>
              <w:rPr>
                <w:rFonts w:cs="Times New Roman"/>
                <w:sz w:val="21"/>
                <w:szCs w:val="21"/>
              </w:rPr>
              <w:t>点位名称</w:t>
            </w:r>
          </w:p>
        </w:tc>
        <w:tc>
          <w:tcPr>
            <w:tcW w:w="2734" w:type="pct"/>
            <w:vAlign w:val="center"/>
          </w:tcPr>
          <w:p w14:paraId="5DA27083">
            <w:pPr>
              <w:spacing w:line="240" w:lineRule="auto"/>
              <w:jc w:val="center"/>
              <w:rPr>
                <w:rFonts w:cs="Times New Roman"/>
                <w:sz w:val="21"/>
                <w:szCs w:val="21"/>
              </w:rPr>
            </w:pPr>
            <w:r>
              <w:rPr>
                <w:rFonts w:hint="eastAsia" w:cs="Times New Roman"/>
                <w:sz w:val="21"/>
                <w:szCs w:val="21"/>
              </w:rPr>
              <w:t>监测因子</w:t>
            </w:r>
          </w:p>
        </w:tc>
      </w:tr>
      <w:tr w14:paraId="07E9D1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936" w:type="pct"/>
            <w:vAlign w:val="center"/>
          </w:tcPr>
          <w:p w14:paraId="4AC1BCFC">
            <w:pPr>
              <w:spacing w:line="240" w:lineRule="auto"/>
              <w:jc w:val="center"/>
              <w:rPr>
                <w:rFonts w:cs="Times New Roman"/>
                <w:sz w:val="21"/>
                <w:szCs w:val="21"/>
              </w:rPr>
            </w:pPr>
            <w:r>
              <w:rPr>
                <w:rFonts w:hint="eastAsia" w:cs="Times New Roman"/>
                <w:sz w:val="21"/>
                <w:szCs w:val="21"/>
              </w:rPr>
              <w:t>G1</w:t>
            </w:r>
          </w:p>
        </w:tc>
        <w:tc>
          <w:tcPr>
            <w:tcW w:w="1330" w:type="pct"/>
            <w:vAlign w:val="center"/>
          </w:tcPr>
          <w:p w14:paraId="057BE904">
            <w:pPr>
              <w:spacing w:line="240" w:lineRule="auto"/>
              <w:jc w:val="center"/>
              <w:rPr>
                <w:rFonts w:cs="Times New Roman"/>
                <w:sz w:val="21"/>
                <w:szCs w:val="21"/>
              </w:rPr>
            </w:pPr>
            <w:r>
              <w:rPr>
                <w:rFonts w:hint="eastAsia" w:cs="Times New Roman"/>
                <w:sz w:val="21"/>
                <w:szCs w:val="21"/>
              </w:rPr>
              <w:t>三铺村</w:t>
            </w:r>
          </w:p>
        </w:tc>
        <w:tc>
          <w:tcPr>
            <w:tcW w:w="2734" w:type="pct"/>
            <w:vAlign w:val="center"/>
          </w:tcPr>
          <w:p w14:paraId="7DA6ED48">
            <w:pPr>
              <w:spacing w:line="240" w:lineRule="auto"/>
              <w:jc w:val="center"/>
              <w:rPr>
                <w:rFonts w:cs="Times New Roman"/>
                <w:sz w:val="21"/>
                <w:szCs w:val="21"/>
              </w:rPr>
            </w:pPr>
            <w:r>
              <w:rPr>
                <w:rFonts w:hint="eastAsia" w:cs="Times New Roman"/>
                <w:sz w:val="21"/>
                <w:szCs w:val="21"/>
              </w:rPr>
              <w:t>非甲烷总烃</w:t>
            </w:r>
          </w:p>
        </w:tc>
      </w:tr>
      <w:tr w14:paraId="1F9482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936" w:type="pct"/>
            <w:vAlign w:val="center"/>
          </w:tcPr>
          <w:p w14:paraId="30099185">
            <w:pPr>
              <w:spacing w:line="240" w:lineRule="auto"/>
              <w:jc w:val="center"/>
              <w:rPr>
                <w:rFonts w:cs="Times New Roman"/>
                <w:sz w:val="21"/>
                <w:szCs w:val="21"/>
              </w:rPr>
            </w:pPr>
            <w:r>
              <w:rPr>
                <w:rFonts w:hint="eastAsia" w:cs="Times New Roman"/>
                <w:sz w:val="21"/>
                <w:szCs w:val="21"/>
              </w:rPr>
              <w:t>G2</w:t>
            </w:r>
          </w:p>
        </w:tc>
        <w:tc>
          <w:tcPr>
            <w:tcW w:w="1330" w:type="pct"/>
            <w:vAlign w:val="center"/>
          </w:tcPr>
          <w:p w14:paraId="7A2078AD">
            <w:pPr>
              <w:spacing w:line="240" w:lineRule="auto"/>
              <w:jc w:val="center"/>
              <w:rPr>
                <w:rFonts w:cs="Times New Roman"/>
                <w:sz w:val="21"/>
                <w:szCs w:val="21"/>
              </w:rPr>
            </w:pPr>
            <w:r>
              <w:rPr>
                <w:rFonts w:hint="eastAsia" w:cs="Times New Roman"/>
                <w:sz w:val="21"/>
                <w:szCs w:val="21"/>
              </w:rPr>
              <w:t>德诺化工厂区</w:t>
            </w:r>
          </w:p>
        </w:tc>
        <w:tc>
          <w:tcPr>
            <w:tcW w:w="2734" w:type="pct"/>
            <w:vAlign w:val="center"/>
          </w:tcPr>
          <w:p w14:paraId="4AC26B20">
            <w:pPr>
              <w:spacing w:line="240" w:lineRule="auto"/>
              <w:jc w:val="center"/>
              <w:rPr>
                <w:rFonts w:cs="Times New Roman"/>
                <w:sz w:val="21"/>
                <w:szCs w:val="21"/>
              </w:rPr>
            </w:pPr>
            <w:r>
              <w:rPr>
                <w:rFonts w:hint="eastAsia" w:cs="Times New Roman"/>
                <w:sz w:val="21"/>
                <w:szCs w:val="21"/>
              </w:rPr>
              <w:t>酚类</w:t>
            </w:r>
          </w:p>
        </w:tc>
      </w:tr>
      <w:tr w14:paraId="556717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936" w:type="pct"/>
            <w:vAlign w:val="center"/>
          </w:tcPr>
          <w:p w14:paraId="1F545EC9">
            <w:pPr>
              <w:spacing w:line="240" w:lineRule="auto"/>
              <w:jc w:val="center"/>
              <w:rPr>
                <w:rFonts w:cs="Times New Roman"/>
                <w:sz w:val="21"/>
                <w:szCs w:val="21"/>
              </w:rPr>
            </w:pPr>
            <w:r>
              <w:rPr>
                <w:rFonts w:hint="eastAsia" w:cs="Times New Roman"/>
                <w:sz w:val="21"/>
                <w:szCs w:val="21"/>
              </w:rPr>
              <w:t>G3</w:t>
            </w:r>
          </w:p>
        </w:tc>
        <w:tc>
          <w:tcPr>
            <w:tcW w:w="1330" w:type="pct"/>
            <w:vAlign w:val="center"/>
          </w:tcPr>
          <w:p w14:paraId="02C50097">
            <w:pPr>
              <w:spacing w:line="240" w:lineRule="auto"/>
              <w:jc w:val="center"/>
              <w:rPr>
                <w:rFonts w:cs="Times New Roman"/>
                <w:sz w:val="21"/>
                <w:szCs w:val="21"/>
              </w:rPr>
            </w:pPr>
            <w:r>
              <w:rPr>
                <w:rFonts w:hint="eastAsia" w:ascii="宋体" w:hAnsi="宋体"/>
                <w:sz w:val="21"/>
                <w:szCs w:val="21"/>
              </w:rPr>
              <w:t>圣光化工厂区</w:t>
            </w:r>
          </w:p>
        </w:tc>
        <w:tc>
          <w:tcPr>
            <w:tcW w:w="2734" w:type="pct"/>
            <w:vAlign w:val="center"/>
          </w:tcPr>
          <w:p w14:paraId="5AB463D7">
            <w:pPr>
              <w:spacing w:line="240" w:lineRule="auto"/>
              <w:jc w:val="center"/>
              <w:rPr>
                <w:rFonts w:cs="Times New Roman"/>
                <w:sz w:val="21"/>
                <w:szCs w:val="21"/>
              </w:rPr>
            </w:pPr>
            <w:r>
              <w:rPr>
                <w:rFonts w:hint="eastAsia" w:cs="Times New Roman"/>
                <w:sz w:val="21"/>
                <w:szCs w:val="21"/>
              </w:rPr>
              <w:t>硫酸雾</w:t>
            </w:r>
          </w:p>
        </w:tc>
      </w:tr>
    </w:tbl>
    <w:p w14:paraId="6F083AFB">
      <w:pPr>
        <w:pStyle w:val="82"/>
        <w:ind w:firstLine="480"/>
        <w:rPr>
          <w:rFonts w:ascii="Times New Roman" w:hAnsi="Times New Roman" w:cs="Times New Roman"/>
          <w:color w:val="000000" w:themeColor="text1"/>
          <w14:textFill>
            <w14:solidFill>
              <w14:schemeClr w14:val="tx1"/>
            </w14:solidFill>
          </w14:textFill>
        </w:rPr>
      </w:pPr>
    </w:p>
    <w:p w14:paraId="29CB9B88">
      <w:pPr>
        <w:pStyle w:val="82"/>
        <w:ind w:firstLine="48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w:t>
      </w:r>
      <w:r>
        <w:rPr>
          <w:rFonts w:hint="eastAsia" w:ascii="Times New Roman" w:hAnsi="Times New Roman" w:cs="Times New Roman"/>
          <w:color w:val="000000" w:themeColor="text1"/>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监测时间与频次</w:t>
      </w:r>
    </w:p>
    <w:p w14:paraId="031A7D10">
      <w:pPr>
        <w:ind w:firstLine="480" w:firstLineChars="200"/>
        <w:rPr>
          <w:rFonts w:cs="Times New Roman"/>
        </w:rPr>
      </w:pPr>
      <w:r>
        <w:rPr>
          <w:rFonts w:hint="eastAsia" w:cs="Times New Roman"/>
        </w:rPr>
        <w:t>G1点位</w:t>
      </w:r>
      <w:r>
        <w:rPr>
          <w:rFonts w:cs="Times New Roman"/>
        </w:rPr>
        <w:t>监测时间</w:t>
      </w:r>
      <w:r>
        <w:rPr>
          <w:rFonts w:hint="eastAsia"/>
        </w:rPr>
        <w:t>2024年4月16日-2024年5月2日期间连续监测7天</w:t>
      </w:r>
      <w:r>
        <w:rPr>
          <w:rFonts w:hint="eastAsia" w:cs="Times New Roman"/>
        </w:rPr>
        <w:t>。G2点位</w:t>
      </w:r>
      <w:r>
        <w:rPr>
          <w:rFonts w:cs="Times New Roman"/>
        </w:rPr>
        <w:t>监测时间为2023.</w:t>
      </w:r>
      <w:r>
        <w:rPr>
          <w:rFonts w:hint="eastAsia" w:cs="Times New Roman"/>
        </w:rPr>
        <w:t>5</w:t>
      </w:r>
      <w:r>
        <w:rPr>
          <w:rFonts w:cs="Times New Roman"/>
        </w:rPr>
        <w:t>.</w:t>
      </w:r>
      <w:r>
        <w:rPr>
          <w:rFonts w:hint="eastAsia" w:cs="Times New Roman"/>
        </w:rPr>
        <w:t>9</w:t>
      </w:r>
      <w:r>
        <w:rPr>
          <w:rFonts w:cs="Times New Roman"/>
        </w:rPr>
        <w:t>-2023.</w:t>
      </w:r>
      <w:r>
        <w:rPr>
          <w:rFonts w:hint="eastAsia" w:cs="Times New Roman"/>
        </w:rPr>
        <w:t>5</w:t>
      </w:r>
      <w:r>
        <w:rPr>
          <w:rFonts w:cs="Times New Roman"/>
        </w:rPr>
        <w:t>.</w:t>
      </w:r>
      <w:r>
        <w:rPr>
          <w:rFonts w:hint="eastAsia" w:cs="Times New Roman"/>
        </w:rPr>
        <w:t>15</w:t>
      </w:r>
      <w:r>
        <w:rPr>
          <w:rFonts w:cs="Times New Roman"/>
        </w:rPr>
        <w:t>，连续监测7天。</w:t>
      </w:r>
      <w:r>
        <w:rPr>
          <w:rFonts w:hint="eastAsia" w:cs="Times New Roman"/>
        </w:rPr>
        <w:t>G3点位</w:t>
      </w:r>
      <w:r>
        <w:rPr>
          <w:rFonts w:cs="Times New Roman"/>
        </w:rPr>
        <w:t>监测时间为202</w:t>
      </w:r>
      <w:r>
        <w:rPr>
          <w:rFonts w:hint="eastAsia" w:cs="Times New Roman"/>
        </w:rPr>
        <w:t>4</w:t>
      </w:r>
      <w:r>
        <w:rPr>
          <w:rFonts w:cs="Times New Roman"/>
        </w:rPr>
        <w:t>.</w:t>
      </w:r>
      <w:r>
        <w:rPr>
          <w:rFonts w:hint="eastAsia" w:cs="Times New Roman"/>
        </w:rPr>
        <w:t>7</w:t>
      </w:r>
      <w:r>
        <w:rPr>
          <w:rFonts w:cs="Times New Roman"/>
        </w:rPr>
        <w:t>.</w:t>
      </w:r>
      <w:r>
        <w:rPr>
          <w:rFonts w:hint="eastAsia" w:cs="Times New Roman"/>
        </w:rPr>
        <w:t>1</w:t>
      </w:r>
      <w:r>
        <w:rPr>
          <w:rFonts w:cs="Times New Roman"/>
        </w:rPr>
        <w:t>-202</w:t>
      </w:r>
      <w:r>
        <w:rPr>
          <w:rFonts w:hint="eastAsia" w:cs="Times New Roman"/>
        </w:rPr>
        <w:t>4</w:t>
      </w:r>
      <w:r>
        <w:rPr>
          <w:rFonts w:cs="Times New Roman"/>
        </w:rPr>
        <w:t>.</w:t>
      </w:r>
      <w:r>
        <w:rPr>
          <w:rFonts w:hint="eastAsia" w:cs="Times New Roman"/>
        </w:rPr>
        <w:t>7</w:t>
      </w:r>
      <w:r>
        <w:rPr>
          <w:rFonts w:cs="Times New Roman"/>
        </w:rPr>
        <w:t>.</w:t>
      </w:r>
      <w:r>
        <w:rPr>
          <w:rFonts w:hint="eastAsia" w:cs="Times New Roman"/>
        </w:rPr>
        <w:t>7</w:t>
      </w:r>
      <w:r>
        <w:rPr>
          <w:rFonts w:cs="Times New Roman"/>
        </w:rPr>
        <w:t>，连续监测7天。</w:t>
      </w:r>
    </w:p>
    <w:p w14:paraId="2A3C7B52">
      <w:pPr>
        <w:pStyle w:val="82"/>
        <w:ind w:firstLine="48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4</w:t>
      </w:r>
      <w:r>
        <w:rPr>
          <w:rFonts w:hint="eastAsia" w:ascii="Times New Roman" w:hAnsi="Times New Roman" w:cs="Times New Roman"/>
          <w:color w:val="000000" w:themeColor="text1"/>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监测结果</w:t>
      </w:r>
      <w:r>
        <w:rPr>
          <w:rFonts w:hint="eastAsia" w:ascii="Times New Roman" w:hAnsi="Times New Roman" w:cs="Times New Roman"/>
          <w:color w:val="000000" w:themeColor="text1"/>
          <w14:textFill>
            <w14:solidFill>
              <w14:schemeClr w14:val="tx1"/>
            </w14:solidFill>
          </w14:textFill>
        </w:rPr>
        <w:t>与评价</w:t>
      </w:r>
    </w:p>
    <w:p w14:paraId="6D53CE95">
      <w:pPr>
        <w:pStyle w:val="82"/>
        <w:ind w:firstLine="480"/>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本次大气环境质量现状评价采用单因子污染指数法，公式如下：</w:t>
      </w:r>
    </w:p>
    <w:p w14:paraId="43291A26">
      <w:pPr>
        <w:pStyle w:val="82"/>
        <w:ind w:firstLine="0" w:firstLineChars="0"/>
        <w:jc w:val="center"/>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i/>
          <w:iCs/>
          <w:color w:val="000000" w:themeColor="text1"/>
          <w14:textFill>
            <w14:solidFill>
              <w14:schemeClr w14:val="tx1"/>
            </w14:solidFill>
          </w14:textFill>
        </w:rPr>
        <w:t>I</w:t>
      </w:r>
      <w:r>
        <w:rPr>
          <w:rFonts w:hint="eastAsia" w:ascii="Times New Roman" w:hAnsi="Times New Roman" w:cs="Times New Roman"/>
          <w:i/>
          <w:iCs/>
          <w:color w:val="000000" w:themeColor="text1"/>
          <w:vertAlign w:val="subscript"/>
          <w14:textFill>
            <w14:solidFill>
              <w14:schemeClr w14:val="tx1"/>
            </w14:solidFill>
          </w14:textFill>
        </w:rPr>
        <w:t>i</w:t>
      </w:r>
      <w:r>
        <w:rPr>
          <w:rFonts w:hint="eastAsia" w:ascii="Times New Roman" w:hAnsi="Times New Roman" w:cs="Times New Roman"/>
          <w:color w:val="000000" w:themeColor="text1"/>
          <w14:textFill>
            <w14:solidFill>
              <w14:schemeClr w14:val="tx1"/>
            </w14:solidFill>
          </w14:textFill>
        </w:rPr>
        <w:t>=</w:t>
      </w:r>
      <w:r>
        <w:rPr>
          <w:rFonts w:hint="eastAsia" w:ascii="Times New Roman" w:hAnsi="Times New Roman" w:cs="Times New Roman"/>
          <w:i/>
          <w:iCs/>
          <w:color w:val="000000" w:themeColor="text1"/>
          <w14:textFill>
            <w14:solidFill>
              <w14:schemeClr w14:val="tx1"/>
            </w14:solidFill>
          </w14:textFill>
        </w:rPr>
        <w:t>C</w:t>
      </w:r>
      <w:r>
        <w:rPr>
          <w:rFonts w:hint="eastAsia" w:ascii="Times New Roman" w:hAnsi="Times New Roman" w:cs="Times New Roman"/>
          <w:i/>
          <w:iCs/>
          <w:color w:val="000000" w:themeColor="text1"/>
          <w:vertAlign w:val="subscript"/>
          <w14:textFill>
            <w14:solidFill>
              <w14:schemeClr w14:val="tx1"/>
            </w14:solidFill>
          </w14:textFill>
        </w:rPr>
        <w:t>i</w:t>
      </w:r>
      <w:r>
        <w:rPr>
          <w:rFonts w:hint="eastAsia" w:ascii="Times New Roman" w:hAnsi="Times New Roman" w:cs="Times New Roman"/>
          <w:color w:val="000000" w:themeColor="text1"/>
          <w14:textFill>
            <w14:solidFill>
              <w14:schemeClr w14:val="tx1"/>
            </w14:solidFill>
          </w14:textFill>
        </w:rPr>
        <w:t>/</w:t>
      </w:r>
      <w:r>
        <w:rPr>
          <w:rFonts w:hint="eastAsia" w:ascii="Times New Roman" w:hAnsi="Times New Roman" w:cs="Times New Roman"/>
          <w:i/>
          <w:iCs/>
          <w:color w:val="000000" w:themeColor="text1"/>
          <w14:textFill>
            <w14:solidFill>
              <w14:schemeClr w14:val="tx1"/>
            </w14:solidFill>
          </w14:textFill>
        </w:rPr>
        <w:t>C</w:t>
      </w:r>
      <w:r>
        <w:rPr>
          <w:rFonts w:hint="eastAsia" w:ascii="Times New Roman" w:hAnsi="Times New Roman" w:cs="Times New Roman"/>
          <w:i/>
          <w:iCs/>
          <w:color w:val="000000" w:themeColor="text1"/>
          <w:vertAlign w:val="subscript"/>
          <w14:textFill>
            <w14:solidFill>
              <w14:schemeClr w14:val="tx1"/>
            </w14:solidFill>
          </w14:textFill>
        </w:rPr>
        <w:t>si</w:t>
      </w:r>
    </w:p>
    <w:p w14:paraId="1ADCEC90">
      <w:pPr>
        <w:pStyle w:val="82"/>
        <w:ind w:firstLine="480"/>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式中：</w:t>
      </w:r>
      <w:r>
        <w:rPr>
          <w:rFonts w:hint="eastAsia" w:ascii="Times New Roman" w:hAnsi="Times New Roman" w:cs="Times New Roman"/>
          <w:i/>
          <w:iCs/>
          <w:color w:val="000000" w:themeColor="text1"/>
          <w14:textFill>
            <w14:solidFill>
              <w14:schemeClr w14:val="tx1"/>
            </w14:solidFill>
          </w14:textFill>
        </w:rPr>
        <w:t>I</w:t>
      </w:r>
      <w:r>
        <w:rPr>
          <w:rFonts w:hint="eastAsia" w:ascii="Times New Roman" w:hAnsi="Times New Roman" w:cs="Times New Roman"/>
          <w:i/>
          <w:iCs/>
          <w:color w:val="000000" w:themeColor="text1"/>
          <w:vertAlign w:val="subscript"/>
          <w14:textFill>
            <w14:solidFill>
              <w14:schemeClr w14:val="tx1"/>
            </w14:solidFill>
          </w14:textFill>
        </w:rPr>
        <w:t>i</w:t>
      </w:r>
      <w:r>
        <w:rPr>
          <w:rFonts w:hint="eastAsia" w:ascii="Times New Roman" w:hAnsi="Times New Roman" w:cs="Times New Roman"/>
          <w:color w:val="000000" w:themeColor="text1"/>
          <w14:textFill>
            <w14:solidFill>
              <w14:schemeClr w14:val="tx1"/>
            </w14:solidFill>
          </w14:textFill>
        </w:rPr>
        <w:t>——i种污染物分指数；</w:t>
      </w:r>
    </w:p>
    <w:p w14:paraId="286C121A">
      <w:pPr>
        <w:pStyle w:val="82"/>
        <w:ind w:firstLine="1200" w:firstLineChars="500"/>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i/>
          <w:iCs/>
          <w:color w:val="000000" w:themeColor="text1"/>
          <w14:textFill>
            <w14:solidFill>
              <w14:schemeClr w14:val="tx1"/>
            </w14:solidFill>
          </w14:textFill>
        </w:rPr>
        <w:t>C</w:t>
      </w:r>
      <w:r>
        <w:rPr>
          <w:rFonts w:hint="eastAsia" w:ascii="Times New Roman" w:hAnsi="Times New Roman" w:cs="Times New Roman"/>
          <w:i/>
          <w:iCs/>
          <w:color w:val="000000" w:themeColor="text1"/>
          <w:vertAlign w:val="subscript"/>
          <w14:textFill>
            <w14:solidFill>
              <w14:schemeClr w14:val="tx1"/>
            </w14:solidFill>
          </w14:textFill>
        </w:rPr>
        <w:t>i</w:t>
      </w:r>
      <w:r>
        <w:rPr>
          <w:rFonts w:hint="eastAsia" w:ascii="Times New Roman" w:hAnsi="Times New Roman" w:cs="Times New Roman"/>
          <w:color w:val="000000" w:themeColor="text1"/>
          <w14:textFill>
            <w14:solidFill>
              <w14:schemeClr w14:val="tx1"/>
            </w14:solidFill>
          </w14:textFill>
        </w:rPr>
        <w:t>——i种污染物实测值，</w:t>
      </w:r>
      <w:r>
        <w:rPr>
          <w:rFonts w:ascii="Times New Roman" w:hAnsi="Times New Roman" w:cs="Times New Roman"/>
          <w:color w:val="000000" w:themeColor="text1"/>
          <w:szCs w:val="24"/>
          <w14:textFill>
            <w14:solidFill>
              <w14:schemeClr w14:val="tx1"/>
            </w14:solidFill>
          </w14:textFill>
        </w:rPr>
        <w:t>μg/m</w:t>
      </w:r>
      <w:r>
        <w:rPr>
          <w:rFonts w:ascii="Times New Roman" w:hAnsi="Times New Roman" w:cs="Times New Roman"/>
          <w:color w:val="000000" w:themeColor="text1"/>
          <w:szCs w:val="24"/>
          <w:vertAlign w:val="superscript"/>
          <w14:textFill>
            <w14:solidFill>
              <w14:schemeClr w14:val="tx1"/>
            </w14:solidFill>
          </w14:textFill>
        </w:rPr>
        <w:t>3</w:t>
      </w:r>
      <w:r>
        <w:rPr>
          <w:rFonts w:hint="eastAsia" w:ascii="Times New Roman" w:hAnsi="Times New Roman" w:cs="Times New Roman"/>
          <w:color w:val="000000" w:themeColor="text1"/>
          <w:szCs w:val="24"/>
          <w14:textFill>
            <w14:solidFill>
              <w14:schemeClr w14:val="tx1"/>
            </w14:solidFill>
          </w14:textFill>
        </w:rPr>
        <w:t>；</w:t>
      </w:r>
    </w:p>
    <w:p w14:paraId="54FF355A">
      <w:pPr>
        <w:pStyle w:val="82"/>
        <w:ind w:firstLine="1200" w:firstLineChars="500"/>
        <w:rPr>
          <w:rFonts w:ascii="Times New Roman" w:hAnsi="Times New Roman" w:cs="Times New Roman"/>
          <w:color w:val="000000" w:themeColor="text1"/>
          <w:szCs w:val="24"/>
          <w14:textFill>
            <w14:solidFill>
              <w14:schemeClr w14:val="tx1"/>
            </w14:solidFill>
          </w14:textFill>
        </w:rPr>
      </w:pPr>
      <w:r>
        <w:rPr>
          <w:rFonts w:hint="eastAsia" w:ascii="Times New Roman" w:hAnsi="Times New Roman" w:cs="Times New Roman"/>
          <w:i/>
          <w:iCs/>
          <w:color w:val="000000" w:themeColor="text1"/>
          <w14:textFill>
            <w14:solidFill>
              <w14:schemeClr w14:val="tx1"/>
            </w14:solidFill>
          </w14:textFill>
        </w:rPr>
        <w:t>C</w:t>
      </w:r>
      <w:r>
        <w:rPr>
          <w:rFonts w:hint="eastAsia" w:ascii="Times New Roman" w:hAnsi="Times New Roman" w:cs="Times New Roman"/>
          <w:i/>
          <w:iCs/>
          <w:color w:val="000000" w:themeColor="text1"/>
          <w:vertAlign w:val="subscript"/>
          <w14:textFill>
            <w14:solidFill>
              <w14:schemeClr w14:val="tx1"/>
            </w14:solidFill>
          </w14:textFill>
        </w:rPr>
        <w:t>si</w:t>
      </w:r>
      <w:r>
        <w:rPr>
          <w:rFonts w:hint="eastAsia" w:ascii="Times New Roman" w:hAnsi="Times New Roman" w:cs="Times New Roman"/>
          <w:color w:val="000000" w:themeColor="text1"/>
          <w:szCs w:val="24"/>
          <w14:textFill>
            <w14:solidFill>
              <w14:schemeClr w14:val="tx1"/>
            </w14:solidFill>
          </w14:textFill>
        </w:rPr>
        <w:t>——</w:t>
      </w:r>
      <w:r>
        <w:rPr>
          <w:rFonts w:hint="eastAsia" w:ascii="Times New Roman" w:hAnsi="Times New Roman" w:cs="Times New Roman"/>
          <w:color w:val="000000" w:themeColor="text1"/>
          <w14:textFill>
            <w14:solidFill>
              <w14:schemeClr w14:val="tx1"/>
            </w14:solidFill>
          </w14:textFill>
        </w:rPr>
        <w:t>i种污染物标准值，</w:t>
      </w:r>
      <w:r>
        <w:rPr>
          <w:rFonts w:ascii="Times New Roman" w:hAnsi="Times New Roman" w:cs="Times New Roman"/>
          <w:color w:val="000000" w:themeColor="text1"/>
          <w:szCs w:val="24"/>
          <w14:textFill>
            <w14:solidFill>
              <w14:schemeClr w14:val="tx1"/>
            </w14:solidFill>
          </w14:textFill>
        </w:rPr>
        <w:t>μg/m</w:t>
      </w:r>
      <w:r>
        <w:rPr>
          <w:rFonts w:ascii="Times New Roman" w:hAnsi="Times New Roman" w:cs="Times New Roman"/>
          <w:color w:val="000000" w:themeColor="text1"/>
          <w:szCs w:val="24"/>
          <w:vertAlign w:val="superscript"/>
          <w14:textFill>
            <w14:solidFill>
              <w14:schemeClr w14:val="tx1"/>
            </w14:solidFill>
          </w14:textFill>
        </w:rPr>
        <w:t>3</w:t>
      </w:r>
      <w:r>
        <w:rPr>
          <w:rFonts w:hint="eastAsia" w:ascii="Times New Roman" w:hAnsi="Times New Roman" w:cs="Times New Roman"/>
          <w:color w:val="000000" w:themeColor="text1"/>
          <w:szCs w:val="24"/>
          <w14:textFill>
            <w14:solidFill>
              <w14:schemeClr w14:val="tx1"/>
            </w14:solidFill>
          </w14:textFill>
        </w:rPr>
        <w:t>。</w:t>
      </w:r>
    </w:p>
    <w:p w14:paraId="5DAEA997">
      <w:pPr>
        <w:pStyle w:val="82"/>
        <w:ind w:firstLine="480"/>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I&gt;1为超标，否则为未超标。对监测数据进行整理，对照评价标准计算各监测点各项指标的污染指数范围。结果如下表所示。</w:t>
      </w:r>
    </w:p>
    <w:p w14:paraId="10ACF547">
      <w:pPr>
        <w:pStyle w:val="82"/>
        <w:ind w:firstLine="0" w:firstLineChars="0"/>
        <w:jc w:val="center"/>
        <w:rPr>
          <w:rFonts w:hint="eastAsia" w:ascii="黑体" w:hAnsi="黑体" w:eastAsia="黑体" w:cs="Times New Roman"/>
          <w:color w:val="000000" w:themeColor="text1"/>
          <w14:textFill>
            <w14:solidFill>
              <w14:schemeClr w14:val="tx1"/>
            </w14:solidFill>
          </w14:textFill>
        </w:rPr>
      </w:pPr>
      <w:r>
        <w:rPr>
          <w:rFonts w:ascii="黑体" w:hAnsi="黑体" w:eastAsia="黑体" w:cs="Times New Roman"/>
          <w:color w:val="000000" w:themeColor="text1"/>
          <w14:textFill>
            <w14:solidFill>
              <w14:schemeClr w14:val="tx1"/>
            </w14:solidFill>
          </w14:textFill>
        </w:rPr>
        <w:t>表</w:t>
      </w:r>
      <w:r>
        <w:rPr>
          <w:rFonts w:hint="eastAsia" w:ascii="黑体" w:hAnsi="黑体" w:eastAsia="黑体" w:cs="Times New Roman"/>
          <w:color w:val="000000" w:themeColor="text1"/>
          <w14:textFill>
            <w14:solidFill>
              <w14:schemeClr w14:val="tx1"/>
            </w14:solidFill>
          </w14:textFill>
        </w:rPr>
        <w:t>5</w:t>
      </w:r>
      <w:r>
        <w:rPr>
          <w:rFonts w:ascii="黑体" w:hAnsi="黑体" w:eastAsia="黑体" w:cs="Times New Roman"/>
          <w:color w:val="000000" w:themeColor="text1"/>
          <w14:textFill>
            <w14:solidFill>
              <w14:schemeClr w14:val="tx1"/>
            </w14:solidFill>
          </w14:textFill>
        </w:rPr>
        <w:t>.2-4  环境空气质量监测结果表</w:t>
      </w:r>
    </w:p>
    <w:tbl>
      <w:tblPr>
        <w:tblStyle w:val="3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62"/>
        <w:gridCol w:w="993"/>
        <w:gridCol w:w="1417"/>
        <w:gridCol w:w="1276"/>
        <w:gridCol w:w="1276"/>
        <w:gridCol w:w="1417"/>
        <w:gridCol w:w="1276"/>
        <w:gridCol w:w="843"/>
      </w:tblGrid>
      <w:tr w14:paraId="410BB1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vAlign w:val="center"/>
          </w:tcPr>
          <w:p w14:paraId="564A5C17">
            <w:pPr>
              <w:pStyle w:val="64"/>
            </w:pPr>
            <w:r>
              <w:rPr>
                <w:rFonts w:hint="eastAsia"/>
              </w:rPr>
              <w:t>编号</w:t>
            </w:r>
          </w:p>
        </w:tc>
        <w:tc>
          <w:tcPr>
            <w:tcW w:w="993" w:type="dxa"/>
            <w:vAlign w:val="center"/>
          </w:tcPr>
          <w:p w14:paraId="7DBBBA24">
            <w:pPr>
              <w:pStyle w:val="64"/>
            </w:pPr>
            <w:r>
              <w:rPr>
                <w:rFonts w:hint="eastAsia"/>
              </w:rPr>
              <w:t>名称</w:t>
            </w:r>
          </w:p>
        </w:tc>
        <w:tc>
          <w:tcPr>
            <w:tcW w:w="1417" w:type="dxa"/>
            <w:vAlign w:val="center"/>
          </w:tcPr>
          <w:p w14:paraId="25E0E47A">
            <w:pPr>
              <w:pStyle w:val="64"/>
            </w:pPr>
            <w:r>
              <w:rPr>
                <w:rFonts w:hint="eastAsia"/>
              </w:rPr>
              <w:t>污染物</w:t>
            </w:r>
          </w:p>
        </w:tc>
        <w:tc>
          <w:tcPr>
            <w:tcW w:w="1276" w:type="dxa"/>
            <w:vAlign w:val="center"/>
          </w:tcPr>
          <w:p w14:paraId="3FA9D74A">
            <w:pPr>
              <w:pStyle w:val="64"/>
            </w:pPr>
            <w:r>
              <w:rPr>
                <w:rFonts w:hint="eastAsia"/>
              </w:rPr>
              <w:t>评价指标</w:t>
            </w:r>
          </w:p>
        </w:tc>
        <w:tc>
          <w:tcPr>
            <w:tcW w:w="1276" w:type="dxa"/>
            <w:vAlign w:val="center"/>
          </w:tcPr>
          <w:p w14:paraId="71B509D9">
            <w:pPr>
              <w:pStyle w:val="64"/>
            </w:pPr>
            <w:r>
              <w:rPr>
                <w:rFonts w:hint="eastAsia"/>
              </w:rPr>
              <w:t>标准值(mg/m</w:t>
            </w:r>
            <w:r>
              <w:rPr>
                <w:rFonts w:hint="eastAsia"/>
                <w:vertAlign w:val="superscript"/>
              </w:rPr>
              <w:t>3</w:t>
            </w:r>
            <w:r>
              <w:rPr>
                <w:rFonts w:hint="eastAsia"/>
              </w:rPr>
              <w:t>)</w:t>
            </w:r>
          </w:p>
        </w:tc>
        <w:tc>
          <w:tcPr>
            <w:tcW w:w="1417" w:type="dxa"/>
            <w:vAlign w:val="center"/>
          </w:tcPr>
          <w:p w14:paraId="4947AD1D">
            <w:pPr>
              <w:pStyle w:val="64"/>
            </w:pPr>
            <w:r>
              <w:rPr>
                <w:rFonts w:hint="eastAsia"/>
              </w:rPr>
              <w:t>现状浓度范围(mg/m</w:t>
            </w:r>
            <w:r>
              <w:rPr>
                <w:rFonts w:hint="eastAsia"/>
                <w:vertAlign w:val="superscript"/>
              </w:rPr>
              <w:t>3</w:t>
            </w:r>
            <w:r>
              <w:rPr>
                <w:rFonts w:hint="eastAsia"/>
              </w:rPr>
              <w:t>)</w:t>
            </w:r>
          </w:p>
        </w:tc>
        <w:tc>
          <w:tcPr>
            <w:tcW w:w="1276" w:type="dxa"/>
            <w:vAlign w:val="center"/>
          </w:tcPr>
          <w:p w14:paraId="5DC8FEEF">
            <w:pPr>
              <w:pStyle w:val="64"/>
            </w:pPr>
            <w:r>
              <w:rPr>
                <w:rFonts w:hint="eastAsia"/>
              </w:rPr>
              <w:t>最大浓度占标率(%)</w:t>
            </w:r>
          </w:p>
        </w:tc>
        <w:tc>
          <w:tcPr>
            <w:tcW w:w="843" w:type="dxa"/>
            <w:vAlign w:val="center"/>
          </w:tcPr>
          <w:p w14:paraId="02E90905">
            <w:pPr>
              <w:pStyle w:val="64"/>
            </w:pPr>
            <w:r>
              <w:rPr>
                <w:rFonts w:hint="eastAsia"/>
              </w:rPr>
              <w:t>达标情况</w:t>
            </w:r>
          </w:p>
        </w:tc>
      </w:tr>
      <w:tr w14:paraId="520F10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vAlign w:val="center"/>
          </w:tcPr>
          <w:p w14:paraId="78A172D1">
            <w:pPr>
              <w:pStyle w:val="64"/>
            </w:pPr>
            <w:r>
              <w:rPr>
                <w:rFonts w:hint="eastAsia"/>
              </w:rPr>
              <w:t>G1</w:t>
            </w:r>
          </w:p>
        </w:tc>
        <w:tc>
          <w:tcPr>
            <w:tcW w:w="993" w:type="dxa"/>
            <w:vAlign w:val="center"/>
          </w:tcPr>
          <w:p w14:paraId="64BEA7D2">
            <w:pPr>
              <w:pStyle w:val="64"/>
            </w:pPr>
            <w:r>
              <w:rPr>
                <w:rFonts w:hint="eastAsia"/>
              </w:rPr>
              <w:t>三铺村</w:t>
            </w:r>
          </w:p>
        </w:tc>
        <w:tc>
          <w:tcPr>
            <w:tcW w:w="1417" w:type="dxa"/>
            <w:vAlign w:val="center"/>
          </w:tcPr>
          <w:p w14:paraId="013912B6">
            <w:pPr>
              <w:pStyle w:val="64"/>
            </w:pPr>
            <w:r>
              <w:rPr>
                <w:rFonts w:hint="eastAsia"/>
              </w:rPr>
              <w:t>非甲烷总烃</w:t>
            </w:r>
          </w:p>
        </w:tc>
        <w:tc>
          <w:tcPr>
            <w:tcW w:w="1276" w:type="dxa"/>
            <w:vAlign w:val="center"/>
          </w:tcPr>
          <w:p w14:paraId="058F876B">
            <w:pPr>
              <w:pStyle w:val="64"/>
            </w:pPr>
            <w:r>
              <w:rPr>
                <w:rFonts w:hint="eastAsia"/>
              </w:rPr>
              <w:t>1小时平均</w:t>
            </w:r>
          </w:p>
        </w:tc>
        <w:tc>
          <w:tcPr>
            <w:tcW w:w="1276" w:type="dxa"/>
            <w:vAlign w:val="center"/>
          </w:tcPr>
          <w:p w14:paraId="6E4AC94B">
            <w:pPr>
              <w:pStyle w:val="64"/>
            </w:pPr>
            <w:r>
              <w:rPr>
                <w:rFonts w:hint="eastAsia"/>
              </w:rPr>
              <w:t>2.0</w:t>
            </w:r>
          </w:p>
        </w:tc>
        <w:tc>
          <w:tcPr>
            <w:tcW w:w="1417" w:type="dxa"/>
            <w:vAlign w:val="center"/>
          </w:tcPr>
          <w:p w14:paraId="46193B23">
            <w:pPr>
              <w:pStyle w:val="64"/>
            </w:pPr>
            <w:r>
              <w:rPr>
                <w:rFonts w:hint="eastAsia"/>
              </w:rPr>
              <w:t>0.29~0.65</w:t>
            </w:r>
          </w:p>
        </w:tc>
        <w:tc>
          <w:tcPr>
            <w:tcW w:w="1276" w:type="dxa"/>
            <w:vAlign w:val="center"/>
          </w:tcPr>
          <w:p w14:paraId="50FE9617">
            <w:pPr>
              <w:pStyle w:val="64"/>
            </w:pPr>
            <w:r>
              <w:rPr>
                <w:rFonts w:hint="eastAsia"/>
              </w:rPr>
              <w:t>32.5</w:t>
            </w:r>
          </w:p>
        </w:tc>
        <w:tc>
          <w:tcPr>
            <w:tcW w:w="843" w:type="dxa"/>
            <w:vAlign w:val="center"/>
          </w:tcPr>
          <w:p w14:paraId="51D0CB2B">
            <w:pPr>
              <w:pStyle w:val="64"/>
            </w:pPr>
            <w:r>
              <w:rPr>
                <w:rFonts w:hint="eastAsia"/>
              </w:rPr>
              <w:t>达标</w:t>
            </w:r>
          </w:p>
        </w:tc>
      </w:tr>
      <w:tr w14:paraId="52C59E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vAlign w:val="center"/>
          </w:tcPr>
          <w:p w14:paraId="26EB98B6">
            <w:pPr>
              <w:pStyle w:val="64"/>
            </w:pPr>
            <w:r>
              <w:rPr>
                <w:rFonts w:hint="eastAsia"/>
              </w:rPr>
              <w:t>G2</w:t>
            </w:r>
          </w:p>
        </w:tc>
        <w:tc>
          <w:tcPr>
            <w:tcW w:w="993" w:type="dxa"/>
            <w:vAlign w:val="center"/>
          </w:tcPr>
          <w:p w14:paraId="374E5137">
            <w:pPr>
              <w:pStyle w:val="64"/>
            </w:pPr>
            <w:r>
              <w:rPr>
                <w:rFonts w:hint="eastAsia"/>
              </w:rPr>
              <w:t>德诺化工厂区</w:t>
            </w:r>
          </w:p>
        </w:tc>
        <w:tc>
          <w:tcPr>
            <w:tcW w:w="1417" w:type="dxa"/>
            <w:vAlign w:val="center"/>
          </w:tcPr>
          <w:p w14:paraId="528E6F50">
            <w:pPr>
              <w:pStyle w:val="64"/>
            </w:pPr>
            <w:r>
              <w:rPr>
                <w:rFonts w:hint="eastAsia"/>
              </w:rPr>
              <w:t>酚类</w:t>
            </w:r>
          </w:p>
        </w:tc>
        <w:tc>
          <w:tcPr>
            <w:tcW w:w="1276" w:type="dxa"/>
            <w:vAlign w:val="center"/>
          </w:tcPr>
          <w:p w14:paraId="3D514314">
            <w:pPr>
              <w:pStyle w:val="64"/>
            </w:pPr>
            <w:r>
              <w:rPr>
                <w:rFonts w:hint="eastAsia"/>
              </w:rPr>
              <w:t>一次值</w:t>
            </w:r>
          </w:p>
        </w:tc>
        <w:tc>
          <w:tcPr>
            <w:tcW w:w="1276" w:type="dxa"/>
            <w:vAlign w:val="center"/>
          </w:tcPr>
          <w:p w14:paraId="71872922">
            <w:pPr>
              <w:pStyle w:val="64"/>
            </w:pPr>
            <w:r>
              <w:rPr>
                <w:rFonts w:hint="eastAsia"/>
              </w:rPr>
              <w:t>0.02</w:t>
            </w:r>
          </w:p>
        </w:tc>
        <w:tc>
          <w:tcPr>
            <w:tcW w:w="1417" w:type="dxa"/>
            <w:vAlign w:val="center"/>
          </w:tcPr>
          <w:p w14:paraId="6941F981">
            <w:pPr>
              <w:pStyle w:val="64"/>
              <w:rPr>
                <w:rFonts w:cs="Times New Roman"/>
              </w:rPr>
            </w:pPr>
            <w:r>
              <w:rPr>
                <w:rFonts w:hint="eastAsia" w:cs="Times New Roman"/>
              </w:rPr>
              <w:t>ND</w:t>
            </w:r>
          </w:p>
        </w:tc>
        <w:tc>
          <w:tcPr>
            <w:tcW w:w="1276" w:type="dxa"/>
            <w:vAlign w:val="center"/>
          </w:tcPr>
          <w:p w14:paraId="230DC952">
            <w:pPr>
              <w:pStyle w:val="64"/>
            </w:pPr>
            <w:r>
              <w:rPr>
                <w:rFonts w:hint="eastAsia"/>
              </w:rPr>
              <w:t>75</w:t>
            </w:r>
          </w:p>
        </w:tc>
        <w:tc>
          <w:tcPr>
            <w:tcW w:w="843" w:type="dxa"/>
            <w:vAlign w:val="center"/>
          </w:tcPr>
          <w:p w14:paraId="62F10124">
            <w:pPr>
              <w:pStyle w:val="64"/>
            </w:pPr>
            <w:r>
              <w:rPr>
                <w:rFonts w:hint="eastAsia"/>
              </w:rPr>
              <w:t>达标</w:t>
            </w:r>
          </w:p>
        </w:tc>
      </w:tr>
      <w:tr w14:paraId="7A0A0C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vAlign w:val="center"/>
          </w:tcPr>
          <w:p w14:paraId="025753E9">
            <w:pPr>
              <w:pStyle w:val="64"/>
            </w:pPr>
            <w:r>
              <w:rPr>
                <w:rFonts w:hint="eastAsia"/>
              </w:rPr>
              <w:t>G3</w:t>
            </w:r>
          </w:p>
        </w:tc>
        <w:tc>
          <w:tcPr>
            <w:tcW w:w="993" w:type="dxa"/>
            <w:vAlign w:val="center"/>
          </w:tcPr>
          <w:p w14:paraId="6B3AB3E2">
            <w:pPr>
              <w:pStyle w:val="64"/>
            </w:pPr>
            <w:r>
              <w:rPr>
                <w:rFonts w:hint="eastAsia"/>
              </w:rPr>
              <w:t>圣光化工厂区</w:t>
            </w:r>
          </w:p>
        </w:tc>
        <w:tc>
          <w:tcPr>
            <w:tcW w:w="1417" w:type="dxa"/>
            <w:vAlign w:val="center"/>
          </w:tcPr>
          <w:p w14:paraId="4613E5AE">
            <w:pPr>
              <w:pStyle w:val="64"/>
            </w:pPr>
            <w:r>
              <w:rPr>
                <w:rFonts w:hint="eastAsia"/>
              </w:rPr>
              <w:t>硫酸雾</w:t>
            </w:r>
          </w:p>
        </w:tc>
        <w:tc>
          <w:tcPr>
            <w:tcW w:w="1276" w:type="dxa"/>
            <w:vAlign w:val="center"/>
          </w:tcPr>
          <w:p w14:paraId="045F2971">
            <w:pPr>
              <w:pStyle w:val="64"/>
            </w:pPr>
            <w:r>
              <w:rPr>
                <w:rFonts w:hint="eastAsia"/>
              </w:rPr>
              <w:t>1小时平均</w:t>
            </w:r>
          </w:p>
        </w:tc>
        <w:tc>
          <w:tcPr>
            <w:tcW w:w="1276" w:type="dxa"/>
            <w:vAlign w:val="center"/>
          </w:tcPr>
          <w:p w14:paraId="51C596BC">
            <w:pPr>
              <w:pStyle w:val="64"/>
            </w:pPr>
            <w:r>
              <w:rPr>
                <w:rFonts w:hint="eastAsia"/>
              </w:rPr>
              <w:t>0.3</w:t>
            </w:r>
          </w:p>
        </w:tc>
        <w:tc>
          <w:tcPr>
            <w:tcW w:w="1417" w:type="dxa"/>
            <w:vAlign w:val="center"/>
          </w:tcPr>
          <w:p w14:paraId="24349D77">
            <w:pPr>
              <w:pStyle w:val="64"/>
            </w:pPr>
            <w:r>
              <w:rPr>
                <w:rFonts w:hint="eastAsia"/>
              </w:rPr>
              <w:t>ND</w:t>
            </w:r>
          </w:p>
        </w:tc>
        <w:tc>
          <w:tcPr>
            <w:tcW w:w="1276" w:type="dxa"/>
            <w:vAlign w:val="center"/>
          </w:tcPr>
          <w:p w14:paraId="118998AD">
            <w:pPr>
              <w:pStyle w:val="64"/>
            </w:pPr>
            <w:r>
              <w:rPr>
                <w:rFonts w:hint="eastAsia"/>
              </w:rPr>
              <w:t>0.83</w:t>
            </w:r>
          </w:p>
        </w:tc>
        <w:tc>
          <w:tcPr>
            <w:tcW w:w="843" w:type="dxa"/>
            <w:vAlign w:val="center"/>
          </w:tcPr>
          <w:p w14:paraId="66B2F265">
            <w:pPr>
              <w:pStyle w:val="64"/>
            </w:pPr>
            <w:r>
              <w:rPr>
                <w:rFonts w:hint="eastAsia"/>
              </w:rPr>
              <w:t>达标</w:t>
            </w:r>
          </w:p>
        </w:tc>
      </w:tr>
    </w:tbl>
    <w:p w14:paraId="6E9A9EFD">
      <w:pPr>
        <w:spacing w:line="240" w:lineRule="auto"/>
        <w:rPr>
          <w:rFonts w:hint="eastAsia" w:ascii="黑体" w:hAnsi="黑体" w:eastAsia="黑体" w:cs="Times New Roman"/>
          <w:spacing w:val="-3"/>
          <w:sz w:val="18"/>
          <w:szCs w:val="18"/>
        </w:rPr>
      </w:pPr>
      <w:r>
        <w:rPr>
          <w:rFonts w:hint="eastAsia" w:ascii="黑体" w:hAnsi="黑体" w:eastAsia="黑体" w:cs="Times New Roman"/>
          <w:spacing w:val="-3"/>
          <w:sz w:val="18"/>
          <w:szCs w:val="18"/>
        </w:rPr>
        <w:t>注：“ND”以检出限的一半进行占标率计算。</w:t>
      </w:r>
    </w:p>
    <w:p w14:paraId="3CD253DC">
      <w:pPr>
        <w:ind w:firstLine="468" w:firstLineChars="200"/>
        <w:rPr>
          <w:rFonts w:cs="Times New Roman"/>
          <w:spacing w:val="-3"/>
        </w:rPr>
      </w:pPr>
    </w:p>
    <w:p w14:paraId="6BE7F3D0">
      <w:pPr>
        <w:ind w:firstLine="468" w:firstLineChars="200"/>
        <w:rPr>
          <w:rFonts w:cs="Times New Roman"/>
          <w:spacing w:val="-3"/>
        </w:rPr>
      </w:pPr>
      <w:r>
        <w:rPr>
          <w:rFonts w:hint="eastAsia" w:cs="Times New Roman"/>
          <w:spacing w:val="-3"/>
        </w:rPr>
        <w:t>酚类、非甲烷总烃满足《大气污染物综合排放标准详解》中规定的标准值，硫酸雾满足《环境影响评价 技术导则大气环境》(HJ2.2-2018)附录D其他污染物空气质量浓度参考限值，区域大气环境质量状况良好。</w:t>
      </w:r>
    </w:p>
    <w:p w14:paraId="3C816B0C">
      <w:pPr>
        <w:pStyle w:val="4"/>
        <w:rPr>
          <w:rFonts w:hint="eastAsia"/>
        </w:rPr>
      </w:pPr>
      <w:bookmarkStart w:id="63" w:name="_Toc221056401"/>
      <w:r>
        <w:rPr>
          <w:rFonts w:hint="eastAsia"/>
        </w:rPr>
        <w:t>5.2.2地表水环境质量现状</w:t>
      </w:r>
      <w:bookmarkEnd w:id="63"/>
    </w:p>
    <w:p w14:paraId="4BF48832">
      <w:pPr>
        <w:ind w:firstLine="468" w:firstLineChars="200"/>
        <w:rPr>
          <w:rFonts w:cs="Times New Roman"/>
          <w:spacing w:val="-3"/>
        </w:rPr>
      </w:pPr>
      <w:r>
        <w:rPr>
          <w:rFonts w:hint="eastAsia" w:cs="Times New Roman"/>
          <w:spacing w:val="-3"/>
        </w:rPr>
        <w:t>1、区域地表水水质情况</w:t>
      </w:r>
    </w:p>
    <w:p w14:paraId="7F19C206">
      <w:pPr>
        <w:ind w:firstLine="480" w:firstLineChars="200"/>
        <w:rPr>
          <w:rFonts w:cs="Times New Roman"/>
          <w:spacing w:val="-3"/>
        </w:rPr>
      </w:pPr>
      <w:r>
        <w:t>根据《202</w:t>
      </w:r>
      <w:r>
        <w:rPr>
          <w:rFonts w:hint="eastAsia"/>
        </w:rPr>
        <w:t>4</w:t>
      </w:r>
      <w:r>
        <w:t>年蚌埠市生态环境质量状况公报》，</w:t>
      </w:r>
      <w:r>
        <w:rPr>
          <w:rFonts w:hint="eastAsia"/>
        </w:rPr>
        <w:t>蚌埠市“十四五”地表水国控监测断面(点位)包括8个河流断面(2个淮河干流和6个支流断面)和4个湖泊点位。省控监测断面(点位)包括7个河流断面(3个淮河干流和4个支流)和2个湖泊点位。</w:t>
      </w:r>
    </w:p>
    <w:p w14:paraId="1A35548C">
      <w:pPr>
        <w:ind w:firstLine="468" w:firstLineChars="200"/>
        <w:rPr>
          <w:rFonts w:cs="Times New Roman"/>
          <w:spacing w:val="-3"/>
        </w:rPr>
      </w:pPr>
      <w:r>
        <w:rPr>
          <w:rFonts w:hint="eastAsia" w:cs="Times New Roman"/>
          <w:spacing w:val="-3"/>
        </w:rPr>
        <w:t>根据监</w:t>
      </w:r>
      <w:r>
        <w:rPr>
          <w:rFonts w:cs="Times New Roman"/>
          <w:spacing w:val="-3"/>
        </w:rPr>
        <w:t>测结果，区域地表水水质良好，</w:t>
      </w:r>
      <w:r>
        <w:rPr>
          <w:rFonts w:hint="eastAsia" w:cs="Times New Roman"/>
          <w:spacing w:val="-3"/>
        </w:rPr>
        <w:t>均</w:t>
      </w:r>
      <w:r>
        <w:rPr>
          <w:rFonts w:cs="Times New Roman"/>
          <w:spacing w:val="-3"/>
        </w:rPr>
        <w:t>能达到《地表水环境质量标准》(GB3838-2002)中的Ⅲ类标准要求。</w:t>
      </w:r>
    </w:p>
    <w:p w14:paraId="0AF935C9">
      <w:pPr>
        <w:ind w:firstLine="468" w:firstLineChars="200"/>
        <w:rPr>
          <w:rFonts w:cs="Times New Roman"/>
          <w:spacing w:val="-3"/>
        </w:rPr>
      </w:pPr>
      <w:r>
        <w:rPr>
          <w:rFonts w:hint="eastAsia" w:cs="Times New Roman"/>
          <w:spacing w:val="-3"/>
        </w:rPr>
        <w:t>2、地表水环境质量现状监测</w:t>
      </w:r>
    </w:p>
    <w:p w14:paraId="159118F8">
      <w:pPr>
        <w:ind w:firstLine="468" w:firstLineChars="200"/>
        <w:rPr>
          <w:rFonts w:cs="Times New Roman"/>
          <w:spacing w:val="-3"/>
        </w:rPr>
      </w:pPr>
      <w:r>
        <w:rPr>
          <w:rFonts w:hint="eastAsia" w:cs="Times New Roman"/>
          <w:spacing w:val="-3"/>
        </w:rPr>
        <w:t>区域地表水环境质量现状监测数据引用《蚌埠精细化工高新技术产业基地环境影响区域评估+环境标准报告》中地表水监测数据，监测时间为2024年4月28日~2024年4月30日，引用数据有效。</w:t>
      </w:r>
    </w:p>
    <w:p w14:paraId="7A77975D">
      <w:pPr>
        <w:ind w:firstLine="468" w:firstLineChars="200"/>
        <w:rPr>
          <w:rFonts w:cs="Times New Roman"/>
          <w:spacing w:val="-3"/>
        </w:rPr>
      </w:pPr>
      <w:r>
        <w:rPr>
          <w:rFonts w:hint="eastAsia" w:cs="Times New Roman"/>
          <w:spacing w:val="-3"/>
        </w:rPr>
        <w:t>(1)监测布点</w:t>
      </w:r>
    </w:p>
    <w:p w14:paraId="58F6D09B">
      <w:pPr>
        <w:ind w:firstLine="468" w:firstLineChars="200"/>
        <w:rPr>
          <w:rFonts w:cs="Times New Roman"/>
          <w:spacing w:val="-3"/>
        </w:rPr>
      </w:pPr>
      <w:r>
        <w:rPr>
          <w:rFonts w:hint="eastAsia" w:cs="Times New Roman"/>
          <w:spacing w:val="-3"/>
        </w:rPr>
        <w:t>共布设6个监测断面。断面位置见图5.2-2和表5.2-5。</w:t>
      </w:r>
    </w:p>
    <w:p w14:paraId="0FADB409">
      <w:pPr>
        <w:spacing w:line="240" w:lineRule="auto"/>
        <w:jc w:val="center"/>
        <w:rPr>
          <w:rFonts w:cs="Times New Roman"/>
          <w:spacing w:val="-3"/>
        </w:rPr>
      </w:pPr>
      <w:r>
        <w:rPr>
          <w:rFonts w:cs="Times New Roman"/>
          <w:spacing w:val="-3"/>
        </w:rPr>
        <w:drawing>
          <wp:inline distT="0" distB="0" distL="0" distR="0">
            <wp:extent cx="5399405" cy="4055110"/>
            <wp:effectExtent l="0" t="0" r="0" b="2540"/>
            <wp:docPr id="397602252"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602252" name="图片 155"/>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400000" cy="4055656"/>
                    </a:xfrm>
                    <a:prstGeom prst="rect">
                      <a:avLst/>
                    </a:prstGeom>
                  </pic:spPr>
                </pic:pic>
              </a:graphicData>
            </a:graphic>
          </wp:inline>
        </w:drawing>
      </w:r>
    </w:p>
    <w:p w14:paraId="15E07C10">
      <w:pPr>
        <w:pStyle w:val="28"/>
        <w:rPr>
          <w:rFonts w:hint="eastAsia"/>
        </w:rPr>
      </w:pPr>
      <w:r>
        <w:rPr>
          <w:rFonts w:hint="eastAsia"/>
        </w:rPr>
        <w:t>图5.2-2 地表水</w:t>
      </w:r>
      <w:r>
        <w:t>环境质量现状监测布点图</w:t>
      </w:r>
    </w:p>
    <w:p w14:paraId="60042D87">
      <w:pPr>
        <w:pStyle w:val="28"/>
        <w:rPr>
          <w:rFonts w:hint="eastAsia"/>
        </w:rPr>
      </w:pPr>
      <w:r>
        <w:rPr>
          <w:rFonts w:hint="eastAsia"/>
        </w:rPr>
        <w:t>表5.2-5  地表水监测断面一览表</w:t>
      </w:r>
    </w:p>
    <w:tbl>
      <w:tblPr>
        <w:tblStyle w:val="3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4"/>
        <w:gridCol w:w="1134"/>
        <w:gridCol w:w="4678"/>
        <w:gridCol w:w="2544"/>
      </w:tblGrid>
      <w:tr w14:paraId="0AD751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vAlign w:val="center"/>
          </w:tcPr>
          <w:p w14:paraId="1B538B55">
            <w:pPr>
              <w:pStyle w:val="64"/>
              <w:rPr>
                <w:rFonts w:cs="Times New Roman"/>
              </w:rPr>
            </w:pPr>
            <w:r>
              <w:rPr>
                <w:rFonts w:cs="Times New Roman"/>
              </w:rPr>
              <w:t>编号</w:t>
            </w:r>
          </w:p>
        </w:tc>
        <w:tc>
          <w:tcPr>
            <w:tcW w:w="1134" w:type="dxa"/>
            <w:vAlign w:val="center"/>
          </w:tcPr>
          <w:p w14:paraId="6F14F5F2">
            <w:pPr>
              <w:pStyle w:val="64"/>
              <w:rPr>
                <w:rFonts w:cs="Times New Roman"/>
              </w:rPr>
            </w:pPr>
            <w:r>
              <w:rPr>
                <w:rFonts w:cs="Times New Roman"/>
              </w:rPr>
              <w:t>河流名称</w:t>
            </w:r>
          </w:p>
        </w:tc>
        <w:tc>
          <w:tcPr>
            <w:tcW w:w="4678" w:type="dxa"/>
            <w:vAlign w:val="center"/>
          </w:tcPr>
          <w:p w14:paraId="122C3C5A">
            <w:pPr>
              <w:pStyle w:val="64"/>
              <w:rPr>
                <w:rFonts w:cs="Times New Roman"/>
              </w:rPr>
            </w:pPr>
            <w:r>
              <w:rPr>
                <w:rFonts w:cs="Times New Roman"/>
              </w:rPr>
              <w:t>监测断面名称和位置</w:t>
            </w:r>
          </w:p>
        </w:tc>
        <w:tc>
          <w:tcPr>
            <w:tcW w:w="2544" w:type="dxa"/>
            <w:vAlign w:val="center"/>
          </w:tcPr>
          <w:p w14:paraId="461410DA">
            <w:pPr>
              <w:pStyle w:val="64"/>
              <w:rPr>
                <w:rFonts w:cs="Times New Roman"/>
              </w:rPr>
            </w:pPr>
            <w:r>
              <w:rPr>
                <w:rFonts w:cs="Times New Roman"/>
              </w:rPr>
              <w:t>经纬度</w:t>
            </w:r>
          </w:p>
        </w:tc>
      </w:tr>
      <w:tr w14:paraId="3B6129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vAlign w:val="center"/>
          </w:tcPr>
          <w:p w14:paraId="0170313F">
            <w:pPr>
              <w:pStyle w:val="64"/>
              <w:rPr>
                <w:rFonts w:cs="Times New Roman"/>
              </w:rPr>
            </w:pPr>
            <w:r>
              <w:rPr>
                <w:rFonts w:cs="Times New Roman"/>
              </w:rPr>
              <w:t>1#</w:t>
            </w:r>
          </w:p>
        </w:tc>
        <w:tc>
          <w:tcPr>
            <w:tcW w:w="1134" w:type="dxa"/>
            <w:vAlign w:val="center"/>
          </w:tcPr>
          <w:p w14:paraId="481E006C">
            <w:pPr>
              <w:pStyle w:val="64"/>
              <w:rPr>
                <w:rFonts w:cs="Times New Roman"/>
              </w:rPr>
            </w:pPr>
            <w:r>
              <w:rPr>
                <w:rFonts w:cs="Times New Roman"/>
              </w:rPr>
              <w:t>沫冲引河</w:t>
            </w:r>
          </w:p>
        </w:tc>
        <w:tc>
          <w:tcPr>
            <w:tcW w:w="4678" w:type="dxa"/>
            <w:vAlign w:val="center"/>
          </w:tcPr>
          <w:p w14:paraId="42031477">
            <w:pPr>
              <w:pStyle w:val="64"/>
              <w:rPr>
                <w:rFonts w:cs="Times New Roman"/>
              </w:rPr>
            </w:pPr>
            <w:r>
              <w:rPr>
                <w:rFonts w:cs="Times New Roman"/>
              </w:rPr>
              <w:t>沫冲引河与三铺大沟交叉口上游500m</w:t>
            </w:r>
          </w:p>
        </w:tc>
        <w:tc>
          <w:tcPr>
            <w:tcW w:w="2544" w:type="dxa"/>
            <w:vAlign w:val="center"/>
          </w:tcPr>
          <w:p w14:paraId="0B34E762">
            <w:pPr>
              <w:pStyle w:val="64"/>
              <w:rPr>
                <w:rFonts w:cs="Times New Roman"/>
              </w:rPr>
            </w:pPr>
            <w:r>
              <w:rPr>
                <w:rFonts w:cs="Times New Roman"/>
              </w:rPr>
              <w:t>117°53′21.51″</w:t>
            </w:r>
          </w:p>
          <w:p w14:paraId="079D5F64">
            <w:pPr>
              <w:pStyle w:val="64"/>
              <w:rPr>
                <w:rFonts w:cs="Times New Roman"/>
              </w:rPr>
            </w:pPr>
            <w:r>
              <w:rPr>
                <w:rFonts w:cs="Times New Roman"/>
              </w:rPr>
              <w:t>32°38′48.89″</w:t>
            </w:r>
          </w:p>
        </w:tc>
      </w:tr>
      <w:tr w14:paraId="7E14CA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vAlign w:val="center"/>
          </w:tcPr>
          <w:p w14:paraId="19712B53">
            <w:pPr>
              <w:pStyle w:val="64"/>
              <w:rPr>
                <w:rFonts w:cs="Times New Roman"/>
              </w:rPr>
            </w:pPr>
            <w:r>
              <w:rPr>
                <w:rFonts w:cs="Times New Roman"/>
              </w:rPr>
              <w:t>2#</w:t>
            </w:r>
          </w:p>
        </w:tc>
        <w:tc>
          <w:tcPr>
            <w:tcW w:w="1134" w:type="dxa"/>
            <w:vAlign w:val="center"/>
          </w:tcPr>
          <w:p w14:paraId="2597C0D5">
            <w:pPr>
              <w:pStyle w:val="64"/>
              <w:rPr>
                <w:rFonts w:cs="Times New Roman"/>
              </w:rPr>
            </w:pPr>
            <w:r>
              <w:rPr>
                <w:rFonts w:cs="Times New Roman"/>
              </w:rPr>
              <w:t>三铺大沟</w:t>
            </w:r>
          </w:p>
        </w:tc>
        <w:tc>
          <w:tcPr>
            <w:tcW w:w="4678" w:type="dxa"/>
            <w:vAlign w:val="center"/>
          </w:tcPr>
          <w:p w14:paraId="49CD6F43">
            <w:pPr>
              <w:pStyle w:val="64"/>
              <w:rPr>
                <w:rFonts w:cs="Times New Roman"/>
              </w:rPr>
            </w:pPr>
            <w:r>
              <w:rPr>
                <w:rFonts w:cs="Times New Roman"/>
              </w:rPr>
              <w:t>三铺大沟与沫冲引河交叉口上游500m</w:t>
            </w:r>
          </w:p>
        </w:tc>
        <w:tc>
          <w:tcPr>
            <w:tcW w:w="2544" w:type="dxa"/>
            <w:vAlign w:val="center"/>
          </w:tcPr>
          <w:p w14:paraId="69324CE8">
            <w:pPr>
              <w:pStyle w:val="64"/>
              <w:rPr>
                <w:rFonts w:cs="Times New Roman"/>
              </w:rPr>
            </w:pPr>
            <w:r>
              <w:rPr>
                <w:rFonts w:cs="Times New Roman"/>
              </w:rPr>
              <w:t>117°53′09.74″</w:t>
            </w:r>
          </w:p>
          <w:p w14:paraId="49BD4BE1">
            <w:pPr>
              <w:pStyle w:val="64"/>
              <w:rPr>
                <w:rFonts w:cs="Times New Roman"/>
              </w:rPr>
            </w:pPr>
            <w:r>
              <w:rPr>
                <w:rFonts w:cs="Times New Roman"/>
              </w:rPr>
              <w:t>32°39′03.09″</w:t>
            </w:r>
          </w:p>
        </w:tc>
      </w:tr>
      <w:tr w14:paraId="5FF698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vAlign w:val="center"/>
          </w:tcPr>
          <w:p w14:paraId="7EA11A4C">
            <w:pPr>
              <w:pStyle w:val="64"/>
              <w:rPr>
                <w:rFonts w:cs="Times New Roman"/>
              </w:rPr>
            </w:pPr>
            <w:r>
              <w:rPr>
                <w:rFonts w:hint="eastAsia" w:cs="Times New Roman"/>
              </w:rPr>
              <w:t>3</w:t>
            </w:r>
            <w:r>
              <w:rPr>
                <w:rFonts w:cs="Times New Roman"/>
              </w:rPr>
              <w:t>#</w:t>
            </w:r>
          </w:p>
        </w:tc>
        <w:tc>
          <w:tcPr>
            <w:tcW w:w="1134" w:type="dxa"/>
            <w:vMerge w:val="restart"/>
            <w:vAlign w:val="center"/>
          </w:tcPr>
          <w:p w14:paraId="057AD66A">
            <w:pPr>
              <w:pStyle w:val="64"/>
              <w:rPr>
                <w:rFonts w:cs="Times New Roman"/>
              </w:rPr>
            </w:pPr>
            <w:r>
              <w:rPr>
                <w:rFonts w:hint="eastAsia" w:cs="Times New Roman"/>
              </w:rPr>
              <w:t>淮河</w:t>
            </w:r>
          </w:p>
        </w:tc>
        <w:tc>
          <w:tcPr>
            <w:tcW w:w="4678" w:type="dxa"/>
            <w:vAlign w:val="center"/>
          </w:tcPr>
          <w:p w14:paraId="54805D46">
            <w:pPr>
              <w:pStyle w:val="64"/>
              <w:rPr>
                <w:rFonts w:cs="Times New Roman"/>
              </w:rPr>
            </w:pPr>
            <w:r>
              <w:rPr>
                <w:rFonts w:hint="eastAsia"/>
              </w:rPr>
              <w:t>三铺大沟入淮河口上游500m</w:t>
            </w:r>
          </w:p>
        </w:tc>
        <w:tc>
          <w:tcPr>
            <w:tcW w:w="2544" w:type="dxa"/>
            <w:vAlign w:val="center"/>
          </w:tcPr>
          <w:p w14:paraId="5B872C2E">
            <w:pPr>
              <w:pStyle w:val="64"/>
              <w:rPr>
                <w:rFonts w:cs="Times New Roman"/>
              </w:rPr>
            </w:pPr>
            <w:r>
              <w:rPr>
                <w:rFonts w:cs="Times New Roman"/>
              </w:rPr>
              <w:t>117°53′10.31″</w:t>
            </w:r>
          </w:p>
          <w:p w14:paraId="6BB6D42C">
            <w:pPr>
              <w:pStyle w:val="64"/>
              <w:rPr>
                <w:rFonts w:cs="Times New Roman"/>
              </w:rPr>
            </w:pPr>
            <w:r>
              <w:rPr>
                <w:rFonts w:cs="Times New Roman"/>
              </w:rPr>
              <w:t>32°28′56.10″</w:t>
            </w:r>
          </w:p>
        </w:tc>
      </w:tr>
      <w:tr w14:paraId="24366B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vAlign w:val="center"/>
          </w:tcPr>
          <w:p w14:paraId="124B9531">
            <w:pPr>
              <w:pStyle w:val="64"/>
              <w:rPr>
                <w:rFonts w:cs="Times New Roman"/>
              </w:rPr>
            </w:pPr>
            <w:r>
              <w:rPr>
                <w:rFonts w:hint="eastAsia" w:cs="Times New Roman"/>
              </w:rPr>
              <w:t>4</w:t>
            </w:r>
            <w:r>
              <w:rPr>
                <w:rFonts w:cs="Times New Roman"/>
              </w:rPr>
              <w:t>#</w:t>
            </w:r>
          </w:p>
        </w:tc>
        <w:tc>
          <w:tcPr>
            <w:tcW w:w="1134" w:type="dxa"/>
            <w:vMerge w:val="continue"/>
            <w:vAlign w:val="center"/>
          </w:tcPr>
          <w:p w14:paraId="78A72DB2">
            <w:pPr>
              <w:pStyle w:val="64"/>
              <w:rPr>
                <w:rFonts w:cs="Times New Roman"/>
              </w:rPr>
            </w:pPr>
          </w:p>
        </w:tc>
        <w:tc>
          <w:tcPr>
            <w:tcW w:w="4678" w:type="dxa"/>
            <w:vAlign w:val="center"/>
          </w:tcPr>
          <w:p w14:paraId="40910F02">
            <w:pPr>
              <w:pStyle w:val="64"/>
              <w:rPr>
                <w:rFonts w:cs="Times New Roman"/>
              </w:rPr>
            </w:pPr>
            <w:r>
              <w:rPr>
                <w:rFonts w:hint="eastAsia"/>
              </w:rPr>
              <w:t>三铺大沟入淮河口下游500m</w:t>
            </w:r>
          </w:p>
        </w:tc>
        <w:tc>
          <w:tcPr>
            <w:tcW w:w="2544" w:type="dxa"/>
            <w:vAlign w:val="center"/>
          </w:tcPr>
          <w:p w14:paraId="17F9979F">
            <w:pPr>
              <w:pStyle w:val="64"/>
              <w:rPr>
                <w:rFonts w:cs="Times New Roman"/>
              </w:rPr>
            </w:pPr>
            <w:r>
              <w:rPr>
                <w:rFonts w:cs="Times New Roman"/>
              </w:rPr>
              <w:t>117°52′58.78″</w:t>
            </w:r>
          </w:p>
          <w:p w14:paraId="5D3A64B5">
            <w:pPr>
              <w:pStyle w:val="64"/>
              <w:rPr>
                <w:rFonts w:cs="Times New Roman"/>
              </w:rPr>
            </w:pPr>
            <w:r>
              <w:rPr>
                <w:rFonts w:cs="Times New Roman"/>
              </w:rPr>
              <w:t>32°28′44.69″</w:t>
            </w:r>
          </w:p>
        </w:tc>
      </w:tr>
      <w:tr w14:paraId="149059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vAlign w:val="center"/>
          </w:tcPr>
          <w:p w14:paraId="56C95E29">
            <w:pPr>
              <w:pStyle w:val="64"/>
              <w:rPr>
                <w:rFonts w:cs="Times New Roman"/>
              </w:rPr>
            </w:pPr>
            <w:r>
              <w:rPr>
                <w:rFonts w:hint="eastAsia" w:cs="Times New Roman"/>
              </w:rPr>
              <w:t>5</w:t>
            </w:r>
            <w:r>
              <w:rPr>
                <w:rFonts w:cs="Times New Roman"/>
              </w:rPr>
              <w:t>#</w:t>
            </w:r>
          </w:p>
        </w:tc>
        <w:tc>
          <w:tcPr>
            <w:tcW w:w="1134" w:type="dxa"/>
            <w:vMerge w:val="continue"/>
            <w:vAlign w:val="center"/>
          </w:tcPr>
          <w:p w14:paraId="062E257D">
            <w:pPr>
              <w:pStyle w:val="64"/>
              <w:rPr>
                <w:rFonts w:cs="Times New Roman"/>
              </w:rPr>
            </w:pPr>
          </w:p>
        </w:tc>
        <w:tc>
          <w:tcPr>
            <w:tcW w:w="4678" w:type="dxa"/>
            <w:vAlign w:val="center"/>
          </w:tcPr>
          <w:p w14:paraId="3360D0AD">
            <w:pPr>
              <w:pStyle w:val="64"/>
              <w:rPr>
                <w:rFonts w:cs="Times New Roman"/>
              </w:rPr>
            </w:pPr>
            <w:r>
              <w:rPr>
                <w:rFonts w:hint="eastAsia"/>
              </w:rPr>
              <w:t>三铺大沟入淮河口下游2km</w:t>
            </w:r>
          </w:p>
        </w:tc>
        <w:tc>
          <w:tcPr>
            <w:tcW w:w="2544" w:type="dxa"/>
            <w:vAlign w:val="center"/>
          </w:tcPr>
          <w:p w14:paraId="24325364">
            <w:pPr>
              <w:pStyle w:val="64"/>
              <w:rPr>
                <w:rFonts w:cs="Times New Roman"/>
              </w:rPr>
            </w:pPr>
            <w:r>
              <w:rPr>
                <w:rFonts w:cs="Times New Roman"/>
              </w:rPr>
              <w:t>117°53′38.71″</w:t>
            </w:r>
          </w:p>
          <w:p w14:paraId="39B5F54D">
            <w:pPr>
              <w:pStyle w:val="64"/>
              <w:rPr>
                <w:rFonts w:cs="Times New Roman"/>
              </w:rPr>
            </w:pPr>
            <w:r>
              <w:rPr>
                <w:rFonts w:cs="Times New Roman"/>
              </w:rPr>
              <w:t>32°37′59.88″</w:t>
            </w:r>
          </w:p>
        </w:tc>
      </w:tr>
      <w:tr w14:paraId="446C14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vAlign w:val="center"/>
          </w:tcPr>
          <w:p w14:paraId="00D4A41F">
            <w:pPr>
              <w:pStyle w:val="64"/>
              <w:rPr>
                <w:rFonts w:cs="Times New Roman"/>
              </w:rPr>
            </w:pPr>
            <w:r>
              <w:rPr>
                <w:rFonts w:hint="eastAsia" w:cs="Times New Roman"/>
              </w:rPr>
              <w:t>6</w:t>
            </w:r>
            <w:r>
              <w:rPr>
                <w:rFonts w:cs="Times New Roman"/>
              </w:rPr>
              <w:t>#</w:t>
            </w:r>
          </w:p>
        </w:tc>
        <w:tc>
          <w:tcPr>
            <w:tcW w:w="1134" w:type="dxa"/>
            <w:vMerge w:val="continue"/>
            <w:vAlign w:val="center"/>
          </w:tcPr>
          <w:p w14:paraId="78A8E025">
            <w:pPr>
              <w:pStyle w:val="64"/>
              <w:rPr>
                <w:rFonts w:cs="Times New Roman"/>
              </w:rPr>
            </w:pPr>
          </w:p>
        </w:tc>
        <w:tc>
          <w:tcPr>
            <w:tcW w:w="4678" w:type="dxa"/>
            <w:vAlign w:val="center"/>
          </w:tcPr>
          <w:p w14:paraId="01ABF610">
            <w:pPr>
              <w:pStyle w:val="64"/>
              <w:rPr>
                <w:rFonts w:cs="Times New Roman"/>
              </w:rPr>
            </w:pPr>
            <w:r>
              <w:rPr>
                <w:rFonts w:hint="eastAsia"/>
              </w:rPr>
              <w:t>三铺大沟入淮河口下游5km</w:t>
            </w:r>
          </w:p>
        </w:tc>
        <w:tc>
          <w:tcPr>
            <w:tcW w:w="2544" w:type="dxa"/>
            <w:vAlign w:val="center"/>
          </w:tcPr>
          <w:p w14:paraId="3D0B842D">
            <w:pPr>
              <w:pStyle w:val="64"/>
              <w:rPr>
                <w:rFonts w:cs="Times New Roman"/>
              </w:rPr>
            </w:pPr>
            <w:r>
              <w:rPr>
                <w:rFonts w:cs="Times New Roman"/>
              </w:rPr>
              <w:t>117°45′39.39″</w:t>
            </w:r>
          </w:p>
          <w:p w14:paraId="7DDA8D4F">
            <w:pPr>
              <w:pStyle w:val="64"/>
              <w:rPr>
                <w:rFonts w:cs="Times New Roman"/>
              </w:rPr>
            </w:pPr>
            <w:r>
              <w:rPr>
                <w:rFonts w:cs="Times New Roman"/>
              </w:rPr>
              <w:t>32°36′29.50″</w:t>
            </w:r>
          </w:p>
        </w:tc>
      </w:tr>
    </w:tbl>
    <w:p w14:paraId="014EBB39">
      <w:pPr>
        <w:ind w:firstLine="468" w:firstLineChars="200"/>
        <w:rPr>
          <w:rFonts w:cs="Times New Roman"/>
          <w:spacing w:val="-3"/>
        </w:rPr>
      </w:pPr>
    </w:p>
    <w:p w14:paraId="44712803">
      <w:pPr>
        <w:ind w:firstLine="468" w:firstLineChars="200"/>
        <w:rPr>
          <w:rFonts w:cs="Times New Roman"/>
          <w:spacing w:val="-3"/>
        </w:rPr>
      </w:pPr>
      <w:r>
        <w:rPr>
          <w:rFonts w:hint="eastAsia" w:cs="Times New Roman"/>
          <w:spacing w:val="-3"/>
        </w:rPr>
        <w:t>(2)监测因子</w:t>
      </w:r>
    </w:p>
    <w:p w14:paraId="4418DEAC">
      <w:pPr>
        <w:ind w:firstLine="468" w:firstLineChars="200"/>
        <w:rPr>
          <w:rFonts w:cs="Times New Roman"/>
          <w:spacing w:val="-3"/>
        </w:rPr>
      </w:pPr>
      <w:r>
        <w:rPr>
          <w:rFonts w:cs="Times New Roman"/>
          <w:spacing w:val="-3"/>
        </w:rPr>
        <w:t>pH</w:t>
      </w:r>
      <w:r>
        <w:rPr>
          <w:rFonts w:hint="eastAsia" w:cs="Times New Roman"/>
          <w:spacing w:val="-3"/>
        </w:rPr>
        <w:t>、</w:t>
      </w:r>
      <w:r>
        <w:rPr>
          <w:rFonts w:cs="Times New Roman"/>
          <w:spacing w:val="-3"/>
        </w:rPr>
        <w:t>COD</w:t>
      </w:r>
      <w:r>
        <w:rPr>
          <w:rFonts w:hint="eastAsia" w:cs="Times New Roman"/>
          <w:spacing w:val="-3"/>
        </w:rPr>
        <w:t>、</w:t>
      </w:r>
      <w:r>
        <w:rPr>
          <w:rFonts w:cs="Times New Roman"/>
          <w:spacing w:val="-3"/>
        </w:rPr>
        <w:t>BOD</w:t>
      </w:r>
      <w:r>
        <w:rPr>
          <w:rFonts w:cs="Times New Roman"/>
          <w:spacing w:val="-3"/>
          <w:vertAlign w:val="subscript"/>
        </w:rPr>
        <w:t>5</w:t>
      </w:r>
      <w:r>
        <w:rPr>
          <w:rFonts w:hint="eastAsia" w:cs="Times New Roman"/>
          <w:spacing w:val="-3"/>
        </w:rPr>
        <w:t>、溶解氧、氨氮、总磷、总氮、铅、镍、砷、铜、锌、硫化物、氟化物、挥发酚、石油类、阴离子表面活性剂，共</w:t>
      </w:r>
      <w:r>
        <w:rPr>
          <w:rFonts w:cs="Times New Roman"/>
          <w:spacing w:val="-3"/>
        </w:rPr>
        <w:t>17</w:t>
      </w:r>
      <w:r>
        <w:rPr>
          <w:rFonts w:hint="eastAsia" w:cs="Times New Roman"/>
          <w:spacing w:val="-3"/>
        </w:rPr>
        <w:t>项。</w:t>
      </w:r>
    </w:p>
    <w:p w14:paraId="09233ACA">
      <w:pPr>
        <w:ind w:firstLine="468" w:firstLineChars="200"/>
        <w:rPr>
          <w:rFonts w:cs="Times New Roman"/>
          <w:spacing w:val="-3"/>
        </w:rPr>
      </w:pPr>
      <w:r>
        <w:rPr>
          <w:rFonts w:hint="eastAsia" w:cs="Times New Roman"/>
          <w:spacing w:val="-3"/>
        </w:rPr>
        <w:t>(3)监测时间与频次</w:t>
      </w:r>
    </w:p>
    <w:p w14:paraId="279303BE">
      <w:pPr>
        <w:ind w:firstLine="468" w:firstLineChars="200"/>
        <w:rPr>
          <w:rFonts w:cs="Times New Roman"/>
          <w:spacing w:val="-3"/>
        </w:rPr>
      </w:pPr>
      <w:r>
        <w:rPr>
          <w:rFonts w:hint="eastAsia" w:cs="Times New Roman"/>
          <w:spacing w:val="-3"/>
        </w:rPr>
        <w:t>于2024年4月28日~4月30日连续采样3天。</w:t>
      </w:r>
    </w:p>
    <w:p w14:paraId="4E0357E1">
      <w:pPr>
        <w:ind w:firstLine="468" w:firstLineChars="200"/>
        <w:rPr>
          <w:rFonts w:cs="Times New Roman"/>
          <w:spacing w:val="-3"/>
        </w:rPr>
      </w:pPr>
      <w:r>
        <w:rPr>
          <w:rFonts w:hint="eastAsia" w:cs="Times New Roman"/>
          <w:spacing w:val="-3"/>
        </w:rPr>
        <w:t>(4)监测结果与评价</w:t>
      </w:r>
    </w:p>
    <w:p w14:paraId="714F33FE">
      <w:pPr>
        <w:ind w:firstLine="480" w:firstLineChars="200"/>
      </w:pPr>
      <w:r>
        <w:rPr>
          <w:rFonts w:hint="eastAsia"/>
        </w:rPr>
        <w:t>地表水评价方法采用单因子标准指数法，按《环境影响评价技术导则 地表水环境》(HJ2.3-2018)附录D中的推荐公式计算，结果表5.2-6所示。</w:t>
      </w:r>
    </w:p>
    <w:p w14:paraId="068A8EA3">
      <w:pPr>
        <w:ind w:firstLine="468" w:firstLineChars="200"/>
        <w:rPr>
          <w:rFonts w:cs="Times New Roman"/>
          <w:spacing w:val="-3"/>
        </w:rPr>
      </w:pPr>
      <w:r>
        <w:rPr>
          <w:rFonts w:cs="Times New Roman"/>
          <w:spacing w:val="-3"/>
        </w:rPr>
        <w:t>根据区域地表水水质监测结果，沫冲引河、三铺大沟各断面水质满足《地表水环境质量标准》(GB3838-2002)IV类水质标准，淮河蚌埠段断面各监测因子监测结果满足《地表水环境质量标准》(GB3838-2002)Ⅲ类标准的要求。</w:t>
      </w:r>
    </w:p>
    <w:p w14:paraId="0C8EC455">
      <w:pPr>
        <w:ind w:firstLine="468" w:firstLineChars="200"/>
        <w:rPr>
          <w:rFonts w:cs="Times New Roman"/>
          <w:spacing w:val="-3"/>
        </w:rPr>
      </w:pPr>
    </w:p>
    <w:p w14:paraId="5C0E9E6F">
      <w:pPr>
        <w:ind w:firstLine="468" w:firstLineChars="200"/>
        <w:rPr>
          <w:rFonts w:cs="Times New Roman"/>
          <w:spacing w:val="-3"/>
        </w:rPr>
      </w:pPr>
    </w:p>
    <w:p w14:paraId="37E0F2F3">
      <w:pPr>
        <w:rPr>
          <w:rFonts w:cs="Times New Roman"/>
          <w:spacing w:val="-3"/>
        </w:rPr>
        <w:sectPr>
          <w:pgSz w:w="11906" w:h="16838"/>
          <w:pgMar w:top="1418" w:right="1418" w:bottom="1418" w:left="1418" w:header="851" w:footer="992" w:gutter="0"/>
          <w:cols w:space="425" w:num="1"/>
          <w:docGrid w:type="lines" w:linePitch="326" w:charSpace="0"/>
        </w:sectPr>
      </w:pPr>
    </w:p>
    <w:p w14:paraId="4BD519F6">
      <w:pPr>
        <w:pStyle w:val="28"/>
        <w:rPr>
          <w:rFonts w:hint="eastAsia"/>
        </w:rPr>
      </w:pPr>
      <w:r>
        <w:rPr>
          <w:rFonts w:hint="eastAsia"/>
        </w:rPr>
        <w:t>表5.2-6  地表水监测统计与评价结果  单位：mg/L，pH除外</w:t>
      </w:r>
    </w:p>
    <w:tbl>
      <w:tblPr>
        <w:tblStyle w:val="3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71"/>
        <w:gridCol w:w="1600"/>
        <w:gridCol w:w="1276"/>
        <w:gridCol w:w="1575"/>
        <w:gridCol w:w="844"/>
        <w:gridCol w:w="803"/>
        <w:gridCol w:w="830"/>
        <w:gridCol w:w="912"/>
        <w:gridCol w:w="1131"/>
        <w:gridCol w:w="765"/>
        <w:gridCol w:w="976"/>
        <w:gridCol w:w="876"/>
        <w:gridCol w:w="1174"/>
      </w:tblGrid>
      <w:tr w14:paraId="5634D0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71" w:type="dxa"/>
            <w:vMerge w:val="restart"/>
            <w:vAlign w:val="center"/>
          </w:tcPr>
          <w:p w14:paraId="4951C95C">
            <w:pPr>
              <w:pStyle w:val="64"/>
              <w:rPr>
                <w:rFonts w:cs="Times New Roman"/>
              </w:rPr>
            </w:pPr>
            <w:r>
              <w:rPr>
                <w:rFonts w:cs="Times New Roman"/>
              </w:rPr>
              <w:t>监测断面</w:t>
            </w:r>
          </w:p>
        </w:tc>
        <w:tc>
          <w:tcPr>
            <w:tcW w:w="1559" w:type="dxa"/>
            <w:vMerge w:val="restart"/>
            <w:vAlign w:val="center"/>
          </w:tcPr>
          <w:p w14:paraId="61A6A3D7">
            <w:pPr>
              <w:pStyle w:val="64"/>
              <w:rPr>
                <w:rFonts w:cs="Times New Roman"/>
              </w:rPr>
            </w:pPr>
            <w:r>
              <w:rPr>
                <w:rFonts w:cs="Times New Roman"/>
              </w:rPr>
              <w:t>经纬度</w:t>
            </w:r>
          </w:p>
        </w:tc>
        <w:tc>
          <w:tcPr>
            <w:tcW w:w="1276" w:type="dxa"/>
            <w:vMerge w:val="restart"/>
            <w:vAlign w:val="center"/>
          </w:tcPr>
          <w:p w14:paraId="50E84BA4">
            <w:pPr>
              <w:pStyle w:val="64"/>
              <w:rPr>
                <w:rFonts w:cs="Times New Roman"/>
              </w:rPr>
            </w:pPr>
            <w:r>
              <w:rPr>
                <w:rFonts w:cs="Times New Roman"/>
              </w:rPr>
              <w:t>采样时间</w:t>
            </w:r>
          </w:p>
        </w:tc>
        <w:tc>
          <w:tcPr>
            <w:tcW w:w="1575" w:type="dxa"/>
            <w:vAlign w:val="center"/>
          </w:tcPr>
          <w:p w14:paraId="7AAAB8ED">
            <w:pPr>
              <w:pStyle w:val="64"/>
              <w:rPr>
                <w:rFonts w:cs="Times New Roman"/>
              </w:rPr>
            </w:pPr>
            <w:r>
              <w:rPr>
                <w:rFonts w:cs="Times New Roman"/>
              </w:rPr>
              <w:t>统计项目</w:t>
            </w:r>
          </w:p>
        </w:tc>
        <w:tc>
          <w:tcPr>
            <w:tcW w:w="844" w:type="dxa"/>
            <w:vAlign w:val="center"/>
          </w:tcPr>
          <w:p w14:paraId="028560F3">
            <w:pPr>
              <w:pStyle w:val="64"/>
              <w:rPr>
                <w:rFonts w:cs="Times New Roman"/>
              </w:rPr>
            </w:pPr>
            <w:r>
              <w:rPr>
                <w:rFonts w:cs="Times New Roman"/>
              </w:rPr>
              <w:t>pH(无量纲)</w:t>
            </w:r>
          </w:p>
        </w:tc>
        <w:tc>
          <w:tcPr>
            <w:tcW w:w="803" w:type="dxa"/>
            <w:vAlign w:val="center"/>
          </w:tcPr>
          <w:p w14:paraId="51E4FFB3">
            <w:pPr>
              <w:pStyle w:val="64"/>
              <w:rPr>
                <w:rFonts w:cs="Times New Roman"/>
              </w:rPr>
            </w:pPr>
            <w:r>
              <w:rPr>
                <w:rFonts w:cs="Times New Roman"/>
              </w:rPr>
              <w:t>水温(℃)</w:t>
            </w:r>
          </w:p>
        </w:tc>
        <w:tc>
          <w:tcPr>
            <w:tcW w:w="830" w:type="dxa"/>
            <w:vAlign w:val="center"/>
          </w:tcPr>
          <w:p w14:paraId="5932636C">
            <w:pPr>
              <w:pStyle w:val="64"/>
              <w:rPr>
                <w:rFonts w:cs="Times New Roman"/>
              </w:rPr>
            </w:pPr>
            <w:r>
              <w:rPr>
                <w:rFonts w:cs="Times New Roman"/>
              </w:rPr>
              <w:t>溶解氧</w:t>
            </w:r>
          </w:p>
        </w:tc>
        <w:tc>
          <w:tcPr>
            <w:tcW w:w="912" w:type="dxa"/>
            <w:vAlign w:val="center"/>
          </w:tcPr>
          <w:p w14:paraId="7D1D1E91">
            <w:pPr>
              <w:pStyle w:val="64"/>
              <w:rPr>
                <w:rFonts w:cs="Times New Roman"/>
              </w:rPr>
            </w:pPr>
            <w:r>
              <w:rPr>
                <w:rFonts w:cs="Times New Roman"/>
              </w:rPr>
              <w:t>化学需氧量</w:t>
            </w:r>
          </w:p>
        </w:tc>
        <w:tc>
          <w:tcPr>
            <w:tcW w:w="1131" w:type="dxa"/>
            <w:vAlign w:val="center"/>
          </w:tcPr>
          <w:p w14:paraId="612A95F0">
            <w:pPr>
              <w:pStyle w:val="64"/>
              <w:rPr>
                <w:rFonts w:cs="Times New Roman"/>
              </w:rPr>
            </w:pPr>
            <w:r>
              <w:rPr>
                <w:rFonts w:cs="Times New Roman"/>
              </w:rPr>
              <w:t>五日生化需氧量</w:t>
            </w:r>
          </w:p>
        </w:tc>
        <w:tc>
          <w:tcPr>
            <w:tcW w:w="765" w:type="dxa"/>
            <w:vAlign w:val="center"/>
          </w:tcPr>
          <w:p w14:paraId="39C6FC5E">
            <w:pPr>
              <w:pStyle w:val="64"/>
              <w:rPr>
                <w:rFonts w:cs="Times New Roman"/>
              </w:rPr>
            </w:pPr>
            <w:r>
              <w:rPr>
                <w:rFonts w:cs="Times New Roman"/>
              </w:rPr>
              <w:t>氨氮</w:t>
            </w:r>
          </w:p>
        </w:tc>
        <w:tc>
          <w:tcPr>
            <w:tcW w:w="976" w:type="dxa"/>
            <w:vAlign w:val="center"/>
          </w:tcPr>
          <w:p w14:paraId="21CC765F">
            <w:pPr>
              <w:pStyle w:val="64"/>
              <w:rPr>
                <w:rFonts w:cs="Times New Roman"/>
              </w:rPr>
            </w:pPr>
            <w:r>
              <w:rPr>
                <w:rFonts w:cs="Times New Roman"/>
              </w:rPr>
              <w:t>总氮</w:t>
            </w:r>
          </w:p>
        </w:tc>
        <w:tc>
          <w:tcPr>
            <w:tcW w:w="876" w:type="dxa"/>
            <w:vAlign w:val="center"/>
          </w:tcPr>
          <w:p w14:paraId="3BE5D448">
            <w:pPr>
              <w:pStyle w:val="64"/>
              <w:rPr>
                <w:rFonts w:cs="Times New Roman"/>
              </w:rPr>
            </w:pPr>
            <w:r>
              <w:rPr>
                <w:rFonts w:cs="Times New Roman"/>
              </w:rPr>
              <w:t>石油类</w:t>
            </w:r>
          </w:p>
        </w:tc>
        <w:tc>
          <w:tcPr>
            <w:tcW w:w="1174" w:type="dxa"/>
            <w:vAlign w:val="center"/>
          </w:tcPr>
          <w:p w14:paraId="7B0DA9B7">
            <w:pPr>
              <w:pStyle w:val="64"/>
              <w:rPr>
                <w:rFonts w:cs="Times New Roman"/>
              </w:rPr>
            </w:pPr>
            <w:r>
              <w:rPr>
                <w:rFonts w:cs="Times New Roman"/>
              </w:rPr>
              <w:t>阴离子表面活性剂</w:t>
            </w:r>
          </w:p>
        </w:tc>
      </w:tr>
      <w:tr w14:paraId="7DB8F6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71" w:type="dxa"/>
            <w:vMerge w:val="continue"/>
            <w:vAlign w:val="center"/>
          </w:tcPr>
          <w:p w14:paraId="43293AA6">
            <w:pPr>
              <w:pStyle w:val="64"/>
              <w:rPr>
                <w:rFonts w:cs="Times New Roman"/>
              </w:rPr>
            </w:pPr>
          </w:p>
        </w:tc>
        <w:tc>
          <w:tcPr>
            <w:tcW w:w="1559" w:type="dxa"/>
            <w:vMerge w:val="continue"/>
            <w:vAlign w:val="center"/>
          </w:tcPr>
          <w:p w14:paraId="1FBBD01E">
            <w:pPr>
              <w:pStyle w:val="64"/>
              <w:rPr>
                <w:rFonts w:cs="Times New Roman"/>
              </w:rPr>
            </w:pPr>
          </w:p>
        </w:tc>
        <w:tc>
          <w:tcPr>
            <w:tcW w:w="1276" w:type="dxa"/>
            <w:vMerge w:val="continue"/>
            <w:vAlign w:val="center"/>
          </w:tcPr>
          <w:p w14:paraId="032BD243">
            <w:pPr>
              <w:pStyle w:val="64"/>
              <w:rPr>
                <w:rFonts w:cs="Times New Roman"/>
              </w:rPr>
            </w:pPr>
          </w:p>
        </w:tc>
        <w:tc>
          <w:tcPr>
            <w:tcW w:w="1575" w:type="dxa"/>
            <w:vAlign w:val="center"/>
          </w:tcPr>
          <w:p w14:paraId="432E1321">
            <w:pPr>
              <w:pStyle w:val="64"/>
              <w:rPr>
                <w:rFonts w:cs="Times New Roman"/>
              </w:rPr>
            </w:pPr>
            <w:r>
              <w:rPr>
                <w:rFonts w:cs="Times New Roman"/>
              </w:rPr>
              <w:t>Ⅲ类标准限值</w:t>
            </w:r>
          </w:p>
        </w:tc>
        <w:tc>
          <w:tcPr>
            <w:tcW w:w="844" w:type="dxa"/>
            <w:vAlign w:val="center"/>
          </w:tcPr>
          <w:p w14:paraId="59A0BB12">
            <w:pPr>
              <w:pStyle w:val="64"/>
              <w:rPr>
                <w:rFonts w:cs="Times New Roman"/>
              </w:rPr>
            </w:pPr>
            <w:r>
              <w:rPr>
                <w:rFonts w:cs="Times New Roman"/>
              </w:rPr>
              <w:t>6~9</w:t>
            </w:r>
          </w:p>
        </w:tc>
        <w:tc>
          <w:tcPr>
            <w:tcW w:w="803" w:type="dxa"/>
            <w:vAlign w:val="center"/>
          </w:tcPr>
          <w:p w14:paraId="06358978">
            <w:pPr>
              <w:pStyle w:val="64"/>
              <w:rPr>
                <w:rFonts w:cs="Times New Roman"/>
              </w:rPr>
            </w:pPr>
            <w:r>
              <w:rPr>
                <w:rFonts w:cs="Times New Roman"/>
              </w:rPr>
              <w:t>/</w:t>
            </w:r>
          </w:p>
        </w:tc>
        <w:tc>
          <w:tcPr>
            <w:tcW w:w="830" w:type="dxa"/>
            <w:vAlign w:val="center"/>
          </w:tcPr>
          <w:p w14:paraId="4EE77199">
            <w:pPr>
              <w:pStyle w:val="64"/>
              <w:rPr>
                <w:rFonts w:cs="Times New Roman"/>
              </w:rPr>
            </w:pPr>
            <w:r>
              <w:rPr>
                <w:rFonts w:cs="Times New Roman"/>
              </w:rPr>
              <w:t>5</w:t>
            </w:r>
          </w:p>
        </w:tc>
        <w:tc>
          <w:tcPr>
            <w:tcW w:w="912" w:type="dxa"/>
            <w:vAlign w:val="center"/>
          </w:tcPr>
          <w:p w14:paraId="1FFDCC7B">
            <w:pPr>
              <w:pStyle w:val="64"/>
              <w:rPr>
                <w:rFonts w:cs="Times New Roman"/>
              </w:rPr>
            </w:pPr>
            <w:r>
              <w:rPr>
                <w:rFonts w:cs="Times New Roman"/>
              </w:rPr>
              <w:t>20</w:t>
            </w:r>
          </w:p>
        </w:tc>
        <w:tc>
          <w:tcPr>
            <w:tcW w:w="1131" w:type="dxa"/>
            <w:vAlign w:val="center"/>
          </w:tcPr>
          <w:p w14:paraId="669A529D">
            <w:pPr>
              <w:pStyle w:val="64"/>
              <w:rPr>
                <w:rFonts w:cs="Times New Roman"/>
              </w:rPr>
            </w:pPr>
            <w:r>
              <w:rPr>
                <w:rFonts w:cs="Times New Roman"/>
              </w:rPr>
              <w:t>4</w:t>
            </w:r>
          </w:p>
        </w:tc>
        <w:tc>
          <w:tcPr>
            <w:tcW w:w="765" w:type="dxa"/>
            <w:vAlign w:val="center"/>
          </w:tcPr>
          <w:p w14:paraId="49603943">
            <w:pPr>
              <w:pStyle w:val="64"/>
              <w:rPr>
                <w:rFonts w:cs="Times New Roman"/>
              </w:rPr>
            </w:pPr>
            <w:r>
              <w:rPr>
                <w:rFonts w:cs="Times New Roman"/>
              </w:rPr>
              <w:t>1.0</w:t>
            </w:r>
          </w:p>
        </w:tc>
        <w:tc>
          <w:tcPr>
            <w:tcW w:w="976" w:type="dxa"/>
            <w:vAlign w:val="center"/>
          </w:tcPr>
          <w:p w14:paraId="0B818C38">
            <w:pPr>
              <w:pStyle w:val="64"/>
              <w:rPr>
                <w:rFonts w:cs="Times New Roman"/>
              </w:rPr>
            </w:pPr>
            <w:r>
              <w:rPr>
                <w:rFonts w:cs="Times New Roman"/>
              </w:rPr>
              <w:t>1.0</w:t>
            </w:r>
          </w:p>
        </w:tc>
        <w:tc>
          <w:tcPr>
            <w:tcW w:w="876" w:type="dxa"/>
            <w:vAlign w:val="center"/>
          </w:tcPr>
          <w:p w14:paraId="03ED01C3">
            <w:pPr>
              <w:pStyle w:val="64"/>
              <w:rPr>
                <w:rFonts w:cs="Times New Roman"/>
              </w:rPr>
            </w:pPr>
            <w:r>
              <w:rPr>
                <w:rFonts w:cs="Times New Roman"/>
              </w:rPr>
              <w:t>0.05</w:t>
            </w:r>
          </w:p>
        </w:tc>
        <w:tc>
          <w:tcPr>
            <w:tcW w:w="1174" w:type="dxa"/>
            <w:vAlign w:val="center"/>
          </w:tcPr>
          <w:p w14:paraId="366938E8">
            <w:pPr>
              <w:pStyle w:val="64"/>
              <w:rPr>
                <w:rFonts w:cs="Times New Roman"/>
              </w:rPr>
            </w:pPr>
            <w:r>
              <w:rPr>
                <w:rFonts w:cs="Times New Roman"/>
              </w:rPr>
              <w:t>0.2</w:t>
            </w:r>
          </w:p>
        </w:tc>
      </w:tr>
      <w:tr w14:paraId="1D5366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71" w:type="dxa"/>
            <w:vMerge w:val="continue"/>
            <w:vAlign w:val="center"/>
          </w:tcPr>
          <w:p w14:paraId="3BD2546B">
            <w:pPr>
              <w:pStyle w:val="64"/>
              <w:rPr>
                <w:rFonts w:cs="Times New Roman"/>
              </w:rPr>
            </w:pPr>
          </w:p>
        </w:tc>
        <w:tc>
          <w:tcPr>
            <w:tcW w:w="1559" w:type="dxa"/>
            <w:vMerge w:val="continue"/>
            <w:vAlign w:val="center"/>
          </w:tcPr>
          <w:p w14:paraId="0EFD55EE">
            <w:pPr>
              <w:pStyle w:val="64"/>
              <w:rPr>
                <w:rFonts w:cs="Times New Roman"/>
              </w:rPr>
            </w:pPr>
          </w:p>
        </w:tc>
        <w:tc>
          <w:tcPr>
            <w:tcW w:w="1276" w:type="dxa"/>
            <w:vMerge w:val="continue"/>
            <w:vAlign w:val="center"/>
          </w:tcPr>
          <w:p w14:paraId="27D642C3">
            <w:pPr>
              <w:pStyle w:val="64"/>
              <w:rPr>
                <w:rFonts w:cs="Times New Roman"/>
              </w:rPr>
            </w:pPr>
          </w:p>
        </w:tc>
        <w:tc>
          <w:tcPr>
            <w:tcW w:w="1575" w:type="dxa"/>
            <w:vAlign w:val="center"/>
          </w:tcPr>
          <w:p w14:paraId="61CBE843">
            <w:pPr>
              <w:pStyle w:val="64"/>
              <w:rPr>
                <w:rFonts w:cs="Times New Roman"/>
              </w:rPr>
            </w:pPr>
            <w:r>
              <w:rPr>
                <w:rFonts w:cs="Times New Roman"/>
              </w:rPr>
              <w:t>IV类标准限值</w:t>
            </w:r>
          </w:p>
        </w:tc>
        <w:tc>
          <w:tcPr>
            <w:tcW w:w="844" w:type="dxa"/>
            <w:vAlign w:val="center"/>
          </w:tcPr>
          <w:p w14:paraId="669A3FBC">
            <w:pPr>
              <w:pStyle w:val="64"/>
              <w:rPr>
                <w:rFonts w:cs="Times New Roman"/>
              </w:rPr>
            </w:pPr>
            <w:r>
              <w:rPr>
                <w:rFonts w:cs="Times New Roman"/>
              </w:rPr>
              <w:t>6~9</w:t>
            </w:r>
          </w:p>
        </w:tc>
        <w:tc>
          <w:tcPr>
            <w:tcW w:w="803" w:type="dxa"/>
            <w:vAlign w:val="center"/>
          </w:tcPr>
          <w:p w14:paraId="468BF0A1">
            <w:pPr>
              <w:pStyle w:val="64"/>
              <w:rPr>
                <w:rFonts w:cs="Times New Roman"/>
              </w:rPr>
            </w:pPr>
            <w:r>
              <w:rPr>
                <w:rFonts w:cs="Times New Roman"/>
              </w:rPr>
              <w:t>/</w:t>
            </w:r>
          </w:p>
        </w:tc>
        <w:tc>
          <w:tcPr>
            <w:tcW w:w="830" w:type="dxa"/>
            <w:vAlign w:val="center"/>
          </w:tcPr>
          <w:p w14:paraId="019B2875">
            <w:pPr>
              <w:pStyle w:val="64"/>
              <w:rPr>
                <w:rFonts w:cs="Times New Roman"/>
              </w:rPr>
            </w:pPr>
            <w:r>
              <w:rPr>
                <w:rFonts w:cs="Times New Roman"/>
              </w:rPr>
              <w:t>3</w:t>
            </w:r>
          </w:p>
        </w:tc>
        <w:tc>
          <w:tcPr>
            <w:tcW w:w="912" w:type="dxa"/>
            <w:vAlign w:val="center"/>
          </w:tcPr>
          <w:p w14:paraId="386BCD6C">
            <w:pPr>
              <w:pStyle w:val="64"/>
              <w:rPr>
                <w:rFonts w:cs="Times New Roman"/>
              </w:rPr>
            </w:pPr>
            <w:r>
              <w:rPr>
                <w:rFonts w:cs="Times New Roman"/>
              </w:rPr>
              <w:t>30</w:t>
            </w:r>
          </w:p>
        </w:tc>
        <w:tc>
          <w:tcPr>
            <w:tcW w:w="1131" w:type="dxa"/>
            <w:vAlign w:val="center"/>
          </w:tcPr>
          <w:p w14:paraId="1AB47590">
            <w:pPr>
              <w:pStyle w:val="64"/>
              <w:rPr>
                <w:rFonts w:cs="Times New Roman"/>
              </w:rPr>
            </w:pPr>
            <w:r>
              <w:rPr>
                <w:rFonts w:cs="Times New Roman"/>
              </w:rPr>
              <w:t>6</w:t>
            </w:r>
          </w:p>
        </w:tc>
        <w:tc>
          <w:tcPr>
            <w:tcW w:w="765" w:type="dxa"/>
            <w:vAlign w:val="center"/>
          </w:tcPr>
          <w:p w14:paraId="180EE5A3">
            <w:pPr>
              <w:pStyle w:val="64"/>
              <w:rPr>
                <w:rFonts w:cs="Times New Roman"/>
              </w:rPr>
            </w:pPr>
            <w:r>
              <w:rPr>
                <w:rFonts w:cs="Times New Roman"/>
              </w:rPr>
              <w:t>1.5</w:t>
            </w:r>
          </w:p>
        </w:tc>
        <w:tc>
          <w:tcPr>
            <w:tcW w:w="976" w:type="dxa"/>
            <w:vAlign w:val="center"/>
          </w:tcPr>
          <w:p w14:paraId="0E8C6D44">
            <w:pPr>
              <w:pStyle w:val="64"/>
              <w:rPr>
                <w:rFonts w:cs="Times New Roman"/>
              </w:rPr>
            </w:pPr>
            <w:r>
              <w:rPr>
                <w:rFonts w:cs="Times New Roman"/>
              </w:rPr>
              <w:t>1.5</w:t>
            </w:r>
          </w:p>
        </w:tc>
        <w:tc>
          <w:tcPr>
            <w:tcW w:w="876" w:type="dxa"/>
            <w:vAlign w:val="center"/>
          </w:tcPr>
          <w:p w14:paraId="3C489562">
            <w:pPr>
              <w:pStyle w:val="64"/>
              <w:rPr>
                <w:rFonts w:cs="Times New Roman"/>
              </w:rPr>
            </w:pPr>
            <w:r>
              <w:rPr>
                <w:rFonts w:cs="Times New Roman"/>
              </w:rPr>
              <w:t>0.5</w:t>
            </w:r>
          </w:p>
        </w:tc>
        <w:tc>
          <w:tcPr>
            <w:tcW w:w="1174" w:type="dxa"/>
            <w:vAlign w:val="center"/>
          </w:tcPr>
          <w:p w14:paraId="4797959C">
            <w:pPr>
              <w:pStyle w:val="64"/>
              <w:rPr>
                <w:rFonts w:cs="Times New Roman"/>
              </w:rPr>
            </w:pPr>
            <w:r>
              <w:rPr>
                <w:rFonts w:cs="Times New Roman"/>
              </w:rPr>
              <w:t>0.3</w:t>
            </w:r>
          </w:p>
        </w:tc>
      </w:tr>
      <w:tr w14:paraId="19F617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71" w:type="dxa"/>
            <w:vMerge w:val="restart"/>
            <w:vAlign w:val="center"/>
          </w:tcPr>
          <w:p w14:paraId="2396CEFF">
            <w:pPr>
              <w:pStyle w:val="64"/>
              <w:rPr>
                <w:rFonts w:cs="Times New Roman"/>
              </w:rPr>
            </w:pPr>
            <w:r>
              <w:rPr>
                <w:rFonts w:hint="eastAsia" w:cs="Times New Roman"/>
              </w:rPr>
              <w:t>1</w:t>
            </w:r>
            <w:r>
              <w:rPr>
                <w:rFonts w:cs="Times New Roman"/>
              </w:rPr>
              <w:t>#沫冲引河与三铺大沟交口上游500m</w:t>
            </w:r>
          </w:p>
        </w:tc>
        <w:tc>
          <w:tcPr>
            <w:tcW w:w="1559" w:type="dxa"/>
            <w:vMerge w:val="restart"/>
            <w:vAlign w:val="center"/>
          </w:tcPr>
          <w:p w14:paraId="6B8FBF70">
            <w:pPr>
              <w:pStyle w:val="64"/>
              <w:rPr>
                <w:rFonts w:cs="Times New Roman"/>
              </w:rPr>
            </w:pPr>
            <w:r>
              <w:rPr>
                <w:rFonts w:cs="Times New Roman"/>
              </w:rPr>
              <w:t>E:117°33'21.51"</w:t>
            </w:r>
            <w:r>
              <w:rPr>
                <w:rFonts w:cs="Times New Roman"/>
              </w:rPr>
              <w:br w:type="textWrapping"/>
            </w:r>
            <w:r>
              <w:rPr>
                <w:rFonts w:cs="Times New Roman"/>
              </w:rPr>
              <w:t>N:32°58'48.89"</w:t>
            </w:r>
          </w:p>
        </w:tc>
        <w:tc>
          <w:tcPr>
            <w:tcW w:w="1276" w:type="dxa"/>
            <w:vMerge w:val="restart"/>
            <w:vAlign w:val="center"/>
          </w:tcPr>
          <w:p w14:paraId="04B00B60">
            <w:pPr>
              <w:pStyle w:val="64"/>
              <w:rPr>
                <w:rFonts w:cs="Times New Roman"/>
              </w:rPr>
            </w:pPr>
            <w:r>
              <w:rPr>
                <w:rFonts w:cs="Times New Roman"/>
              </w:rPr>
              <w:t>2024.4.28</w:t>
            </w:r>
          </w:p>
        </w:tc>
        <w:tc>
          <w:tcPr>
            <w:tcW w:w="1575" w:type="dxa"/>
            <w:vAlign w:val="center"/>
          </w:tcPr>
          <w:p w14:paraId="70B113B3">
            <w:pPr>
              <w:pStyle w:val="64"/>
              <w:rPr>
                <w:rFonts w:cs="Times New Roman"/>
              </w:rPr>
            </w:pPr>
            <w:r>
              <w:rPr>
                <w:rFonts w:cs="Times New Roman"/>
              </w:rPr>
              <w:t>Ci</w:t>
            </w:r>
          </w:p>
        </w:tc>
        <w:tc>
          <w:tcPr>
            <w:tcW w:w="844" w:type="dxa"/>
            <w:vAlign w:val="center"/>
          </w:tcPr>
          <w:p w14:paraId="544DB236">
            <w:pPr>
              <w:pStyle w:val="64"/>
              <w:rPr>
                <w:rFonts w:cs="Times New Roman"/>
              </w:rPr>
            </w:pPr>
            <w:r>
              <w:rPr>
                <w:rFonts w:cs="Times New Roman"/>
              </w:rPr>
              <w:t>8</w:t>
            </w:r>
          </w:p>
        </w:tc>
        <w:tc>
          <w:tcPr>
            <w:tcW w:w="803" w:type="dxa"/>
            <w:vMerge w:val="restart"/>
            <w:vAlign w:val="center"/>
          </w:tcPr>
          <w:p w14:paraId="43BAA8F2">
            <w:pPr>
              <w:pStyle w:val="64"/>
              <w:rPr>
                <w:rFonts w:cs="Times New Roman"/>
              </w:rPr>
            </w:pPr>
            <w:r>
              <w:rPr>
                <w:rFonts w:cs="Times New Roman"/>
              </w:rPr>
              <w:t>21.4</w:t>
            </w:r>
          </w:p>
        </w:tc>
        <w:tc>
          <w:tcPr>
            <w:tcW w:w="830" w:type="dxa"/>
            <w:vAlign w:val="center"/>
          </w:tcPr>
          <w:p w14:paraId="6AF011E5">
            <w:pPr>
              <w:pStyle w:val="64"/>
              <w:rPr>
                <w:rFonts w:cs="Times New Roman"/>
              </w:rPr>
            </w:pPr>
            <w:r>
              <w:rPr>
                <w:rFonts w:cs="Times New Roman"/>
              </w:rPr>
              <w:t>5.1</w:t>
            </w:r>
          </w:p>
        </w:tc>
        <w:tc>
          <w:tcPr>
            <w:tcW w:w="912" w:type="dxa"/>
            <w:vAlign w:val="center"/>
          </w:tcPr>
          <w:p w14:paraId="16EB710F">
            <w:pPr>
              <w:pStyle w:val="64"/>
              <w:rPr>
                <w:rFonts w:cs="Times New Roman"/>
              </w:rPr>
            </w:pPr>
            <w:r>
              <w:rPr>
                <w:rFonts w:cs="Times New Roman"/>
              </w:rPr>
              <w:t>28</w:t>
            </w:r>
          </w:p>
        </w:tc>
        <w:tc>
          <w:tcPr>
            <w:tcW w:w="1131" w:type="dxa"/>
            <w:vAlign w:val="center"/>
          </w:tcPr>
          <w:p w14:paraId="615D1175">
            <w:pPr>
              <w:pStyle w:val="64"/>
              <w:rPr>
                <w:rFonts w:cs="Times New Roman"/>
              </w:rPr>
            </w:pPr>
            <w:r>
              <w:rPr>
                <w:rFonts w:cs="Times New Roman"/>
              </w:rPr>
              <w:t>2.5</w:t>
            </w:r>
          </w:p>
        </w:tc>
        <w:tc>
          <w:tcPr>
            <w:tcW w:w="765" w:type="dxa"/>
            <w:vAlign w:val="center"/>
          </w:tcPr>
          <w:p w14:paraId="4A739A82">
            <w:pPr>
              <w:pStyle w:val="64"/>
              <w:rPr>
                <w:rFonts w:cs="Times New Roman"/>
              </w:rPr>
            </w:pPr>
            <w:r>
              <w:rPr>
                <w:rFonts w:cs="Times New Roman"/>
              </w:rPr>
              <w:t>1.17</w:t>
            </w:r>
          </w:p>
        </w:tc>
        <w:tc>
          <w:tcPr>
            <w:tcW w:w="976" w:type="dxa"/>
            <w:vAlign w:val="center"/>
          </w:tcPr>
          <w:p w14:paraId="4FFB415F">
            <w:pPr>
              <w:pStyle w:val="64"/>
              <w:rPr>
                <w:rFonts w:cs="Times New Roman"/>
              </w:rPr>
            </w:pPr>
            <w:r>
              <w:rPr>
                <w:rFonts w:cs="Times New Roman"/>
              </w:rPr>
              <w:t>1.36</w:t>
            </w:r>
          </w:p>
        </w:tc>
        <w:tc>
          <w:tcPr>
            <w:tcW w:w="876" w:type="dxa"/>
            <w:vAlign w:val="center"/>
          </w:tcPr>
          <w:p w14:paraId="7507B2AC">
            <w:pPr>
              <w:pStyle w:val="64"/>
              <w:rPr>
                <w:rFonts w:cs="Times New Roman"/>
              </w:rPr>
            </w:pPr>
            <w:r>
              <w:rPr>
                <w:rFonts w:cs="Times New Roman"/>
              </w:rPr>
              <w:t>0.27</w:t>
            </w:r>
          </w:p>
        </w:tc>
        <w:tc>
          <w:tcPr>
            <w:tcW w:w="1174" w:type="dxa"/>
            <w:vAlign w:val="center"/>
          </w:tcPr>
          <w:p w14:paraId="435E7688">
            <w:pPr>
              <w:pStyle w:val="64"/>
              <w:rPr>
                <w:rFonts w:cs="Times New Roman"/>
              </w:rPr>
            </w:pPr>
            <w:r>
              <w:rPr>
                <w:rFonts w:cs="Times New Roman"/>
              </w:rPr>
              <w:t>0.16</w:t>
            </w:r>
          </w:p>
        </w:tc>
      </w:tr>
      <w:tr w14:paraId="7DBE3F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71" w:type="dxa"/>
            <w:vMerge w:val="continue"/>
            <w:vAlign w:val="center"/>
          </w:tcPr>
          <w:p w14:paraId="10F41A68">
            <w:pPr>
              <w:pStyle w:val="64"/>
              <w:rPr>
                <w:rFonts w:cs="Times New Roman"/>
              </w:rPr>
            </w:pPr>
          </w:p>
        </w:tc>
        <w:tc>
          <w:tcPr>
            <w:tcW w:w="1559" w:type="dxa"/>
            <w:vMerge w:val="continue"/>
            <w:vAlign w:val="center"/>
          </w:tcPr>
          <w:p w14:paraId="7FA5C8BE">
            <w:pPr>
              <w:pStyle w:val="64"/>
              <w:rPr>
                <w:rFonts w:cs="Times New Roman"/>
              </w:rPr>
            </w:pPr>
          </w:p>
        </w:tc>
        <w:tc>
          <w:tcPr>
            <w:tcW w:w="1276" w:type="dxa"/>
            <w:vMerge w:val="continue"/>
            <w:vAlign w:val="center"/>
          </w:tcPr>
          <w:p w14:paraId="16130D5F">
            <w:pPr>
              <w:pStyle w:val="64"/>
              <w:rPr>
                <w:rFonts w:cs="Times New Roman"/>
              </w:rPr>
            </w:pPr>
          </w:p>
        </w:tc>
        <w:tc>
          <w:tcPr>
            <w:tcW w:w="1575" w:type="dxa"/>
            <w:vAlign w:val="center"/>
          </w:tcPr>
          <w:p w14:paraId="73F4C229">
            <w:pPr>
              <w:pStyle w:val="64"/>
              <w:rPr>
                <w:rFonts w:cs="Times New Roman"/>
              </w:rPr>
            </w:pPr>
            <w:r>
              <w:rPr>
                <w:rFonts w:cs="Times New Roman"/>
              </w:rPr>
              <w:t>Si</w:t>
            </w:r>
          </w:p>
        </w:tc>
        <w:tc>
          <w:tcPr>
            <w:tcW w:w="844" w:type="dxa"/>
            <w:vAlign w:val="center"/>
          </w:tcPr>
          <w:p w14:paraId="0FC99822">
            <w:pPr>
              <w:pStyle w:val="64"/>
              <w:rPr>
                <w:rFonts w:cs="Times New Roman"/>
              </w:rPr>
            </w:pPr>
            <w:r>
              <w:rPr>
                <w:rFonts w:cs="Times New Roman"/>
              </w:rPr>
              <w:t>0.5</w:t>
            </w:r>
          </w:p>
        </w:tc>
        <w:tc>
          <w:tcPr>
            <w:tcW w:w="803" w:type="dxa"/>
            <w:vMerge w:val="continue"/>
            <w:vAlign w:val="center"/>
          </w:tcPr>
          <w:p w14:paraId="43DDFFEE">
            <w:pPr>
              <w:pStyle w:val="64"/>
              <w:rPr>
                <w:rFonts w:cs="Times New Roman"/>
              </w:rPr>
            </w:pPr>
          </w:p>
        </w:tc>
        <w:tc>
          <w:tcPr>
            <w:tcW w:w="830" w:type="dxa"/>
            <w:vAlign w:val="center"/>
          </w:tcPr>
          <w:p w14:paraId="36B0346A">
            <w:pPr>
              <w:pStyle w:val="64"/>
              <w:rPr>
                <w:rFonts w:cs="Times New Roman"/>
              </w:rPr>
            </w:pPr>
            <w:r>
              <w:rPr>
                <w:rFonts w:cs="Times New Roman"/>
              </w:rPr>
              <w:t>0.58</w:t>
            </w:r>
          </w:p>
        </w:tc>
        <w:tc>
          <w:tcPr>
            <w:tcW w:w="912" w:type="dxa"/>
            <w:vAlign w:val="center"/>
          </w:tcPr>
          <w:p w14:paraId="20D79004">
            <w:pPr>
              <w:pStyle w:val="64"/>
              <w:rPr>
                <w:rFonts w:cs="Times New Roman"/>
              </w:rPr>
            </w:pPr>
            <w:r>
              <w:rPr>
                <w:rFonts w:cs="Times New Roman"/>
              </w:rPr>
              <w:t>0.93</w:t>
            </w:r>
          </w:p>
        </w:tc>
        <w:tc>
          <w:tcPr>
            <w:tcW w:w="1131" w:type="dxa"/>
            <w:vAlign w:val="center"/>
          </w:tcPr>
          <w:p w14:paraId="08BCA433">
            <w:pPr>
              <w:pStyle w:val="64"/>
              <w:rPr>
                <w:rFonts w:cs="Times New Roman"/>
              </w:rPr>
            </w:pPr>
            <w:r>
              <w:rPr>
                <w:rFonts w:cs="Times New Roman"/>
              </w:rPr>
              <w:t>0.42</w:t>
            </w:r>
          </w:p>
        </w:tc>
        <w:tc>
          <w:tcPr>
            <w:tcW w:w="765" w:type="dxa"/>
            <w:vAlign w:val="center"/>
          </w:tcPr>
          <w:p w14:paraId="47F3FB97">
            <w:pPr>
              <w:pStyle w:val="64"/>
              <w:rPr>
                <w:rFonts w:cs="Times New Roman"/>
              </w:rPr>
            </w:pPr>
            <w:r>
              <w:rPr>
                <w:rFonts w:cs="Times New Roman"/>
              </w:rPr>
              <w:t>0.78</w:t>
            </w:r>
          </w:p>
        </w:tc>
        <w:tc>
          <w:tcPr>
            <w:tcW w:w="976" w:type="dxa"/>
            <w:vAlign w:val="center"/>
          </w:tcPr>
          <w:p w14:paraId="76079922">
            <w:pPr>
              <w:pStyle w:val="64"/>
              <w:rPr>
                <w:rFonts w:cs="Times New Roman"/>
              </w:rPr>
            </w:pPr>
            <w:r>
              <w:rPr>
                <w:rFonts w:cs="Times New Roman"/>
              </w:rPr>
              <w:t>0.91</w:t>
            </w:r>
          </w:p>
        </w:tc>
        <w:tc>
          <w:tcPr>
            <w:tcW w:w="876" w:type="dxa"/>
            <w:vAlign w:val="center"/>
          </w:tcPr>
          <w:p w14:paraId="1C8A9FEB">
            <w:pPr>
              <w:pStyle w:val="64"/>
              <w:rPr>
                <w:rFonts w:cs="Times New Roman"/>
              </w:rPr>
            </w:pPr>
            <w:r>
              <w:rPr>
                <w:rFonts w:cs="Times New Roman"/>
              </w:rPr>
              <w:t>0.54</w:t>
            </w:r>
          </w:p>
        </w:tc>
        <w:tc>
          <w:tcPr>
            <w:tcW w:w="1174" w:type="dxa"/>
            <w:vAlign w:val="center"/>
          </w:tcPr>
          <w:p w14:paraId="0D25C9E0">
            <w:pPr>
              <w:pStyle w:val="64"/>
              <w:rPr>
                <w:rFonts w:cs="Times New Roman"/>
              </w:rPr>
            </w:pPr>
            <w:r>
              <w:rPr>
                <w:rFonts w:cs="Times New Roman"/>
              </w:rPr>
              <w:t>0.53</w:t>
            </w:r>
          </w:p>
        </w:tc>
      </w:tr>
      <w:tr w14:paraId="1E5DFE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71" w:type="dxa"/>
            <w:vMerge w:val="continue"/>
            <w:vAlign w:val="center"/>
          </w:tcPr>
          <w:p w14:paraId="0688F45D">
            <w:pPr>
              <w:pStyle w:val="64"/>
              <w:rPr>
                <w:rFonts w:cs="Times New Roman"/>
              </w:rPr>
            </w:pPr>
          </w:p>
        </w:tc>
        <w:tc>
          <w:tcPr>
            <w:tcW w:w="1559" w:type="dxa"/>
            <w:vMerge w:val="continue"/>
            <w:vAlign w:val="center"/>
          </w:tcPr>
          <w:p w14:paraId="4F1354BF">
            <w:pPr>
              <w:pStyle w:val="64"/>
              <w:rPr>
                <w:rFonts w:cs="Times New Roman"/>
              </w:rPr>
            </w:pPr>
          </w:p>
        </w:tc>
        <w:tc>
          <w:tcPr>
            <w:tcW w:w="1276" w:type="dxa"/>
            <w:vMerge w:val="restart"/>
            <w:vAlign w:val="center"/>
          </w:tcPr>
          <w:p w14:paraId="33A70FBC">
            <w:pPr>
              <w:pStyle w:val="64"/>
              <w:rPr>
                <w:rFonts w:cs="Times New Roman"/>
              </w:rPr>
            </w:pPr>
            <w:r>
              <w:rPr>
                <w:rFonts w:cs="Times New Roman"/>
              </w:rPr>
              <w:t>2024.4.29</w:t>
            </w:r>
          </w:p>
        </w:tc>
        <w:tc>
          <w:tcPr>
            <w:tcW w:w="1575" w:type="dxa"/>
            <w:vAlign w:val="center"/>
          </w:tcPr>
          <w:p w14:paraId="2B136BCD">
            <w:pPr>
              <w:pStyle w:val="64"/>
              <w:rPr>
                <w:rFonts w:cs="Times New Roman"/>
              </w:rPr>
            </w:pPr>
            <w:r>
              <w:rPr>
                <w:rFonts w:cs="Times New Roman"/>
              </w:rPr>
              <w:t>Ci</w:t>
            </w:r>
          </w:p>
        </w:tc>
        <w:tc>
          <w:tcPr>
            <w:tcW w:w="844" w:type="dxa"/>
            <w:vAlign w:val="center"/>
          </w:tcPr>
          <w:p w14:paraId="231B5C69">
            <w:pPr>
              <w:pStyle w:val="64"/>
              <w:rPr>
                <w:rFonts w:cs="Times New Roman"/>
              </w:rPr>
            </w:pPr>
            <w:r>
              <w:rPr>
                <w:rFonts w:cs="Times New Roman"/>
              </w:rPr>
              <w:t>8.1</w:t>
            </w:r>
          </w:p>
        </w:tc>
        <w:tc>
          <w:tcPr>
            <w:tcW w:w="803" w:type="dxa"/>
            <w:vMerge w:val="restart"/>
            <w:vAlign w:val="center"/>
          </w:tcPr>
          <w:p w14:paraId="6BB4DFD0">
            <w:pPr>
              <w:pStyle w:val="64"/>
              <w:rPr>
                <w:rFonts w:cs="Times New Roman"/>
              </w:rPr>
            </w:pPr>
            <w:r>
              <w:rPr>
                <w:rFonts w:cs="Times New Roman"/>
              </w:rPr>
              <w:t>21.5</w:t>
            </w:r>
          </w:p>
        </w:tc>
        <w:tc>
          <w:tcPr>
            <w:tcW w:w="830" w:type="dxa"/>
            <w:vAlign w:val="center"/>
          </w:tcPr>
          <w:p w14:paraId="14FB2D32">
            <w:pPr>
              <w:pStyle w:val="64"/>
              <w:rPr>
                <w:rFonts w:cs="Times New Roman"/>
              </w:rPr>
            </w:pPr>
            <w:r>
              <w:rPr>
                <w:rFonts w:cs="Times New Roman"/>
              </w:rPr>
              <w:t>5.1</w:t>
            </w:r>
          </w:p>
        </w:tc>
        <w:tc>
          <w:tcPr>
            <w:tcW w:w="912" w:type="dxa"/>
            <w:vAlign w:val="center"/>
          </w:tcPr>
          <w:p w14:paraId="030189BF">
            <w:pPr>
              <w:pStyle w:val="64"/>
              <w:rPr>
                <w:rFonts w:cs="Times New Roman"/>
              </w:rPr>
            </w:pPr>
            <w:r>
              <w:rPr>
                <w:rFonts w:cs="Times New Roman"/>
              </w:rPr>
              <w:t>26</w:t>
            </w:r>
          </w:p>
        </w:tc>
        <w:tc>
          <w:tcPr>
            <w:tcW w:w="1131" w:type="dxa"/>
            <w:vAlign w:val="center"/>
          </w:tcPr>
          <w:p w14:paraId="6D0E08CD">
            <w:pPr>
              <w:pStyle w:val="64"/>
              <w:rPr>
                <w:rFonts w:cs="Times New Roman"/>
              </w:rPr>
            </w:pPr>
            <w:r>
              <w:rPr>
                <w:rFonts w:cs="Times New Roman"/>
              </w:rPr>
              <w:t>2.6</w:t>
            </w:r>
          </w:p>
        </w:tc>
        <w:tc>
          <w:tcPr>
            <w:tcW w:w="765" w:type="dxa"/>
            <w:vAlign w:val="center"/>
          </w:tcPr>
          <w:p w14:paraId="4E7484F4">
            <w:pPr>
              <w:pStyle w:val="64"/>
              <w:rPr>
                <w:rFonts w:cs="Times New Roman"/>
              </w:rPr>
            </w:pPr>
            <w:r>
              <w:rPr>
                <w:rFonts w:cs="Times New Roman"/>
              </w:rPr>
              <w:t>1.07</w:t>
            </w:r>
          </w:p>
        </w:tc>
        <w:tc>
          <w:tcPr>
            <w:tcW w:w="976" w:type="dxa"/>
            <w:vAlign w:val="center"/>
          </w:tcPr>
          <w:p w14:paraId="671D655F">
            <w:pPr>
              <w:pStyle w:val="64"/>
              <w:rPr>
                <w:rFonts w:cs="Times New Roman"/>
              </w:rPr>
            </w:pPr>
            <w:r>
              <w:rPr>
                <w:rFonts w:cs="Times New Roman"/>
              </w:rPr>
              <w:t>1.38</w:t>
            </w:r>
          </w:p>
        </w:tc>
        <w:tc>
          <w:tcPr>
            <w:tcW w:w="876" w:type="dxa"/>
            <w:vAlign w:val="center"/>
          </w:tcPr>
          <w:p w14:paraId="6DC6DA74">
            <w:pPr>
              <w:pStyle w:val="64"/>
              <w:rPr>
                <w:rFonts w:cs="Times New Roman"/>
              </w:rPr>
            </w:pPr>
            <w:r>
              <w:rPr>
                <w:rFonts w:cs="Times New Roman"/>
              </w:rPr>
              <w:t>0.36</w:t>
            </w:r>
          </w:p>
        </w:tc>
        <w:tc>
          <w:tcPr>
            <w:tcW w:w="1174" w:type="dxa"/>
            <w:vAlign w:val="center"/>
          </w:tcPr>
          <w:p w14:paraId="00B79865">
            <w:pPr>
              <w:pStyle w:val="64"/>
              <w:rPr>
                <w:rFonts w:cs="Times New Roman"/>
              </w:rPr>
            </w:pPr>
            <w:r>
              <w:rPr>
                <w:rFonts w:cs="Times New Roman"/>
              </w:rPr>
              <w:t>&lt;0.05</w:t>
            </w:r>
          </w:p>
        </w:tc>
      </w:tr>
      <w:tr w14:paraId="4559EC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71" w:type="dxa"/>
            <w:vMerge w:val="continue"/>
            <w:vAlign w:val="center"/>
          </w:tcPr>
          <w:p w14:paraId="170233F0">
            <w:pPr>
              <w:pStyle w:val="64"/>
              <w:rPr>
                <w:rFonts w:cs="Times New Roman"/>
              </w:rPr>
            </w:pPr>
          </w:p>
        </w:tc>
        <w:tc>
          <w:tcPr>
            <w:tcW w:w="1559" w:type="dxa"/>
            <w:vMerge w:val="continue"/>
            <w:vAlign w:val="center"/>
          </w:tcPr>
          <w:p w14:paraId="4A8F41A9">
            <w:pPr>
              <w:pStyle w:val="64"/>
              <w:rPr>
                <w:rFonts w:cs="Times New Roman"/>
              </w:rPr>
            </w:pPr>
          </w:p>
        </w:tc>
        <w:tc>
          <w:tcPr>
            <w:tcW w:w="1276" w:type="dxa"/>
            <w:vMerge w:val="continue"/>
            <w:vAlign w:val="center"/>
          </w:tcPr>
          <w:p w14:paraId="74D6CCD1">
            <w:pPr>
              <w:pStyle w:val="64"/>
              <w:rPr>
                <w:rFonts w:cs="Times New Roman"/>
              </w:rPr>
            </w:pPr>
          </w:p>
        </w:tc>
        <w:tc>
          <w:tcPr>
            <w:tcW w:w="1575" w:type="dxa"/>
            <w:vAlign w:val="center"/>
          </w:tcPr>
          <w:p w14:paraId="6F7C5CF8">
            <w:pPr>
              <w:pStyle w:val="64"/>
              <w:rPr>
                <w:rFonts w:cs="Times New Roman"/>
              </w:rPr>
            </w:pPr>
            <w:r>
              <w:rPr>
                <w:rFonts w:cs="Times New Roman"/>
              </w:rPr>
              <w:t>Si</w:t>
            </w:r>
          </w:p>
        </w:tc>
        <w:tc>
          <w:tcPr>
            <w:tcW w:w="844" w:type="dxa"/>
            <w:vAlign w:val="center"/>
          </w:tcPr>
          <w:p w14:paraId="1107776E">
            <w:pPr>
              <w:pStyle w:val="64"/>
              <w:rPr>
                <w:rFonts w:cs="Times New Roman"/>
              </w:rPr>
            </w:pPr>
            <w:r>
              <w:rPr>
                <w:rFonts w:cs="Times New Roman"/>
              </w:rPr>
              <w:t>0.55</w:t>
            </w:r>
          </w:p>
        </w:tc>
        <w:tc>
          <w:tcPr>
            <w:tcW w:w="803" w:type="dxa"/>
            <w:vMerge w:val="continue"/>
            <w:vAlign w:val="center"/>
          </w:tcPr>
          <w:p w14:paraId="667D68A3">
            <w:pPr>
              <w:pStyle w:val="64"/>
              <w:rPr>
                <w:rFonts w:cs="Times New Roman"/>
              </w:rPr>
            </w:pPr>
          </w:p>
        </w:tc>
        <w:tc>
          <w:tcPr>
            <w:tcW w:w="830" w:type="dxa"/>
            <w:vAlign w:val="center"/>
          </w:tcPr>
          <w:p w14:paraId="74241F76">
            <w:pPr>
              <w:pStyle w:val="64"/>
              <w:rPr>
                <w:rFonts w:cs="Times New Roman"/>
              </w:rPr>
            </w:pPr>
            <w:r>
              <w:rPr>
                <w:rFonts w:cs="Times New Roman"/>
              </w:rPr>
              <w:t>0.58</w:t>
            </w:r>
          </w:p>
        </w:tc>
        <w:tc>
          <w:tcPr>
            <w:tcW w:w="912" w:type="dxa"/>
            <w:vAlign w:val="center"/>
          </w:tcPr>
          <w:p w14:paraId="28D7E170">
            <w:pPr>
              <w:pStyle w:val="64"/>
              <w:rPr>
                <w:rFonts w:cs="Times New Roman"/>
              </w:rPr>
            </w:pPr>
            <w:r>
              <w:rPr>
                <w:rFonts w:cs="Times New Roman"/>
              </w:rPr>
              <w:t>0.87</w:t>
            </w:r>
          </w:p>
        </w:tc>
        <w:tc>
          <w:tcPr>
            <w:tcW w:w="1131" w:type="dxa"/>
            <w:vAlign w:val="center"/>
          </w:tcPr>
          <w:p w14:paraId="7CF04AFE">
            <w:pPr>
              <w:pStyle w:val="64"/>
              <w:rPr>
                <w:rFonts w:cs="Times New Roman"/>
              </w:rPr>
            </w:pPr>
            <w:r>
              <w:rPr>
                <w:rFonts w:cs="Times New Roman"/>
              </w:rPr>
              <w:t>0.43</w:t>
            </w:r>
          </w:p>
        </w:tc>
        <w:tc>
          <w:tcPr>
            <w:tcW w:w="765" w:type="dxa"/>
            <w:vAlign w:val="center"/>
          </w:tcPr>
          <w:p w14:paraId="2979F327">
            <w:pPr>
              <w:pStyle w:val="64"/>
              <w:rPr>
                <w:rFonts w:cs="Times New Roman"/>
              </w:rPr>
            </w:pPr>
            <w:r>
              <w:rPr>
                <w:rFonts w:cs="Times New Roman"/>
              </w:rPr>
              <w:t>0.71</w:t>
            </w:r>
          </w:p>
        </w:tc>
        <w:tc>
          <w:tcPr>
            <w:tcW w:w="976" w:type="dxa"/>
            <w:vAlign w:val="center"/>
          </w:tcPr>
          <w:p w14:paraId="4671E2D4">
            <w:pPr>
              <w:pStyle w:val="64"/>
              <w:rPr>
                <w:rFonts w:cs="Times New Roman"/>
              </w:rPr>
            </w:pPr>
            <w:r>
              <w:rPr>
                <w:rFonts w:cs="Times New Roman"/>
              </w:rPr>
              <w:t>0.92</w:t>
            </w:r>
          </w:p>
        </w:tc>
        <w:tc>
          <w:tcPr>
            <w:tcW w:w="876" w:type="dxa"/>
            <w:vAlign w:val="center"/>
          </w:tcPr>
          <w:p w14:paraId="1A17B9AE">
            <w:pPr>
              <w:pStyle w:val="64"/>
              <w:rPr>
                <w:rFonts w:cs="Times New Roman"/>
              </w:rPr>
            </w:pPr>
            <w:r>
              <w:rPr>
                <w:rFonts w:cs="Times New Roman"/>
              </w:rPr>
              <w:t>0.72</w:t>
            </w:r>
          </w:p>
        </w:tc>
        <w:tc>
          <w:tcPr>
            <w:tcW w:w="1174" w:type="dxa"/>
            <w:vAlign w:val="center"/>
          </w:tcPr>
          <w:p w14:paraId="1B3B19CF">
            <w:pPr>
              <w:pStyle w:val="64"/>
              <w:rPr>
                <w:rFonts w:cs="Times New Roman"/>
              </w:rPr>
            </w:pPr>
            <w:r>
              <w:rPr>
                <w:rFonts w:cs="Times New Roman"/>
              </w:rPr>
              <w:t>&lt;0.17</w:t>
            </w:r>
          </w:p>
        </w:tc>
      </w:tr>
      <w:tr w14:paraId="49809D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71" w:type="dxa"/>
            <w:vMerge w:val="continue"/>
            <w:vAlign w:val="center"/>
          </w:tcPr>
          <w:p w14:paraId="25D7621C">
            <w:pPr>
              <w:pStyle w:val="64"/>
              <w:rPr>
                <w:rFonts w:cs="Times New Roman"/>
              </w:rPr>
            </w:pPr>
          </w:p>
        </w:tc>
        <w:tc>
          <w:tcPr>
            <w:tcW w:w="1559" w:type="dxa"/>
            <w:vMerge w:val="continue"/>
            <w:vAlign w:val="center"/>
          </w:tcPr>
          <w:p w14:paraId="52DB978D">
            <w:pPr>
              <w:pStyle w:val="64"/>
              <w:rPr>
                <w:rFonts w:cs="Times New Roman"/>
              </w:rPr>
            </w:pPr>
          </w:p>
        </w:tc>
        <w:tc>
          <w:tcPr>
            <w:tcW w:w="1276" w:type="dxa"/>
            <w:vMerge w:val="restart"/>
            <w:vAlign w:val="center"/>
          </w:tcPr>
          <w:p w14:paraId="4D51CBB9">
            <w:pPr>
              <w:pStyle w:val="64"/>
              <w:rPr>
                <w:rFonts w:cs="Times New Roman"/>
              </w:rPr>
            </w:pPr>
            <w:r>
              <w:rPr>
                <w:rFonts w:cs="Times New Roman"/>
              </w:rPr>
              <w:t>2024.4.30</w:t>
            </w:r>
          </w:p>
        </w:tc>
        <w:tc>
          <w:tcPr>
            <w:tcW w:w="1575" w:type="dxa"/>
            <w:vAlign w:val="center"/>
          </w:tcPr>
          <w:p w14:paraId="56014755">
            <w:pPr>
              <w:pStyle w:val="64"/>
              <w:rPr>
                <w:rFonts w:cs="Times New Roman"/>
              </w:rPr>
            </w:pPr>
            <w:r>
              <w:rPr>
                <w:rFonts w:cs="Times New Roman"/>
              </w:rPr>
              <w:t>Ci</w:t>
            </w:r>
          </w:p>
        </w:tc>
        <w:tc>
          <w:tcPr>
            <w:tcW w:w="844" w:type="dxa"/>
            <w:vAlign w:val="center"/>
          </w:tcPr>
          <w:p w14:paraId="0A1A5A87">
            <w:pPr>
              <w:pStyle w:val="64"/>
              <w:rPr>
                <w:rFonts w:cs="Times New Roman"/>
              </w:rPr>
            </w:pPr>
            <w:r>
              <w:rPr>
                <w:rFonts w:cs="Times New Roman"/>
              </w:rPr>
              <w:t>7.8</w:t>
            </w:r>
          </w:p>
        </w:tc>
        <w:tc>
          <w:tcPr>
            <w:tcW w:w="803" w:type="dxa"/>
            <w:vMerge w:val="restart"/>
            <w:vAlign w:val="center"/>
          </w:tcPr>
          <w:p w14:paraId="300FADEF">
            <w:pPr>
              <w:pStyle w:val="64"/>
              <w:rPr>
                <w:rFonts w:cs="Times New Roman"/>
              </w:rPr>
            </w:pPr>
            <w:r>
              <w:rPr>
                <w:rFonts w:cs="Times New Roman"/>
              </w:rPr>
              <w:t>19.7</w:t>
            </w:r>
          </w:p>
        </w:tc>
        <w:tc>
          <w:tcPr>
            <w:tcW w:w="830" w:type="dxa"/>
            <w:vAlign w:val="center"/>
          </w:tcPr>
          <w:p w14:paraId="649068D6">
            <w:pPr>
              <w:pStyle w:val="64"/>
              <w:rPr>
                <w:rFonts w:cs="Times New Roman"/>
              </w:rPr>
            </w:pPr>
            <w:r>
              <w:rPr>
                <w:rFonts w:cs="Times New Roman"/>
              </w:rPr>
              <w:t>5.3</w:t>
            </w:r>
          </w:p>
        </w:tc>
        <w:tc>
          <w:tcPr>
            <w:tcW w:w="912" w:type="dxa"/>
            <w:vAlign w:val="center"/>
          </w:tcPr>
          <w:p w14:paraId="1312D0BB">
            <w:pPr>
              <w:pStyle w:val="64"/>
              <w:rPr>
                <w:rFonts w:cs="Times New Roman"/>
              </w:rPr>
            </w:pPr>
            <w:r>
              <w:rPr>
                <w:rFonts w:cs="Times New Roman"/>
              </w:rPr>
              <w:t>28</w:t>
            </w:r>
          </w:p>
        </w:tc>
        <w:tc>
          <w:tcPr>
            <w:tcW w:w="1131" w:type="dxa"/>
            <w:vAlign w:val="center"/>
          </w:tcPr>
          <w:p w14:paraId="53DE5A7E">
            <w:pPr>
              <w:pStyle w:val="64"/>
              <w:rPr>
                <w:rFonts w:cs="Times New Roman"/>
              </w:rPr>
            </w:pPr>
            <w:r>
              <w:rPr>
                <w:rFonts w:cs="Times New Roman"/>
              </w:rPr>
              <w:t>2.8</w:t>
            </w:r>
          </w:p>
        </w:tc>
        <w:tc>
          <w:tcPr>
            <w:tcW w:w="765" w:type="dxa"/>
            <w:vAlign w:val="center"/>
          </w:tcPr>
          <w:p w14:paraId="14427555">
            <w:pPr>
              <w:pStyle w:val="64"/>
              <w:rPr>
                <w:rFonts w:cs="Times New Roman"/>
              </w:rPr>
            </w:pPr>
            <w:r>
              <w:rPr>
                <w:rFonts w:cs="Times New Roman"/>
              </w:rPr>
              <w:t>1.04</w:t>
            </w:r>
          </w:p>
        </w:tc>
        <w:tc>
          <w:tcPr>
            <w:tcW w:w="976" w:type="dxa"/>
            <w:vAlign w:val="center"/>
          </w:tcPr>
          <w:p w14:paraId="549C0463">
            <w:pPr>
              <w:pStyle w:val="64"/>
              <w:rPr>
                <w:rFonts w:cs="Times New Roman"/>
              </w:rPr>
            </w:pPr>
            <w:r>
              <w:rPr>
                <w:rFonts w:cs="Times New Roman"/>
              </w:rPr>
              <w:t>1.2</w:t>
            </w:r>
          </w:p>
        </w:tc>
        <w:tc>
          <w:tcPr>
            <w:tcW w:w="876" w:type="dxa"/>
            <w:vAlign w:val="center"/>
          </w:tcPr>
          <w:p w14:paraId="006120E3">
            <w:pPr>
              <w:pStyle w:val="64"/>
              <w:rPr>
                <w:rFonts w:cs="Times New Roman"/>
              </w:rPr>
            </w:pPr>
            <w:r>
              <w:rPr>
                <w:rFonts w:cs="Times New Roman"/>
              </w:rPr>
              <w:t>0.16</w:t>
            </w:r>
          </w:p>
        </w:tc>
        <w:tc>
          <w:tcPr>
            <w:tcW w:w="1174" w:type="dxa"/>
            <w:vAlign w:val="center"/>
          </w:tcPr>
          <w:p w14:paraId="29374C8E">
            <w:pPr>
              <w:pStyle w:val="64"/>
              <w:rPr>
                <w:rFonts w:cs="Times New Roman"/>
              </w:rPr>
            </w:pPr>
            <w:r>
              <w:rPr>
                <w:rFonts w:cs="Times New Roman"/>
              </w:rPr>
              <w:t>&lt;0.05</w:t>
            </w:r>
          </w:p>
        </w:tc>
      </w:tr>
      <w:tr w14:paraId="0FD3A6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71" w:type="dxa"/>
            <w:vMerge w:val="continue"/>
            <w:vAlign w:val="center"/>
          </w:tcPr>
          <w:p w14:paraId="6635B51A">
            <w:pPr>
              <w:pStyle w:val="64"/>
              <w:rPr>
                <w:rFonts w:cs="Times New Roman"/>
              </w:rPr>
            </w:pPr>
          </w:p>
        </w:tc>
        <w:tc>
          <w:tcPr>
            <w:tcW w:w="1559" w:type="dxa"/>
            <w:vMerge w:val="continue"/>
            <w:vAlign w:val="center"/>
          </w:tcPr>
          <w:p w14:paraId="357183A8">
            <w:pPr>
              <w:pStyle w:val="64"/>
              <w:rPr>
                <w:rFonts w:cs="Times New Roman"/>
              </w:rPr>
            </w:pPr>
          </w:p>
        </w:tc>
        <w:tc>
          <w:tcPr>
            <w:tcW w:w="1276" w:type="dxa"/>
            <w:vMerge w:val="continue"/>
            <w:vAlign w:val="center"/>
          </w:tcPr>
          <w:p w14:paraId="5ED49C5F">
            <w:pPr>
              <w:pStyle w:val="64"/>
              <w:rPr>
                <w:rFonts w:cs="Times New Roman"/>
              </w:rPr>
            </w:pPr>
          </w:p>
        </w:tc>
        <w:tc>
          <w:tcPr>
            <w:tcW w:w="1575" w:type="dxa"/>
            <w:vAlign w:val="center"/>
          </w:tcPr>
          <w:p w14:paraId="1D7FC846">
            <w:pPr>
              <w:pStyle w:val="64"/>
              <w:rPr>
                <w:rFonts w:cs="Times New Roman"/>
              </w:rPr>
            </w:pPr>
            <w:r>
              <w:rPr>
                <w:rFonts w:cs="Times New Roman"/>
              </w:rPr>
              <w:t>Si</w:t>
            </w:r>
          </w:p>
        </w:tc>
        <w:tc>
          <w:tcPr>
            <w:tcW w:w="844" w:type="dxa"/>
            <w:vAlign w:val="center"/>
          </w:tcPr>
          <w:p w14:paraId="4A32DE26">
            <w:pPr>
              <w:pStyle w:val="64"/>
              <w:rPr>
                <w:rFonts w:cs="Times New Roman"/>
              </w:rPr>
            </w:pPr>
            <w:r>
              <w:rPr>
                <w:rFonts w:cs="Times New Roman"/>
              </w:rPr>
              <w:t>0.4</w:t>
            </w:r>
          </w:p>
        </w:tc>
        <w:tc>
          <w:tcPr>
            <w:tcW w:w="803" w:type="dxa"/>
            <w:vMerge w:val="continue"/>
            <w:vAlign w:val="center"/>
          </w:tcPr>
          <w:p w14:paraId="1C8144E7">
            <w:pPr>
              <w:pStyle w:val="64"/>
              <w:rPr>
                <w:rFonts w:cs="Times New Roman"/>
              </w:rPr>
            </w:pPr>
          </w:p>
        </w:tc>
        <w:tc>
          <w:tcPr>
            <w:tcW w:w="830" w:type="dxa"/>
            <w:vAlign w:val="center"/>
          </w:tcPr>
          <w:p w14:paraId="263D1761">
            <w:pPr>
              <w:pStyle w:val="64"/>
              <w:rPr>
                <w:rFonts w:cs="Times New Roman"/>
              </w:rPr>
            </w:pPr>
            <w:r>
              <w:rPr>
                <w:rFonts w:cs="Times New Roman"/>
              </w:rPr>
              <w:t>0.58</w:t>
            </w:r>
          </w:p>
        </w:tc>
        <w:tc>
          <w:tcPr>
            <w:tcW w:w="912" w:type="dxa"/>
            <w:vAlign w:val="center"/>
          </w:tcPr>
          <w:p w14:paraId="10B6A654">
            <w:pPr>
              <w:pStyle w:val="64"/>
              <w:rPr>
                <w:rFonts w:cs="Times New Roman"/>
              </w:rPr>
            </w:pPr>
            <w:r>
              <w:rPr>
                <w:rFonts w:cs="Times New Roman"/>
              </w:rPr>
              <w:t>0.93</w:t>
            </w:r>
          </w:p>
        </w:tc>
        <w:tc>
          <w:tcPr>
            <w:tcW w:w="1131" w:type="dxa"/>
            <w:vAlign w:val="center"/>
          </w:tcPr>
          <w:p w14:paraId="4A179FEF">
            <w:pPr>
              <w:pStyle w:val="64"/>
              <w:rPr>
                <w:rFonts w:cs="Times New Roman"/>
              </w:rPr>
            </w:pPr>
            <w:r>
              <w:rPr>
                <w:rFonts w:cs="Times New Roman"/>
              </w:rPr>
              <w:t>0.47</w:t>
            </w:r>
          </w:p>
        </w:tc>
        <w:tc>
          <w:tcPr>
            <w:tcW w:w="765" w:type="dxa"/>
            <w:vAlign w:val="center"/>
          </w:tcPr>
          <w:p w14:paraId="075F6F3E">
            <w:pPr>
              <w:pStyle w:val="64"/>
              <w:rPr>
                <w:rFonts w:cs="Times New Roman"/>
              </w:rPr>
            </w:pPr>
            <w:r>
              <w:rPr>
                <w:rFonts w:cs="Times New Roman"/>
              </w:rPr>
              <w:t>0.69</w:t>
            </w:r>
          </w:p>
        </w:tc>
        <w:tc>
          <w:tcPr>
            <w:tcW w:w="976" w:type="dxa"/>
            <w:vAlign w:val="center"/>
          </w:tcPr>
          <w:p w14:paraId="733B41B6">
            <w:pPr>
              <w:pStyle w:val="64"/>
              <w:rPr>
                <w:rFonts w:cs="Times New Roman"/>
              </w:rPr>
            </w:pPr>
            <w:r>
              <w:rPr>
                <w:rFonts w:cs="Times New Roman"/>
              </w:rPr>
              <w:t>0.8</w:t>
            </w:r>
          </w:p>
        </w:tc>
        <w:tc>
          <w:tcPr>
            <w:tcW w:w="876" w:type="dxa"/>
            <w:vAlign w:val="center"/>
          </w:tcPr>
          <w:p w14:paraId="4354D90E">
            <w:pPr>
              <w:pStyle w:val="64"/>
              <w:rPr>
                <w:rFonts w:cs="Times New Roman"/>
              </w:rPr>
            </w:pPr>
            <w:r>
              <w:rPr>
                <w:rFonts w:cs="Times New Roman"/>
              </w:rPr>
              <w:t>0.32</w:t>
            </w:r>
          </w:p>
        </w:tc>
        <w:tc>
          <w:tcPr>
            <w:tcW w:w="1174" w:type="dxa"/>
            <w:vAlign w:val="center"/>
          </w:tcPr>
          <w:p w14:paraId="2917C455">
            <w:pPr>
              <w:pStyle w:val="64"/>
              <w:rPr>
                <w:rFonts w:cs="Times New Roman"/>
              </w:rPr>
            </w:pPr>
            <w:r>
              <w:rPr>
                <w:rFonts w:cs="Times New Roman"/>
              </w:rPr>
              <w:t>&lt;0.17</w:t>
            </w:r>
          </w:p>
        </w:tc>
      </w:tr>
      <w:tr w14:paraId="71E5E9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71" w:type="dxa"/>
            <w:vMerge w:val="restart"/>
            <w:vAlign w:val="center"/>
          </w:tcPr>
          <w:p w14:paraId="45B9A434">
            <w:pPr>
              <w:pStyle w:val="64"/>
              <w:rPr>
                <w:rFonts w:cs="Times New Roman"/>
              </w:rPr>
            </w:pPr>
            <w:r>
              <w:rPr>
                <w:rFonts w:hint="eastAsia" w:cs="Times New Roman"/>
              </w:rPr>
              <w:t>2</w:t>
            </w:r>
            <w:r>
              <w:rPr>
                <w:rFonts w:cs="Times New Roman"/>
              </w:rPr>
              <w:t>#三铺大沟与沫冲引河交口上游500m</w:t>
            </w:r>
          </w:p>
        </w:tc>
        <w:tc>
          <w:tcPr>
            <w:tcW w:w="1559" w:type="dxa"/>
            <w:vMerge w:val="restart"/>
            <w:vAlign w:val="center"/>
          </w:tcPr>
          <w:p w14:paraId="7DDD417E">
            <w:pPr>
              <w:pStyle w:val="64"/>
              <w:rPr>
                <w:rFonts w:cs="Times New Roman"/>
              </w:rPr>
            </w:pPr>
            <w:r>
              <w:rPr>
                <w:rFonts w:cs="Times New Roman"/>
              </w:rPr>
              <w:t>E:117°33'09.34"</w:t>
            </w:r>
            <w:r>
              <w:rPr>
                <w:rFonts w:cs="Times New Roman"/>
              </w:rPr>
              <w:br w:type="textWrapping"/>
            </w:r>
            <w:r>
              <w:rPr>
                <w:rFonts w:cs="Times New Roman"/>
              </w:rPr>
              <w:t>N:32°59'03.79"</w:t>
            </w:r>
          </w:p>
        </w:tc>
        <w:tc>
          <w:tcPr>
            <w:tcW w:w="1276" w:type="dxa"/>
            <w:vMerge w:val="restart"/>
            <w:vAlign w:val="center"/>
          </w:tcPr>
          <w:p w14:paraId="2C26807A">
            <w:pPr>
              <w:pStyle w:val="64"/>
              <w:rPr>
                <w:rFonts w:cs="Times New Roman"/>
              </w:rPr>
            </w:pPr>
            <w:r>
              <w:rPr>
                <w:rFonts w:cs="Times New Roman"/>
              </w:rPr>
              <w:t>2024.4.28</w:t>
            </w:r>
          </w:p>
        </w:tc>
        <w:tc>
          <w:tcPr>
            <w:tcW w:w="1575" w:type="dxa"/>
            <w:vAlign w:val="center"/>
          </w:tcPr>
          <w:p w14:paraId="5C1B8BFB">
            <w:pPr>
              <w:pStyle w:val="64"/>
              <w:rPr>
                <w:rFonts w:cs="Times New Roman"/>
              </w:rPr>
            </w:pPr>
            <w:r>
              <w:rPr>
                <w:rFonts w:cs="Times New Roman"/>
              </w:rPr>
              <w:t>Ci</w:t>
            </w:r>
          </w:p>
        </w:tc>
        <w:tc>
          <w:tcPr>
            <w:tcW w:w="844" w:type="dxa"/>
            <w:vAlign w:val="center"/>
          </w:tcPr>
          <w:p w14:paraId="27D5F6D9">
            <w:pPr>
              <w:pStyle w:val="64"/>
              <w:rPr>
                <w:rFonts w:cs="Times New Roman"/>
              </w:rPr>
            </w:pPr>
            <w:r>
              <w:rPr>
                <w:rFonts w:cs="Times New Roman"/>
              </w:rPr>
              <w:t>7.9</w:t>
            </w:r>
          </w:p>
        </w:tc>
        <w:tc>
          <w:tcPr>
            <w:tcW w:w="803" w:type="dxa"/>
            <w:vMerge w:val="restart"/>
            <w:vAlign w:val="center"/>
          </w:tcPr>
          <w:p w14:paraId="566BB46E">
            <w:pPr>
              <w:pStyle w:val="64"/>
              <w:rPr>
                <w:rFonts w:cs="Times New Roman"/>
              </w:rPr>
            </w:pPr>
            <w:r>
              <w:rPr>
                <w:rFonts w:cs="Times New Roman"/>
              </w:rPr>
              <w:t>21.2</w:t>
            </w:r>
          </w:p>
        </w:tc>
        <w:tc>
          <w:tcPr>
            <w:tcW w:w="830" w:type="dxa"/>
            <w:vAlign w:val="center"/>
          </w:tcPr>
          <w:p w14:paraId="7CF5B261">
            <w:pPr>
              <w:pStyle w:val="64"/>
              <w:rPr>
                <w:rFonts w:cs="Times New Roman"/>
              </w:rPr>
            </w:pPr>
            <w:r>
              <w:rPr>
                <w:rFonts w:cs="Times New Roman"/>
              </w:rPr>
              <w:t>5.1</w:t>
            </w:r>
          </w:p>
        </w:tc>
        <w:tc>
          <w:tcPr>
            <w:tcW w:w="912" w:type="dxa"/>
            <w:vAlign w:val="center"/>
          </w:tcPr>
          <w:p w14:paraId="78C92BF2">
            <w:pPr>
              <w:pStyle w:val="64"/>
              <w:rPr>
                <w:rFonts w:cs="Times New Roman"/>
              </w:rPr>
            </w:pPr>
            <w:r>
              <w:rPr>
                <w:rFonts w:cs="Times New Roman"/>
              </w:rPr>
              <w:t>28</w:t>
            </w:r>
          </w:p>
        </w:tc>
        <w:tc>
          <w:tcPr>
            <w:tcW w:w="1131" w:type="dxa"/>
            <w:vAlign w:val="center"/>
          </w:tcPr>
          <w:p w14:paraId="58A7D4BB">
            <w:pPr>
              <w:pStyle w:val="64"/>
              <w:rPr>
                <w:rFonts w:cs="Times New Roman"/>
              </w:rPr>
            </w:pPr>
            <w:r>
              <w:rPr>
                <w:rFonts w:cs="Times New Roman"/>
              </w:rPr>
              <w:t>2.6</w:t>
            </w:r>
          </w:p>
        </w:tc>
        <w:tc>
          <w:tcPr>
            <w:tcW w:w="765" w:type="dxa"/>
            <w:vAlign w:val="center"/>
          </w:tcPr>
          <w:p w14:paraId="3998E07A">
            <w:pPr>
              <w:pStyle w:val="64"/>
              <w:rPr>
                <w:rFonts w:cs="Times New Roman"/>
              </w:rPr>
            </w:pPr>
            <w:r>
              <w:rPr>
                <w:rFonts w:cs="Times New Roman"/>
              </w:rPr>
              <w:t>1.24</w:t>
            </w:r>
          </w:p>
        </w:tc>
        <w:tc>
          <w:tcPr>
            <w:tcW w:w="976" w:type="dxa"/>
            <w:vAlign w:val="center"/>
          </w:tcPr>
          <w:p w14:paraId="38E87A4B">
            <w:pPr>
              <w:pStyle w:val="64"/>
              <w:rPr>
                <w:rFonts w:cs="Times New Roman"/>
              </w:rPr>
            </w:pPr>
            <w:r>
              <w:rPr>
                <w:rFonts w:cs="Times New Roman"/>
              </w:rPr>
              <w:t>1.3</w:t>
            </w:r>
          </w:p>
        </w:tc>
        <w:tc>
          <w:tcPr>
            <w:tcW w:w="876" w:type="dxa"/>
            <w:vAlign w:val="center"/>
          </w:tcPr>
          <w:p w14:paraId="49A85E25">
            <w:pPr>
              <w:pStyle w:val="64"/>
              <w:rPr>
                <w:rFonts w:cs="Times New Roman"/>
              </w:rPr>
            </w:pPr>
            <w:r>
              <w:rPr>
                <w:rFonts w:cs="Times New Roman"/>
              </w:rPr>
              <w:t>0.29</w:t>
            </w:r>
          </w:p>
        </w:tc>
        <w:tc>
          <w:tcPr>
            <w:tcW w:w="1174" w:type="dxa"/>
            <w:vAlign w:val="center"/>
          </w:tcPr>
          <w:p w14:paraId="5B30958B">
            <w:pPr>
              <w:pStyle w:val="64"/>
              <w:rPr>
                <w:rFonts w:cs="Times New Roman"/>
              </w:rPr>
            </w:pPr>
            <w:r>
              <w:rPr>
                <w:rFonts w:cs="Times New Roman"/>
              </w:rPr>
              <w:t>0.176</w:t>
            </w:r>
          </w:p>
        </w:tc>
      </w:tr>
      <w:tr w14:paraId="4D7627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71" w:type="dxa"/>
            <w:vMerge w:val="continue"/>
            <w:vAlign w:val="center"/>
          </w:tcPr>
          <w:p w14:paraId="1C2CBB6E">
            <w:pPr>
              <w:pStyle w:val="64"/>
              <w:rPr>
                <w:rFonts w:cs="Times New Roman"/>
              </w:rPr>
            </w:pPr>
          </w:p>
        </w:tc>
        <w:tc>
          <w:tcPr>
            <w:tcW w:w="1559" w:type="dxa"/>
            <w:vMerge w:val="continue"/>
            <w:vAlign w:val="center"/>
          </w:tcPr>
          <w:p w14:paraId="7B1F1FEF">
            <w:pPr>
              <w:pStyle w:val="64"/>
              <w:rPr>
                <w:rFonts w:cs="Times New Roman"/>
              </w:rPr>
            </w:pPr>
          </w:p>
        </w:tc>
        <w:tc>
          <w:tcPr>
            <w:tcW w:w="1276" w:type="dxa"/>
            <w:vMerge w:val="continue"/>
            <w:vAlign w:val="center"/>
          </w:tcPr>
          <w:p w14:paraId="7418FDC5">
            <w:pPr>
              <w:pStyle w:val="64"/>
              <w:rPr>
                <w:rFonts w:cs="Times New Roman"/>
              </w:rPr>
            </w:pPr>
          </w:p>
        </w:tc>
        <w:tc>
          <w:tcPr>
            <w:tcW w:w="1575" w:type="dxa"/>
            <w:vAlign w:val="center"/>
          </w:tcPr>
          <w:p w14:paraId="7DCC68C5">
            <w:pPr>
              <w:pStyle w:val="64"/>
              <w:rPr>
                <w:rFonts w:cs="Times New Roman"/>
              </w:rPr>
            </w:pPr>
            <w:r>
              <w:rPr>
                <w:rFonts w:cs="Times New Roman"/>
              </w:rPr>
              <w:t>Si</w:t>
            </w:r>
          </w:p>
        </w:tc>
        <w:tc>
          <w:tcPr>
            <w:tcW w:w="844" w:type="dxa"/>
            <w:vAlign w:val="center"/>
          </w:tcPr>
          <w:p w14:paraId="25DC57A9">
            <w:pPr>
              <w:pStyle w:val="64"/>
              <w:rPr>
                <w:rFonts w:cs="Times New Roman"/>
              </w:rPr>
            </w:pPr>
            <w:r>
              <w:rPr>
                <w:rFonts w:cs="Times New Roman"/>
              </w:rPr>
              <w:t>0.45</w:t>
            </w:r>
          </w:p>
        </w:tc>
        <w:tc>
          <w:tcPr>
            <w:tcW w:w="803" w:type="dxa"/>
            <w:vMerge w:val="continue"/>
            <w:vAlign w:val="center"/>
          </w:tcPr>
          <w:p w14:paraId="111BBF3F">
            <w:pPr>
              <w:pStyle w:val="64"/>
              <w:rPr>
                <w:rFonts w:cs="Times New Roman"/>
              </w:rPr>
            </w:pPr>
          </w:p>
        </w:tc>
        <w:tc>
          <w:tcPr>
            <w:tcW w:w="830" w:type="dxa"/>
            <w:vAlign w:val="center"/>
          </w:tcPr>
          <w:p w14:paraId="708486FC">
            <w:pPr>
              <w:pStyle w:val="64"/>
              <w:rPr>
                <w:rFonts w:cs="Times New Roman"/>
              </w:rPr>
            </w:pPr>
            <w:r>
              <w:rPr>
                <w:rFonts w:cs="Times New Roman"/>
              </w:rPr>
              <w:t>0.58</w:t>
            </w:r>
          </w:p>
        </w:tc>
        <w:tc>
          <w:tcPr>
            <w:tcW w:w="912" w:type="dxa"/>
            <w:vAlign w:val="center"/>
          </w:tcPr>
          <w:p w14:paraId="273B6D1B">
            <w:pPr>
              <w:pStyle w:val="64"/>
              <w:rPr>
                <w:rFonts w:cs="Times New Roman"/>
              </w:rPr>
            </w:pPr>
            <w:r>
              <w:rPr>
                <w:rFonts w:cs="Times New Roman"/>
              </w:rPr>
              <w:t>0.93</w:t>
            </w:r>
          </w:p>
        </w:tc>
        <w:tc>
          <w:tcPr>
            <w:tcW w:w="1131" w:type="dxa"/>
            <w:vAlign w:val="center"/>
          </w:tcPr>
          <w:p w14:paraId="2DD56C84">
            <w:pPr>
              <w:pStyle w:val="64"/>
              <w:rPr>
                <w:rFonts w:cs="Times New Roman"/>
              </w:rPr>
            </w:pPr>
            <w:r>
              <w:rPr>
                <w:rFonts w:cs="Times New Roman"/>
              </w:rPr>
              <w:t>0.43</w:t>
            </w:r>
          </w:p>
        </w:tc>
        <w:tc>
          <w:tcPr>
            <w:tcW w:w="765" w:type="dxa"/>
            <w:vAlign w:val="center"/>
          </w:tcPr>
          <w:p w14:paraId="6FB0D745">
            <w:pPr>
              <w:pStyle w:val="64"/>
              <w:rPr>
                <w:rFonts w:cs="Times New Roman"/>
              </w:rPr>
            </w:pPr>
            <w:r>
              <w:rPr>
                <w:rFonts w:cs="Times New Roman"/>
              </w:rPr>
              <w:t>0.837</w:t>
            </w:r>
          </w:p>
        </w:tc>
        <w:tc>
          <w:tcPr>
            <w:tcW w:w="976" w:type="dxa"/>
            <w:vAlign w:val="center"/>
          </w:tcPr>
          <w:p w14:paraId="6E3F71AB">
            <w:pPr>
              <w:pStyle w:val="64"/>
              <w:rPr>
                <w:rFonts w:cs="Times New Roman"/>
              </w:rPr>
            </w:pPr>
            <w:r>
              <w:rPr>
                <w:rFonts w:cs="Times New Roman"/>
              </w:rPr>
              <w:t>0.87</w:t>
            </w:r>
          </w:p>
        </w:tc>
        <w:tc>
          <w:tcPr>
            <w:tcW w:w="876" w:type="dxa"/>
            <w:vAlign w:val="center"/>
          </w:tcPr>
          <w:p w14:paraId="12F893DA">
            <w:pPr>
              <w:pStyle w:val="64"/>
              <w:rPr>
                <w:rFonts w:cs="Times New Roman"/>
              </w:rPr>
            </w:pPr>
            <w:r>
              <w:rPr>
                <w:rFonts w:cs="Times New Roman"/>
              </w:rPr>
              <w:t>0.58</w:t>
            </w:r>
          </w:p>
        </w:tc>
        <w:tc>
          <w:tcPr>
            <w:tcW w:w="1174" w:type="dxa"/>
            <w:vAlign w:val="center"/>
          </w:tcPr>
          <w:p w14:paraId="654CC6DE">
            <w:pPr>
              <w:pStyle w:val="64"/>
              <w:rPr>
                <w:rFonts w:cs="Times New Roman"/>
              </w:rPr>
            </w:pPr>
            <w:r>
              <w:rPr>
                <w:rFonts w:cs="Times New Roman"/>
              </w:rPr>
              <w:t>0.59</w:t>
            </w:r>
          </w:p>
        </w:tc>
      </w:tr>
      <w:tr w14:paraId="1B17EE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71" w:type="dxa"/>
            <w:vMerge w:val="continue"/>
            <w:vAlign w:val="center"/>
          </w:tcPr>
          <w:p w14:paraId="48C65B2C">
            <w:pPr>
              <w:pStyle w:val="64"/>
              <w:rPr>
                <w:rFonts w:cs="Times New Roman"/>
              </w:rPr>
            </w:pPr>
          </w:p>
        </w:tc>
        <w:tc>
          <w:tcPr>
            <w:tcW w:w="1559" w:type="dxa"/>
            <w:vMerge w:val="continue"/>
            <w:vAlign w:val="center"/>
          </w:tcPr>
          <w:p w14:paraId="7CA47B33">
            <w:pPr>
              <w:pStyle w:val="64"/>
              <w:rPr>
                <w:rFonts w:cs="Times New Roman"/>
              </w:rPr>
            </w:pPr>
          </w:p>
        </w:tc>
        <w:tc>
          <w:tcPr>
            <w:tcW w:w="1276" w:type="dxa"/>
            <w:vMerge w:val="restart"/>
            <w:vAlign w:val="center"/>
          </w:tcPr>
          <w:p w14:paraId="4D175A06">
            <w:pPr>
              <w:pStyle w:val="64"/>
              <w:rPr>
                <w:rFonts w:cs="Times New Roman"/>
              </w:rPr>
            </w:pPr>
            <w:r>
              <w:rPr>
                <w:rFonts w:cs="Times New Roman"/>
              </w:rPr>
              <w:t>2024.4.29</w:t>
            </w:r>
          </w:p>
        </w:tc>
        <w:tc>
          <w:tcPr>
            <w:tcW w:w="1575" w:type="dxa"/>
            <w:vAlign w:val="center"/>
          </w:tcPr>
          <w:p w14:paraId="13E573D2">
            <w:pPr>
              <w:pStyle w:val="64"/>
              <w:rPr>
                <w:rFonts w:cs="Times New Roman"/>
              </w:rPr>
            </w:pPr>
            <w:r>
              <w:rPr>
                <w:rFonts w:cs="Times New Roman"/>
              </w:rPr>
              <w:t>Ci</w:t>
            </w:r>
          </w:p>
        </w:tc>
        <w:tc>
          <w:tcPr>
            <w:tcW w:w="844" w:type="dxa"/>
            <w:vAlign w:val="center"/>
          </w:tcPr>
          <w:p w14:paraId="6498F862">
            <w:pPr>
              <w:pStyle w:val="64"/>
              <w:rPr>
                <w:rFonts w:cs="Times New Roman"/>
              </w:rPr>
            </w:pPr>
            <w:r>
              <w:rPr>
                <w:rFonts w:cs="Times New Roman"/>
              </w:rPr>
              <w:t>8</w:t>
            </w:r>
          </w:p>
        </w:tc>
        <w:tc>
          <w:tcPr>
            <w:tcW w:w="803" w:type="dxa"/>
            <w:vMerge w:val="restart"/>
            <w:vAlign w:val="center"/>
          </w:tcPr>
          <w:p w14:paraId="5B7DB12D">
            <w:pPr>
              <w:pStyle w:val="64"/>
              <w:rPr>
                <w:rFonts w:cs="Times New Roman"/>
              </w:rPr>
            </w:pPr>
            <w:r>
              <w:rPr>
                <w:rFonts w:cs="Times New Roman"/>
              </w:rPr>
              <w:t>21.6</w:t>
            </w:r>
          </w:p>
        </w:tc>
        <w:tc>
          <w:tcPr>
            <w:tcW w:w="830" w:type="dxa"/>
            <w:vAlign w:val="center"/>
          </w:tcPr>
          <w:p w14:paraId="0002E292">
            <w:pPr>
              <w:pStyle w:val="64"/>
              <w:rPr>
                <w:rFonts w:cs="Times New Roman"/>
              </w:rPr>
            </w:pPr>
            <w:r>
              <w:rPr>
                <w:rFonts w:cs="Times New Roman"/>
              </w:rPr>
              <w:t>5.2</w:t>
            </w:r>
          </w:p>
        </w:tc>
        <w:tc>
          <w:tcPr>
            <w:tcW w:w="912" w:type="dxa"/>
            <w:vAlign w:val="center"/>
          </w:tcPr>
          <w:p w14:paraId="09BA98A4">
            <w:pPr>
              <w:pStyle w:val="64"/>
              <w:rPr>
                <w:rFonts w:cs="Times New Roman"/>
              </w:rPr>
            </w:pPr>
            <w:r>
              <w:rPr>
                <w:rFonts w:cs="Times New Roman"/>
              </w:rPr>
              <w:t>22</w:t>
            </w:r>
          </w:p>
        </w:tc>
        <w:tc>
          <w:tcPr>
            <w:tcW w:w="1131" w:type="dxa"/>
            <w:vAlign w:val="center"/>
          </w:tcPr>
          <w:p w14:paraId="567E7563">
            <w:pPr>
              <w:pStyle w:val="64"/>
              <w:rPr>
                <w:rFonts w:cs="Times New Roman"/>
              </w:rPr>
            </w:pPr>
            <w:r>
              <w:rPr>
                <w:rFonts w:cs="Times New Roman"/>
              </w:rPr>
              <w:t>2.7</w:t>
            </w:r>
          </w:p>
        </w:tc>
        <w:tc>
          <w:tcPr>
            <w:tcW w:w="765" w:type="dxa"/>
            <w:vAlign w:val="center"/>
          </w:tcPr>
          <w:p w14:paraId="4C6A4C46">
            <w:pPr>
              <w:pStyle w:val="64"/>
              <w:rPr>
                <w:rFonts w:cs="Times New Roman"/>
              </w:rPr>
            </w:pPr>
            <w:r>
              <w:rPr>
                <w:rFonts w:cs="Times New Roman"/>
              </w:rPr>
              <w:t>1.1</w:t>
            </w:r>
          </w:p>
        </w:tc>
        <w:tc>
          <w:tcPr>
            <w:tcW w:w="976" w:type="dxa"/>
            <w:vAlign w:val="center"/>
          </w:tcPr>
          <w:p w14:paraId="24FCFD16">
            <w:pPr>
              <w:pStyle w:val="64"/>
              <w:rPr>
                <w:rFonts w:cs="Times New Roman"/>
              </w:rPr>
            </w:pPr>
            <w:r>
              <w:rPr>
                <w:rFonts w:cs="Times New Roman"/>
              </w:rPr>
              <w:t>1.14</w:t>
            </w:r>
          </w:p>
        </w:tc>
        <w:tc>
          <w:tcPr>
            <w:tcW w:w="876" w:type="dxa"/>
            <w:vAlign w:val="center"/>
          </w:tcPr>
          <w:p w14:paraId="1885FECD">
            <w:pPr>
              <w:pStyle w:val="64"/>
              <w:rPr>
                <w:rFonts w:cs="Times New Roman"/>
              </w:rPr>
            </w:pPr>
            <w:r>
              <w:rPr>
                <w:rFonts w:cs="Times New Roman"/>
              </w:rPr>
              <w:t>0.36</w:t>
            </w:r>
          </w:p>
        </w:tc>
        <w:tc>
          <w:tcPr>
            <w:tcW w:w="1174" w:type="dxa"/>
            <w:vAlign w:val="center"/>
          </w:tcPr>
          <w:p w14:paraId="678CAEB9">
            <w:pPr>
              <w:pStyle w:val="64"/>
              <w:rPr>
                <w:rFonts w:cs="Times New Roman"/>
              </w:rPr>
            </w:pPr>
            <w:r>
              <w:rPr>
                <w:rFonts w:cs="Times New Roman"/>
              </w:rPr>
              <w:t>&lt;0.05</w:t>
            </w:r>
          </w:p>
        </w:tc>
      </w:tr>
      <w:tr w14:paraId="5B65F2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71" w:type="dxa"/>
            <w:vMerge w:val="continue"/>
            <w:vAlign w:val="center"/>
          </w:tcPr>
          <w:p w14:paraId="0025E25F">
            <w:pPr>
              <w:pStyle w:val="64"/>
              <w:rPr>
                <w:rFonts w:cs="Times New Roman"/>
              </w:rPr>
            </w:pPr>
          </w:p>
        </w:tc>
        <w:tc>
          <w:tcPr>
            <w:tcW w:w="1559" w:type="dxa"/>
            <w:vMerge w:val="continue"/>
            <w:vAlign w:val="center"/>
          </w:tcPr>
          <w:p w14:paraId="486A14A1">
            <w:pPr>
              <w:pStyle w:val="64"/>
              <w:rPr>
                <w:rFonts w:cs="Times New Roman"/>
              </w:rPr>
            </w:pPr>
          </w:p>
        </w:tc>
        <w:tc>
          <w:tcPr>
            <w:tcW w:w="1276" w:type="dxa"/>
            <w:vMerge w:val="continue"/>
            <w:vAlign w:val="center"/>
          </w:tcPr>
          <w:p w14:paraId="28A62E39">
            <w:pPr>
              <w:pStyle w:val="64"/>
              <w:rPr>
                <w:rFonts w:cs="Times New Roman"/>
              </w:rPr>
            </w:pPr>
          </w:p>
        </w:tc>
        <w:tc>
          <w:tcPr>
            <w:tcW w:w="1575" w:type="dxa"/>
            <w:vAlign w:val="center"/>
          </w:tcPr>
          <w:p w14:paraId="0A47F862">
            <w:pPr>
              <w:pStyle w:val="64"/>
              <w:rPr>
                <w:rFonts w:cs="Times New Roman"/>
              </w:rPr>
            </w:pPr>
            <w:r>
              <w:rPr>
                <w:rFonts w:cs="Times New Roman"/>
              </w:rPr>
              <w:t>Si</w:t>
            </w:r>
          </w:p>
        </w:tc>
        <w:tc>
          <w:tcPr>
            <w:tcW w:w="844" w:type="dxa"/>
            <w:vAlign w:val="center"/>
          </w:tcPr>
          <w:p w14:paraId="06107982">
            <w:pPr>
              <w:pStyle w:val="64"/>
              <w:rPr>
                <w:rFonts w:cs="Times New Roman"/>
              </w:rPr>
            </w:pPr>
            <w:r>
              <w:rPr>
                <w:rFonts w:cs="Times New Roman"/>
              </w:rPr>
              <w:t>0.5</w:t>
            </w:r>
          </w:p>
        </w:tc>
        <w:tc>
          <w:tcPr>
            <w:tcW w:w="803" w:type="dxa"/>
            <w:vMerge w:val="continue"/>
            <w:vAlign w:val="center"/>
          </w:tcPr>
          <w:p w14:paraId="411222A7">
            <w:pPr>
              <w:pStyle w:val="64"/>
              <w:rPr>
                <w:rFonts w:cs="Times New Roman"/>
              </w:rPr>
            </w:pPr>
          </w:p>
        </w:tc>
        <w:tc>
          <w:tcPr>
            <w:tcW w:w="830" w:type="dxa"/>
            <w:vAlign w:val="center"/>
          </w:tcPr>
          <w:p w14:paraId="6FC843DF">
            <w:pPr>
              <w:pStyle w:val="64"/>
              <w:rPr>
                <w:rFonts w:cs="Times New Roman"/>
              </w:rPr>
            </w:pPr>
            <w:r>
              <w:rPr>
                <w:rFonts w:cs="Times New Roman"/>
              </w:rPr>
              <w:t>0.59</w:t>
            </w:r>
          </w:p>
        </w:tc>
        <w:tc>
          <w:tcPr>
            <w:tcW w:w="912" w:type="dxa"/>
            <w:vAlign w:val="center"/>
          </w:tcPr>
          <w:p w14:paraId="70E0AEBB">
            <w:pPr>
              <w:pStyle w:val="64"/>
              <w:rPr>
                <w:rFonts w:cs="Times New Roman"/>
              </w:rPr>
            </w:pPr>
            <w:r>
              <w:rPr>
                <w:rFonts w:cs="Times New Roman"/>
              </w:rPr>
              <w:t>0.73</w:t>
            </w:r>
          </w:p>
        </w:tc>
        <w:tc>
          <w:tcPr>
            <w:tcW w:w="1131" w:type="dxa"/>
            <w:vAlign w:val="center"/>
          </w:tcPr>
          <w:p w14:paraId="769C2B59">
            <w:pPr>
              <w:pStyle w:val="64"/>
              <w:rPr>
                <w:rFonts w:cs="Times New Roman"/>
              </w:rPr>
            </w:pPr>
            <w:r>
              <w:rPr>
                <w:rFonts w:cs="Times New Roman"/>
              </w:rPr>
              <w:t>0.45</w:t>
            </w:r>
          </w:p>
        </w:tc>
        <w:tc>
          <w:tcPr>
            <w:tcW w:w="765" w:type="dxa"/>
            <w:vAlign w:val="center"/>
          </w:tcPr>
          <w:p w14:paraId="6037F96E">
            <w:pPr>
              <w:pStyle w:val="64"/>
              <w:rPr>
                <w:rFonts w:cs="Times New Roman"/>
              </w:rPr>
            </w:pPr>
            <w:r>
              <w:rPr>
                <w:rFonts w:cs="Times New Roman"/>
              </w:rPr>
              <w:t>0.73</w:t>
            </w:r>
          </w:p>
        </w:tc>
        <w:tc>
          <w:tcPr>
            <w:tcW w:w="976" w:type="dxa"/>
            <w:vAlign w:val="center"/>
          </w:tcPr>
          <w:p w14:paraId="5E68D3CA">
            <w:pPr>
              <w:pStyle w:val="64"/>
              <w:rPr>
                <w:rFonts w:cs="Times New Roman"/>
              </w:rPr>
            </w:pPr>
            <w:r>
              <w:rPr>
                <w:rFonts w:cs="Times New Roman"/>
              </w:rPr>
              <w:t>0.76</w:t>
            </w:r>
          </w:p>
        </w:tc>
        <w:tc>
          <w:tcPr>
            <w:tcW w:w="876" w:type="dxa"/>
            <w:vAlign w:val="center"/>
          </w:tcPr>
          <w:p w14:paraId="7691DC9F">
            <w:pPr>
              <w:pStyle w:val="64"/>
              <w:rPr>
                <w:rFonts w:cs="Times New Roman"/>
              </w:rPr>
            </w:pPr>
            <w:r>
              <w:rPr>
                <w:rFonts w:cs="Times New Roman"/>
              </w:rPr>
              <w:t>0.72</w:t>
            </w:r>
          </w:p>
        </w:tc>
        <w:tc>
          <w:tcPr>
            <w:tcW w:w="1174" w:type="dxa"/>
            <w:vAlign w:val="center"/>
          </w:tcPr>
          <w:p w14:paraId="54C9C3B6">
            <w:pPr>
              <w:pStyle w:val="64"/>
              <w:rPr>
                <w:rFonts w:cs="Times New Roman"/>
              </w:rPr>
            </w:pPr>
            <w:r>
              <w:rPr>
                <w:rFonts w:cs="Times New Roman"/>
              </w:rPr>
              <w:t>&lt;0.17</w:t>
            </w:r>
          </w:p>
        </w:tc>
      </w:tr>
      <w:tr w14:paraId="758DBF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71" w:type="dxa"/>
            <w:vMerge w:val="continue"/>
            <w:vAlign w:val="center"/>
          </w:tcPr>
          <w:p w14:paraId="71022F35">
            <w:pPr>
              <w:pStyle w:val="64"/>
              <w:rPr>
                <w:rFonts w:cs="Times New Roman"/>
              </w:rPr>
            </w:pPr>
          </w:p>
        </w:tc>
        <w:tc>
          <w:tcPr>
            <w:tcW w:w="1559" w:type="dxa"/>
            <w:vMerge w:val="continue"/>
            <w:vAlign w:val="center"/>
          </w:tcPr>
          <w:p w14:paraId="7BDA0773">
            <w:pPr>
              <w:pStyle w:val="64"/>
              <w:rPr>
                <w:rFonts w:cs="Times New Roman"/>
              </w:rPr>
            </w:pPr>
          </w:p>
        </w:tc>
        <w:tc>
          <w:tcPr>
            <w:tcW w:w="1276" w:type="dxa"/>
            <w:vMerge w:val="restart"/>
            <w:vAlign w:val="center"/>
          </w:tcPr>
          <w:p w14:paraId="765CC913">
            <w:pPr>
              <w:pStyle w:val="64"/>
              <w:rPr>
                <w:rFonts w:cs="Times New Roman"/>
              </w:rPr>
            </w:pPr>
            <w:r>
              <w:rPr>
                <w:rFonts w:cs="Times New Roman"/>
              </w:rPr>
              <w:t>2024.4.30</w:t>
            </w:r>
          </w:p>
        </w:tc>
        <w:tc>
          <w:tcPr>
            <w:tcW w:w="1575" w:type="dxa"/>
            <w:vAlign w:val="center"/>
          </w:tcPr>
          <w:p w14:paraId="609AD94F">
            <w:pPr>
              <w:pStyle w:val="64"/>
              <w:rPr>
                <w:rFonts w:cs="Times New Roman"/>
              </w:rPr>
            </w:pPr>
            <w:r>
              <w:rPr>
                <w:rFonts w:cs="Times New Roman"/>
              </w:rPr>
              <w:t>Ci</w:t>
            </w:r>
          </w:p>
        </w:tc>
        <w:tc>
          <w:tcPr>
            <w:tcW w:w="844" w:type="dxa"/>
            <w:vAlign w:val="center"/>
          </w:tcPr>
          <w:p w14:paraId="2F8F8BD5">
            <w:pPr>
              <w:pStyle w:val="64"/>
              <w:rPr>
                <w:rFonts w:cs="Times New Roman"/>
              </w:rPr>
            </w:pPr>
            <w:r>
              <w:rPr>
                <w:rFonts w:cs="Times New Roman"/>
              </w:rPr>
              <w:t>7.8</w:t>
            </w:r>
          </w:p>
        </w:tc>
        <w:tc>
          <w:tcPr>
            <w:tcW w:w="803" w:type="dxa"/>
            <w:vMerge w:val="restart"/>
            <w:vAlign w:val="center"/>
          </w:tcPr>
          <w:p w14:paraId="30F445F1">
            <w:pPr>
              <w:pStyle w:val="64"/>
              <w:rPr>
                <w:rFonts w:cs="Times New Roman"/>
              </w:rPr>
            </w:pPr>
            <w:r>
              <w:rPr>
                <w:rFonts w:cs="Times New Roman"/>
              </w:rPr>
              <w:t>19.7</w:t>
            </w:r>
          </w:p>
        </w:tc>
        <w:tc>
          <w:tcPr>
            <w:tcW w:w="830" w:type="dxa"/>
            <w:vAlign w:val="center"/>
          </w:tcPr>
          <w:p w14:paraId="262C070B">
            <w:pPr>
              <w:pStyle w:val="64"/>
              <w:rPr>
                <w:rFonts w:cs="Times New Roman"/>
              </w:rPr>
            </w:pPr>
            <w:r>
              <w:rPr>
                <w:rFonts w:cs="Times New Roman"/>
              </w:rPr>
              <w:t>5.3</w:t>
            </w:r>
          </w:p>
        </w:tc>
        <w:tc>
          <w:tcPr>
            <w:tcW w:w="912" w:type="dxa"/>
            <w:vAlign w:val="center"/>
          </w:tcPr>
          <w:p w14:paraId="0216F855">
            <w:pPr>
              <w:pStyle w:val="64"/>
              <w:rPr>
                <w:rFonts w:cs="Times New Roman"/>
              </w:rPr>
            </w:pPr>
            <w:r>
              <w:rPr>
                <w:rFonts w:cs="Times New Roman"/>
              </w:rPr>
              <w:t>27</w:t>
            </w:r>
          </w:p>
        </w:tc>
        <w:tc>
          <w:tcPr>
            <w:tcW w:w="1131" w:type="dxa"/>
            <w:vAlign w:val="center"/>
          </w:tcPr>
          <w:p w14:paraId="4641855C">
            <w:pPr>
              <w:pStyle w:val="64"/>
              <w:rPr>
                <w:rFonts w:cs="Times New Roman"/>
              </w:rPr>
            </w:pPr>
            <w:r>
              <w:rPr>
                <w:rFonts w:cs="Times New Roman"/>
              </w:rPr>
              <w:t>2.9</w:t>
            </w:r>
          </w:p>
        </w:tc>
        <w:tc>
          <w:tcPr>
            <w:tcW w:w="765" w:type="dxa"/>
            <w:vAlign w:val="center"/>
          </w:tcPr>
          <w:p w14:paraId="5AA5E1E8">
            <w:pPr>
              <w:pStyle w:val="64"/>
              <w:rPr>
                <w:rFonts w:cs="Times New Roman"/>
              </w:rPr>
            </w:pPr>
            <w:r>
              <w:rPr>
                <w:rFonts w:cs="Times New Roman"/>
              </w:rPr>
              <w:t>1.07</w:t>
            </w:r>
          </w:p>
        </w:tc>
        <w:tc>
          <w:tcPr>
            <w:tcW w:w="976" w:type="dxa"/>
            <w:vAlign w:val="center"/>
          </w:tcPr>
          <w:p w14:paraId="28D856B4">
            <w:pPr>
              <w:pStyle w:val="64"/>
              <w:rPr>
                <w:rFonts w:cs="Times New Roman"/>
              </w:rPr>
            </w:pPr>
            <w:r>
              <w:rPr>
                <w:rFonts w:cs="Times New Roman"/>
              </w:rPr>
              <w:t>1.13</w:t>
            </w:r>
          </w:p>
        </w:tc>
        <w:tc>
          <w:tcPr>
            <w:tcW w:w="876" w:type="dxa"/>
            <w:vAlign w:val="center"/>
          </w:tcPr>
          <w:p w14:paraId="0E82ED91">
            <w:pPr>
              <w:pStyle w:val="64"/>
              <w:rPr>
                <w:rFonts w:cs="Times New Roman"/>
              </w:rPr>
            </w:pPr>
            <w:r>
              <w:rPr>
                <w:rFonts w:cs="Times New Roman"/>
              </w:rPr>
              <w:t>0.15</w:t>
            </w:r>
          </w:p>
        </w:tc>
        <w:tc>
          <w:tcPr>
            <w:tcW w:w="1174" w:type="dxa"/>
            <w:vAlign w:val="center"/>
          </w:tcPr>
          <w:p w14:paraId="4FE093AA">
            <w:pPr>
              <w:pStyle w:val="64"/>
              <w:rPr>
                <w:rFonts w:cs="Times New Roman"/>
              </w:rPr>
            </w:pPr>
            <w:r>
              <w:rPr>
                <w:rFonts w:cs="Times New Roman"/>
              </w:rPr>
              <w:t>&lt;0.05</w:t>
            </w:r>
          </w:p>
        </w:tc>
      </w:tr>
      <w:tr w14:paraId="060301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71" w:type="dxa"/>
            <w:vMerge w:val="continue"/>
            <w:vAlign w:val="center"/>
          </w:tcPr>
          <w:p w14:paraId="59EE893C">
            <w:pPr>
              <w:pStyle w:val="64"/>
              <w:rPr>
                <w:rFonts w:cs="Times New Roman"/>
              </w:rPr>
            </w:pPr>
          </w:p>
        </w:tc>
        <w:tc>
          <w:tcPr>
            <w:tcW w:w="1559" w:type="dxa"/>
            <w:vMerge w:val="continue"/>
            <w:vAlign w:val="center"/>
          </w:tcPr>
          <w:p w14:paraId="2F13A93A">
            <w:pPr>
              <w:pStyle w:val="64"/>
              <w:rPr>
                <w:rFonts w:cs="Times New Roman"/>
              </w:rPr>
            </w:pPr>
          </w:p>
        </w:tc>
        <w:tc>
          <w:tcPr>
            <w:tcW w:w="1276" w:type="dxa"/>
            <w:vMerge w:val="continue"/>
            <w:vAlign w:val="center"/>
          </w:tcPr>
          <w:p w14:paraId="204FD52A">
            <w:pPr>
              <w:pStyle w:val="64"/>
              <w:rPr>
                <w:rFonts w:cs="Times New Roman"/>
              </w:rPr>
            </w:pPr>
          </w:p>
        </w:tc>
        <w:tc>
          <w:tcPr>
            <w:tcW w:w="1575" w:type="dxa"/>
            <w:vAlign w:val="center"/>
          </w:tcPr>
          <w:p w14:paraId="31B15D7D">
            <w:pPr>
              <w:pStyle w:val="64"/>
              <w:rPr>
                <w:rFonts w:cs="Times New Roman"/>
              </w:rPr>
            </w:pPr>
            <w:r>
              <w:rPr>
                <w:rFonts w:cs="Times New Roman"/>
              </w:rPr>
              <w:t>Si</w:t>
            </w:r>
          </w:p>
        </w:tc>
        <w:tc>
          <w:tcPr>
            <w:tcW w:w="844" w:type="dxa"/>
            <w:vAlign w:val="center"/>
          </w:tcPr>
          <w:p w14:paraId="7C5C44D8">
            <w:pPr>
              <w:pStyle w:val="64"/>
              <w:rPr>
                <w:rFonts w:cs="Times New Roman"/>
              </w:rPr>
            </w:pPr>
            <w:r>
              <w:rPr>
                <w:rFonts w:cs="Times New Roman"/>
              </w:rPr>
              <w:t>0.4</w:t>
            </w:r>
          </w:p>
        </w:tc>
        <w:tc>
          <w:tcPr>
            <w:tcW w:w="803" w:type="dxa"/>
            <w:vMerge w:val="continue"/>
            <w:vAlign w:val="center"/>
          </w:tcPr>
          <w:p w14:paraId="7ACA1AC3">
            <w:pPr>
              <w:pStyle w:val="64"/>
              <w:rPr>
                <w:rFonts w:cs="Times New Roman"/>
              </w:rPr>
            </w:pPr>
          </w:p>
        </w:tc>
        <w:tc>
          <w:tcPr>
            <w:tcW w:w="830" w:type="dxa"/>
            <w:vAlign w:val="center"/>
          </w:tcPr>
          <w:p w14:paraId="36719444">
            <w:pPr>
              <w:pStyle w:val="64"/>
              <w:rPr>
                <w:rFonts w:cs="Times New Roman"/>
              </w:rPr>
            </w:pPr>
            <w:r>
              <w:rPr>
                <w:rFonts w:cs="Times New Roman"/>
              </w:rPr>
              <w:t>0.58</w:t>
            </w:r>
          </w:p>
        </w:tc>
        <w:tc>
          <w:tcPr>
            <w:tcW w:w="912" w:type="dxa"/>
            <w:vAlign w:val="center"/>
          </w:tcPr>
          <w:p w14:paraId="3E51BE0F">
            <w:pPr>
              <w:pStyle w:val="64"/>
              <w:rPr>
                <w:rFonts w:cs="Times New Roman"/>
              </w:rPr>
            </w:pPr>
            <w:r>
              <w:rPr>
                <w:rFonts w:cs="Times New Roman"/>
              </w:rPr>
              <w:t>0.9</w:t>
            </w:r>
          </w:p>
        </w:tc>
        <w:tc>
          <w:tcPr>
            <w:tcW w:w="1131" w:type="dxa"/>
            <w:vAlign w:val="center"/>
          </w:tcPr>
          <w:p w14:paraId="60F5189E">
            <w:pPr>
              <w:pStyle w:val="64"/>
              <w:rPr>
                <w:rFonts w:cs="Times New Roman"/>
              </w:rPr>
            </w:pPr>
            <w:r>
              <w:rPr>
                <w:rFonts w:cs="Times New Roman"/>
              </w:rPr>
              <w:t>0.48</w:t>
            </w:r>
          </w:p>
        </w:tc>
        <w:tc>
          <w:tcPr>
            <w:tcW w:w="765" w:type="dxa"/>
            <w:vAlign w:val="center"/>
          </w:tcPr>
          <w:p w14:paraId="35BE5711">
            <w:pPr>
              <w:pStyle w:val="64"/>
              <w:rPr>
                <w:rFonts w:cs="Times New Roman"/>
              </w:rPr>
            </w:pPr>
            <w:r>
              <w:rPr>
                <w:rFonts w:cs="Times New Roman"/>
              </w:rPr>
              <w:t>0.71</w:t>
            </w:r>
          </w:p>
        </w:tc>
        <w:tc>
          <w:tcPr>
            <w:tcW w:w="976" w:type="dxa"/>
            <w:vAlign w:val="center"/>
          </w:tcPr>
          <w:p w14:paraId="621EEFB4">
            <w:pPr>
              <w:pStyle w:val="64"/>
              <w:rPr>
                <w:rFonts w:cs="Times New Roman"/>
              </w:rPr>
            </w:pPr>
            <w:r>
              <w:rPr>
                <w:rFonts w:cs="Times New Roman"/>
              </w:rPr>
              <w:t>0.75</w:t>
            </w:r>
          </w:p>
        </w:tc>
        <w:tc>
          <w:tcPr>
            <w:tcW w:w="876" w:type="dxa"/>
            <w:vAlign w:val="center"/>
          </w:tcPr>
          <w:p w14:paraId="57DEC600">
            <w:pPr>
              <w:pStyle w:val="64"/>
              <w:rPr>
                <w:rFonts w:cs="Times New Roman"/>
              </w:rPr>
            </w:pPr>
            <w:r>
              <w:rPr>
                <w:rFonts w:cs="Times New Roman"/>
              </w:rPr>
              <w:t>0.3</w:t>
            </w:r>
          </w:p>
        </w:tc>
        <w:tc>
          <w:tcPr>
            <w:tcW w:w="1174" w:type="dxa"/>
            <w:vAlign w:val="center"/>
          </w:tcPr>
          <w:p w14:paraId="185EC046">
            <w:pPr>
              <w:pStyle w:val="64"/>
              <w:rPr>
                <w:rFonts w:cs="Times New Roman"/>
              </w:rPr>
            </w:pPr>
            <w:r>
              <w:rPr>
                <w:rFonts w:cs="Times New Roman"/>
              </w:rPr>
              <w:t>&lt;0.17</w:t>
            </w:r>
          </w:p>
        </w:tc>
      </w:tr>
      <w:tr w14:paraId="373122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71" w:type="dxa"/>
            <w:vMerge w:val="restart"/>
            <w:vAlign w:val="center"/>
          </w:tcPr>
          <w:p w14:paraId="3C6A68BA">
            <w:pPr>
              <w:pStyle w:val="64"/>
              <w:rPr>
                <w:rFonts w:cs="Times New Roman"/>
              </w:rPr>
            </w:pPr>
            <w:r>
              <w:rPr>
                <w:rFonts w:hint="eastAsia" w:cs="Times New Roman"/>
              </w:rPr>
              <w:t>3</w:t>
            </w:r>
            <w:r>
              <w:rPr>
                <w:rFonts w:cs="Times New Roman"/>
              </w:rPr>
              <w:t>#三铺大沟入淮河口处上游500m距北岸20m</w:t>
            </w:r>
          </w:p>
        </w:tc>
        <w:tc>
          <w:tcPr>
            <w:tcW w:w="1559" w:type="dxa"/>
            <w:vMerge w:val="restart"/>
            <w:vAlign w:val="center"/>
          </w:tcPr>
          <w:p w14:paraId="59407652">
            <w:pPr>
              <w:pStyle w:val="64"/>
              <w:rPr>
                <w:rFonts w:cs="Times New Roman"/>
              </w:rPr>
            </w:pPr>
            <w:r>
              <w:rPr>
                <w:rFonts w:cs="Times New Roman"/>
              </w:rPr>
              <w:t>E:117°32'31.01"</w:t>
            </w:r>
            <w:r>
              <w:rPr>
                <w:rFonts w:cs="Times New Roman"/>
              </w:rPr>
              <w:br w:type="textWrapping"/>
            </w:r>
            <w:r>
              <w:rPr>
                <w:rFonts w:cs="Times New Roman"/>
              </w:rPr>
              <w:t>N:32°58'36.51"</w:t>
            </w:r>
          </w:p>
        </w:tc>
        <w:tc>
          <w:tcPr>
            <w:tcW w:w="1276" w:type="dxa"/>
            <w:vMerge w:val="restart"/>
            <w:vAlign w:val="center"/>
          </w:tcPr>
          <w:p w14:paraId="1907FDF6">
            <w:pPr>
              <w:pStyle w:val="64"/>
              <w:rPr>
                <w:rFonts w:cs="Times New Roman"/>
              </w:rPr>
            </w:pPr>
            <w:r>
              <w:rPr>
                <w:rFonts w:cs="Times New Roman"/>
              </w:rPr>
              <w:t>2024.4.28</w:t>
            </w:r>
          </w:p>
        </w:tc>
        <w:tc>
          <w:tcPr>
            <w:tcW w:w="1575" w:type="dxa"/>
            <w:vAlign w:val="center"/>
          </w:tcPr>
          <w:p w14:paraId="62A6757F">
            <w:pPr>
              <w:pStyle w:val="64"/>
              <w:rPr>
                <w:rFonts w:cs="Times New Roman"/>
              </w:rPr>
            </w:pPr>
            <w:r>
              <w:rPr>
                <w:rFonts w:cs="Times New Roman"/>
              </w:rPr>
              <w:t>Ci</w:t>
            </w:r>
          </w:p>
        </w:tc>
        <w:tc>
          <w:tcPr>
            <w:tcW w:w="844" w:type="dxa"/>
            <w:vAlign w:val="center"/>
          </w:tcPr>
          <w:p w14:paraId="26F66CA5">
            <w:pPr>
              <w:pStyle w:val="64"/>
              <w:rPr>
                <w:rFonts w:cs="Times New Roman"/>
              </w:rPr>
            </w:pPr>
            <w:r>
              <w:rPr>
                <w:rFonts w:cs="Times New Roman"/>
              </w:rPr>
              <w:t>7.5</w:t>
            </w:r>
          </w:p>
        </w:tc>
        <w:tc>
          <w:tcPr>
            <w:tcW w:w="803" w:type="dxa"/>
            <w:vMerge w:val="restart"/>
            <w:vAlign w:val="center"/>
          </w:tcPr>
          <w:p w14:paraId="56B2B1CF">
            <w:pPr>
              <w:pStyle w:val="64"/>
              <w:rPr>
                <w:rFonts w:cs="Times New Roman"/>
              </w:rPr>
            </w:pPr>
            <w:r>
              <w:rPr>
                <w:rFonts w:cs="Times New Roman"/>
              </w:rPr>
              <w:t>20.1</w:t>
            </w:r>
          </w:p>
        </w:tc>
        <w:tc>
          <w:tcPr>
            <w:tcW w:w="830" w:type="dxa"/>
            <w:vAlign w:val="center"/>
          </w:tcPr>
          <w:p w14:paraId="205C3110">
            <w:pPr>
              <w:pStyle w:val="64"/>
              <w:rPr>
                <w:rFonts w:cs="Times New Roman"/>
              </w:rPr>
            </w:pPr>
            <w:r>
              <w:rPr>
                <w:rFonts w:cs="Times New Roman"/>
              </w:rPr>
              <w:t>5.3</w:t>
            </w:r>
          </w:p>
        </w:tc>
        <w:tc>
          <w:tcPr>
            <w:tcW w:w="912" w:type="dxa"/>
            <w:vAlign w:val="center"/>
          </w:tcPr>
          <w:p w14:paraId="0BD2E4A5">
            <w:pPr>
              <w:pStyle w:val="64"/>
              <w:rPr>
                <w:rFonts w:cs="Times New Roman"/>
              </w:rPr>
            </w:pPr>
            <w:r>
              <w:rPr>
                <w:rFonts w:cs="Times New Roman"/>
              </w:rPr>
              <w:t>19</w:t>
            </w:r>
          </w:p>
        </w:tc>
        <w:tc>
          <w:tcPr>
            <w:tcW w:w="1131" w:type="dxa"/>
            <w:vAlign w:val="center"/>
          </w:tcPr>
          <w:p w14:paraId="349A3967">
            <w:pPr>
              <w:pStyle w:val="64"/>
              <w:rPr>
                <w:rFonts w:cs="Times New Roman"/>
              </w:rPr>
            </w:pPr>
            <w:r>
              <w:rPr>
                <w:rFonts w:cs="Times New Roman"/>
              </w:rPr>
              <w:t>2.4</w:t>
            </w:r>
          </w:p>
        </w:tc>
        <w:tc>
          <w:tcPr>
            <w:tcW w:w="765" w:type="dxa"/>
            <w:vAlign w:val="center"/>
          </w:tcPr>
          <w:p w14:paraId="1B98E562">
            <w:pPr>
              <w:pStyle w:val="64"/>
              <w:rPr>
                <w:rFonts w:cs="Times New Roman"/>
              </w:rPr>
            </w:pPr>
            <w:r>
              <w:rPr>
                <w:rFonts w:cs="Times New Roman"/>
              </w:rPr>
              <w:t>0.431</w:t>
            </w:r>
          </w:p>
        </w:tc>
        <w:tc>
          <w:tcPr>
            <w:tcW w:w="976" w:type="dxa"/>
            <w:vAlign w:val="center"/>
          </w:tcPr>
          <w:p w14:paraId="53A4A695">
            <w:pPr>
              <w:pStyle w:val="64"/>
              <w:rPr>
                <w:rFonts w:cs="Times New Roman"/>
              </w:rPr>
            </w:pPr>
            <w:r>
              <w:rPr>
                <w:rFonts w:cs="Times New Roman"/>
              </w:rPr>
              <w:t>0.9</w:t>
            </w:r>
          </w:p>
        </w:tc>
        <w:tc>
          <w:tcPr>
            <w:tcW w:w="876" w:type="dxa"/>
            <w:vAlign w:val="center"/>
          </w:tcPr>
          <w:p w14:paraId="6E9794FE">
            <w:pPr>
              <w:pStyle w:val="64"/>
              <w:rPr>
                <w:rFonts w:cs="Times New Roman"/>
              </w:rPr>
            </w:pPr>
            <w:r>
              <w:rPr>
                <w:rFonts w:cs="Times New Roman"/>
              </w:rPr>
              <w:t>0.04</w:t>
            </w:r>
          </w:p>
        </w:tc>
        <w:tc>
          <w:tcPr>
            <w:tcW w:w="1174" w:type="dxa"/>
            <w:vAlign w:val="center"/>
          </w:tcPr>
          <w:p w14:paraId="483BBF92">
            <w:pPr>
              <w:pStyle w:val="64"/>
              <w:rPr>
                <w:rFonts w:cs="Times New Roman"/>
              </w:rPr>
            </w:pPr>
            <w:r>
              <w:rPr>
                <w:rFonts w:cs="Times New Roman"/>
              </w:rPr>
              <w:t>0.088</w:t>
            </w:r>
          </w:p>
        </w:tc>
      </w:tr>
      <w:tr w14:paraId="7A1033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71" w:type="dxa"/>
            <w:vMerge w:val="continue"/>
            <w:vAlign w:val="center"/>
          </w:tcPr>
          <w:p w14:paraId="72F50B2A">
            <w:pPr>
              <w:pStyle w:val="64"/>
              <w:rPr>
                <w:rFonts w:cs="Times New Roman"/>
              </w:rPr>
            </w:pPr>
          </w:p>
        </w:tc>
        <w:tc>
          <w:tcPr>
            <w:tcW w:w="1559" w:type="dxa"/>
            <w:vMerge w:val="continue"/>
            <w:vAlign w:val="center"/>
          </w:tcPr>
          <w:p w14:paraId="3DBA4969">
            <w:pPr>
              <w:pStyle w:val="64"/>
              <w:rPr>
                <w:rFonts w:cs="Times New Roman"/>
              </w:rPr>
            </w:pPr>
          </w:p>
        </w:tc>
        <w:tc>
          <w:tcPr>
            <w:tcW w:w="1276" w:type="dxa"/>
            <w:vMerge w:val="continue"/>
            <w:vAlign w:val="center"/>
          </w:tcPr>
          <w:p w14:paraId="2E9F246D">
            <w:pPr>
              <w:pStyle w:val="64"/>
              <w:rPr>
                <w:rFonts w:cs="Times New Roman"/>
              </w:rPr>
            </w:pPr>
          </w:p>
        </w:tc>
        <w:tc>
          <w:tcPr>
            <w:tcW w:w="1575" w:type="dxa"/>
            <w:vAlign w:val="center"/>
          </w:tcPr>
          <w:p w14:paraId="2A4536ED">
            <w:pPr>
              <w:pStyle w:val="64"/>
              <w:rPr>
                <w:rFonts w:cs="Times New Roman"/>
              </w:rPr>
            </w:pPr>
            <w:r>
              <w:rPr>
                <w:rFonts w:cs="Times New Roman"/>
              </w:rPr>
              <w:t>Si</w:t>
            </w:r>
          </w:p>
        </w:tc>
        <w:tc>
          <w:tcPr>
            <w:tcW w:w="844" w:type="dxa"/>
            <w:vAlign w:val="center"/>
          </w:tcPr>
          <w:p w14:paraId="3C58E6F5">
            <w:pPr>
              <w:pStyle w:val="64"/>
              <w:rPr>
                <w:rFonts w:cs="Times New Roman"/>
              </w:rPr>
            </w:pPr>
            <w:r>
              <w:rPr>
                <w:rFonts w:cs="Times New Roman"/>
              </w:rPr>
              <w:t>0.25</w:t>
            </w:r>
          </w:p>
        </w:tc>
        <w:tc>
          <w:tcPr>
            <w:tcW w:w="803" w:type="dxa"/>
            <w:vMerge w:val="continue"/>
            <w:vAlign w:val="center"/>
          </w:tcPr>
          <w:p w14:paraId="39A11C12">
            <w:pPr>
              <w:pStyle w:val="64"/>
              <w:rPr>
                <w:rFonts w:cs="Times New Roman"/>
              </w:rPr>
            </w:pPr>
          </w:p>
        </w:tc>
        <w:tc>
          <w:tcPr>
            <w:tcW w:w="830" w:type="dxa"/>
            <w:vAlign w:val="center"/>
          </w:tcPr>
          <w:p w14:paraId="74BEBAEC">
            <w:pPr>
              <w:pStyle w:val="64"/>
              <w:rPr>
                <w:rFonts w:cs="Times New Roman"/>
              </w:rPr>
            </w:pPr>
            <w:r>
              <w:rPr>
                <w:rFonts w:cs="Times New Roman"/>
              </w:rPr>
              <w:t>0.59</w:t>
            </w:r>
          </w:p>
        </w:tc>
        <w:tc>
          <w:tcPr>
            <w:tcW w:w="912" w:type="dxa"/>
            <w:vAlign w:val="center"/>
          </w:tcPr>
          <w:p w14:paraId="5415EE83">
            <w:pPr>
              <w:pStyle w:val="64"/>
              <w:rPr>
                <w:rFonts w:cs="Times New Roman"/>
              </w:rPr>
            </w:pPr>
            <w:r>
              <w:rPr>
                <w:rFonts w:cs="Times New Roman"/>
              </w:rPr>
              <w:t>0.95</w:t>
            </w:r>
          </w:p>
        </w:tc>
        <w:tc>
          <w:tcPr>
            <w:tcW w:w="1131" w:type="dxa"/>
            <w:vAlign w:val="center"/>
          </w:tcPr>
          <w:p w14:paraId="686BFE50">
            <w:pPr>
              <w:pStyle w:val="64"/>
              <w:rPr>
                <w:rFonts w:cs="Times New Roman"/>
              </w:rPr>
            </w:pPr>
            <w:r>
              <w:rPr>
                <w:rFonts w:cs="Times New Roman"/>
              </w:rPr>
              <w:t>0.6</w:t>
            </w:r>
          </w:p>
        </w:tc>
        <w:tc>
          <w:tcPr>
            <w:tcW w:w="765" w:type="dxa"/>
            <w:vAlign w:val="center"/>
          </w:tcPr>
          <w:p w14:paraId="12084464">
            <w:pPr>
              <w:pStyle w:val="64"/>
              <w:rPr>
                <w:rFonts w:cs="Times New Roman"/>
              </w:rPr>
            </w:pPr>
            <w:r>
              <w:rPr>
                <w:rFonts w:cs="Times New Roman"/>
              </w:rPr>
              <w:t>0.431</w:t>
            </w:r>
          </w:p>
        </w:tc>
        <w:tc>
          <w:tcPr>
            <w:tcW w:w="976" w:type="dxa"/>
            <w:vAlign w:val="center"/>
          </w:tcPr>
          <w:p w14:paraId="6234776F">
            <w:pPr>
              <w:pStyle w:val="64"/>
              <w:rPr>
                <w:rFonts w:cs="Times New Roman"/>
              </w:rPr>
            </w:pPr>
            <w:r>
              <w:rPr>
                <w:rFonts w:cs="Times New Roman"/>
              </w:rPr>
              <w:t>0.9</w:t>
            </w:r>
          </w:p>
        </w:tc>
        <w:tc>
          <w:tcPr>
            <w:tcW w:w="876" w:type="dxa"/>
            <w:vAlign w:val="center"/>
          </w:tcPr>
          <w:p w14:paraId="11D6C5A1">
            <w:pPr>
              <w:pStyle w:val="64"/>
              <w:rPr>
                <w:rFonts w:cs="Times New Roman"/>
              </w:rPr>
            </w:pPr>
            <w:r>
              <w:rPr>
                <w:rFonts w:cs="Times New Roman"/>
              </w:rPr>
              <w:t>0.8</w:t>
            </w:r>
          </w:p>
        </w:tc>
        <w:tc>
          <w:tcPr>
            <w:tcW w:w="1174" w:type="dxa"/>
            <w:vAlign w:val="center"/>
          </w:tcPr>
          <w:p w14:paraId="77685EF7">
            <w:pPr>
              <w:pStyle w:val="64"/>
              <w:rPr>
                <w:rFonts w:cs="Times New Roman"/>
              </w:rPr>
            </w:pPr>
            <w:r>
              <w:rPr>
                <w:rFonts w:cs="Times New Roman"/>
              </w:rPr>
              <w:t>0.44</w:t>
            </w:r>
          </w:p>
        </w:tc>
      </w:tr>
      <w:tr w14:paraId="510007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71" w:type="dxa"/>
            <w:vMerge w:val="continue"/>
            <w:vAlign w:val="center"/>
          </w:tcPr>
          <w:p w14:paraId="5A9E16B4">
            <w:pPr>
              <w:pStyle w:val="64"/>
              <w:rPr>
                <w:rFonts w:cs="Times New Roman"/>
              </w:rPr>
            </w:pPr>
          </w:p>
        </w:tc>
        <w:tc>
          <w:tcPr>
            <w:tcW w:w="1559" w:type="dxa"/>
            <w:vMerge w:val="continue"/>
            <w:vAlign w:val="center"/>
          </w:tcPr>
          <w:p w14:paraId="7DD9DC04">
            <w:pPr>
              <w:pStyle w:val="64"/>
              <w:rPr>
                <w:rFonts w:cs="Times New Roman"/>
              </w:rPr>
            </w:pPr>
          </w:p>
        </w:tc>
        <w:tc>
          <w:tcPr>
            <w:tcW w:w="1276" w:type="dxa"/>
            <w:vMerge w:val="restart"/>
            <w:vAlign w:val="center"/>
          </w:tcPr>
          <w:p w14:paraId="29DA837C">
            <w:pPr>
              <w:pStyle w:val="64"/>
              <w:rPr>
                <w:rFonts w:cs="Times New Roman"/>
              </w:rPr>
            </w:pPr>
            <w:r>
              <w:rPr>
                <w:rFonts w:cs="Times New Roman"/>
              </w:rPr>
              <w:t>2024.4.29</w:t>
            </w:r>
          </w:p>
        </w:tc>
        <w:tc>
          <w:tcPr>
            <w:tcW w:w="1575" w:type="dxa"/>
            <w:vAlign w:val="center"/>
          </w:tcPr>
          <w:p w14:paraId="3EF2F39B">
            <w:pPr>
              <w:pStyle w:val="64"/>
              <w:rPr>
                <w:rFonts w:cs="Times New Roman"/>
              </w:rPr>
            </w:pPr>
            <w:r>
              <w:rPr>
                <w:rFonts w:cs="Times New Roman"/>
              </w:rPr>
              <w:t>Ci</w:t>
            </w:r>
          </w:p>
        </w:tc>
        <w:tc>
          <w:tcPr>
            <w:tcW w:w="844" w:type="dxa"/>
            <w:vAlign w:val="center"/>
          </w:tcPr>
          <w:p w14:paraId="097846B2">
            <w:pPr>
              <w:pStyle w:val="64"/>
              <w:rPr>
                <w:rFonts w:cs="Times New Roman"/>
              </w:rPr>
            </w:pPr>
            <w:r>
              <w:rPr>
                <w:rFonts w:cs="Times New Roman"/>
              </w:rPr>
              <w:t>7.6</w:t>
            </w:r>
          </w:p>
        </w:tc>
        <w:tc>
          <w:tcPr>
            <w:tcW w:w="803" w:type="dxa"/>
            <w:vMerge w:val="restart"/>
            <w:vAlign w:val="center"/>
          </w:tcPr>
          <w:p w14:paraId="663CD5C8">
            <w:pPr>
              <w:pStyle w:val="64"/>
              <w:rPr>
                <w:rFonts w:cs="Times New Roman"/>
              </w:rPr>
            </w:pPr>
            <w:r>
              <w:rPr>
                <w:rFonts w:cs="Times New Roman"/>
              </w:rPr>
              <w:t>21.2</w:t>
            </w:r>
          </w:p>
        </w:tc>
        <w:tc>
          <w:tcPr>
            <w:tcW w:w="830" w:type="dxa"/>
            <w:vAlign w:val="center"/>
          </w:tcPr>
          <w:p w14:paraId="46E23F8F">
            <w:pPr>
              <w:pStyle w:val="64"/>
              <w:rPr>
                <w:rFonts w:cs="Times New Roman"/>
              </w:rPr>
            </w:pPr>
            <w:r>
              <w:rPr>
                <w:rFonts w:cs="Times New Roman"/>
              </w:rPr>
              <w:t>5.4</w:t>
            </w:r>
          </w:p>
        </w:tc>
        <w:tc>
          <w:tcPr>
            <w:tcW w:w="912" w:type="dxa"/>
            <w:vAlign w:val="center"/>
          </w:tcPr>
          <w:p w14:paraId="70AD2BFC">
            <w:pPr>
              <w:pStyle w:val="64"/>
              <w:rPr>
                <w:rFonts w:cs="Times New Roman"/>
              </w:rPr>
            </w:pPr>
            <w:r>
              <w:rPr>
                <w:rFonts w:cs="Times New Roman"/>
              </w:rPr>
              <w:t>17</w:t>
            </w:r>
          </w:p>
        </w:tc>
        <w:tc>
          <w:tcPr>
            <w:tcW w:w="1131" w:type="dxa"/>
            <w:vAlign w:val="center"/>
          </w:tcPr>
          <w:p w14:paraId="3E7D56FC">
            <w:pPr>
              <w:pStyle w:val="64"/>
              <w:rPr>
                <w:rFonts w:cs="Times New Roman"/>
              </w:rPr>
            </w:pPr>
            <w:r>
              <w:rPr>
                <w:rFonts w:cs="Times New Roman"/>
              </w:rPr>
              <w:t>2.6</w:t>
            </w:r>
          </w:p>
        </w:tc>
        <w:tc>
          <w:tcPr>
            <w:tcW w:w="765" w:type="dxa"/>
            <w:vAlign w:val="center"/>
          </w:tcPr>
          <w:p w14:paraId="697EE5E0">
            <w:pPr>
              <w:pStyle w:val="64"/>
              <w:rPr>
                <w:rFonts w:cs="Times New Roman"/>
              </w:rPr>
            </w:pPr>
            <w:r>
              <w:rPr>
                <w:rFonts w:cs="Times New Roman"/>
              </w:rPr>
              <w:t>0.343</w:t>
            </w:r>
          </w:p>
        </w:tc>
        <w:tc>
          <w:tcPr>
            <w:tcW w:w="976" w:type="dxa"/>
            <w:vAlign w:val="center"/>
          </w:tcPr>
          <w:p w14:paraId="4445A488">
            <w:pPr>
              <w:pStyle w:val="64"/>
              <w:rPr>
                <w:rFonts w:cs="Times New Roman"/>
              </w:rPr>
            </w:pPr>
            <w:r>
              <w:rPr>
                <w:rFonts w:cs="Times New Roman"/>
              </w:rPr>
              <w:t>0.89</w:t>
            </w:r>
          </w:p>
        </w:tc>
        <w:tc>
          <w:tcPr>
            <w:tcW w:w="876" w:type="dxa"/>
            <w:vAlign w:val="center"/>
          </w:tcPr>
          <w:p w14:paraId="3EC5CD4C">
            <w:pPr>
              <w:pStyle w:val="64"/>
              <w:rPr>
                <w:rFonts w:cs="Times New Roman"/>
              </w:rPr>
            </w:pPr>
            <w:r>
              <w:rPr>
                <w:rFonts w:cs="Times New Roman"/>
              </w:rPr>
              <w:t>0.03</w:t>
            </w:r>
          </w:p>
        </w:tc>
        <w:tc>
          <w:tcPr>
            <w:tcW w:w="1174" w:type="dxa"/>
            <w:vAlign w:val="center"/>
          </w:tcPr>
          <w:p w14:paraId="4561B8EC">
            <w:pPr>
              <w:pStyle w:val="64"/>
              <w:rPr>
                <w:rFonts w:cs="Times New Roman"/>
              </w:rPr>
            </w:pPr>
            <w:r>
              <w:rPr>
                <w:rFonts w:cs="Times New Roman"/>
              </w:rPr>
              <w:t>&lt;0.05</w:t>
            </w:r>
          </w:p>
        </w:tc>
      </w:tr>
      <w:tr w14:paraId="3D1FF2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71" w:type="dxa"/>
            <w:vMerge w:val="continue"/>
            <w:vAlign w:val="center"/>
          </w:tcPr>
          <w:p w14:paraId="09205A90">
            <w:pPr>
              <w:pStyle w:val="64"/>
              <w:rPr>
                <w:rFonts w:cs="Times New Roman"/>
              </w:rPr>
            </w:pPr>
          </w:p>
        </w:tc>
        <w:tc>
          <w:tcPr>
            <w:tcW w:w="1559" w:type="dxa"/>
            <w:vMerge w:val="continue"/>
            <w:vAlign w:val="center"/>
          </w:tcPr>
          <w:p w14:paraId="393EFA8A">
            <w:pPr>
              <w:pStyle w:val="64"/>
              <w:rPr>
                <w:rFonts w:cs="Times New Roman"/>
              </w:rPr>
            </w:pPr>
          </w:p>
        </w:tc>
        <w:tc>
          <w:tcPr>
            <w:tcW w:w="1276" w:type="dxa"/>
            <w:vMerge w:val="continue"/>
            <w:vAlign w:val="center"/>
          </w:tcPr>
          <w:p w14:paraId="401E4AC3">
            <w:pPr>
              <w:pStyle w:val="64"/>
              <w:rPr>
                <w:rFonts w:cs="Times New Roman"/>
              </w:rPr>
            </w:pPr>
          </w:p>
        </w:tc>
        <w:tc>
          <w:tcPr>
            <w:tcW w:w="1575" w:type="dxa"/>
            <w:vAlign w:val="center"/>
          </w:tcPr>
          <w:p w14:paraId="6526F161">
            <w:pPr>
              <w:pStyle w:val="64"/>
              <w:rPr>
                <w:rFonts w:cs="Times New Roman"/>
              </w:rPr>
            </w:pPr>
            <w:r>
              <w:rPr>
                <w:rFonts w:cs="Times New Roman"/>
              </w:rPr>
              <w:t>Si</w:t>
            </w:r>
          </w:p>
        </w:tc>
        <w:tc>
          <w:tcPr>
            <w:tcW w:w="844" w:type="dxa"/>
            <w:vAlign w:val="center"/>
          </w:tcPr>
          <w:p w14:paraId="22070E93">
            <w:pPr>
              <w:pStyle w:val="64"/>
              <w:rPr>
                <w:rFonts w:cs="Times New Roman"/>
              </w:rPr>
            </w:pPr>
            <w:r>
              <w:rPr>
                <w:rFonts w:cs="Times New Roman"/>
              </w:rPr>
              <w:t>0.3</w:t>
            </w:r>
          </w:p>
        </w:tc>
        <w:tc>
          <w:tcPr>
            <w:tcW w:w="803" w:type="dxa"/>
            <w:vMerge w:val="continue"/>
            <w:vAlign w:val="center"/>
          </w:tcPr>
          <w:p w14:paraId="03C6EC4E">
            <w:pPr>
              <w:pStyle w:val="64"/>
              <w:rPr>
                <w:rFonts w:cs="Times New Roman"/>
              </w:rPr>
            </w:pPr>
          </w:p>
        </w:tc>
        <w:tc>
          <w:tcPr>
            <w:tcW w:w="830" w:type="dxa"/>
            <w:vAlign w:val="center"/>
          </w:tcPr>
          <w:p w14:paraId="01642A15">
            <w:pPr>
              <w:pStyle w:val="64"/>
              <w:rPr>
                <w:rFonts w:cs="Times New Roman"/>
              </w:rPr>
            </w:pPr>
            <w:r>
              <w:rPr>
                <w:rFonts w:cs="Times New Roman"/>
              </w:rPr>
              <w:t>0.61</w:t>
            </w:r>
          </w:p>
        </w:tc>
        <w:tc>
          <w:tcPr>
            <w:tcW w:w="912" w:type="dxa"/>
            <w:vAlign w:val="center"/>
          </w:tcPr>
          <w:p w14:paraId="7AAF0E83">
            <w:pPr>
              <w:pStyle w:val="64"/>
              <w:rPr>
                <w:rFonts w:cs="Times New Roman"/>
              </w:rPr>
            </w:pPr>
            <w:r>
              <w:rPr>
                <w:rFonts w:cs="Times New Roman"/>
              </w:rPr>
              <w:t>0.85</w:t>
            </w:r>
          </w:p>
        </w:tc>
        <w:tc>
          <w:tcPr>
            <w:tcW w:w="1131" w:type="dxa"/>
            <w:vAlign w:val="center"/>
          </w:tcPr>
          <w:p w14:paraId="28CCC236">
            <w:pPr>
              <w:pStyle w:val="64"/>
              <w:rPr>
                <w:rFonts w:cs="Times New Roman"/>
              </w:rPr>
            </w:pPr>
            <w:r>
              <w:rPr>
                <w:rFonts w:cs="Times New Roman"/>
              </w:rPr>
              <w:t>0.65</w:t>
            </w:r>
          </w:p>
        </w:tc>
        <w:tc>
          <w:tcPr>
            <w:tcW w:w="765" w:type="dxa"/>
            <w:vAlign w:val="center"/>
          </w:tcPr>
          <w:p w14:paraId="524351FB">
            <w:pPr>
              <w:pStyle w:val="64"/>
              <w:rPr>
                <w:rFonts w:cs="Times New Roman"/>
              </w:rPr>
            </w:pPr>
            <w:r>
              <w:rPr>
                <w:rFonts w:cs="Times New Roman"/>
              </w:rPr>
              <w:t>0.343</w:t>
            </w:r>
          </w:p>
        </w:tc>
        <w:tc>
          <w:tcPr>
            <w:tcW w:w="976" w:type="dxa"/>
            <w:vAlign w:val="center"/>
          </w:tcPr>
          <w:p w14:paraId="7BACE525">
            <w:pPr>
              <w:pStyle w:val="64"/>
              <w:rPr>
                <w:rFonts w:cs="Times New Roman"/>
              </w:rPr>
            </w:pPr>
            <w:r>
              <w:rPr>
                <w:rFonts w:cs="Times New Roman"/>
              </w:rPr>
              <w:t>0.89</w:t>
            </w:r>
          </w:p>
        </w:tc>
        <w:tc>
          <w:tcPr>
            <w:tcW w:w="876" w:type="dxa"/>
            <w:vAlign w:val="center"/>
          </w:tcPr>
          <w:p w14:paraId="32DFA9EA">
            <w:pPr>
              <w:pStyle w:val="64"/>
              <w:rPr>
                <w:rFonts w:cs="Times New Roman"/>
              </w:rPr>
            </w:pPr>
            <w:r>
              <w:rPr>
                <w:rFonts w:cs="Times New Roman"/>
              </w:rPr>
              <w:t>0.6</w:t>
            </w:r>
          </w:p>
        </w:tc>
        <w:tc>
          <w:tcPr>
            <w:tcW w:w="1174" w:type="dxa"/>
            <w:vAlign w:val="center"/>
          </w:tcPr>
          <w:p w14:paraId="49863805">
            <w:pPr>
              <w:pStyle w:val="64"/>
              <w:rPr>
                <w:rFonts w:cs="Times New Roman"/>
              </w:rPr>
            </w:pPr>
            <w:r>
              <w:rPr>
                <w:rFonts w:cs="Times New Roman"/>
              </w:rPr>
              <w:t>&lt;0.25</w:t>
            </w:r>
          </w:p>
        </w:tc>
      </w:tr>
      <w:tr w14:paraId="69DD8E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71" w:type="dxa"/>
            <w:vMerge w:val="continue"/>
            <w:vAlign w:val="center"/>
          </w:tcPr>
          <w:p w14:paraId="0DABEA06">
            <w:pPr>
              <w:pStyle w:val="64"/>
              <w:rPr>
                <w:rFonts w:cs="Times New Roman"/>
              </w:rPr>
            </w:pPr>
          </w:p>
        </w:tc>
        <w:tc>
          <w:tcPr>
            <w:tcW w:w="1559" w:type="dxa"/>
            <w:vMerge w:val="continue"/>
            <w:vAlign w:val="center"/>
          </w:tcPr>
          <w:p w14:paraId="173DB25D">
            <w:pPr>
              <w:pStyle w:val="64"/>
              <w:rPr>
                <w:rFonts w:cs="Times New Roman"/>
              </w:rPr>
            </w:pPr>
          </w:p>
        </w:tc>
        <w:tc>
          <w:tcPr>
            <w:tcW w:w="1276" w:type="dxa"/>
            <w:vMerge w:val="restart"/>
            <w:vAlign w:val="center"/>
          </w:tcPr>
          <w:p w14:paraId="34F04685">
            <w:pPr>
              <w:pStyle w:val="64"/>
              <w:rPr>
                <w:rFonts w:cs="Times New Roman"/>
              </w:rPr>
            </w:pPr>
            <w:r>
              <w:rPr>
                <w:rFonts w:cs="Times New Roman"/>
              </w:rPr>
              <w:t>2024.4.30</w:t>
            </w:r>
          </w:p>
        </w:tc>
        <w:tc>
          <w:tcPr>
            <w:tcW w:w="1575" w:type="dxa"/>
            <w:vAlign w:val="center"/>
          </w:tcPr>
          <w:p w14:paraId="00CE20A8">
            <w:pPr>
              <w:pStyle w:val="64"/>
              <w:rPr>
                <w:rFonts w:cs="Times New Roman"/>
              </w:rPr>
            </w:pPr>
            <w:r>
              <w:rPr>
                <w:rFonts w:cs="Times New Roman"/>
              </w:rPr>
              <w:t>Ci</w:t>
            </w:r>
          </w:p>
        </w:tc>
        <w:tc>
          <w:tcPr>
            <w:tcW w:w="844" w:type="dxa"/>
            <w:vAlign w:val="center"/>
          </w:tcPr>
          <w:p w14:paraId="7EC77351">
            <w:pPr>
              <w:pStyle w:val="64"/>
              <w:rPr>
                <w:rFonts w:cs="Times New Roman"/>
              </w:rPr>
            </w:pPr>
            <w:r>
              <w:rPr>
                <w:rFonts w:cs="Times New Roman"/>
              </w:rPr>
              <w:t>7.7</w:t>
            </w:r>
          </w:p>
        </w:tc>
        <w:tc>
          <w:tcPr>
            <w:tcW w:w="803" w:type="dxa"/>
            <w:vMerge w:val="restart"/>
            <w:vAlign w:val="center"/>
          </w:tcPr>
          <w:p w14:paraId="449FE3A9">
            <w:pPr>
              <w:pStyle w:val="64"/>
              <w:rPr>
                <w:rFonts w:cs="Times New Roman"/>
              </w:rPr>
            </w:pPr>
            <w:r>
              <w:rPr>
                <w:rFonts w:cs="Times New Roman"/>
              </w:rPr>
              <w:t>19.6</w:t>
            </w:r>
          </w:p>
        </w:tc>
        <w:tc>
          <w:tcPr>
            <w:tcW w:w="830" w:type="dxa"/>
            <w:vAlign w:val="center"/>
          </w:tcPr>
          <w:p w14:paraId="44EDABBA">
            <w:pPr>
              <w:pStyle w:val="64"/>
              <w:rPr>
                <w:rFonts w:cs="Times New Roman"/>
              </w:rPr>
            </w:pPr>
            <w:r>
              <w:rPr>
                <w:rFonts w:cs="Times New Roman"/>
              </w:rPr>
              <w:t>5.5</w:t>
            </w:r>
          </w:p>
        </w:tc>
        <w:tc>
          <w:tcPr>
            <w:tcW w:w="912" w:type="dxa"/>
            <w:vAlign w:val="center"/>
          </w:tcPr>
          <w:p w14:paraId="6CE1D689">
            <w:pPr>
              <w:pStyle w:val="64"/>
              <w:rPr>
                <w:rFonts w:cs="Times New Roman"/>
              </w:rPr>
            </w:pPr>
            <w:r>
              <w:rPr>
                <w:rFonts w:cs="Times New Roman"/>
              </w:rPr>
              <w:t>18</w:t>
            </w:r>
          </w:p>
        </w:tc>
        <w:tc>
          <w:tcPr>
            <w:tcW w:w="1131" w:type="dxa"/>
            <w:vAlign w:val="center"/>
          </w:tcPr>
          <w:p w14:paraId="2EF0290D">
            <w:pPr>
              <w:pStyle w:val="64"/>
              <w:rPr>
                <w:rFonts w:cs="Times New Roman"/>
              </w:rPr>
            </w:pPr>
            <w:r>
              <w:rPr>
                <w:rFonts w:cs="Times New Roman"/>
              </w:rPr>
              <w:t>2.8</w:t>
            </w:r>
          </w:p>
        </w:tc>
        <w:tc>
          <w:tcPr>
            <w:tcW w:w="765" w:type="dxa"/>
            <w:vAlign w:val="center"/>
          </w:tcPr>
          <w:p w14:paraId="4E63A51F">
            <w:pPr>
              <w:pStyle w:val="64"/>
              <w:rPr>
                <w:rFonts w:cs="Times New Roman"/>
              </w:rPr>
            </w:pPr>
            <w:r>
              <w:rPr>
                <w:rFonts w:cs="Times New Roman"/>
              </w:rPr>
              <w:t>0.337</w:t>
            </w:r>
          </w:p>
        </w:tc>
        <w:tc>
          <w:tcPr>
            <w:tcW w:w="976" w:type="dxa"/>
            <w:vAlign w:val="center"/>
          </w:tcPr>
          <w:p w14:paraId="5FC28873">
            <w:pPr>
              <w:pStyle w:val="64"/>
              <w:rPr>
                <w:rFonts w:cs="Times New Roman"/>
              </w:rPr>
            </w:pPr>
            <w:r>
              <w:rPr>
                <w:rFonts w:cs="Times New Roman"/>
              </w:rPr>
              <w:t>0.97</w:t>
            </w:r>
          </w:p>
        </w:tc>
        <w:tc>
          <w:tcPr>
            <w:tcW w:w="876" w:type="dxa"/>
            <w:vAlign w:val="center"/>
          </w:tcPr>
          <w:p w14:paraId="44F99D16">
            <w:pPr>
              <w:pStyle w:val="64"/>
              <w:rPr>
                <w:rFonts w:cs="Times New Roman"/>
              </w:rPr>
            </w:pPr>
            <w:r>
              <w:rPr>
                <w:rFonts w:cs="Times New Roman"/>
              </w:rPr>
              <w:t>0.04</w:t>
            </w:r>
          </w:p>
        </w:tc>
        <w:tc>
          <w:tcPr>
            <w:tcW w:w="1174" w:type="dxa"/>
            <w:vAlign w:val="center"/>
          </w:tcPr>
          <w:p w14:paraId="370C31C1">
            <w:pPr>
              <w:pStyle w:val="64"/>
              <w:rPr>
                <w:rFonts w:cs="Times New Roman"/>
              </w:rPr>
            </w:pPr>
            <w:r>
              <w:rPr>
                <w:rFonts w:cs="Times New Roman"/>
              </w:rPr>
              <w:t>&lt;0.05</w:t>
            </w:r>
          </w:p>
        </w:tc>
      </w:tr>
      <w:tr w14:paraId="04C979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71" w:type="dxa"/>
            <w:vMerge w:val="continue"/>
            <w:vAlign w:val="center"/>
          </w:tcPr>
          <w:p w14:paraId="739DB4D8">
            <w:pPr>
              <w:pStyle w:val="64"/>
              <w:rPr>
                <w:rFonts w:cs="Times New Roman"/>
              </w:rPr>
            </w:pPr>
          </w:p>
        </w:tc>
        <w:tc>
          <w:tcPr>
            <w:tcW w:w="1559" w:type="dxa"/>
            <w:vMerge w:val="continue"/>
            <w:vAlign w:val="center"/>
          </w:tcPr>
          <w:p w14:paraId="042FC5AC">
            <w:pPr>
              <w:pStyle w:val="64"/>
              <w:rPr>
                <w:rFonts w:cs="Times New Roman"/>
              </w:rPr>
            </w:pPr>
          </w:p>
        </w:tc>
        <w:tc>
          <w:tcPr>
            <w:tcW w:w="1276" w:type="dxa"/>
            <w:vMerge w:val="continue"/>
            <w:vAlign w:val="center"/>
          </w:tcPr>
          <w:p w14:paraId="37BF0D0F">
            <w:pPr>
              <w:pStyle w:val="64"/>
              <w:rPr>
                <w:rFonts w:cs="Times New Roman"/>
              </w:rPr>
            </w:pPr>
          </w:p>
        </w:tc>
        <w:tc>
          <w:tcPr>
            <w:tcW w:w="1575" w:type="dxa"/>
            <w:vAlign w:val="center"/>
          </w:tcPr>
          <w:p w14:paraId="3764CD6B">
            <w:pPr>
              <w:pStyle w:val="64"/>
              <w:rPr>
                <w:rFonts w:cs="Times New Roman"/>
              </w:rPr>
            </w:pPr>
            <w:r>
              <w:rPr>
                <w:rFonts w:cs="Times New Roman"/>
              </w:rPr>
              <w:t>Si</w:t>
            </w:r>
          </w:p>
        </w:tc>
        <w:tc>
          <w:tcPr>
            <w:tcW w:w="844" w:type="dxa"/>
            <w:vAlign w:val="center"/>
          </w:tcPr>
          <w:p w14:paraId="31295AF6">
            <w:pPr>
              <w:pStyle w:val="64"/>
              <w:rPr>
                <w:rFonts w:cs="Times New Roman"/>
              </w:rPr>
            </w:pPr>
            <w:r>
              <w:rPr>
                <w:rFonts w:cs="Times New Roman"/>
              </w:rPr>
              <w:t>0.35</w:t>
            </w:r>
          </w:p>
        </w:tc>
        <w:tc>
          <w:tcPr>
            <w:tcW w:w="803" w:type="dxa"/>
            <w:vMerge w:val="continue"/>
            <w:vAlign w:val="center"/>
          </w:tcPr>
          <w:p w14:paraId="1A936816">
            <w:pPr>
              <w:pStyle w:val="64"/>
              <w:rPr>
                <w:rFonts w:cs="Times New Roman"/>
              </w:rPr>
            </w:pPr>
          </w:p>
        </w:tc>
        <w:tc>
          <w:tcPr>
            <w:tcW w:w="830" w:type="dxa"/>
            <w:vAlign w:val="center"/>
          </w:tcPr>
          <w:p w14:paraId="240CC9DE">
            <w:pPr>
              <w:pStyle w:val="64"/>
              <w:rPr>
                <w:rFonts w:cs="Times New Roman"/>
              </w:rPr>
            </w:pPr>
            <w:r>
              <w:rPr>
                <w:rFonts w:cs="Times New Roman"/>
              </w:rPr>
              <w:t>0.60</w:t>
            </w:r>
          </w:p>
        </w:tc>
        <w:tc>
          <w:tcPr>
            <w:tcW w:w="912" w:type="dxa"/>
            <w:vAlign w:val="center"/>
          </w:tcPr>
          <w:p w14:paraId="19A91421">
            <w:pPr>
              <w:pStyle w:val="64"/>
              <w:rPr>
                <w:rFonts w:cs="Times New Roman"/>
              </w:rPr>
            </w:pPr>
            <w:r>
              <w:rPr>
                <w:rFonts w:cs="Times New Roman"/>
              </w:rPr>
              <w:t>0.9</w:t>
            </w:r>
          </w:p>
        </w:tc>
        <w:tc>
          <w:tcPr>
            <w:tcW w:w="1131" w:type="dxa"/>
            <w:vAlign w:val="center"/>
          </w:tcPr>
          <w:p w14:paraId="0675FE99">
            <w:pPr>
              <w:pStyle w:val="64"/>
              <w:rPr>
                <w:rFonts w:cs="Times New Roman"/>
              </w:rPr>
            </w:pPr>
            <w:r>
              <w:rPr>
                <w:rFonts w:cs="Times New Roman"/>
              </w:rPr>
              <w:t>0.7</w:t>
            </w:r>
          </w:p>
        </w:tc>
        <w:tc>
          <w:tcPr>
            <w:tcW w:w="765" w:type="dxa"/>
            <w:vAlign w:val="center"/>
          </w:tcPr>
          <w:p w14:paraId="77B4E76E">
            <w:pPr>
              <w:pStyle w:val="64"/>
              <w:rPr>
                <w:rFonts w:cs="Times New Roman"/>
              </w:rPr>
            </w:pPr>
            <w:r>
              <w:rPr>
                <w:rFonts w:cs="Times New Roman"/>
              </w:rPr>
              <w:t>0.337</w:t>
            </w:r>
          </w:p>
        </w:tc>
        <w:tc>
          <w:tcPr>
            <w:tcW w:w="976" w:type="dxa"/>
            <w:vAlign w:val="center"/>
          </w:tcPr>
          <w:p w14:paraId="721F5B79">
            <w:pPr>
              <w:pStyle w:val="64"/>
              <w:rPr>
                <w:rFonts w:cs="Times New Roman"/>
              </w:rPr>
            </w:pPr>
            <w:r>
              <w:rPr>
                <w:rFonts w:cs="Times New Roman"/>
              </w:rPr>
              <w:t>0.97</w:t>
            </w:r>
          </w:p>
        </w:tc>
        <w:tc>
          <w:tcPr>
            <w:tcW w:w="876" w:type="dxa"/>
            <w:vAlign w:val="center"/>
          </w:tcPr>
          <w:p w14:paraId="38051C2E">
            <w:pPr>
              <w:pStyle w:val="64"/>
              <w:rPr>
                <w:rFonts w:cs="Times New Roman"/>
              </w:rPr>
            </w:pPr>
            <w:r>
              <w:rPr>
                <w:rFonts w:cs="Times New Roman"/>
              </w:rPr>
              <w:t>0.8</w:t>
            </w:r>
          </w:p>
        </w:tc>
        <w:tc>
          <w:tcPr>
            <w:tcW w:w="1174" w:type="dxa"/>
            <w:vAlign w:val="center"/>
          </w:tcPr>
          <w:p w14:paraId="3716E7DA">
            <w:pPr>
              <w:pStyle w:val="64"/>
              <w:rPr>
                <w:rFonts w:cs="Times New Roman"/>
              </w:rPr>
            </w:pPr>
            <w:r>
              <w:rPr>
                <w:rFonts w:cs="Times New Roman"/>
              </w:rPr>
              <w:t>&lt;0.25</w:t>
            </w:r>
          </w:p>
        </w:tc>
      </w:tr>
      <w:tr w14:paraId="727417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71" w:type="dxa"/>
            <w:vMerge w:val="restart"/>
            <w:vAlign w:val="center"/>
          </w:tcPr>
          <w:p w14:paraId="4048EA84">
            <w:pPr>
              <w:pStyle w:val="64"/>
              <w:rPr>
                <w:rFonts w:cs="Times New Roman"/>
              </w:rPr>
            </w:pPr>
            <w:r>
              <w:rPr>
                <w:rFonts w:hint="eastAsia" w:cs="Times New Roman"/>
              </w:rPr>
              <w:t>4</w:t>
            </w:r>
            <w:r>
              <w:rPr>
                <w:rFonts w:cs="Times New Roman"/>
              </w:rPr>
              <w:t>#三铺大沟入淮河口处下游500m距北岸20m</w:t>
            </w:r>
          </w:p>
        </w:tc>
        <w:tc>
          <w:tcPr>
            <w:tcW w:w="1559" w:type="dxa"/>
            <w:vMerge w:val="restart"/>
            <w:vAlign w:val="center"/>
          </w:tcPr>
          <w:p w14:paraId="4859B10E">
            <w:pPr>
              <w:pStyle w:val="64"/>
              <w:rPr>
                <w:rFonts w:cs="Times New Roman"/>
              </w:rPr>
            </w:pPr>
            <w:r>
              <w:rPr>
                <w:rFonts w:cs="Times New Roman"/>
              </w:rPr>
              <w:t>E:117°32'59.78"</w:t>
            </w:r>
            <w:r>
              <w:rPr>
                <w:rFonts w:cs="Times New Roman"/>
              </w:rPr>
              <w:br w:type="textWrapping"/>
            </w:r>
            <w:r>
              <w:rPr>
                <w:rFonts w:cs="Times New Roman"/>
              </w:rPr>
              <w:t>N:32°58'14.68"</w:t>
            </w:r>
          </w:p>
        </w:tc>
        <w:tc>
          <w:tcPr>
            <w:tcW w:w="1276" w:type="dxa"/>
            <w:vMerge w:val="restart"/>
            <w:vAlign w:val="center"/>
          </w:tcPr>
          <w:p w14:paraId="33EA3D87">
            <w:pPr>
              <w:pStyle w:val="64"/>
              <w:rPr>
                <w:rFonts w:cs="Times New Roman"/>
              </w:rPr>
            </w:pPr>
            <w:r>
              <w:rPr>
                <w:rFonts w:cs="Times New Roman"/>
              </w:rPr>
              <w:t>2024.4.28</w:t>
            </w:r>
          </w:p>
        </w:tc>
        <w:tc>
          <w:tcPr>
            <w:tcW w:w="1575" w:type="dxa"/>
            <w:vAlign w:val="center"/>
          </w:tcPr>
          <w:p w14:paraId="3C473CE9">
            <w:pPr>
              <w:pStyle w:val="64"/>
              <w:rPr>
                <w:rFonts w:cs="Times New Roman"/>
              </w:rPr>
            </w:pPr>
            <w:r>
              <w:rPr>
                <w:rFonts w:cs="Times New Roman"/>
              </w:rPr>
              <w:t>Ci</w:t>
            </w:r>
          </w:p>
        </w:tc>
        <w:tc>
          <w:tcPr>
            <w:tcW w:w="844" w:type="dxa"/>
            <w:vAlign w:val="center"/>
          </w:tcPr>
          <w:p w14:paraId="13F87A75">
            <w:pPr>
              <w:pStyle w:val="64"/>
              <w:rPr>
                <w:rFonts w:cs="Times New Roman"/>
              </w:rPr>
            </w:pPr>
            <w:r>
              <w:rPr>
                <w:rFonts w:cs="Times New Roman"/>
              </w:rPr>
              <w:t>7.6</w:t>
            </w:r>
          </w:p>
        </w:tc>
        <w:tc>
          <w:tcPr>
            <w:tcW w:w="803" w:type="dxa"/>
            <w:vMerge w:val="restart"/>
            <w:vAlign w:val="center"/>
          </w:tcPr>
          <w:p w14:paraId="3E7E9CBE">
            <w:pPr>
              <w:pStyle w:val="64"/>
              <w:rPr>
                <w:rFonts w:cs="Times New Roman"/>
              </w:rPr>
            </w:pPr>
            <w:r>
              <w:rPr>
                <w:rFonts w:cs="Times New Roman"/>
              </w:rPr>
              <w:t>20.3</w:t>
            </w:r>
          </w:p>
        </w:tc>
        <w:tc>
          <w:tcPr>
            <w:tcW w:w="830" w:type="dxa"/>
            <w:vAlign w:val="center"/>
          </w:tcPr>
          <w:p w14:paraId="1A4FEE62">
            <w:pPr>
              <w:pStyle w:val="64"/>
              <w:rPr>
                <w:rFonts w:cs="Times New Roman"/>
              </w:rPr>
            </w:pPr>
            <w:r>
              <w:rPr>
                <w:rFonts w:cs="Times New Roman"/>
              </w:rPr>
              <w:t>5.8</w:t>
            </w:r>
          </w:p>
        </w:tc>
        <w:tc>
          <w:tcPr>
            <w:tcW w:w="912" w:type="dxa"/>
            <w:vAlign w:val="center"/>
          </w:tcPr>
          <w:p w14:paraId="0778D26A">
            <w:pPr>
              <w:pStyle w:val="64"/>
              <w:rPr>
                <w:rFonts w:cs="Times New Roman"/>
              </w:rPr>
            </w:pPr>
            <w:r>
              <w:rPr>
                <w:rFonts w:cs="Times New Roman"/>
              </w:rPr>
              <w:t>17</w:t>
            </w:r>
          </w:p>
        </w:tc>
        <w:tc>
          <w:tcPr>
            <w:tcW w:w="1131" w:type="dxa"/>
            <w:vAlign w:val="center"/>
          </w:tcPr>
          <w:p w14:paraId="412CD173">
            <w:pPr>
              <w:pStyle w:val="64"/>
              <w:rPr>
                <w:rFonts w:cs="Times New Roman"/>
              </w:rPr>
            </w:pPr>
            <w:r>
              <w:rPr>
                <w:rFonts w:cs="Times New Roman"/>
              </w:rPr>
              <w:t>2.7</w:t>
            </w:r>
          </w:p>
        </w:tc>
        <w:tc>
          <w:tcPr>
            <w:tcW w:w="765" w:type="dxa"/>
            <w:vAlign w:val="center"/>
          </w:tcPr>
          <w:p w14:paraId="6F6BF14E">
            <w:pPr>
              <w:pStyle w:val="64"/>
              <w:rPr>
                <w:rFonts w:cs="Times New Roman"/>
              </w:rPr>
            </w:pPr>
            <w:r>
              <w:rPr>
                <w:rFonts w:cs="Times New Roman"/>
              </w:rPr>
              <w:t>0.434</w:t>
            </w:r>
          </w:p>
        </w:tc>
        <w:tc>
          <w:tcPr>
            <w:tcW w:w="976" w:type="dxa"/>
            <w:vAlign w:val="center"/>
          </w:tcPr>
          <w:p w14:paraId="1B1536F2">
            <w:pPr>
              <w:pStyle w:val="64"/>
              <w:rPr>
                <w:rFonts w:cs="Times New Roman"/>
              </w:rPr>
            </w:pPr>
            <w:r>
              <w:rPr>
                <w:rFonts w:cs="Times New Roman"/>
              </w:rPr>
              <w:t>0.84</w:t>
            </w:r>
          </w:p>
        </w:tc>
        <w:tc>
          <w:tcPr>
            <w:tcW w:w="876" w:type="dxa"/>
            <w:vAlign w:val="center"/>
          </w:tcPr>
          <w:p w14:paraId="17E9B443">
            <w:pPr>
              <w:pStyle w:val="64"/>
              <w:rPr>
                <w:rFonts w:cs="Times New Roman"/>
              </w:rPr>
            </w:pPr>
            <w:r>
              <w:rPr>
                <w:rFonts w:cs="Times New Roman"/>
              </w:rPr>
              <w:t>0.02</w:t>
            </w:r>
          </w:p>
        </w:tc>
        <w:tc>
          <w:tcPr>
            <w:tcW w:w="1174" w:type="dxa"/>
            <w:vAlign w:val="center"/>
          </w:tcPr>
          <w:p w14:paraId="7BB539B7">
            <w:pPr>
              <w:pStyle w:val="64"/>
              <w:rPr>
                <w:rFonts w:cs="Times New Roman"/>
              </w:rPr>
            </w:pPr>
            <w:r>
              <w:rPr>
                <w:rFonts w:cs="Times New Roman"/>
              </w:rPr>
              <w:t>&lt;0.05</w:t>
            </w:r>
          </w:p>
        </w:tc>
      </w:tr>
      <w:tr w14:paraId="2316CD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71" w:type="dxa"/>
            <w:vMerge w:val="continue"/>
            <w:vAlign w:val="center"/>
          </w:tcPr>
          <w:p w14:paraId="6AB05A2A">
            <w:pPr>
              <w:pStyle w:val="64"/>
              <w:rPr>
                <w:rFonts w:cs="Times New Roman"/>
              </w:rPr>
            </w:pPr>
          </w:p>
        </w:tc>
        <w:tc>
          <w:tcPr>
            <w:tcW w:w="1559" w:type="dxa"/>
            <w:vMerge w:val="continue"/>
            <w:vAlign w:val="center"/>
          </w:tcPr>
          <w:p w14:paraId="0A7FFD50">
            <w:pPr>
              <w:pStyle w:val="64"/>
              <w:rPr>
                <w:rFonts w:cs="Times New Roman"/>
              </w:rPr>
            </w:pPr>
          </w:p>
        </w:tc>
        <w:tc>
          <w:tcPr>
            <w:tcW w:w="1276" w:type="dxa"/>
            <w:vMerge w:val="continue"/>
            <w:vAlign w:val="center"/>
          </w:tcPr>
          <w:p w14:paraId="6B25A9CC">
            <w:pPr>
              <w:pStyle w:val="64"/>
              <w:rPr>
                <w:rFonts w:cs="Times New Roman"/>
              </w:rPr>
            </w:pPr>
          </w:p>
        </w:tc>
        <w:tc>
          <w:tcPr>
            <w:tcW w:w="1575" w:type="dxa"/>
            <w:vAlign w:val="center"/>
          </w:tcPr>
          <w:p w14:paraId="1EEFD8BE">
            <w:pPr>
              <w:pStyle w:val="64"/>
              <w:rPr>
                <w:rFonts w:cs="Times New Roman"/>
              </w:rPr>
            </w:pPr>
            <w:r>
              <w:rPr>
                <w:rFonts w:cs="Times New Roman"/>
              </w:rPr>
              <w:t>Si</w:t>
            </w:r>
          </w:p>
        </w:tc>
        <w:tc>
          <w:tcPr>
            <w:tcW w:w="844" w:type="dxa"/>
            <w:vAlign w:val="center"/>
          </w:tcPr>
          <w:p w14:paraId="725ABE92">
            <w:pPr>
              <w:pStyle w:val="64"/>
              <w:rPr>
                <w:rFonts w:cs="Times New Roman"/>
              </w:rPr>
            </w:pPr>
            <w:r>
              <w:rPr>
                <w:rFonts w:cs="Times New Roman"/>
              </w:rPr>
              <w:t>0.3</w:t>
            </w:r>
          </w:p>
        </w:tc>
        <w:tc>
          <w:tcPr>
            <w:tcW w:w="803" w:type="dxa"/>
            <w:vMerge w:val="continue"/>
            <w:vAlign w:val="center"/>
          </w:tcPr>
          <w:p w14:paraId="1E4DE72B">
            <w:pPr>
              <w:pStyle w:val="64"/>
              <w:rPr>
                <w:rFonts w:cs="Times New Roman"/>
              </w:rPr>
            </w:pPr>
          </w:p>
        </w:tc>
        <w:tc>
          <w:tcPr>
            <w:tcW w:w="830" w:type="dxa"/>
            <w:vAlign w:val="center"/>
          </w:tcPr>
          <w:p w14:paraId="2DAA277A">
            <w:pPr>
              <w:pStyle w:val="64"/>
              <w:rPr>
                <w:rFonts w:cs="Times New Roman"/>
              </w:rPr>
            </w:pPr>
            <w:r>
              <w:rPr>
                <w:rFonts w:cs="Times New Roman"/>
              </w:rPr>
              <w:t>0.64</w:t>
            </w:r>
          </w:p>
        </w:tc>
        <w:tc>
          <w:tcPr>
            <w:tcW w:w="912" w:type="dxa"/>
            <w:vAlign w:val="center"/>
          </w:tcPr>
          <w:p w14:paraId="73B93867">
            <w:pPr>
              <w:pStyle w:val="64"/>
              <w:rPr>
                <w:rFonts w:cs="Times New Roman"/>
              </w:rPr>
            </w:pPr>
            <w:r>
              <w:rPr>
                <w:rFonts w:cs="Times New Roman"/>
              </w:rPr>
              <w:t>0.85</w:t>
            </w:r>
          </w:p>
        </w:tc>
        <w:tc>
          <w:tcPr>
            <w:tcW w:w="1131" w:type="dxa"/>
            <w:vAlign w:val="center"/>
          </w:tcPr>
          <w:p w14:paraId="23B5B364">
            <w:pPr>
              <w:pStyle w:val="64"/>
              <w:rPr>
                <w:rFonts w:cs="Times New Roman"/>
              </w:rPr>
            </w:pPr>
            <w:r>
              <w:rPr>
                <w:rFonts w:cs="Times New Roman"/>
              </w:rPr>
              <w:t>0.675</w:t>
            </w:r>
          </w:p>
        </w:tc>
        <w:tc>
          <w:tcPr>
            <w:tcW w:w="765" w:type="dxa"/>
            <w:vAlign w:val="center"/>
          </w:tcPr>
          <w:p w14:paraId="0CAFD36E">
            <w:pPr>
              <w:pStyle w:val="64"/>
              <w:rPr>
                <w:rFonts w:cs="Times New Roman"/>
              </w:rPr>
            </w:pPr>
            <w:r>
              <w:rPr>
                <w:rFonts w:cs="Times New Roman"/>
              </w:rPr>
              <w:t>0.434</w:t>
            </w:r>
          </w:p>
        </w:tc>
        <w:tc>
          <w:tcPr>
            <w:tcW w:w="976" w:type="dxa"/>
            <w:vAlign w:val="center"/>
          </w:tcPr>
          <w:p w14:paraId="504EDD1B">
            <w:pPr>
              <w:pStyle w:val="64"/>
              <w:rPr>
                <w:rFonts w:cs="Times New Roman"/>
              </w:rPr>
            </w:pPr>
            <w:r>
              <w:rPr>
                <w:rFonts w:cs="Times New Roman"/>
              </w:rPr>
              <w:t>0.84</w:t>
            </w:r>
          </w:p>
        </w:tc>
        <w:tc>
          <w:tcPr>
            <w:tcW w:w="876" w:type="dxa"/>
            <w:vAlign w:val="center"/>
          </w:tcPr>
          <w:p w14:paraId="7C852CD9">
            <w:pPr>
              <w:pStyle w:val="64"/>
              <w:rPr>
                <w:rFonts w:cs="Times New Roman"/>
              </w:rPr>
            </w:pPr>
            <w:r>
              <w:rPr>
                <w:rFonts w:cs="Times New Roman"/>
              </w:rPr>
              <w:t>0.4</w:t>
            </w:r>
          </w:p>
        </w:tc>
        <w:tc>
          <w:tcPr>
            <w:tcW w:w="1174" w:type="dxa"/>
            <w:vAlign w:val="center"/>
          </w:tcPr>
          <w:p w14:paraId="1C166B15">
            <w:pPr>
              <w:pStyle w:val="64"/>
              <w:rPr>
                <w:rFonts w:cs="Times New Roman"/>
              </w:rPr>
            </w:pPr>
            <w:r>
              <w:rPr>
                <w:rFonts w:cs="Times New Roman"/>
              </w:rPr>
              <w:t>&lt;0.25</w:t>
            </w:r>
          </w:p>
        </w:tc>
      </w:tr>
      <w:tr w14:paraId="238211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71" w:type="dxa"/>
            <w:vMerge w:val="continue"/>
            <w:vAlign w:val="center"/>
          </w:tcPr>
          <w:p w14:paraId="3CE90FB8">
            <w:pPr>
              <w:pStyle w:val="64"/>
              <w:rPr>
                <w:rFonts w:cs="Times New Roman"/>
              </w:rPr>
            </w:pPr>
          </w:p>
        </w:tc>
        <w:tc>
          <w:tcPr>
            <w:tcW w:w="1559" w:type="dxa"/>
            <w:vMerge w:val="continue"/>
            <w:vAlign w:val="center"/>
          </w:tcPr>
          <w:p w14:paraId="540CD125">
            <w:pPr>
              <w:pStyle w:val="64"/>
              <w:rPr>
                <w:rFonts w:cs="Times New Roman"/>
              </w:rPr>
            </w:pPr>
          </w:p>
        </w:tc>
        <w:tc>
          <w:tcPr>
            <w:tcW w:w="1276" w:type="dxa"/>
            <w:vMerge w:val="restart"/>
            <w:vAlign w:val="center"/>
          </w:tcPr>
          <w:p w14:paraId="0AC06757">
            <w:pPr>
              <w:pStyle w:val="64"/>
              <w:rPr>
                <w:rFonts w:cs="Times New Roman"/>
              </w:rPr>
            </w:pPr>
            <w:r>
              <w:rPr>
                <w:rFonts w:cs="Times New Roman"/>
              </w:rPr>
              <w:t>2024.4.29</w:t>
            </w:r>
          </w:p>
        </w:tc>
        <w:tc>
          <w:tcPr>
            <w:tcW w:w="1575" w:type="dxa"/>
            <w:vAlign w:val="center"/>
          </w:tcPr>
          <w:p w14:paraId="1249217E">
            <w:pPr>
              <w:pStyle w:val="64"/>
              <w:rPr>
                <w:rFonts w:cs="Times New Roman"/>
              </w:rPr>
            </w:pPr>
            <w:r>
              <w:rPr>
                <w:rFonts w:cs="Times New Roman"/>
              </w:rPr>
              <w:t>Ci</w:t>
            </w:r>
          </w:p>
        </w:tc>
        <w:tc>
          <w:tcPr>
            <w:tcW w:w="844" w:type="dxa"/>
            <w:vAlign w:val="center"/>
          </w:tcPr>
          <w:p w14:paraId="1A968AAF">
            <w:pPr>
              <w:pStyle w:val="64"/>
              <w:rPr>
                <w:rFonts w:cs="Times New Roman"/>
              </w:rPr>
            </w:pPr>
            <w:r>
              <w:rPr>
                <w:rFonts w:cs="Times New Roman"/>
              </w:rPr>
              <w:t>7.7</w:t>
            </w:r>
          </w:p>
        </w:tc>
        <w:tc>
          <w:tcPr>
            <w:tcW w:w="803" w:type="dxa"/>
            <w:vMerge w:val="restart"/>
            <w:vAlign w:val="center"/>
          </w:tcPr>
          <w:p w14:paraId="1C531FFC">
            <w:pPr>
              <w:pStyle w:val="64"/>
              <w:rPr>
                <w:rFonts w:cs="Times New Roman"/>
              </w:rPr>
            </w:pPr>
            <w:r>
              <w:rPr>
                <w:rFonts w:cs="Times New Roman"/>
              </w:rPr>
              <w:t>21.2</w:t>
            </w:r>
          </w:p>
        </w:tc>
        <w:tc>
          <w:tcPr>
            <w:tcW w:w="830" w:type="dxa"/>
            <w:vAlign w:val="center"/>
          </w:tcPr>
          <w:p w14:paraId="3BFEDA2B">
            <w:pPr>
              <w:pStyle w:val="64"/>
              <w:rPr>
                <w:rFonts w:cs="Times New Roman"/>
              </w:rPr>
            </w:pPr>
            <w:r>
              <w:rPr>
                <w:rFonts w:cs="Times New Roman"/>
              </w:rPr>
              <w:t>5.6</w:t>
            </w:r>
          </w:p>
        </w:tc>
        <w:tc>
          <w:tcPr>
            <w:tcW w:w="912" w:type="dxa"/>
            <w:vAlign w:val="center"/>
          </w:tcPr>
          <w:p w14:paraId="3B04725F">
            <w:pPr>
              <w:pStyle w:val="64"/>
              <w:rPr>
                <w:rFonts w:cs="Times New Roman"/>
              </w:rPr>
            </w:pPr>
            <w:r>
              <w:rPr>
                <w:rFonts w:cs="Times New Roman"/>
              </w:rPr>
              <w:t>18</w:t>
            </w:r>
          </w:p>
        </w:tc>
        <w:tc>
          <w:tcPr>
            <w:tcW w:w="1131" w:type="dxa"/>
            <w:vAlign w:val="center"/>
          </w:tcPr>
          <w:p w14:paraId="34A47CAE">
            <w:pPr>
              <w:pStyle w:val="64"/>
              <w:rPr>
                <w:rFonts w:cs="Times New Roman"/>
              </w:rPr>
            </w:pPr>
            <w:r>
              <w:rPr>
                <w:rFonts w:cs="Times New Roman"/>
              </w:rPr>
              <w:t>2.6</w:t>
            </w:r>
          </w:p>
        </w:tc>
        <w:tc>
          <w:tcPr>
            <w:tcW w:w="765" w:type="dxa"/>
            <w:vAlign w:val="center"/>
          </w:tcPr>
          <w:p w14:paraId="254FF4B5">
            <w:pPr>
              <w:pStyle w:val="64"/>
              <w:rPr>
                <w:rFonts w:cs="Times New Roman"/>
              </w:rPr>
            </w:pPr>
            <w:r>
              <w:rPr>
                <w:rFonts w:cs="Times New Roman"/>
              </w:rPr>
              <w:t>0.177</w:t>
            </w:r>
          </w:p>
        </w:tc>
        <w:tc>
          <w:tcPr>
            <w:tcW w:w="976" w:type="dxa"/>
            <w:vAlign w:val="center"/>
          </w:tcPr>
          <w:p w14:paraId="076B80E6">
            <w:pPr>
              <w:pStyle w:val="64"/>
              <w:rPr>
                <w:rFonts w:cs="Times New Roman"/>
              </w:rPr>
            </w:pPr>
            <w:r>
              <w:rPr>
                <w:rFonts w:cs="Times New Roman"/>
              </w:rPr>
              <w:t>0.84</w:t>
            </w:r>
          </w:p>
        </w:tc>
        <w:tc>
          <w:tcPr>
            <w:tcW w:w="876" w:type="dxa"/>
            <w:vAlign w:val="center"/>
          </w:tcPr>
          <w:p w14:paraId="423CB36C">
            <w:pPr>
              <w:pStyle w:val="64"/>
              <w:rPr>
                <w:rFonts w:cs="Times New Roman"/>
              </w:rPr>
            </w:pPr>
            <w:r>
              <w:rPr>
                <w:rFonts w:cs="Times New Roman"/>
              </w:rPr>
              <w:t>0.02</w:t>
            </w:r>
          </w:p>
        </w:tc>
        <w:tc>
          <w:tcPr>
            <w:tcW w:w="1174" w:type="dxa"/>
            <w:vAlign w:val="center"/>
          </w:tcPr>
          <w:p w14:paraId="2DBC1518">
            <w:pPr>
              <w:pStyle w:val="64"/>
              <w:rPr>
                <w:rFonts w:cs="Times New Roman"/>
              </w:rPr>
            </w:pPr>
            <w:r>
              <w:rPr>
                <w:rFonts w:cs="Times New Roman"/>
              </w:rPr>
              <w:t>&lt;0.05</w:t>
            </w:r>
          </w:p>
        </w:tc>
      </w:tr>
      <w:tr w14:paraId="3B2254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71" w:type="dxa"/>
            <w:vMerge w:val="continue"/>
            <w:vAlign w:val="center"/>
          </w:tcPr>
          <w:p w14:paraId="4FF5E977">
            <w:pPr>
              <w:pStyle w:val="64"/>
              <w:rPr>
                <w:rFonts w:cs="Times New Roman"/>
              </w:rPr>
            </w:pPr>
          </w:p>
        </w:tc>
        <w:tc>
          <w:tcPr>
            <w:tcW w:w="1559" w:type="dxa"/>
            <w:vMerge w:val="continue"/>
            <w:vAlign w:val="center"/>
          </w:tcPr>
          <w:p w14:paraId="280A618F">
            <w:pPr>
              <w:pStyle w:val="64"/>
              <w:rPr>
                <w:rFonts w:cs="Times New Roman"/>
              </w:rPr>
            </w:pPr>
          </w:p>
        </w:tc>
        <w:tc>
          <w:tcPr>
            <w:tcW w:w="1276" w:type="dxa"/>
            <w:vMerge w:val="continue"/>
            <w:vAlign w:val="center"/>
          </w:tcPr>
          <w:p w14:paraId="314D70EF">
            <w:pPr>
              <w:pStyle w:val="64"/>
              <w:rPr>
                <w:rFonts w:cs="Times New Roman"/>
              </w:rPr>
            </w:pPr>
          </w:p>
        </w:tc>
        <w:tc>
          <w:tcPr>
            <w:tcW w:w="1575" w:type="dxa"/>
            <w:vAlign w:val="center"/>
          </w:tcPr>
          <w:p w14:paraId="02F24D54">
            <w:pPr>
              <w:pStyle w:val="64"/>
              <w:rPr>
                <w:rFonts w:cs="Times New Roman"/>
              </w:rPr>
            </w:pPr>
            <w:r>
              <w:rPr>
                <w:rFonts w:cs="Times New Roman"/>
              </w:rPr>
              <w:t>Si</w:t>
            </w:r>
          </w:p>
        </w:tc>
        <w:tc>
          <w:tcPr>
            <w:tcW w:w="844" w:type="dxa"/>
            <w:vAlign w:val="center"/>
          </w:tcPr>
          <w:p w14:paraId="248D5474">
            <w:pPr>
              <w:pStyle w:val="64"/>
              <w:rPr>
                <w:rFonts w:cs="Times New Roman"/>
              </w:rPr>
            </w:pPr>
            <w:r>
              <w:rPr>
                <w:rFonts w:cs="Times New Roman"/>
              </w:rPr>
              <w:t>0.35</w:t>
            </w:r>
          </w:p>
        </w:tc>
        <w:tc>
          <w:tcPr>
            <w:tcW w:w="803" w:type="dxa"/>
            <w:vMerge w:val="continue"/>
            <w:vAlign w:val="center"/>
          </w:tcPr>
          <w:p w14:paraId="5CED9DD0">
            <w:pPr>
              <w:pStyle w:val="64"/>
              <w:rPr>
                <w:rFonts w:cs="Times New Roman"/>
              </w:rPr>
            </w:pPr>
          </w:p>
        </w:tc>
        <w:tc>
          <w:tcPr>
            <w:tcW w:w="830" w:type="dxa"/>
            <w:vAlign w:val="center"/>
          </w:tcPr>
          <w:p w14:paraId="22CC23D5">
            <w:pPr>
              <w:pStyle w:val="64"/>
              <w:rPr>
                <w:rFonts w:cs="Times New Roman"/>
              </w:rPr>
            </w:pPr>
            <w:r>
              <w:rPr>
                <w:rFonts w:cs="Times New Roman"/>
              </w:rPr>
              <w:t>0.63</w:t>
            </w:r>
          </w:p>
        </w:tc>
        <w:tc>
          <w:tcPr>
            <w:tcW w:w="912" w:type="dxa"/>
            <w:vAlign w:val="center"/>
          </w:tcPr>
          <w:p w14:paraId="0C87721B">
            <w:pPr>
              <w:pStyle w:val="64"/>
              <w:rPr>
                <w:rFonts w:cs="Times New Roman"/>
              </w:rPr>
            </w:pPr>
            <w:r>
              <w:rPr>
                <w:rFonts w:cs="Times New Roman"/>
              </w:rPr>
              <w:t>0.9</w:t>
            </w:r>
          </w:p>
        </w:tc>
        <w:tc>
          <w:tcPr>
            <w:tcW w:w="1131" w:type="dxa"/>
            <w:vAlign w:val="center"/>
          </w:tcPr>
          <w:p w14:paraId="4331337A">
            <w:pPr>
              <w:pStyle w:val="64"/>
              <w:rPr>
                <w:rFonts w:cs="Times New Roman"/>
              </w:rPr>
            </w:pPr>
            <w:r>
              <w:rPr>
                <w:rFonts w:cs="Times New Roman"/>
              </w:rPr>
              <w:t>0.65</w:t>
            </w:r>
          </w:p>
        </w:tc>
        <w:tc>
          <w:tcPr>
            <w:tcW w:w="765" w:type="dxa"/>
            <w:vAlign w:val="center"/>
          </w:tcPr>
          <w:p w14:paraId="5190959A">
            <w:pPr>
              <w:pStyle w:val="64"/>
              <w:rPr>
                <w:rFonts w:cs="Times New Roman"/>
              </w:rPr>
            </w:pPr>
            <w:r>
              <w:rPr>
                <w:rFonts w:cs="Times New Roman"/>
              </w:rPr>
              <w:t>0.177</w:t>
            </w:r>
          </w:p>
        </w:tc>
        <w:tc>
          <w:tcPr>
            <w:tcW w:w="976" w:type="dxa"/>
            <w:vAlign w:val="center"/>
          </w:tcPr>
          <w:p w14:paraId="32C81D52">
            <w:pPr>
              <w:pStyle w:val="64"/>
              <w:rPr>
                <w:rFonts w:cs="Times New Roman"/>
              </w:rPr>
            </w:pPr>
            <w:r>
              <w:rPr>
                <w:rFonts w:cs="Times New Roman"/>
              </w:rPr>
              <w:t>0.84</w:t>
            </w:r>
          </w:p>
        </w:tc>
        <w:tc>
          <w:tcPr>
            <w:tcW w:w="876" w:type="dxa"/>
            <w:vAlign w:val="center"/>
          </w:tcPr>
          <w:p w14:paraId="4219AD9A">
            <w:pPr>
              <w:pStyle w:val="64"/>
              <w:rPr>
                <w:rFonts w:cs="Times New Roman"/>
              </w:rPr>
            </w:pPr>
            <w:r>
              <w:rPr>
                <w:rFonts w:cs="Times New Roman"/>
              </w:rPr>
              <w:t>0.4</w:t>
            </w:r>
          </w:p>
        </w:tc>
        <w:tc>
          <w:tcPr>
            <w:tcW w:w="1174" w:type="dxa"/>
            <w:vAlign w:val="center"/>
          </w:tcPr>
          <w:p w14:paraId="6E25CC7A">
            <w:pPr>
              <w:pStyle w:val="64"/>
              <w:rPr>
                <w:rFonts w:cs="Times New Roman"/>
              </w:rPr>
            </w:pPr>
            <w:r>
              <w:rPr>
                <w:rFonts w:cs="Times New Roman"/>
              </w:rPr>
              <w:t>&lt;0.25</w:t>
            </w:r>
          </w:p>
        </w:tc>
      </w:tr>
      <w:tr w14:paraId="7599B0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71" w:type="dxa"/>
            <w:vMerge w:val="continue"/>
            <w:vAlign w:val="center"/>
          </w:tcPr>
          <w:p w14:paraId="2F1E7588">
            <w:pPr>
              <w:pStyle w:val="64"/>
              <w:rPr>
                <w:rFonts w:cs="Times New Roman"/>
              </w:rPr>
            </w:pPr>
          </w:p>
        </w:tc>
        <w:tc>
          <w:tcPr>
            <w:tcW w:w="1559" w:type="dxa"/>
            <w:vMerge w:val="continue"/>
            <w:vAlign w:val="center"/>
          </w:tcPr>
          <w:p w14:paraId="3E8FB4AE">
            <w:pPr>
              <w:pStyle w:val="64"/>
              <w:rPr>
                <w:rFonts w:cs="Times New Roman"/>
              </w:rPr>
            </w:pPr>
          </w:p>
        </w:tc>
        <w:tc>
          <w:tcPr>
            <w:tcW w:w="1276" w:type="dxa"/>
            <w:vMerge w:val="restart"/>
            <w:vAlign w:val="center"/>
          </w:tcPr>
          <w:p w14:paraId="2A133B9F">
            <w:pPr>
              <w:pStyle w:val="64"/>
              <w:rPr>
                <w:rFonts w:cs="Times New Roman"/>
              </w:rPr>
            </w:pPr>
            <w:r>
              <w:rPr>
                <w:rFonts w:cs="Times New Roman"/>
              </w:rPr>
              <w:t>2024.4.30</w:t>
            </w:r>
          </w:p>
        </w:tc>
        <w:tc>
          <w:tcPr>
            <w:tcW w:w="1575" w:type="dxa"/>
            <w:vAlign w:val="center"/>
          </w:tcPr>
          <w:p w14:paraId="3EE31662">
            <w:pPr>
              <w:pStyle w:val="64"/>
              <w:rPr>
                <w:rFonts w:cs="Times New Roman"/>
              </w:rPr>
            </w:pPr>
            <w:r>
              <w:rPr>
                <w:rFonts w:cs="Times New Roman"/>
              </w:rPr>
              <w:t>Ci</w:t>
            </w:r>
          </w:p>
        </w:tc>
        <w:tc>
          <w:tcPr>
            <w:tcW w:w="844" w:type="dxa"/>
            <w:vAlign w:val="center"/>
          </w:tcPr>
          <w:p w14:paraId="28DE7C5A">
            <w:pPr>
              <w:pStyle w:val="64"/>
              <w:rPr>
                <w:rFonts w:cs="Times New Roman"/>
              </w:rPr>
            </w:pPr>
            <w:r>
              <w:rPr>
                <w:rFonts w:cs="Times New Roman"/>
              </w:rPr>
              <w:t>7.8</w:t>
            </w:r>
          </w:p>
        </w:tc>
        <w:tc>
          <w:tcPr>
            <w:tcW w:w="803" w:type="dxa"/>
            <w:vMerge w:val="restart"/>
            <w:vAlign w:val="center"/>
          </w:tcPr>
          <w:p w14:paraId="7A555EDC">
            <w:pPr>
              <w:pStyle w:val="64"/>
              <w:rPr>
                <w:rFonts w:cs="Times New Roman"/>
              </w:rPr>
            </w:pPr>
            <w:r>
              <w:rPr>
                <w:rFonts w:cs="Times New Roman"/>
              </w:rPr>
              <w:t>19.7</w:t>
            </w:r>
          </w:p>
        </w:tc>
        <w:tc>
          <w:tcPr>
            <w:tcW w:w="830" w:type="dxa"/>
            <w:vAlign w:val="center"/>
          </w:tcPr>
          <w:p w14:paraId="382519C7">
            <w:pPr>
              <w:pStyle w:val="64"/>
              <w:rPr>
                <w:rFonts w:cs="Times New Roman"/>
              </w:rPr>
            </w:pPr>
            <w:r>
              <w:rPr>
                <w:rFonts w:cs="Times New Roman"/>
              </w:rPr>
              <w:t>5.7</w:t>
            </w:r>
          </w:p>
        </w:tc>
        <w:tc>
          <w:tcPr>
            <w:tcW w:w="912" w:type="dxa"/>
            <w:vAlign w:val="center"/>
          </w:tcPr>
          <w:p w14:paraId="025ACAE0">
            <w:pPr>
              <w:pStyle w:val="64"/>
              <w:rPr>
                <w:rFonts w:cs="Times New Roman"/>
              </w:rPr>
            </w:pPr>
            <w:r>
              <w:rPr>
                <w:rFonts w:cs="Times New Roman"/>
              </w:rPr>
              <w:t>17</w:t>
            </w:r>
          </w:p>
        </w:tc>
        <w:tc>
          <w:tcPr>
            <w:tcW w:w="1131" w:type="dxa"/>
            <w:vAlign w:val="center"/>
          </w:tcPr>
          <w:p w14:paraId="7025B635">
            <w:pPr>
              <w:pStyle w:val="64"/>
              <w:rPr>
                <w:rFonts w:cs="Times New Roman"/>
              </w:rPr>
            </w:pPr>
            <w:r>
              <w:rPr>
                <w:rFonts w:cs="Times New Roman"/>
              </w:rPr>
              <w:t>2.7</w:t>
            </w:r>
          </w:p>
        </w:tc>
        <w:tc>
          <w:tcPr>
            <w:tcW w:w="765" w:type="dxa"/>
            <w:vAlign w:val="center"/>
          </w:tcPr>
          <w:p w14:paraId="71CC105B">
            <w:pPr>
              <w:pStyle w:val="64"/>
              <w:rPr>
                <w:rFonts w:cs="Times New Roman"/>
              </w:rPr>
            </w:pPr>
            <w:r>
              <w:rPr>
                <w:rFonts w:cs="Times New Roman"/>
              </w:rPr>
              <w:t>0.171</w:t>
            </w:r>
          </w:p>
        </w:tc>
        <w:tc>
          <w:tcPr>
            <w:tcW w:w="976" w:type="dxa"/>
            <w:vAlign w:val="center"/>
          </w:tcPr>
          <w:p w14:paraId="3C9C62A1">
            <w:pPr>
              <w:pStyle w:val="64"/>
              <w:rPr>
                <w:rFonts w:cs="Times New Roman"/>
              </w:rPr>
            </w:pPr>
            <w:r>
              <w:rPr>
                <w:rFonts w:cs="Times New Roman"/>
              </w:rPr>
              <w:t>0.88</w:t>
            </w:r>
          </w:p>
        </w:tc>
        <w:tc>
          <w:tcPr>
            <w:tcW w:w="876" w:type="dxa"/>
            <w:vAlign w:val="center"/>
          </w:tcPr>
          <w:p w14:paraId="56807FCC">
            <w:pPr>
              <w:pStyle w:val="64"/>
              <w:rPr>
                <w:rFonts w:cs="Times New Roman"/>
              </w:rPr>
            </w:pPr>
            <w:r>
              <w:rPr>
                <w:rFonts w:cs="Times New Roman"/>
              </w:rPr>
              <w:t>0.02</w:t>
            </w:r>
          </w:p>
        </w:tc>
        <w:tc>
          <w:tcPr>
            <w:tcW w:w="1174" w:type="dxa"/>
            <w:vAlign w:val="center"/>
          </w:tcPr>
          <w:p w14:paraId="1AB38FA0">
            <w:pPr>
              <w:pStyle w:val="64"/>
              <w:rPr>
                <w:rFonts w:cs="Times New Roman"/>
              </w:rPr>
            </w:pPr>
            <w:r>
              <w:rPr>
                <w:rFonts w:cs="Times New Roman"/>
              </w:rPr>
              <w:t>&lt;0.05</w:t>
            </w:r>
          </w:p>
        </w:tc>
      </w:tr>
      <w:tr w14:paraId="6DFE4E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71" w:type="dxa"/>
            <w:vMerge w:val="continue"/>
            <w:vAlign w:val="center"/>
          </w:tcPr>
          <w:p w14:paraId="241FE9AF">
            <w:pPr>
              <w:pStyle w:val="64"/>
              <w:rPr>
                <w:rFonts w:cs="Times New Roman"/>
              </w:rPr>
            </w:pPr>
          </w:p>
        </w:tc>
        <w:tc>
          <w:tcPr>
            <w:tcW w:w="1559" w:type="dxa"/>
            <w:vMerge w:val="continue"/>
            <w:vAlign w:val="center"/>
          </w:tcPr>
          <w:p w14:paraId="7754B051">
            <w:pPr>
              <w:pStyle w:val="64"/>
              <w:rPr>
                <w:rFonts w:cs="Times New Roman"/>
              </w:rPr>
            </w:pPr>
          </w:p>
        </w:tc>
        <w:tc>
          <w:tcPr>
            <w:tcW w:w="1276" w:type="dxa"/>
            <w:vMerge w:val="continue"/>
            <w:vAlign w:val="center"/>
          </w:tcPr>
          <w:p w14:paraId="06FD1A27">
            <w:pPr>
              <w:pStyle w:val="64"/>
              <w:rPr>
                <w:rFonts w:cs="Times New Roman"/>
              </w:rPr>
            </w:pPr>
          </w:p>
        </w:tc>
        <w:tc>
          <w:tcPr>
            <w:tcW w:w="1575" w:type="dxa"/>
            <w:vAlign w:val="center"/>
          </w:tcPr>
          <w:p w14:paraId="36E0EE0F">
            <w:pPr>
              <w:pStyle w:val="64"/>
              <w:rPr>
                <w:rFonts w:cs="Times New Roman"/>
              </w:rPr>
            </w:pPr>
            <w:r>
              <w:rPr>
                <w:rFonts w:cs="Times New Roman"/>
              </w:rPr>
              <w:t>Si</w:t>
            </w:r>
          </w:p>
        </w:tc>
        <w:tc>
          <w:tcPr>
            <w:tcW w:w="844" w:type="dxa"/>
            <w:vAlign w:val="center"/>
          </w:tcPr>
          <w:p w14:paraId="6E198F83">
            <w:pPr>
              <w:pStyle w:val="64"/>
              <w:rPr>
                <w:rFonts w:cs="Times New Roman"/>
              </w:rPr>
            </w:pPr>
            <w:r>
              <w:rPr>
                <w:rFonts w:cs="Times New Roman"/>
              </w:rPr>
              <w:t>0.4</w:t>
            </w:r>
          </w:p>
        </w:tc>
        <w:tc>
          <w:tcPr>
            <w:tcW w:w="803" w:type="dxa"/>
            <w:vMerge w:val="continue"/>
            <w:vAlign w:val="center"/>
          </w:tcPr>
          <w:p w14:paraId="65A37B2A">
            <w:pPr>
              <w:pStyle w:val="64"/>
              <w:rPr>
                <w:rFonts w:cs="Times New Roman"/>
              </w:rPr>
            </w:pPr>
          </w:p>
        </w:tc>
        <w:tc>
          <w:tcPr>
            <w:tcW w:w="830" w:type="dxa"/>
            <w:vAlign w:val="center"/>
          </w:tcPr>
          <w:p w14:paraId="4BB8EDB9">
            <w:pPr>
              <w:pStyle w:val="64"/>
              <w:rPr>
                <w:rFonts w:cs="Times New Roman"/>
              </w:rPr>
            </w:pPr>
            <w:r>
              <w:rPr>
                <w:rFonts w:cs="Times New Roman"/>
              </w:rPr>
              <w:t>0.62</w:t>
            </w:r>
          </w:p>
        </w:tc>
        <w:tc>
          <w:tcPr>
            <w:tcW w:w="912" w:type="dxa"/>
            <w:vAlign w:val="center"/>
          </w:tcPr>
          <w:p w14:paraId="1084A887">
            <w:pPr>
              <w:pStyle w:val="64"/>
              <w:rPr>
                <w:rFonts w:cs="Times New Roman"/>
              </w:rPr>
            </w:pPr>
            <w:r>
              <w:rPr>
                <w:rFonts w:cs="Times New Roman"/>
              </w:rPr>
              <w:t>0.85</w:t>
            </w:r>
          </w:p>
        </w:tc>
        <w:tc>
          <w:tcPr>
            <w:tcW w:w="1131" w:type="dxa"/>
            <w:vAlign w:val="center"/>
          </w:tcPr>
          <w:p w14:paraId="4C42001C">
            <w:pPr>
              <w:pStyle w:val="64"/>
              <w:rPr>
                <w:rFonts w:cs="Times New Roman"/>
              </w:rPr>
            </w:pPr>
            <w:r>
              <w:rPr>
                <w:rFonts w:cs="Times New Roman"/>
              </w:rPr>
              <w:t>0.675</w:t>
            </w:r>
          </w:p>
        </w:tc>
        <w:tc>
          <w:tcPr>
            <w:tcW w:w="765" w:type="dxa"/>
            <w:vAlign w:val="center"/>
          </w:tcPr>
          <w:p w14:paraId="1B0B0D70">
            <w:pPr>
              <w:pStyle w:val="64"/>
              <w:rPr>
                <w:rFonts w:cs="Times New Roman"/>
              </w:rPr>
            </w:pPr>
            <w:r>
              <w:rPr>
                <w:rFonts w:cs="Times New Roman"/>
              </w:rPr>
              <w:t>0.171</w:t>
            </w:r>
          </w:p>
        </w:tc>
        <w:tc>
          <w:tcPr>
            <w:tcW w:w="976" w:type="dxa"/>
            <w:vAlign w:val="center"/>
          </w:tcPr>
          <w:p w14:paraId="120F3E4F">
            <w:pPr>
              <w:pStyle w:val="64"/>
              <w:rPr>
                <w:rFonts w:cs="Times New Roman"/>
              </w:rPr>
            </w:pPr>
            <w:r>
              <w:rPr>
                <w:rFonts w:cs="Times New Roman"/>
              </w:rPr>
              <w:t>0.88</w:t>
            </w:r>
          </w:p>
        </w:tc>
        <w:tc>
          <w:tcPr>
            <w:tcW w:w="876" w:type="dxa"/>
            <w:vAlign w:val="center"/>
          </w:tcPr>
          <w:p w14:paraId="6DD60E26">
            <w:pPr>
              <w:pStyle w:val="64"/>
              <w:rPr>
                <w:rFonts w:cs="Times New Roman"/>
              </w:rPr>
            </w:pPr>
            <w:r>
              <w:rPr>
                <w:rFonts w:cs="Times New Roman"/>
              </w:rPr>
              <w:t>0.4</w:t>
            </w:r>
          </w:p>
        </w:tc>
        <w:tc>
          <w:tcPr>
            <w:tcW w:w="1174" w:type="dxa"/>
            <w:vAlign w:val="center"/>
          </w:tcPr>
          <w:p w14:paraId="47E9C383">
            <w:pPr>
              <w:pStyle w:val="64"/>
              <w:rPr>
                <w:rFonts w:cs="Times New Roman"/>
              </w:rPr>
            </w:pPr>
            <w:r>
              <w:rPr>
                <w:rFonts w:cs="Times New Roman"/>
              </w:rPr>
              <w:t>&lt;0.25</w:t>
            </w:r>
          </w:p>
        </w:tc>
      </w:tr>
      <w:tr w14:paraId="413A7D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71" w:type="dxa"/>
            <w:vMerge w:val="restart"/>
            <w:vAlign w:val="center"/>
          </w:tcPr>
          <w:p w14:paraId="500C1EE0">
            <w:pPr>
              <w:pStyle w:val="64"/>
              <w:rPr>
                <w:rFonts w:cs="Times New Roman"/>
              </w:rPr>
            </w:pPr>
            <w:r>
              <w:rPr>
                <w:rFonts w:hint="eastAsia" w:cs="Times New Roman"/>
              </w:rPr>
              <w:t>5</w:t>
            </w:r>
            <w:r>
              <w:rPr>
                <w:rFonts w:cs="Times New Roman"/>
              </w:rPr>
              <w:t>#三铺大沟入淮河口处下游2000m距北岸20m</w:t>
            </w:r>
          </w:p>
        </w:tc>
        <w:tc>
          <w:tcPr>
            <w:tcW w:w="1559" w:type="dxa"/>
            <w:vMerge w:val="restart"/>
            <w:vAlign w:val="center"/>
          </w:tcPr>
          <w:p w14:paraId="7C095183">
            <w:pPr>
              <w:pStyle w:val="64"/>
              <w:rPr>
                <w:rFonts w:cs="Times New Roman"/>
              </w:rPr>
            </w:pPr>
            <w:r>
              <w:rPr>
                <w:rFonts w:cs="Times New Roman"/>
              </w:rPr>
              <w:t>E:11733'38.71"</w:t>
            </w:r>
            <w:r>
              <w:rPr>
                <w:rFonts w:cs="Times New Roman"/>
              </w:rPr>
              <w:br w:type="textWrapping"/>
            </w:r>
            <w:r>
              <w:rPr>
                <w:rFonts w:cs="Times New Roman"/>
              </w:rPr>
              <w:t>N:32°57'39.59"</w:t>
            </w:r>
          </w:p>
        </w:tc>
        <w:tc>
          <w:tcPr>
            <w:tcW w:w="1276" w:type="dxa"/>
            <w:vMerge w:val="restart"/>
            <w:vAlign w:val="center"/>
          </w:tcPr>
          <w:p w14:paraId="0C88FC23">
            <w:pPr>
              <w:pStyle w:val="64"/>
              <w:rPr>
                <w:rFonts w:cs="Times New Roman"/>
              </w:rPr>
            </w:pPr>
            <w:r>
              <w:rPr>
                <w:rFonts w:cs="Times New Roman"/>
              </w:rPr>
              <w:t>2024.4.28</w:t>
            </w:r>
          </w:p>
        </w:tc>
        <w:tc>
          <w:tcPr>
            <w:tcW w:w="1575" w:type="dxa"/>
            <w:vAlign w:val="center"/>
          </w:tcPr>
          <w:p w14:paraId="7E3D93C4">
            <w:pPr>
              <w:pStyle w:val="64"/>
              <w:rPr>
                <w:rFonts w:cs="Times New Roman"/>
              </w:rPr>
            </w:pPr>
            <w:r>
              <w:rPr>
                <w:rFonts w:cs="Times New Roman"/>
              </w:rPr>
              <w:t>Ci</w:t>
            </w:r>
          </w:p>
        </w:tc>
        <w:tc>
          <w:tcPr>
            <w:tcW w:w="844" w:type="dxa"/>
            <w:vAlign w:val="center"/>
          </w:tcPr>
          <w:p w14:paraId="1B5ACA3B">
            <w:pPr>
              <w:pStyle w:val="64"/>
              <w:rPr>
                <w:rFonts w:cs="Times New Roman"/>
              </w:rPr>
            </w:pPr>
            <w:r>
              <w:rPr>
                <w:rFonts w:cs="Times New Roman"/>
              </w:rPr>
              <w:t>7.7</w:t>
            </w:r>
          </w:p>
        </w:tc>
        <w:tc>
          <w:tcPr>
            <w:tcW w:w="803" w:type="dxa"/>
            <w:vMerge w:val="restart"/>
            <w:vAlign w:val="center"/>
          </w:tcPr>
          <w:p w14:paraId="050CEF03">
            <w:pPr>
              <w:pStyle w:val="64"/>
              <w:rPr>
                <w:rFonts w:cs="Times New Roman"/>
              </w:rPr>
            </w:pPr>
            <w:r>
              <w:rPr>
                <w:rFonts w:cs="Times New Roman"/>
              </w:rPr>
              <w:t>20.1</w:t>
            </w:r>
          </w:p>
        </w:tc>
        <w:tc>
          <w:tcPr>
            <w:tcW w:w="830" w:type="dxa"/>
            <w:vAlign w:val="center"/>
          </w:tcPr>
          <w:p w14:paraId="5C39F4B2">
            <w:pPr>
              <w:pStyle w:val="64"/>
              <w:rPr>
                <w:rFonts w:cs="Times New Roman"/>
              </w:rPr>
            </w:pPr>
            <w:r>
              <w:rPr>
                <w:rFonts w:cs="Times New Roman"/>
              </w:rPr>
              <w:t>6.4</w:t>
            </w:r>
          </w:p>
        </w:tc>
        <w:tc>
          <w:tcPr>
            <w:tcW w:w="912" w:type="dxa"/>
            <w:vAlign w:val="center"/>
          </w:tcPr>
          <w:p w14:paraId="366D29C1">
            <w:pPr>
              <w:pStyle w:val="64"/>
              <w:rPr>
                <w:rFonts w:cs="Times New Roman"/>
              </w:rPr>
            </w:pPr>
            <w:r>
              <w:rPr>
                <w:rFonts w:cs="Times New Roman"/>
              </w:rPr>
              <w:t>16</w:t>
            </w:r>
          </w:p>
        </w:tc>
        <w:tc>
          <w:tcPr>
            <w:tcW w:w="1131" w:type="dxa"/>
            <w:vAlign w:val="center"/>
          </w:tcPr>
          <w:p w14:paraId="14E7A9D5">
            <w:pPr>
              <w:pStyle w:val="64"/>
              <w:rPr>
                <w:rFonts w:cs="Times New Roman"/>
              </w:rPr>
            </w:pPr>
            <w:r>
              <w:rPr>
                <w:rFonts w:cs="Times New Roman"/>
              </w:rPr>
              <w:t>2.7</w:t>
            </w:r>
          </w:p>
        </w:tc>
        <w:tc>
          <w:tcPr>
            <w:tcW w:w="765" w:type="dxa"/>
            <w:vAlign w:val="center"/>
          </w:tcPr>
          <w:p w14:paraId="166B0641">
            <w:pPr>
              <w:pStyle w:val="64"/>
              <w:rPr>
                <w:rFonts w:cs="Times New Roman"/>
              </w:rPr>
            </w:pPr>
            <w:r>
              <w:rPr>
                <w:rFonts w:cs="Times New Roman"/>
              </w:rPr>
              <w:t>0.326</w:t>
            </w:r>
          </w:p>
        </w:tc>
        <w:tc>
          <w:tcPr>
            <w:tcW w:w="976" w:type="dxa"/>
            <w:vAlign w:val="center"/>
          </w:tcPr>
          <w:p w14:paraId="22DBB618">
            <w:pPr>
              <w:pStyle w:val="64"/>
              <w:rPr>
                <w:rFonts w:cs="Times New Roman"/>
              </w:rPr>
            </w:pPr>
            <w:r>
              <w:rPr>
                <w:rFonts w:cs="Times New Roman"/>
              </w:rPr>
              <w:t>0.93</w:t>
            </w:r>
          </w:p>
        </w:tc>
        <w:tc>
          <w:tcPr>
            <w:tcW w:w="876" w:type="dxa"/>
            <w:vAlign w:val="center"/>
          </w:tcPr>
          <w:p w14:paraId="61E57F53">
            <w:pPr>
              <w:pStyle w:val="64"/>
              <w:rPr>
                <w:rFonts w:cs="Times New Roman"/>
              </w:rPr>
            </w:pPr>
            <w:r>
              <w:rPr>
                <w:rFonts w:cs="Times New Roman"/>
              </w:rPr>
              <w:t>0.02</w:t>
            </w:r>
          </w:p>
        </w:tc>
        <w:tc>
          <w:tcPr>
            <w:tcW w:w="1174" w:type="dxa"/>
            <w:vAlign w:val="center"/>
          </w:tcPr>
          <w:p w14:paraId="3C526D5E">
            <w:pPr>
              <w:pStyle w:val="64"/>
              <w:rPr>
                <w:rFonts w:cs="Times New Roman"/>
              </w:rPr>
            </w:pPr>
            <w:r>
              <w:rPr>
                <w:rFonts w:cs="Times New Roman"/>
              </w:rPr>
              <w:t>&lt;0.05</w:t>
            </w:r>
          </w:p>
        </w:tc>
      </w:tr>
      <w:tr w14:paraId="7C043E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71" w:type="dxa"/>
            <w:vMerge w:val="continue"/>
            <w:vAlign w:val="center"/>
          </w:tcPr>
          <w:p w14:paraId="7BE5B7C1">
            <w:pPr>
              <w:pStyle w:val="64"/>
              <w:rPr>
                <w:rFonts w:cs="Times New Roman"/>
              </w:rPr>
            </w:pPr>
          </w:p>
        </w:tc>
        <w:tc>
          <w:tcPr>
            <w:tcW w:w="1559" w:type="dxa"/>
            <w:vMerge w:val="continue"/>
            <w:vAlign w:val="center"/>
          </w:tcPr>
          <w:p w14:paraId="36C75D93">
            <w:pPr>
              <w:pStyle w:val="64"/>
              <w:rPr>
                <w:rFonts w:cs="Times New Roman"/>
              </w:rPr>
            </w:pPr>
          </w:p>
        </w:tc>
        <w:tc>
          <w:tcPr>
            <w:tcW w:w="1276" w:type="dxa"/>
            <w:vMerge w:val="continue"/>
            <w:vAlign w:val="center"/>
          </w:tcPr>
          <w:p w14:paraId="195DB0FD">
            <w:pPr>
              <w:pStyle w:val="64"/>
              <w:rPr>
                <w:rFonts w:cs="Times New Roman"/>
              </w:rPr>
            </w:pPr>
          </w:p>
        </w:tc>
        <w:tc>
          <w:tcPr>
            <w:tcW w:w="1575" w:type="dxa"/>
            <w:vAlign w:val="center"/>
          </w:tcPr>
          <w:p w14:paraId="3A5B928E">
            <w:pPr>
              <w:pStyle w:val="64"/>
              <w:rPr>
                <w:rFonts w:cs="Times New Roman"/>
              </w:rPr>
            </w:pPr>
            <w:r>
              <w:rPr>
                <w:rFonts w:cs="Times New Roman"/>
              </w:rPr>
              <w:t>Si</w:t>
            </w:r>
          </w:p>
        </w:tc>
        <w:tc>
          <w:tcPr>
            <w:tcW w:w="844" w:type="dxa"/>
            <w:vAlign w:val="center"/>
          </w:tcPr>
          <w:p w14:paraId="661237B6">
            <w:pPr>
              <w:pStyle w:val="64"/>
              <w:rPr>
                <w:rFonts w:cs="Times New Roman"/>
              </w:rPr>
            </w:pPr>
            <w:r>
              <w:rPr>
                <w:rFonts w:cs="Times New Roman"/>
              </w:rPr>
              <w:t>0.35</w:t>
            </w:r>
          </w:p>
        </w:tc>
        <w:tc>
          <w:tcPr>
            <w:tcW w:w="803" w:type="dxa"/>
            <w:vMerge w:val="continue"/>
            <w:vAlign w:val="center"/>
          </w:tcPr>
          <w:p w14:paraId="63F0310F">
            <w:pPr>
              <w:pStyle w:val="64"/>
              <w:rPr>
                <w:rFonts w:cs="Times New Roman"/>
              </w:rPr>
            </w:pPr>
          </w:p>
        </w:tc>
        <w:tc>
          <w:tcPr>
            <w:tcW w:w="830" w:type="dxa"/>
            <w:vAlign w:val="center"/>
          </w:tcPr>
          <w:p w14:paraId="1096F487">
            <w:pPr>
              <w:pStyle w:val="64"/>
              <w:rPr>
                <w:rFonts w:cs="Times New Roman"/>
              </w:rPr>
            </w:pPr>
            <w:r>
              <w:rPr>
                <w:rFonts w:cs="Times New Roman"/>
              </w:rPr>
              <w:t>0.71</w:t>
            </w:r>
          </w:p>
        </w:tc>
        <w:tc>
          <w:tcPr>
            <w:tcW w:w="912" w:type="dxa"/>
            <w:vAlign w:val="center"/>
          </w:tcPr>
          <w:p w14:paraId="0A2F9DFD">
            <w:pPr>
              <w:pStyle w:val="64"/>
              <w:rPr>
                <w:rFonts w:cs="Times New Roman"/>
              </w:rPr>
            </w:pPr>
            <w:r>
              <w:rPr>
                <w:rFonts w:cs="Times New Roman"/>
              </w:rPr>
              <w:t>0.8</w:t>
            </w:r>
          </w:p>
        </w:tc>
        <w:tc>
          <w:tcPr>
            <w:tcW w:w="1131" w:type="dxa"/>
            <w:vAlign w:val="center"/>
          </w:tcPr>
          <w:p w14:paraId="5FCC9633">
            <w:pPr>
              <w:pStyle w:val="64"/>
              <w:rPr>
                <w:rFonts w:cs="Times New Roman"/>
              </w:rPr>
            </w:pPr>
            <w:r>
              <w:rPr>
                <w:rFonts w:cs="Times New Roman"/>
              </w:rPr>
              <w:t>0.675</w:t>
            </w:r>
          </w:p>
        </w:tc>
        <w:tc>
          <w:tcPr>
            <w:tcW w:w="765" w:type="dxa"/>
            <w:vAlign w:val="center"/>
          </w:tcPr>
          <w:p w14:paraId="46AB1192">
            <w:pPr>
              <w:pStyle w:val="64"/>
              <w:rPr>
                <w:rFonts w:cs="Times New Roman"/>
              </w:rPr>
            </w:pPr>
            <w:r>
              <w:rPr>
                <w:rFonts w:cs="Times New Roman"/>
              </w:rPr>
              <w:t>0.326</w:t>
            </w:r>
          </w:p>
        </w:tc>
        <w:tc>
          <w:tcPr>
            <w:tcW w:w="976" w:type="dxa"/>
            <w:vAlign w:val="center"/>
          </w:tcPr>
          <w:p w14:paraId="2BCDEF39">
            <w:pPr>
              <w:pStyle w:val="64"/>
              <w:rPr>
                <w:rFonts w:cs="Times New Roman"/>
              </w:rPr>
            </w:pPr>
            <w:r>
              <w:rPr>
                <w:rFonts w:cs="Times New Roman"/>
              </w:rPr>
              <w:t>0.93</w:t>
            </w:r>
          </w:p>
        </w:tc>
        <w:tc>
          <w:tcPr>
            <w:tcW w:w="876" w:type="dxa"/>
            <w:vAlign w:val="center"/>
          </w:tcPr>
          <w:p w14:paraId="165F27BD">
            <w:pPr>
              <w:pStyle w:val="64"/>
              <w:rPr>
                <w:rFonts w:cs="Times New Roman"/>
              </w:rPr>
            </w:pPr>
            <w:r>
              <w:rPr>
                <w:rFonts w:cs="Times New Roman"/>
              </w:rPr>
              <w:t>0.4</w:t>
            </w:r>
          </w:p>
        </w:tc>
        <w:tc>
          <w:tcPr>
            <w:tcW w:w="1174" w:type="dxa"/>
            <w:vAlign w:val="center"/>
          </w:tcPr>
          <w:p w14:paraId="5B8442D1">
            <w:pPr>
              <w:pStyle w:val="64"/>
              <w:rPr>
                <w:rFonts w:cs="Times New Roman"/>
              </w:rPr>
            </w:pPr>
            <w:r>
              <w:rPr>
                <w:rFonts w:cs="Times New Roman"/>
              </w:rPr>
              <w:t>&lt;0.25</w:t>
            </w:r>
          </w:p>
        </w:tc>
      </w:tr>
      <w:tr w14:paraId="413104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71" w:type="dxa"/>
            <w:vMerge w:val="continue"/>
            <w:vAlign w:val="center"/>
          </w:tcPr>
          <w:p w14:paraId="49EC968D">
            <w:pPr>
              <w:pStyle w:val="64"/>
              <w:rPr>
                <w:rFonts w:cs="Times New Roman"/>
              </w:rPr>
            </w:pPr>
          </w:p>
        </w:tc>
        <w:tc>
          <w:tcPr>
            <w:tcW w:w="1559" w:type="dxa"/>
            <w:vMerge w:val="continue"/>
            <w:vAlign w:val="center"/>
          </w:tcPr>
          <w:p w14:paraId="14587937">
            <w:pPr>
              <w:pStyle w:val="64"/>
              <w:rPr>
                <w:rFonts w:cs="Times New Roman"/>
              </w:rPr>
            </w:pPr>
          </w:p>
        </w:tc>
        <w:tc>
          <w:tcPr>
            <w:tcW w:w="1276" w:type="dxa"/>
            <w:vMerge w:val="restart"/>
            <w:vAlign w:val="center"/>
          </w:tcPr>
          <w:p w14:paraId="212EEC3A">
            <w:pPr>
              <w:pStyle w:val="64"/>
              <w:rPr>
                <w:rFonts w:cs="Times New Roman"/>
              </w:rPr>
            </w:pPr>
            <w:r>
              <w:rPr>
                <w:rFonts w:cs="Times New Roman"/>
              </w:rPr>
              <w:t>2024.4.29</w:t>
            </w:r>
          </w:p>
        </w:tc>
        <w:tc>
          <w:tcPr>
            <w:tcW w:w="1575" w:type="dxa"/>
            <w:vAlign w:val="center"/>
          </w:tcPr>
          <w:p w14:paraId="20293E38">
            <w:pPr>
              <w:pStyle w:val="64"/>
              <w:rPr>
                <w:rFonts w:cs="Times New Roman"/>
              </w:rPr>
            </w:pPr>
            <w:r>
              <w:rPr>
                <w:rFonts w:cs="Times New Roman"/>
              </w:rPr>
              <w:t>Ci</w:t>
            </w:r>
          </w:p>
        </w:tc>
        <w:tc>
          <w:tcPr>
            <w:tcW w:w="844" w:type="dxa"/>
            <w:vAlign w:val="center"/>
          </w:tcPr>
          <w:p w14:paraId="6944B951">
            <w:pPr>
              <w:pStyle w:val="64"/>
              <w:rPr>
                <w:rFonts w:cs="Times New Roman"/>
              </w:rPr>
            </w:pPr>
            <w:r>
              <w:rPr>
                <w:rFonts w:cs="Times New Roman"/>
              </w:rPr>
              <w:t>7.8</w:t>
            </w:r>
          </w:p>
        </w:tc>
        <w:tc>
          <w:tcPr>
            <w:tcW w:w="803" w:type="dxa"/>
            <w:vMerge w:val="restart"/>
            <w:vAlign w:val="center"/>
          </w:tcPr>
          <w:p w14:paraId="0C864380">
            <w:pPr>
              <w:pStyle w:val="64"/>
              <w:rPr>
                <w:rFonts w:cs="Times New Roman"/>
              </w:rPr>
            </w:pPr>
            <w:r>
              <w:rPr>
                <w:rFonts w:cs="Times New Roman"/>
              </w:rPr>
              <w:t>21.3</w:t>
            </w:r>
          </w:p>
        </w:tc>
        <w:tc>
          <w:tcPr>
            <w:tcW w:w="830" w:type="dxa"/>
            <w:vAlign w:val="center"/>
          </w:tcPr>
          <w:p w14:paraId="15D84EA2">
            <w:pPr>
              <w:pStyle w:val="64"/>
              <w:rPr>
                <w:rFonts w:cs="Times New Roman"/>
              </w:rPr>
            </w:pPr>
            <w:r>
              <w:rPr>
                <w:rFonts w:cs="Times New Roman"/>
              </w:rPr>
              <w:t>6.4</w:t>
            </w:r>
          </w:p>
        </w:tc>
        <w:tc>
          <w:tcPr>
            <w:tcW w:w="912" w:type="dxa"/>
            <w:vAlign w:val="center"/>
          </w:tcPr>
          <w:p w14:paraId="264D5B1E">
            <w:pPr>
              <w:pStyle w:val="64"/>
              <w:rPr>
                <w:rFonts w:cs="Times New Roman"/>
              </w:rPr>
            </w:pPr>
            <w:r>
              <w:rPr>
                <w:rFonts w:cs="Times New Roman"/>
              </w:rPr>
              <w:t>18</w:t>
            </w:r>
          </w:p>
        </w:tc>
        <w:tc>
          <w:tcPr>
            <w:tcW w:w="1131" w:type="dxa"/>
            <w:vAlign w:val="center"/>
          </w:tcPr>
          <w:p w14:paraId="00AD6592">
            <w:pPr>
              <w:pStyle w:val="64"/>
              <w:rPr>
                <w:rFonts w:cs="Times New Roman"/>
              </w:rPr>
            </w:pPr>
            <w:r>
              <w:rPr>
                <w:rFonts w:cs="Times New Roman"/>
              </w:rPr>
              <w:t>2.7</w:t>
            </w:r>
          </w:p>
        </w:tc>
        <w:tc>
          <w:tcPr>
            <w:tcW w:w="765" w:type="dxa"/>
            <w:vAlign w:val="center"/>
          </w:tcPr>
          <w:p w14:paraId="171E3316">
            <w:pPr>
              <w:pStyle w:val="64"/>
              <w:rPr>
                <w:rFonts w:cs="Times New Roman"/>
              </w:rPr>
            </w:pPr>
            <w:r>
              <w:rPr>
                <w:rFonts w:cs="Times New Roman"/>
              </w:rPr>
              <w:t>0.303</w:t>
            </w:r>
          </w:p>
        </w:tc>
        <w:tc>
          <w:tcPr>
            <w:tcW w:w="976" w:type="dxa"/>
            <w:vAlign w:val="center"/>
          </w:tcPr>
          <w:p w14:paraId="7C9A8A70">
            <w:pPr>
              <w:pStyle w:val="64"/>
              <w:rPr>
                <w:rFonts w:cs="Times New Roman"/>
              </w:rPr>
            </w:pPr>
            <w:r>
              <w:rPr>
                <w:rFonts w:cs="Times New Roman"/>
              </w:rPr>
              <w:t>0.85</w:t>
            </w:r>
          </w:p>
        </w:tc>
        <w:tc>
          <w:tcPr>
            <w:tcW w:w="876" w:type="dxa"/>
            <w:vAlign w:val="center"/>
          </w:tcPr>
          <w:p w14:paraId="4FBDDFEA">
            <w:pPr>
              <w:pStyle w:val="64"/>
              <w:rPr>
                <w:rFonts w:cs="Times New Roman"/>
              </w:rPr>
            </w:pPr>
            <w:r>
              <w:rPr>
                <w:rFonts w:cs="Times New Roman"/>
              </w:rPr>
              <w:t>0.03</w:t>
            </w:r>
          </w:p>
        </w:tc>
        <w:tc>
          <w:tcPr>
            <w:tcW w:w="1174" w:type="dxa"/>
            <w:vAlign w:val="center"/>
          </w:tcPr>
          <w:p w14:paraId="4243E18F">
            <w:pPr>
              <w:pStyle w:val="64"/>
              <w:rPr>
                <w:rFonts w:cs="Times New Roman"/>
              </w:rPr>
            </w:pPr>
            <w:r>
              <w:rPr>
                <w:rFonts w:cs="Times New Roman"/>
              </w:rPr>
              <w:t>&lt;0.05</w:t>
            </w:r>
          </w:p>
        </w:tc>
      </w:tr>
      <w:tr w14:paraId="22B9D9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71" w:type="dxa"/>
            <w:vMerge w:val="continue"/>
            <w:vAlign w:val="center"/>
          </w:tcPr>
          <w:p w14:paraId="108EAB30">
            <w:pPr>
              <w:pStyle w:val="64"/>
              <w:rPr>
                <w:rFonts w:cs="Times New Roman"/>
              </w:rPr>
            </w:pPr>
          </w:p>
        </w:tc>
        <w:tc>
          <w:tcPr>
            <w:tcW w:w="1559" w:type="dxa"/>
            <w:vMerge w:val="continue"/>
            <w:vAlign w:val="center"/>
          </w:tcPr>
          <w:p w14:paraId="4C4A0796">
            <w:pPr>
              <w:pStyle w:val="64"/>
              <w:rPr>
                <w:rFonts w:cs="Times New Roman"/>
              </w:rPr>
            </w:pPr>
          </w:p>
        </w:tc>
        <w:tc>
          <w:tcPr>
            <w:tcW w:w="1276" w:type="dxa"/>
            <w:vMerge w:val="continue"/>
            <w:vAlign w:val="center"/>
          </w:tcPr>
          <w:p w14:paraId="4F11D358">
            <w:pPr>
              <w:pStyle w:val="64"/>
              <w:rPr>
                <w:rFonts w:cs="Times New Roman"/>
              </w:rPr>
            </w:pPr>
          </w:p>
        </w:tc>
        <w:tc>
          <w:tcPr>
            <w:tcW w:w="1575" w:type="dxa"/>
            <w:vAlign w:val="center"/>
          </w:tcPr>
          <w:p w14:paraId="79E5A63D">
            <w:pPr>
              <w:pStyle w:val="64"/>
              <w:rPr>
                <w:rFonts w:cs="Times New Roman"/>
              </w:rPr>
            </w:pPr>
            <w:r>
              <w:rPr>
                <w:rFonts w:cs="Times New Roman"/>
              </w:rPr>
              <w:t>Si</w:t>
            </w:r>
          </w:p>
        </w:tc>
        <w:tc>
          <w:tcPr>
            <w:tcW w:w="844" w:type="dxa"/>
            <w:vAlign w:val="center"/>
          </w:tcPr>
          <w:p w14:paraId="7A27791A">
            <w:pPr>
              <w:pStyle w:val="64"/>
              <w:rPr>
                <w:rFonts w:cs="Times New Roman"/>
              </w:rPr>
            </w:pPr>
            <w:r>
              <w:rPr>
                <w:rFonts w:cs="Times New Roman"/>
              </w:rPr>
              <w:t>0.4</w:t>
            </w:r>
          </w:p>
        </w:tc>
        <w:tc>
          <w:tcPr>
            <w:tcW w:w="803" w:type="dxa"/>
            <w:vMerge w:val="continue"/>
            <w:vAlign w:val="center"/>
          </w:tcPr>
          <w:p w14:paraId="575DDFE4">
            <w:pPr>
              <w:pStyle w:val="64"/>
              <w:rPr>
                <w:rFonts w:cs="Times New Roman"/>
              </w:rPr>
            </w:pPr>
          </w:p>
        </w:tc>
        <w:tc>
          <w:tcPr>
            <w:tcW w:w="830" w:type="dxa"/>
            <w:vAlign w:val="center"/>
          </w:tcPr>
          <w:p w14:paraId="47631B00">
            <w:pPr>
              <w:pStyle w:val="64"/>
              <w:rPr>
                <w:rFonts w:cs="Times New Roman"/>
              </w:rPr>
            </w:pPr>
            <w:r>
              <w:rPr>
                <w:rFonts w:cs="Times New Roman"/>
              </w:rPr>
              <w:t>0.72</w:t>
            </w:r>
          </w:p>
        </w:tc>
        <w:tc>
          <w:tcPr>
            <w:tcW w:w="912" w:type="dxa"/>
            <w:vAlign w:val="center"/>
          </w:tcPr>
          <w:p w14:paraId="400F9B6D">
            <w:pPr>
              <w:pStyle w:val="64"/>
              <w:rPr>
                <w:rFonts w:cs="Times New Roman"/>
              </w:rPr>
            </w:pPr>
            <w:r>
              <w:rPr>
                <w:rFonts w:cs="Times New Roman"/>
              </w:rPr>
              <w:t>0.9</w:t>
            </w:r>
          </w:p>
        </w:tc>
        <w:tc>
          <w:tcPr>
            <w:tcW w:w="1131" w:type="dxa"/>
            <w:vAlign w:val="center"/>
          </w:tcPr>
          <w:p w14:paraId="31CA88EE">
            <w:pPr>
              <w:pStyle w:val="64"/>
              <w:rPr>
                <w:rFonts w:cs="Times New Roman"/>
              </w:rPr>
            </w:pPr>
            <w:r>
              <w:rPr>
                <w:rFonts w:cs="Times New Roman"/>
              </w:rPr>
              <w:t>0.675</w:t>
            </w:r>
          </w:p>
        </w:tc>
        <w:tc>
          <w:tcPr>
            <w:tcW w:w="765" w:type="dxa"/>
            <w:vAlign w:val="center"/>
          </w:tcPr>
          <w:p w14:paraId="41F3CE41">
            <w:pPr>
              <w:pStyle w:val="64"/>
              <w:rPr>
                <w:rFonts w:cs="Times New Roman"/>
              </w:rPr>
            </w:pPr>
            <w:r>
              <w:rPr>
                <w:rFonts w:cs="Times New Roman"/>
              </w:rPr>
              <w:t>0.303</w:t>
            </w:r>
          </w:p>
        </w:tc>
        <w:tc>
          <w:tcPr>
            <w:tcW w:w="976" w:type="dxa"/>
            <w:vAlign w:val="center"/>
          </w:tcPr>
          <w:p w14:paraId="413C6B81">
            <w:pPr>
              <w:pStyle w:val="64"/>
              <w:rPr>
                <w:rFonts w:cs="Times New Roman"/>
              </w:rPr>
            </w:pPr>
            <w:r>
              <w:rPr>
                <w:rFonts w:cs="Times New Roman"/>
              </w:rPr>
              <w:t>0.85</w:t>
            </w:r>
          </w:p>
        </w:tc>
        <w:tc>
          <w:tcPr>
            <w:tcW w:w="876" w:type="dxa"/>
            <w:vAlign w:val="center"/>
          </w:tcPr>
          <w:p w14:paraId="45F5102D">
            <w:pPr>
              <w:pStyle w:val="64"/>
              <w:rPr>
                <w:rFonts w:cs="Times New Roman"/>
              </w:rPr>
            </w:pPr>
            <w:r>
              <w:rPr>
                <w:rFonts w:cs="Times New Roman"/>
              </w:rPr>
              <w:t>0.6</w:t>
            </w:r>
          </w:p>
        </w:tc>
        <w:tc>
          <w:tcPr>
            <w:tcW w:w="1174" w:type="dxa"/>
            <w:vAlign w:val="center"/>
          </w:tcPr>
          <w:p w14:paraId="657A5FCB">
            <w:pPr>
              <w:pStyle w:val="64"/>
              <w:rPr>
                <w:rFonts w:cs="Times New Roman"/>
              </w:rPr>
            </w:pPr>
            <w:r>
              <w:rPr>
                <w:rFonts w:cs="Times New Roman"/>
              </w:rPr>
              <w:t>&lt;0.25</w:t>
            </w:r>
          </w:p>
        </w:tc>
      </w:tr>
      <w:tr w14:paraId="28EC55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71" w:type="dxa"/>
            <w:vMerge w:val="continue"/>
            <w:vAlign w:val="center"/>
          </w:tcPr>
          <w:p w14:paraId="4EDD76CE">
            <w:pPr>
              <w:pStyle w:val="64"/>
              <w:rPr>
                <w:rFonts w:cs="Times New Roman"/>
              </w:rPr>
            </w:pPr>
          </w:p>
        </w:tc>
        <w:tc>
          <w:tcPr>
            <w:tcW w:w="1559" w:type="dxa"/>
            <w:vMerge w:val="continue"/>
            <w:vAlign w:val="center"/>
          </w:tcPr>
          <w:p w14:paraId="2123ADD4">
            <w:pPr>
              <w:pStyle w:val="64"/>
              <w:rPr>
                <w:rFonts w:cs="Times New Roman"/>
              </w:rPr>
            </w:pPr>
          </w:p>
        </w:tc>
        <w:tc>
          <w:tcPr>
            <w:tcW w:w="1276" w:type="dxa"/>
            <w:vMerge w:val="restart"/>
            <w:vAlign w:val="center"/>
          </w:tcPr>
          <w:p w14:paraId="70D0748E">
            <w:pPr>
              <w:pStyle w:val="64"/>
              <w:rPr>
                <w:rFonts w:cs="Times New Roman"/>
              </w:rPr>
            </w:pPr>
            <w:r>
              <w:rPr>
                <w:rFonts w:cs="Times New Roman"/>
              </w:rPr>
              <w:t>2024.4.30</w:t>
            </w:r>
          </w:p>
        </w:tc>
        <w:tc>
          <w:tcPr>
            <w:tcW w:w="1575" w:type="dxa"/>
            <w:vAlign w:val="center"/>
          </w:tcPr>
          <w:p w14:paraId="081463ED">
            <w:pPr>
              <w:pStyle w:val="64"/>
              <w:rPr>
                <w:rFonts w:cs="Times New Roman"/>
              </w:rPr>
            </w:pPr>
            <w:r>
              <w:rPr>
                <w:rFonts w:cs="Times New Roman"/>
              </w:rPr>
              <w:t>Ci</w:t>
            </w:r>
          </w:p>
        </w:tc>
        <w:tc>
          <w:tcPr>
            <w:tcW w:w="844" w:type="dxa"/>
            <w:vAlign w:val="center"/>
          </w:tcPr>
          <w:p w14:paraId="114A23C9">
            <w:pPr>
              <w:pStyle w:val="64"/>
              <w:rPr>
                <w:rFonts w:cs="Times New Roman"/>
              </w:rPr>
            </w:pPr>
            <w:r>
              <w:rPr>
                <w:rFonts w:cs="Times New Roman"/>
              </w:rPr>
              <w:t>7.9</w:t>
            </w:r>
          </w:p>
        </w:tc>
        <w:tc>
          <w:tcPr>
            <w:tcW w:w="803" w:type="dxa"/>
            <w:vMerge w:val="restart"/>
            <w:vAlign w:val="center"/>
          </w:tcPr>
          <w:p w14:paraId="644BA1B2">
            <w:pPr>
              <w:pStyle w:val="64"/>
              <w:rPr>
                <w:rFonts w:cs="Times New Roman"/>
              </w:rPr>
            </w:pPr>
            <w:r>
              <w:rPr>
                <w:rFonts w:cs="Times New Roman"/>
              </w:rPr>
              <w:t>19.8</w:t>
            </w:r>
          </w:p>
        </w:tc>
        <w:tc>
          <w:tcPr>
            <w:tcW w:w="830" w:type="dxa"/>
            <w:vAlign w:val="center"/>
          </w:tcPr>
          <w:p w14:paraId="44871509">
            <w:pPr>
              <w:pStyle w:val="64"/>
              <w:rPr>
                <w:rFonts w:cs="Times New Roman"/>
              </w:rPr>
            </w:pPr>
            <w:r>
              <w:rPr>
                <w:rFonts w:cs="Times New Roman"/>
              </w:rPr>
              <w:t>6.3</w:t>
            </w:r>
          </w:p>
        </w:tc>
        <w:tc>
          <w:tcPr>
            <w:tcW w:w="912" w:type="dxa"/>
            <w:vAlign w:val="center"/>
          </w:tcPr>
          <w:p w14:paraId="0D3EDF47">
            <w:pPr>
              <w:pStyle w:val="64"/>
              <w:rPr>
                <w:rFonts w:cs="Times New Roman"/>
              </w:rPr>
            </w:pPr>
            <w:r>
              <w:rPr>
                <w:rFonts w:cs="Times New Roman"/>
              </w:rPr>
              <w:t>15</w:t>
            </w:r>
          </w:p>
        </w:tc>
        <w:tc>
          <w:tcPr>
            <w:tcW w:w="1131" w:type="dxa"/>
            <w:vAlign w:val="center"/>
          </w:tcPr>
          <w:p w14:paraId="40085493">
            <w:pPr>
              <w:pStyle w:val="64"/>
              <w:rPr>
                <w:rFonts w:cs="Times New Roman"/>
              </w:rPr>
            </w:pPr>
            <w:r>
              <w:rPr>
                <w:rFonts w:cs="Times New Roman"/>
              </w:rPr>
              <w:t>2.5</w:t>
            </w:r>
          </w:p>
        </w:tc>
        <w:tc>
          <w:tcPr>
            <w:tcW w:w="765" w:type="dxa"/>
            <w:vAlign w:val="center"/>
          </w:tcPr>
          <w:p w14:paraId="1AA16492">
            <w:pPr>
              <w:pStyle w:val="64"/>
              <w:rPr>
                <w:rFonts w:cs="Times New Roman"/>
              </w:rPr>
            </w:pPr>
            <w:r>
              <w:rPr>
                <w:rFonts w:cs="Times New Roman"/>
              </w:rPr>
              <w:t>0.309</w:t>
            </w:r>
          </w:p>
        </w:tc>
        <w:tc>
          <w:tcPr>
            <w:tcW w:w="976" w:type="dxa"/>
            <w:vAlign w:val="center"/>
          </w:tcPr>
          <w:p w14:paraId="3C9BEE5C">
            <w:pPr>
              <w:pStyle w:val="64"/>
              <w:rPr>
                <w:rFonts w:cs="Times New Roman"/>
              </w:rPr>
            </w:pPr>
            <w:r>
              <w:rPr>
                <w:rFonts w:cs="Times New Roman"/>
              </w:rPr>
              <w:t>0.78</w:t>
            </w:r>
          </w:p>
        </w:tc>
        <w:tc>
          <w:tcPr>
            <w:tcW w:w="876" w:type="dxa"/>
            <w:vAlign w:val="center"/>
          </w:tcPr>
          <w:p w14:paraId="4514178A">
            <w:pPr>
              <w:pStyle w:val="64"/>
              <w:rPr>
                <w:rFonts w:cs="Times New Roman"/>
              </w:rPr>
            </w:pPr>
            <w:r>
              <w:rPr>
                <w:rFonts w:cs="Times New Roman"/>
              </w:rPr>
              <w:t>0.03</w:t>
            </w:r>
          </w:p>
        </w:tc>
        <w:tc>
          <w:tcPr>
            <w:tcW w:w="1174" w:type="dxa"/>
            <w:vAlign w:val="center"/>
          </w:tcPr>
          <w:p w14:paraId="2ED7D3FD">
            <w:pPr>
              <w:pStyle w:val="64"/>
              <w:rPr>
                <w:rFonts w:cs="Times New Roman"/>
              </w:rPr>
            </w:pPr>
            <w:r>
              <w:rPr>
                <w:rFonts w:cs="Times New Roman"/>
              </w:rPr>
              <w:t>&lt;0.05</w:t>
            </w:r>
          </w:p>
        </w:tc>
      </w:tr>
      <w:tr w14:paraId="0808A0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71" w:type="dxa"/>
            <w:vMerge w:val="continue"/>
            <w:vAlign w:val="center"/>
          </w:tcPr>
          <w:p w14:paraId="0DABDD40">
            <w:pPr>
              <w:pStyle w:val="64"/>
              <w:rPr>
                <w:rFonts w:cs="Times New Roman"/>
              </w:rPr>
            </w:pPr>
          </w:p>
        </w:tc>
        <w:tc>
          <w:tcPr>
            <w:tcW w:w="1559" w:type="dxa"/>
            <w:vMerge w:val="continue"/>
            <w:vAlign w:val="center"/>
          </w:tcPr>
          <w:p w14:paraId="155389EA">
            <w:pPr>
              <w:pStyle w:val="64"/>
              <w:rPr>
                <w:rFonts w:cs="Times New Roman"/>
              </w:rPr>
            </w:pPr>
          </w:p>
        </w:tc>
        <w:tc>
          <w:tcPr>
            <w:tcW w:w="1276" w:type="dxa"/>
            <w:vMerge w:val="continue"/>
            <w:vAlign w:val="center"/>
          </w:tcPr>
          <w:p w14:paraId="40DE892F">
            <w:pPr>
              <w:pStyle w:val="64"/>
              <w:rPr>
                <w:rFonts w:cs="Times New Roman"/>
              </w:rPr>
            </w:pPr>
          </w:p>
        </w:tc>
        <w:tc>
          <w:tcPr>
            <w:tcW w:w="1575" w:type="dxa"/>
            <w:vAlign w:val="center"/>
          </w:tcPr>
          <w:p w14:paraId="3441AC3D">
            <w:pPr>
              <w:pStyle w:val="64"/>
              <w:rPr>
                <w:rFonts w:cs="Times New Roman"/>
              </w:rPr>
            </w:pPr>
            <w:r>
              <w:rPr>
                <w:rFonts w:cs="Times New Roman"/>
              </w:rPr>
              <w:t>Si</w:t>
            </w:r>
          </w:p>
        </w:tc>
        <w:tc>
          <w:tcPr>
            <w:tcW w:w="844" w:type="dxa"/>
            <w:vAlign w:val="center"/>
          </w:tcPr>
          <w:p w14:paraId="567963AB">
            <w:pPr>
              <w:pStyle w:val="64"/>
              <w:rPr>
                <w:rFonts w:cs="Times New Roman"/>
              </w:rPr>
            </w:pPr>
            <w:r>
              <w:rPr>
                <w:rFonts w:cs="Times New Roman"/>
              </w:rPr>
              <w:t>0.45</w:t>
            </w:r>
          </w:p>
        </w:tc>
        <w:tc>
          <w:tcPr>
            <w:tcW w:w="803" w:type="dxa"/>
            <w:vMerge w:val="continue"/>
            <w:vAlign w:val="center"/>
          </w:tcPr>
          <w:p w14:paraId="09F18A37">
            <w:pPr>
              <w:pStyle w:val="64"/>
              <w:rPr>
                <w:rFonts w:cs="Times New Roman"/>
              </w:rPr>
            </w:pPr>
          </w:p>
        </w:tc>
        <w:tc>
          <w:tcPr>
            <w:tcW w:w="830" w:type="dxa"/>
            <w:vAlign w:val="center"/>
          </w:tcPr>
          <w:p w14:paraId="12501376">
            <w:pPr>
              <w:pStyle w:val="64"/>
              <w:rPr>
                <w:rFonts w:cs="Times New Roman"/>
              </w:rPr>
            </w:pPr>
            <w:r>
              <w:rPr>
                <w:rFonts w:cs="Times New Roman"/>
              </w:rPr>
              <w:t>0.69</w:t>
            </w:r>
          </w:p>
        </w:tc>
        <w:tc>
          <w:tcPr>
            <w:tcW w:w="912" w:type="dxa"/>
            <w:vAlign w:val="center"/>
          </w:tcPr>
          <w:p w14:paraId="2507412D">
            <w:pPr>
              <w:pStyle w:val="64"/>
              <w:rPr>
                <w:rFonts w:cs="Times New Roman"/>
              </w:rPr>
            </w:pPr>
            <w:r>
              <w:rPr>
                <w:rFonts w:cs="Times New Roman"/>
              </w:rPr>
              <w:t>0.75</w:t>
            </w:r>
          </w:p>
        </w:tc>
        <w:tc>
          <w:tcPr>
            <w:tcW w:w="1131" w:type="dxa"/>
            <w:vAlign w:val="center"/>
          </w:tcPr>
          <w:p w14:paraId="225C34BD">
            <w:pPr>
              <w:pStyle w:val="64"/>
              <w:rPr>
                <w:rFonts w:cs="Times New Roman"/>
              </w:rPr>
            </w:pPr>
            <w:r>
              <w:rPr>
                <w:rFonts w:cs="Times New Roman"/>
              </w:rPr>
              <w:t>0.625</w:t>
            </w:r>
          </w:p>
        </w:tc>
        <w:tc>
          <w:tcPr>
            <w:tcW w:w="765" w:type="dxa"/>
            <w:vAlign w:val="center"/>
          </w:tcPr>
          <w:p w14:paraId="466004E3">
            <w:pPr>
              <w:pStyle w:val="64"/>
              <w:rPr>
                <w:rFonts w:cs="Times New Roman"/>
              </w:rPr>
            </w:pPr>
            <w:r>
              <w:rPr>
                <w:rFonts w:cs="Times New Roman"/>
              </w:rPr>
              <w:t>0.309</w:t>
            </w:r>
          </w:p>
        </w:tc>
        <w:tc>
          <w:tcPr>
            <w:tcW w:w="976" w:type="dxa"/>
            <w:vAlign w:val="center"/>
          </w:tcPr>
          <w:p w14:paraId="6CA84437">
            <w:pPr>
              <w:pStyle w:val="64"/>
              <w:rPr>
                <w:rFonts w:cs="Times New Roman"/>
              </w:rPr>
            </w:pPr>
            <w:r>
              <w:rPr>
                <w:rFonts w:cs="Times New Roman"/>
              </w:rPr>
              <w:t>0.78</w:t>
            </w:r>
          </w:p>
        </w:tc>
        <w:tc>
          <w:tcPr>
            <w:tcW w:w="876" w:type="dxa"/>
            <w:vAlign w:val="center"/>
          </w:tcPr>
          <w:p w14:paraId="0E4DE453">
            <w:pPr>
              <w:pStyle w:val="64"/>
              <w:rPr>
                <w:rFonts w:cs="Times New Roman"/>
              </w:rPr>
            </w:pPr>
            <w:r>
              <w:rPr>
                <w:rFonts w:cs="Times New Roman"/>
              </w:rPr>
              <w:t>0.6</w:t>
            </w:r>
          </w:p>
        </w:tc>
        <w:tc>
          <w:tcPr>
            <w:tcW w:w="1174" w:type="dxa"/>
            <w:vAlign w:val="center"/>
          </w:tcPr>
          <w:p w14:paraId="5D3CFED2">
            <w:pPr>
              <w:pStyle w:val="64"/>
              <w:rPr>
                <w:rFonts w:cs="Times New Roman"/>
              </w:rPr>
            </w:pPr>
            <w:r>
              <w:rPr>
                <w:rFonts w:cs="Times New Roman"/>
              </w:rPr>
              <w:t>&lt;0.25</w:t>
            </w:r>
          </w:p>
        </w:tc>
      </w:tr>
      <w:tr w14:paraId="1E567C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71" w:type="dxa"/>
            <w:vMerge w:val="restart"/>
            <w:vAlign w:val="center"/>
          </w:tcPr>
          <w:p w14:paraId="4E0B8CCA">
            <w:pPr>
              <w:pStyle w:val="64"/>
              <w:rPr>
                <w:rFonts w:cs="Times New Roman"/>
              </w:rPr>
            </w:pPr>
            <w:r>
              <w:rPr>
                <w:rFonts w:hint="eastAsia" w:cs="Times New Roman"/>
              </w:rPr>
              <w:t>6</w:t>
            </w:r>
            <w:r>
              <w:rPr>
                <w:rFonts w:cs="Times New Roman"/>
              </w:rPr>
              <w:t>#三铺大沟入淮河口处下游5000m距北岸20m</w:t>
            </w:r>
          </w:p>
        </w:tc>
        <w:tc>
          <w:tcPr>
            <w:tcW w:w="1559" w:type="dxa"/>
            <w:vMerge w:val="restart"/>
            <w:vAlign w:val="center"/>
          </w:tcPr>
          <w:p w14:paraId="2C24ED36">
            <w:pPr>
              <w:pStyle w:val="64"/>
              <w:rPr>
                <w:rFonts w:cs="Times New Roman"/>
              </w:rPr>
            </w:pPr>
            <w:r>
              <w:rPr>
                <w:rFonts w:cs="Times New Roman"/>
              </w:rPr>
              <w:t>E:117°34'59.39"</w:t>
            </w:r>
            <w:r>
              <w:rPr>
                <w:rFonts w:cs="Times New Roman"/>
              </w:rPr>
              <w:br w:type="textWrapping"/>
            </w:r>
            <w:r>
              <w:rPr>
                <w:rFonts w:cs="Times New Roman"/>
              </w:rPr>
              <w:t>N:32°56'29.50"</w:t>
            </w:r>
          </w:p>
        </w:tc>
        <w:tc>
          <w:tcPr>
            <w:tcW w:w="1276" w:type="dxa"/>
            <w:vMerge w:val="restart"/>
            <w:vAlign w:val="center"/>
          </w:tcPr>
          <w:p w14:paraId="1FAD0391">
            <w:pPr>
              <w:pStyle w:val="64"/>
              <w:rPr>
                <w:rFonts w:cs="Times New Roman"/>
              </w:rPr>
            </w:pPr>
            <w:r>
              <w:rPr>
                <w:rFonts w:cs="Times New Roman"/>
              </w:rPr>
              <w:t>2024.4.28</w:t>
            </w:r>
          </w:p>
        </w:tc>
        <w:tc>
          <w:tcPr>
            <w:tcW w:w="1575" w:type="dxa"/>
            <w:vAlign w:val="center"/>
          </w:tcPr>
          <w:p w14:paraId="4B6E8813">
            <w:pPr>
              <w:pStyle w:val="64"/>
              <w:rPr>
                <w:rFonts w:cs="Times New Roman"/>
              </w:rPr>
            </w:pPr>
            <w:r>
              <w:rPr>
                <w:rFonts w:cs="Times New Roman"/>
              </w:rPr>
              <w:t>Ci</w:t>
            </w:r>
          </w:p>
        </w:tc>
        <w:tc>
          <w:tcPr>
            <w:tcW w:w="844" w:type="dxa"/>
            <w:vAlign w:val="center"/>
          </w:tcPr>
          <w:p w14:paraId="6A6715CB">
            <w:pPr>
              <w:pStyle w:val="64"/>
              <w:rPr>
                <w:rFonts w:cs="Times New Roman"/>
              </w:rPr>
            </w:pPr>
            <w:r>
              <w:rPr>
                <w:rFonts w:cs="Times New Roman"/>
              </w:rPr>
              <w:t>7.8</w:t>
            </w:r>
          </w:p>
        </w:tc>
        <w:tc>
          <w:tcPr>
            <w:tcW w:w="803" w:type="dxa"/>
            <w:vMerge w:val="restart"/>
            <w:vAlign w:val="center"/>
          </w:tcPr>
          <w:p w14:paraId="0FBC053C">
            <w:pPr>
              <w:pStyle w:val="64"/>
              <w:rPr>
                <w:rFonts w:cs="Times New Roman"/>
              </w:rPr>
            </w:pPr>
            <w:r>
              <w:rPr>
                <w:rFonts w:cs="Times New Roman"/>
              </w:rPr>
              <w:t>20.1</w:t>
            </w:r>
          </w:p>
        </w:tc>
        <w:tc>
          <w:tcPr>
            <w:tcW w:w="830" w:type="dxa"/>
            <w:vAlign w:val="center"/>
          </w:tcPr>
          <w:p w14:paraId="3B218545">
            <w:pPr>
              <w:pStyle w:val="64"/>
              <w:rPr>
                <w:rFonts w:cs="Times New Roman"/>
              </w:rPr>
            </w:pPr>
            <w:r>
              <w:rPr>
                <w:rFonts w:cs="Times New Roman"/>
              </w:rPr>
              <w:t>5.6</w:t>
            </w:r>
          </w:p>
        </w:tc>
        <w:tc>
          <w:tcPr>
            <w:tcW w:w="912" w:type="dxa"/>
            <w:vAlign w:val="center"/>
          </w:tcPr>
          <w:p w14:paraId="100283EF">
            <w:pPr>
              <w:pStyle w:val="64"/>
              <w:rPr>
                <w:rFonts w:cs="Times New Roman"/>
              </w:rPr>
            </w:pPr>
            <w:r>
              <w:rPr>
                <w:rFonts w:cs="Times New Roman"/>
              </w:rPr>
              <w:t>17</w:t>
            </w:r>
          </w:p>
        </w:tc>
        <w:tc>
          <w:tcPr>
            <w:tcW w:w="1131" w:type="dxa"/>
            <w:vAlign w:val="center"/>
          </w:tcPr>
          <w:p w14:paraId="4B8C0F76">
            <w:pPr>
              <w:pStyle w:val="64"/>
              <w:rPr>
                <w:rFonts w:cs="Times New Roman"/>
              </w:rPr>
            </w:pPr>
            <w:r>
              <w:rPr>
                <w:rFonts w:cs="Times New Roman"/>
              </w:rPr>
              <w:t>2.7</w:t>
            </w:r>
          </w:p>
        </w:tc>
        <w:tc>
          <w:tcPr>
            <w:tcW w:w="765" w:type="dxa"/>
            <w:vAlign w:val="center"/>
          </w:tcPr>
          <w:p w14:paraId="5739FF14">
            <w:pPr>
              <w:pStyle w:val="64"/>
              <w:rPr>
                <w:rFonts w:cs="Times New Roman"/>
              </w:rPr>
            </w:pPr>
            <w:r>
              <w:rPr>
                <w:rFonts w:cs="Times New Roman"/>
              </w:rPr>
              <w:t>0.306</w:t>
            </w:r>
          </w:p>
        </w:tc>
        <w:tc>
          <w:tcPr>
            <w:tcW w:w="976" w:type="dxa"/>
            <w:vAlign w:val="center"/>
          </w:tcPr>
          <w:p w14:paraId="66FB7A9B">
            <w:pPr>
              <w:pStyle w:val="64"/>
              <w:rPr>
                <w:rFonts w:cs="Times New Roman"/>
              </w:rPr>
            </w:pPr>
            <w:r>
              <w:rPr>
                <w:rFonts w:cs="Times New Roman"/>
              </w:rPr>
              <w:t>0.87</w:t>
            </w:r>
          </w:p>
        </w:tc>
        <w:tc>
          <w:tcPr>
            <w:tcW w:w="876" w:type="dxa"/>
            <w:vAlign w:val="center"/>
          </w:tcPr>
          <w:p w14:paraId="589B6C11">
            <w:pPr>
              <w:pStyle w:val="64"/>
              <w:rPr>
                <w:rFonts w:cs="Times New Roman"/>
              </w:rPr>
            </w:pPr>
            <w:r>
              <w:rPr>
                <w:rFonts w:cs="Times New Roman"/>
              </w:rPr>
              <w:t>0.02</w:t>
            </w:r>
          </w:p>
        </w:tc>
        <w:tc>
          <w:tcPr>
            <w:tcW w:w="1174" w:type="dxa"/>
            <w:vAlign w:val="center"/>
          </w:tcPr>
          <w:p w14:paraId="5D8DA742">
            <w:pPr>
              <w:pStyle w:val="64"/>
              <w:rPr>
                <w:rFonts w:cs="Times New Roman"/>
              </w:rPr>
            </w:pPr>
            <w:r>
              <w:rPr>
                <w:rFonts w:cs="Times New Roman"/>
              </w:rPr>
              <w:t>&lt;0.05</w:t>
            </w:r>
          </w:p>
        </w:tc>
      </w:tr>
      <w:tr w14:paraId="2C3971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71" w:type="dxa"/>
            <w:vMerge w:val="continue"/>
            <w:vAlign w:val="center"/>
          </w:tcPr>
          <w:p w14:paraId="76E2AA5C">
            <w:pPr>
              <w:pStyle w:val="64"/>
              <w:rPr>
                <w:rFonts w:cs="Times New Roman"/>
              </w:rPr>
            </w:pPr>
          </w:p>
        </w:tc>
        <w:tc>
          <w:tcPr>
            <w:tcW w:w="1559" w:type="dxa"/>
            <w:vMerge w:val="continue"/>
            <w:vAlign w:val="center"/>
          </w:tcPr>
          <w:p w14:paraId="70AE73DF">
            <w:pPr>
              <w:pStyle w:val="64"/>
              <w:rPr>
                <w:rFonts w:cs="Times New Roman"/>
              </w:rPr>
            </w:pPr>
          </w:p>
        </w:tc>
        <w:tc>
          <w:tcPr>
            <w:tcW w:w="1276" w:type="dxa"/>
            <w:vMerge w:val="continue"/>
            <w:vAlign w:val="center"/>
          </w:tcPr>
          <w:p w14:paraId="6FA013F1">
            <w:pPr>
              <w:pStyle w:val="64"/>
              <w:rPr>
                <w:rFonts w:cs="Times New Roman"/>
              </w:rPr>
            </w:pPr>
          </w:p>
        </w:tc>
        <w:tc>
          <w:tcPr>
            <w:tcW w:w="1575" w:type="dxa"/>
            <w:vAlign w:val="center"/>
          </w:tcPr>
          <w:p w14:paraId="6B29EDF9">
            <w:pPr>
              <w:pStyle w:val="64"/>
              <w:rPr>
                <w:rFonts w:cs="Times New Roman"/>
              </w:rPr>
            </w:pPr>
            <w:r>
              <w:rPr>
                <w:rFonts w:cs="Times New Roman"/>
              </w:rPr>
              <w:t>Si</w:t>
            </w:r>
          </w:p>
        </w:tc>
        <w:tc>
          <w:tcPr>
            <w:tcW w:w="844" w:type="dxa"/>
            <w:vAlign w:val="center"/>
          </w:tcPr>
          <w:p w14:paraId="429B592D">
            <w:pPr>
              <w:pStyle w:val="64"/>
              <w:rPr>
                <w:rFonts w:cs="Times New Roman"/>
              </w:rPr>
            </w:pPr>
            <w:r>
              <w:rPr>
                <w:rFonts w:cs="Times New Roman"/>
              </w:rPr>
              <w:t>0.4</w:t>
            </w:r>
          </w:p>
        </w:tc>
        <w:tc>
          <w:tcPr>
            <w:tcW w:w="803" w:type="dxa"/>
            <w:vMerge w:val="continue"/>
            <w:vAlign w:val="center"/>
          </w:tcPr>
          <w:p w14:paraId="5CB8E697">
            <w:pPr>
              <w:pStyle w:val="64"/>
              <w:rPr>
                <w:rFonts w:cs="Times New Roman"/>
              </w:rPr>
            </w:pPr>
          </w:p>
        </w:tc>
        <w:tc>
          <w:tcPr>
            <w:tcW w:w="830" w:type="dxa"/>
            <w:vAlign w:val="center"/>
          </w:tcPr>
          <w:p w14:paraId="3C73277E">
            <w:pPr>
              <w:pStyle w:val="64"/>
              <w:rPr>
                <w:rFonts w:cs="Times New Roman"/>
              </w:rPr>
            </w:pPr>
            <w:r>
              <w:rPr>
                <w:rFonts w:cs="Times New Roman"/>
              </w:rPr>
              <w:t>0.62</w:t>
            </w:r>
          </w:p>
        </w:tc>
        <w:tc>
          <w:tcPr>
            <w:tcW w:w="912" w:type="dxa"/>
            <w:vAlign w:val="center"/>
          </w:tcPr>
          <w:p w14:paraId="28BED12F">
            <w:pPr>
              <w:pStyle w:val="64"/>
              <w:rPr>
                <w:rFonts w:cs="Times New Roman"/>
              </w:rPr>
            </w:pPr>
            <w:r>
              <w:rPr>
                <w:rFonts w:cs="Times New Roman"/>
              </w:rPr>
              <w:t>0.85</w:t>
            </w:r>
          </w:p>
        </w:tc>
        <w:tc>
          <w:tcPr>
            <w:tcW w:w="1131" w:type="dxa"/>
            <w:vAlign w:val="center"/>
          </w:tcPr>
          <w:p w14:paraId="3B6BCBB2">
            <w:pPr>
              <w:pStyle w:val="64"/>
              <w:rPr>
                <w:rFonts w:cs="Times New Roman"/>
              </w:rPr>
            </w:pPr>
            <w:r>
              <w:rPr>
                <w:rFonts w:cs="Times New Roman"/>
              </w:rPr>
              <w:t>0.675</w:t>
            </w:r>
          </w:p>
        </w:tc>
        <w:tc>
          <w:tcPr>
            <w:tcW w:w="765" w:type="dxa"/>
            <w:vAlign w:val="center"/>
          </w:tcPr>
          <w:p w14:paraId="31723A6A">
            <w:pPr>
              <w:pStyle w:val="64"/>
              <w:rPr>
                <w:rFonts w:cs="Times New Roman"/>
              </w:rPr>
            </w:pPr>
            <w:r>
              <w:rPr>
                <w:rFonts w:cs="Times New Roman"/>
              </w:rPr>
              <w:t>0.306</w:t>
            </w:r>
          </w:p>
        </w:tc>
        <w:tc>
          <w:tcPr>
            <w:tcW w:w="976" w:type="dxa"/>
            <w:vAlign w:val="center"/>
          </w:tcPr>
          <w:p w14:paraId="0637CAAE">
            <w:pPr>
              <w:pStyle w:val="64"/>
              <w:rPr>
                <w:rFonts w:cs="Times New Roman"/>
              </w:rPr>
            </w:pPr>
            <w:r>
              <w:rPr>
                <w:rFonts w:cs="Times New Roman"/>
              </w:rPr>
              <w:t>0.87</w:t>
            </w:r>
          </w:p>
        </w:tc>
        <w:tc>
          <w:tcPr>
            <w:tcW w:w="876" w:type="dxa"/>
            <w:vAlign w:val="center"/>
          </w:tcPr>
          <w:p w14:paraId="25672458">
            <w:pPr>
              <w:pStyle w:val="64"/>
              <w:rPr>
                <w:rFonts w:cs="Times New Roman"/>
              </w:rPr>
            </w:pPr>
            <w:r>
              <w:rPr>
                <w:rFonts w:cs="Times New Roman"/>
              </w:rPr>
              <w:t>0.4</w:t>
            </w:r>
          </w:p>
        </w:tc>
        <w:tc>
          <w:tcPr>
            <w:tcW w:w="1174" w:type="dxa"/>
            <w:vAlign w:val="center"/>
          </w:tcPr>
          <w:p w14:paraId="00EA011D">
            <w:pPr>
              <w:pStyle w:val="64"/>
              <w:rPr>
                <w:rFonts w:cs="Times New Roman"/>
              </w:rPr>
            </w:pPr>
            <w:r>
              <w:rPr>
                <w:rFonts w:cs="Times New Roman"/>
              </w:rPr>
              <w:t>&lt;0.25</w:t>
            </w:r>
          </w:p>
        </w:tc>
      </w:tr>
      <w:tr w14:paraId="48681D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71" w:type="dxa"/>
            <w:vMerge w:val="continue"/>
            <w:vAlign w:val="center"/>
          </w:tcPr>
          <w:p w14:paraId="32C05B48">
            <w:pPr>
              <w:pStyle w:val="64"/>
              <w:rPr>
                <w:rFonts w:cs="Times New Roman"/>
              </w:rPr>
            </w:pPr>
          </w:p>
        </w:tc>
        <w:tc>
          <w:tcPr>
            <w:tcW w:w="1559" w:type="dxa"/>
            <w:vMerge w:val="continue"/>
            <w:vAlign w:val="center"/>
          </w:tcPr>
          <w:p w14:paraId="187A967D">
            <w:pPr>
              <w:pStyle w:val="64"/>
              <w:rPr>
                <w:rFonts w:cs="Times New Roman"/>
              </w:rPr>
            </w:pPr>
          </w:p>
        </w:tc>
        <w:tc>
          <w:tcPr>
            <w:tcW w:w="1276" w:type="dxa"/>
            <w:vMerge w:val="restart"/>
            <w:vAlign w:val="center"/>
          </w:tcPr>
          <w:p w14:paraId="31EBF385">
            <w:pPr>
              <w:pStyle w:val="64"/>
              <w:rPr>
                <w:rFonts w:cs="Times New Roman"/>
              </w:rPr>
            </w:pPr>
            <w:r>
              <w:rPr>
                <w:rFonts w:cs="Times New Roman"/>
              </w:rPr>
              <w:t>2024.4.29</w:t>
            </w:r>
          </w:p>
        </w:tc>
        <w:tc>
          <w:tcPr>
            <w:tcW w:w="1575" w:type="dxa"/>
            <w:vAlign w:val="center"/>
          </w:tcPr>
          <w:p w14:paraId="43E9F6B1">
            <w:pPr>
              <w:pStyle w:val="64"/>
              <w:rPr>
                <w:rFonts w:cs="Times New Roman"/>
              </w:rPr>
            </w:pPr>
            <w:r>
              <w:rPr>
                <w:rFonts w:cs="Times New Roman"/>
              </w:rPr>
              <w:t>Ci</w:t>
            </w:r>
          </w:p>
        </w:tc>
        <w:tc>
          <w:tcPr>
            <w:tcW w:w="844" w:type="dxa"/>
            <w:vAlign w:val="center"/>
          </w:tcPr>
          <w:p w14:paraId="01A9BD6F">
            <w:pPr>
              <w:pStyle w:val="64"/>
              <w:rPr>
                <w:rFonts w:cs="Times New Roman"/>
              </w:rPr>
            </w:pPr>
            <w:r>
              <w:rPr>
                <w:rFonts w:cs="Times New Roman"/>
              </w:rPr>
              <w:t>7.9</w:t>
            </w:r>
          </w:p>
        </w:tc>
        <w:tc>
          <w:tcPr>
            <w:tcW w:w="803" w:type="dxa"/>
            <w:vMerge w:val="restart"/>
            <w:vAlign w:val="center"/>
          </w:tcPr>
          <w:p w14:paraId="67D4EDF0">
            <w:pPr>
              <w:pStyle w:val="64"/>
              <w:rPr>
                <w:rFonts w:cs="Times New Roman"/>
              </w:rPr>
            </w:pPr>
            <w:r>
              <w:rPr>
                <w:rFonts w:cs="Times New Roman"/>
              </w:rPr>
              <w:t>21.2</w:t>
            </w:r>
          </w:p>
        </w:tc>
        <w:tc>
          <w:tcPr>
            <w:tcW w:w="830" w:type="dxa"/>
            <w:vAlign w:val="center"/>
          </w:tcPr>
          <w:p w14:paraId="6EB90D3E">
            <w:pPr>
              <w:pStyle w:val="64"/>
              <w:rPr>
                <w:rFonts w:cs="Times New Roman"/>
              </w:rPr>
            </w:pPr>
            <w:r>
              <w:rPr>
                <w:rFonts w:cs="Times New Roman"/>
              </w:rPr>
              <w:t>5.6</w:t>
            </w:r>
          </w:p>
        </w:tc>
        <w:tc>
          <w:tcPr>
            <w:tcW w:w="912" w:type="dxa"/>
            <w:vAlign w:val="center"/>
          </w:tcPr>
          <w:p w14:paraId="4C3DEEE5">
            <w:pPr>
              <w:pStyle w:val="64"/>
              <w:rPr>
                <w:rFonts w:cs="Times New Roman"/>
              </w:rPr>
            </w:pPr>
            <w:r>
              <w:rPr>
                <w:rFonts w:cs="Times New Roman"/>
              </w:rPr>
              <w:t>19</w:t>
            </w:r>
          </w:p>
        </w:tc>
        <w:tc>
          <w:tcPr>
            <w:tcW w:w="1131" w:type="dxa"/>
            <w:vAlign w:val="center"/>
          </w:tcPr>
          <w:p w14:paraId="7F02AC44">
            <w:pPr>
              <w:pStyle w:val="64"/>
              <w:rPr>
                <w:rFonts w:cs="Times New Roman"/>
              </w:rPr>
            </w:pPr>
            <w:r>
              <w:rPr>
                <w:rFonts w:cs="Times New Roman"/>
              </w:rPr>
              <w:t>2.8</w:t>
            </w:r>
          </w:p>
        </w:tc>
        <w:tc>
          <w:tcPr>
            <w:tcW w:w="765" w:type="dxa"/>
            <w:vAlign w:val="center"/>
          </w:tcPr>
          <w:p w14:paraId="2497AE2E">
            <w:pPr>
              <w:pStyle w:val="64"/>
              <w:rPr>
                <w:rFonts w:cs="Times New Roman"/>
              </w:rPr>
            </w:pPr>
            <w:r>
              <w:rPr>
                <w:rFonts w:cs="Times New Roman"/>
              </w:rPr>
              <w:t>0.2</w:t>
            </w:r>
          </w:p>
        </w:tc>
        <w:tc>
          <w:tcPr>
            <w:tcW w:w="976" w:type="dxa"/>
            <w:vAlign w:val="center"/>
          </w:tcPr>
          <w:p w14:paraId="6A01EFC1">
            <w:pPr>
              <w:pStyle w:val="64"/>
              <w:rPr>
                <w:rFonts w:cs="Times New Roman"/>
              </w:rPr>
            </w:pPr>
            <w:r>
              <w:rPr>
                <w:rFonts w:cs="Times New Roman"/>
              </w:rPr>
              <w:t>0.81</w:t>
            </w:r>
          </w:p>
        </w:tc>
        <w:tc>
          <w:tcPr>
            <w:tcW w:w="876" w:type="dxa"/>
            <w:vAlign w:val="center"/>
          </w:tcPr>
          <w:p w14:paraId="67579F2B">
            <w:pPr>
              <w:pStyle w:val="64"/>
              <w:rPr>
                <w:rFonts w:cs="Times New Roman"/>
              </w:rPr>
            </w:pPr>
            <w:r>
              <w:rPr>
                <w:rFonts w:cs="Times New Roman"/>
              </w:rPr>
              <w:t>0.03</w:t>
            </w:r>
          </w:p>
        </w:tc>
        <w:tc>
          <w:tcPr>
            <w:tcW w:w="1174" w:type="dxa"/>
            <w:vAlign w:val="center"/>
          </w:tcPr>
          <w:p w14:paraId="27822F95">
            <w:pPr>
              <w:pStyle w:val="64"/>
              <w:rPr>
                <w:rFonts w:cs="Times New Roman"/>
              </w:rPr>
            </w:pPr>
            <w:r>
              <w:rPr>
                <w:rFonts w:cs="Times New Roman"/>
              </w:rPr>
              <w:t>&lt;0.05</w:t>
            </w:r>
          </w:p>
        </w:tc>
      </w:tr>
      <w:tr w14:paraId="02C722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71" w:type="dxa"/>
            <w:vMerge w:val="continue"/>
            <w:vAlign w:val="center"/>
          </w:tcPr>
          <w:p w14:paraId="5D3BD932">
            <w:pPr>
              <w:pStyle w:val="64"/>
              <w:rPr>
                <w:rFonts w:cs="Times New Roman"/>
              </w:rPr>
            </w:pPr>
          </w:p>
        </w:tc>
        <w:tc>
          <w:tcPr>
            <w:tcW w:w="1559" w:type="dxa"/>
            <w:vMerge w:val="continue"/>
            <w:vAlign w:val="center"/>
          </w:tcPr>
          <w:p w14:paraId="5C082D87">
            <w:pPr>
              <w:pStyle w:val="64"/>
              <w:rPr>
                <w:rFonts w:cs="Times New Roman"/>
              </w:rPr>
            </w:pPr>
          </w:p>
        </w:tc>
        <w:tc>
          <w:tcPr>
            <w:tcW w:w="1276" w:type="dxa"/>
            <w:vMerge w:val="continue"/>
            <w:vAlign w:val="center"/>
          </w:tcPr>
          <w:p w14:paraId="40C77021">
            <w:pPr>
              <w:pStyle w:val="64"/>
              <w:rPr>
                <w:rFonts w:cs="Times New Roman"/>
              </w:rPr>
            </w:pPr>
          </w:p>
        </w:tc>
        <w:tc>
          <w:tcPr>
            <w:tcW w:w="1575" w:type="dxa"/>
            <w:vAlign w:val="center"/>
          </w:tcPr>
          <w:p w14:paraId="3E2584E5">
            <w:pPr>
              <w:pStyle w:val="64"/>
              <w:rPr>
                <w:rFonts w:cs="Times New Roman"/>
              </w:rPr>
            </w:pPr>
            <w:r>
              <w:rPr>
                <w:rFonts w:cs="Times New Roman"/>
              </w:rPr>
              <w:t>Si</w:t>
            </w:r>
          </w:p>
        </w:tc>
        <w:tc>
          <w:tcPr>
            <w:tcW w:w="844" w:type="dxa"/>
            <w:vAlign w:val="center"/>
          </w:tcPr>
          <w:p w14:paraId="4068160A">
            <w:pPr>
              <w:pStyle w:val="64"/>
              <w:rPr>
                <w:rFonts w:cs="Times New Roman"/>
              </w:rPr>
            </w:pPr>
            <w:r>
              <w:rPr>
                <w:rFonts w:cs="Times New Roman"/>
              </w:rPr>
              <w:t>0.45</w:t>
            </w:r>
          </w:p>
        </w:tc>
        <w:tc>
          <w:tcPr>
            <w:tcW w:w="803" w:type="dxa"/>
            <w:vMerge w:val="continue"/>
            <w:vAlign w:val="center"/>
          </w:tcPr>
          <w:p w14:paraId="74225718">
            <w:pPr>
              <w:pStyle w:val="64"/>
              <w:rPr>
                <w:rFonts w:cs="Times New Roman"/>
              </w:rPr>
            </w:pPr>
          </w:p>
        </w:tc>
        <w:tc>
          <w:tcPr>
            <w:tcW w:w="830" w:type="dxa"/>
            <w:vAlign w:val="center"/>
          </w:tcPr>
          <w:p w14:paraId="64742F46">
            <w:pPr>
              <w:pStyle w:val="64"/>
              <w:rPr>
                <w:rFonts w:cs="Times New Roman"/>
              </w:rPr>
            </w:pPr>
            <w:r>
              <w:rPr>
                <w:rFonts w:cs="Times New Roman"/>
              </w:rPr>
              <w:t>0.63</w:t>
            </w:r>
          </w:p>
        </w:tc>
        <w:tc>
          <w:tcPr>
            <w:tcW w:w="912" w:type="dxa"/>
            <w:vAlign w:val="center"/>
          </w:tcPr>
          <w:p w14:paraId="58467E80">
            <w:pPr>
              <w:pStyle w:val="64"/>
              <w:rPr>
                <w:rFonts w:cs="Times New Roman"/>
              </w:rPr>
            </w:pPr>
            <w:r>
              <w:rPr>
                <w:rFonts w:cs="Times New Roman"/>
              </w:rPr>
              <w:t>0.95</w:t>
            </w:r>
          </w:p>
        </w:tc>
        <w:tc>
          <w:tcPr>
            <w:tcW w:w="1131" w:type="dxa"/>
            <w:vAlign w:val="center"/>
          </w:tcPr>
          <w:p w14:paraId="236FC7D3">
            <w:pPr>
              <w:pStyle w:val="64"/>
              <w:rPr>
                <w:rFonts w:cs="Times New Roman"/>
              </w:rPr>
            </w:pPr>
            <w:r>
              <w:rPr>
                <w:rFonts w:cs="Times New Roman"/>
              </w:rPr>
              <w:t>0.7</w:t>
            </w:r>
          </w:p>
        </w:tc>
        <w:tc>
          <w:tcPr>
            <w:tcW w:w="765" w:type="dxa"/>
            <w:vAlign w:val="center"/>
          </w:tcPr>
          <w:p w14:paraId="12519C88">
            <w:pPr>
              <w:pStyle w:val="64"/>
              <w:rPr>
                <w:rFonts w:cs="Times New Roman"/>
              </w:rPr>
            </w:pPr>
            <w:r>
              <w:rPr>
                <w:rFonts w:cs="Times New Roman"/>
              </w:rPr>
              <w:t>0.2</w:t>
            </w:r>
          </w:p>
        </w:tc>
        <w:tc>
          <w:tcPr>
            <w:tcW w:w="976" w:type="dxa"/>
            <w:vAlign w:val="center"/>
          </w:tcPr>
          <w:p w14:paraId="5FEECDB1">
            <w:pPr>
              <w:pStyle w:val="64"/>
              <w:rPr>
                <w:rFonts w:cs="Times New Roman"/>
              </w:rPr>
            </w:pPr>
            <w:r>
              <w:rPr>
                <w:rFonts w:cs="Times New Roman"/>
              </w:rPr>
              <w:t>0.81</w:t>
            </w:r>
          </w:p>
        </w:tc>
        <w:tc>
          <w:tcPr>
            <w:tcW w:w="876" w:type="dxa"/>
            <w:vAlign w:val="center"/>
          </w:tcPr>
          <w:p w14:paraId="6755F9A8">
            <w:pPr>
              <w:pStyle w:val="64"/>
              <w:rPr>
                <w:rFonts w:cs="Times New Roman"/>
              </w:rPr>
            </w:pPr>
            <w:r>
              <w:rPr>
                <w:rFonts w:cs="Times New Roman"/>
              </w:rPr>
              <w:t>0.6</w:t>
            </w:r>
          </w:p>
        </w:tc>
        <w:tc>
          <w:tcPr>
            <w:tcW w:w="1174" w:type="dxa"/>
            <w:vAlign w:val="center"/>
          </w:tcPr>
          <w:p w14:paraId="6857939F">
            <w:pPr>
              <w:pStyle w:val="64"/>
              <w:rPr>
                <w:rFonts w:cs="Times New Roman"/>
              </w:rPr>
            </w:pPr>
            <w:r>
              <w:rPr>
                <w:rFonts w:cs="Times New Roman"/>
              </w:rPr>
              <w:t>&lt;0.25</w:t>
            </w:r>
          </w:p>
        </w:tc>
      </w:tr>
      <w:tr w14:paraId="3E66FF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71" w:type="dxa"/>
            <w:vMerge w:val="continue"/>
            <w:vAlign w:val="center"/>
          </w:tcPr>
          <w:p w14:paraId="2C8A914E">
            <w:pPr>
              <w:pStyle w:val="64"/>
              <w:rPr>
                <w:rFonts w:cs="Times New Roman"/>
              </w:rPr>
            </w:pPr>
          </w:p>
        </w:tc>
        <w:tc>
          <w:tcPr>
            <w:tcW w:w="1559" w:type="dxa"/>
            <w:vMerge w:val="continue"/>
            <w:vAlign w:val="center"/>
          </w:tcPr>
          <w:p w14:paraId="5AF52F3C">
            <w:pPr>
              <w:pStyle w:val="64"/>
              <w:rPr>
                <w:rFonts w:cs="Times New Roman"/>
              </w:rPr>
            </w:pPr>
          </w:p>
        </w:tc>
        <w:tc>
          <w:tcPr>
            <w:tcW w:w="1276" w:type="dxa"/>
            <w:vMerge w:val="restart"/>
            <w:vAlign w:val="center"/>
          </w:tcPr>
          <w:p w14:paraId="0B21EFBC">
            <w:pPr>
              <w:pStyle w:val="64"/>
              <w:rPr>
                <w:rFonts w:cs="Times New Roman"/>
              </w:rPr>
            </w:pPr>
            <w:r>
              <w:rPr>
                <w:rFonts w:cs="Times New Roman"/>
              </w:rPr>
              <w:t>2024.4.30</w:t>
            </w:r>
          </w:p>
        </w:tc>
        <w:tc>
          <w:tcPr>
            <w:tcW w:w="1575" w:type="dxa"/>
            <w:vAlign w:val="center"/>
          </w:tcPr>
          <w:p w14:paraId="2FF6B818">
            <w:pPr>
              <w:pStyle w:val="64"/>
              <w:rPr>
                <w:rFonts w:cs="Times New Roman"/>
              </w:rPr>
            </w:pPr>
            <w:r>
              <w:rPr>
                <w:rFonts w:cs="Times New Roman"/>
              </w:rPr>
              <w:t>Ci</w:t>
            </w:r>
          </w:p>
        </w:tc>
        <w:tc>
          <w:tcPr>
            <w:tcW w:w="844" w:type="dxa"/>
            <w:vAlign w:val="center"/>
          </w:tcPr>
          <w:p w14:paraId="27013E6C">
            <w:pPr>
              <w:pStyle w:val="64"/>
              <w:rPr>
                <w:rFonts w:cs="Times New Roman"/>
              </w:rPr>
            </w:pPr>
            <w:r>
              <w:rPr>
                <w:rFonts w:cs="Times New Roman"/>
              </w:rPr>
              <w:t>7.7</w:t>
            </w:r>
          </w:p>
        </w:tc>
        <w:tc>
          <w:tcPr>
            <w:tcW w:w="803" w:type="dxa"/>
            <w:vMerge w:val="restart"/>
            <w:vAlign w:val="center"/>
          </w:tcPr>
          <w:p w14:paraId="75C47692">
            <w:pPr>
              <w:pStyle w:val="64"/>
              <w:rPr>
                <w:rFonts w:cs="Times New Roman"/>
              </w:rPr>
            </w:pPr>
            <w:r>
              <w:rPr>
                <w:rFonts w:cs="Times New Roman"/>
              </w:rPr>
              <w:t>19.7</w:t>
            </w:r>
          </w:p>
        </w:tc>
        <w:tc>
          <w:tcPr>
            <w:tcW w:w="830" w:type="dxa"/>
            <w:vAlign w:val="center"/>
          </w:tcPr>
          <w:p w14:paraId="0D05A7DE">
            <w:pPr>
              <w:pStyle w:val="64"/>
              <w:rPr>
                <w:rFonts w:cs="Times New Roman"/>
              </w:rPr>
            </w:pPr>
            <w:r>
              <w:rPr>
                <w:rFonts w:cs="Times New Roman"/>
              </w:rPr>
              <w:t>5.9</w:t>
            </w:r>
          </w:p>
        </w:tc>
        <w:tc>
          <w:tcPr>
            <w:tcW w:w="912" w:type="dxa"/>
            <w:vAlign w:val="center"/>
          </w:tcPr>
          <w:p w14:paraId="2D05A79F">
            <w:pPr>
              <w:pStyle w:val="64"/>
              <w:rPr>
                <w:rFonts w:cs="Times New Roman"/>
              </w:rPr>
            </w:pPr>
            <w:r>
              <w:rPr>
                <w:rFonts w:cs="Times New Roman"/>
              </w:rPr>
              <w:t>14</w:t>
            </w:r>
          </w:p>
        </w:tc>
        <w:tc>
          <w:tcPr>
            <w:tcW w:w="1131" w:type="dxa"/>
            <w:vAlign w:val="center"/>
          </w:tcPr>
          <w:p w14:paraId="4CFC4C89">
            <w:pPr>
              <w:pStyle w:val="64"/>
              <w:rPr>
                <w:rFonts w:cs="Times New Roman"/>
              </w:rPr>
            </w:pPr>
            <w:r>
              <w:rPr>
                <w:rFonts w:cs="Times New Roman"/>
              </w:rPr>
              <w:t>2.9</w:t>
            </w:r>
          </w:p>
        </w:tc>
        <w:tc>
          <w:tcPr>
            <w:tcW w:w="765" w:type="dxa"/>
            <w:vAlign w:val="center"/>
          </w:tcPr>
          <w:p w14:paraId="06111271">
            <w:pPr>
              <w:pStyle w:val="64"/>
              <w:rPr>
                <w:rFonts w:cs="Times New Roman"/>
              </w:rPr>
            </w:pPr>
            <w:r>
              <w:rPr>
                <w:rFonts w:cs="Times New Roman"/>
              </w:rPr>
              <w:t>0.209</w:t>
            </w:r>
          </w:p>
        </w:tc>
        <w:tc>
          <w:tcPr>
            <w:tcW w:w="976" w:type="dxa"/>
            <w:vAlign w:val="center"/>
          </w:tcPr>
          <w:p w14:paraId="57FD3764">
            <w:pPr>
              <w:pStyle w:val="64"/>
              <w:rPr>
                <w:rFonts w:cs="Times New Roman"/>
              </w:rPr>
            </w:pPr>
            <w:r>
              <w:rPr>
                <w:rFonts w:cs="Times New Roman"/>
              </w:rPr>
              <w:t>0.9</w:t>
            </w:r>
          </w:p>
        </w:tc>
        <w:tc>
          <w:tcPr>
            <w:tcW w:w="876" w:type="dxa"/>
            <w:vAlign w:val="center"/>
          </w:tcPr>
          <w:p w14:paraId="2842D5F7">
            <w:pPr>
              <w:pStyle w:val="64"/>
              <w:rPr>
                <w:rFonts w:cs="Times New Roman"/>
              </w:rPr>
            </w:pPr>
            <w:r>
              <w:rPr>
                <w:rFonts w:cs="Times New Roman"/>
              </w:rPr>
              <w:t>0.04</w:t>
            </w:r>
          </w:p>
        </w:tc>
        <w:tc>
          <w:tcPr>
            <w:tcW w:w="1174" w:type="dxa"/>
            <w:vAlign w:val="center"/>
          </w:tcPr>
          <w:p w14:paraId="27172805">
            <w:pPr>
              <w:pStyle w:val="64"/>
              <w:rPr>
                <w:rFonts w:cs="Times New Roman"/>
              </w:rPr>
            </w:pPr>
            <w:r>
              <w:rPr>
                <w:rFonts w:cs="Times New Roman"/>
              </w:rPr>
              <w:t>&lt;0.05</w:t>
            </w:r>
          </w:p>
        </w:tc>
      </w:tr>
      <w:tr w14:paraId="232B11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71" w:type="dxa"/>
            <w:vMerge w:val="continue"/>
            <w:vAlign w:val="center"/>
          </w:tcPr>
          <w:p w14:paraId="1069F66C">
            <w:pPr>
              <w:pStyle w:val="64"/>
              <w:rPr>
                <w:rFonts w:cs="Times New Roman"/>
              </w:rPr>
            </w:pPr>
          </w:p>
        </w:tc>
        <w:tc>
          <w:tcPr>
            <w:tcW w:w="1559" w:type="dxa"/>
            <w:vMerge w:val="continue"/>
            <w:vAlign w:val="center"/>
          </w:tcPr>
          <w:p w14:paraId="4C1F376B">
            <w:pPr>
              <w:pStyle w:val="64"/>
              <w:rPr>
                <w:rFonts w:cs="Times New Roman"/>
              </w:rPr>
            </w:pPr>
          </w:p>
        </w:tc>
        <w:tc>
          <w:tcPr>
            <w:tcW w:w="1276" w:type="dxa"/>
            <w:vMerge w:val="continue"/>
            <w:vAlign w:val="center"/>
          </w:tcPr>
          <w:p w14:paraId="649DE7D3">
            <w:pPr>
              <w:pStyle w:val="64"/>
              <w:rPr>
                <w:rFonts w:cs="Times New Roman"/>
              </w:rPr>
            </w:pPr>
          </w:p>
        </w:tc>
        <w:tc>
          <w:tcPr>
            <w:tcW w:w="1575" w:type="dxa"/>
            <w:vAlign w:val="center"/>
          </w:tcPr>
          <w:p w14:paraId="18D36F55">
            <w:pPr>
              <w:pStyle w:val="64"/>
              <w:rPr>
                <w:rFonts w:cs="Times New Roman"/>
              </w:rPr>
            </w:pPr>
            <w:r>
              <w:rPr>
                <w:rFonts w:cs="Times New Roman"/>
              </w:rPr>
              <w:t>Si</w:t>
            </w:r>
          </w:p>
        </w:tc>
        <w:tc>
          <w:tcPr>
            <w:tcW w:w="844" w:type="dxa"/>
            <w:vAlign w:val="center"/>
          </w:tcPr>
          <w:p w14:paraId="0262D604">
            <w:pPr>
              <w:pStyle w:val="64"/>
              <w:rPr>
                <w:rFonts w:cs="Times New Roman"/>
              </w:rPr>
            </w:pPr>
            <w:r>
              <w:rPr>
                <w:rFonts w:cs="Times New Roman"/>
              </w:rPr>
              <w:t>0.35</w:t>
            </w:r>
          </w:p>
        </w:tc>
        <w:tc>
          <w:tcPr>
            <w:tcW w:w="803" w:type="dxa"/>
            <w:vMerge w:val="continue"/>
            <w:vAlign w:val="center"/>
          </w:tcPr>
          <w:p w14:paraId="24B90B88">
            <w:pPr>
              <w:pStyle w:val="64"/>
              <w:rPr>
                <w:rFonts w:cs="Times New Roman"/>
              </w:rPr>
            </w:pPr>
          </w:p>
        </w:tc>
        <w:tc>
          <w:tcPr>
            <w:tcW w:w="830" w:type="dxa"/>
            <w:vAlign w:val="center"/>
          </w:tcPr>
          <w:p w14:paraId="69FC1D19">
            <w:pPr>
              <w:pStyle w:val="64"/>
              <w:rPr>
                <w:rFonts w:cs="Times New Roman"/>
              </w:rPr>
            </w:pPr>
            <w:r>
              <w:rPr>
                <w:rFonts w:cs="Times New Roman"/>
              </w:rPr>
              <w:t>0.65</w:t>
            </w:r>
          </w:p>
        </w:tc>
        <w:tc>
          <w:tcPr>
            <w:tcW w:w="912" w:type="dxa"/>
            <w:vAlign w:val="center"/>
          </w:tcPr>
          <w:p w14:paraId="07F53DE0">
            <w:pPr>
              <w:pStyle w:val="64"/>
              <w:rPr>
                <w:rFonts w:cs="Times New Roman"/>
              </w:rPr>
            </w:pPr>
            <w:r>
              <w:rPr>
                <w:rFonts w:cs="Times New Roman"/>
              </w:rPr>
              <w:t>0.7</w:t>
            </w:r>
          </w:p>
        </w:tc>
        <w:tc>
          <w:tcPr>
            <w:tcW w:w="1131" w:type="dxa"/>
            <w:vAlign w:val="center"/>
          </w:tcPr>
          <w:p w14:paraId="66535C2A">
            <w:pPr>
              <w:pStyle w:val="64"/>
              <w:rPr>
                <w:rFonts w:cs="Times New Roman"/>
              </w:rPr>
            </w:pPr>
            <w:r>
              <w:rPr>
                <w:rFonts w:cs="Times New Roman"/>
              </w:rPr>
              <w:t>0.725</w:t>
            </w:r>
          </w:p>
        </w:tc>
        <w:tc>
          <w:tcPr>
            <w:tcW w:w="765" w:type="dxa"/>
            <w:vAlign w:val="center"/>
          </w:tcPr>
          <w:p w14:paraId="2703B464">
            <w:pPr>
              <w:pStyle w:val="64"/>
              <w:rPr>
                <w:rFonts w:cs="Times New Roman"/>
              </w:rPr>
            </w:pPr>
            <w:r>
              <w:rPr>
                <w:rFonts w:cs="Times New Roman"/>
              </w:rPr>
              <w:t>0.209</w:t>
            </w:r>
          </w:p>
        </w:tc>
        <w:tc>
          <w:tcPr>
            <w:tcW w:w="976" w:type="dxa"/>
            <w:vAlign w:val="center"/>
          </w:tcPr>
          <w:p w14:paraId="542C20D7">
            <w:pPr>
              <w:pStyle w:val="64"/>
              <w:rPr>
                <w:rFonts w:cs="Times New Roman"/>
              </w:rPr>
            </w:pPr>
            <w:r>
              <w:rPr>
                <w:rFonts w:cs="Times New Roman"/>
              </w:rPr>
              <w:t>0.9</w:t>
            </w:r>
          </w:p>
        </w:tc>
        <w:tc>
          <w:tcPr>
            <w:tcW w:w="876" w:type="dxa"/>
            <w:vAlign w:val="center"/>
          </w:tcPr>
          <w:p w14:paraId="3BF4C101">
            <w:pPr>
              <w:pStyle w:val="64"/>
              <w:rPr>
                <w:rFonts w:cs="Times New Roman"/>
              </w:rPr>
            </w:pPr>
            <w:r>
              <w:rPr>
                <w:rFonts w:cs="Times New Roman"/>
              </w:rPr>
              <w:t>0.8</w:t>
            </w:r>
          </w:p>
        </w:tc>
        <w:tc>
          <w:tcPr>
            <w:tcW w:w="1174" w:type="dxa"/>
            <w:vAlign w:val="center"/>
          </w:tcPr>
          <w:p w14:paraId="379D2898">
            <w:pPr>
              <w:pStyle w:val="64"/>
              <w:rPr>
                <w:rFonts w:cs="Times New Roman"/>
              </w:rPr>
            </w:pPr>
            <w:r>
              <w:rPr>
                <w:rFonts w:cs="Times New Roman"/>
              </w:rPr>
              <w:t>&lt;0.25</w:t>
            </w:r>
          </w:p>
        </w:tc>
      </w:tr>
      <w:tr w14:paraId="234019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71" w:type="dxa"/>
            <w:vMerge w:val="restart"/>
            <w:vAlign w:val="center"/>
          </w:tcPr>
          <w:p w14:paraId="465ABE15">
            <w:pPr>
              <w:pStyle w:val="64"/>
              <w:rPr>
                <w:rFonts w:cs="Times New Roman"/>
              </w:rPr>
            </w:pPr>
            <w:r>
              <w:rPr>
                <w:rFonts w:cs="Times New Roman"/>
              </w:rPr>
              <w:t>监测断面</w:t>
            </w:r>
          </w:p>
        </w:tc>
        <w:tc>
          <w:tcPr>
            <w:tcW w:w="1559" w:type="dxa"/>
            <w:vMerge w:val="restart"/>
            <w:vAlign w:val="center"/>
          </w:tcPr>
          <w:p w14:paraId="223B0C70">
            <w:pPr>
              <w:pStyle w:val="64"/>
              <w:rPr>
                <w:rFonts w:cs="Times New Roman"/>
              </w:rPr>
            </w:pPr>
            <w:r>
              <w:rPr>
                <w:rFonts w:cs="Times New Roman"/>
              </w:rPr>
              <w:t>经纬度</w:t>
            </w:r>
          </w:p>
        </w:tc>
        <w:tc>
          <w:tcPr>
            <w:tcW w:w="1276" w:type="dxa"/>
            <w:vMerge w:val="restart"/>
            <w:vAlign w:val="center"/>
          </w:tcPr>
          <w:p w14:paraId="4E58F23D">
            <w:pPr>
              <w:pStyle w:val="64"/>
              <w:rPr>
                <w:rFonts w:cs="Times New Roman"/>
              </w:rPr>
            </w:pPr>
            <w:r>
              <w:rPr>
                <w:rFonts w:cs="Times New Roman"/>
              </w:rPr>
              <w:t>采样时间</w:t>
            </w:r>
          </w:p>
        </w:tc>
        <w:tc>
          <w:tcPr>
            <w:tcW w:w="1575" w:type="dxa"/>
            <w:vAlign w:val="center"/>
          </w:tcPr>
          <w:p w14:paraId="4551E7ED">
            <w:pPr>
              <w:pStyle w:val="64"/>
              <w:rPr>
                <w:rFonts w:cs="Times New Roman"/>
              </w:rPr>
            </w:pPr>
            <w:r>
              <w:rPr>
                <w:rFonts w:cs="Times New Roman"/>
              </w:rPr>
              <w:t>统计项目</w:t>
            </w:r>
          </w:p>
        </w:tc>
        <w:tc>
          <w:tcPr>
            <w:tcW w:w="844" w:type="dxa"/>
            <w:vAlign w:val="center"/>
          </w:tcPr>
          <w:p w14:paraId="723B39CC">
            <w:pPr>
              <w:pStyle w:val="64"/>
              <w:rPr>
                <w:rFonts w:cs="Times New Roman"/>
              </w:rPr>
            </w:pPr>
            <w:r>
              <w:rPr>
                <w:rFonts w:cs="Times New Roman"/>
              </w:rPr>
              <w:t>总磷</w:t>
            </w:r>
          </w:p>
        </w:tc>
        <w:tc>
          <w:tcPr>
            <w:tcW w:w="803" w:type="dxa"/>
            <w:vAlign w:val="center"/>
          </w:tcPr>
          <w:p w14:paraId="65254AFB">
            <w:pPr>
              <w:pStyle w:val="64"/>
              <w:rPr>
                <w:rFonts w:cs="Times New Roman"/>
              </w:rPr>
            </w:pPr>
            <w:r>
              <w:rPr>
                <w:rFonts w:cs="Times New Roman"/>
              </w:rPr>
              <w:t>硫化物</w:t>
            </w:r>
          </w:p>
        </w:tc>
        <w:tc>
          <w:tcPr>
            <w:tcW w:w="830" w:type="dxa"/>
            <w:vAlign w:val="center"/>
          </w:tcPr>
          <w:p w14:paraId="62BA7365">
            <w:pPr>
              <w:pStyle w:val="64"/>
              <w:rPr>
                <w:rFonts w:cs="Times New Roman"/>
              </w:rPr>
            </w:pPr>
            <w:r>
              <w:rPr>
                <w:rFonts w:cs="Times New Roman"/>
              </w:rPr>
              <w:t>氟化物</w:t>
            </w:r>
          </w:p>
        </w:tc>
        <w:tc>
          <w:tcPr>
            <w:tcW w:w="912" w:type="dxa"/>
            <w:vAlign w:val="center"/>
          </w:tcPr>
          <w:p w14:paraId="25E9DF55">
            <w:pPr>
              <w:pStyle w:val="64"/>
              <w:rPr>
                <w:rFonts w:cs="Times New Roman"/>
              </w:rPr>
            </w:pPr>
            <w:r>
              <w:rPr>
                <w:rFonts w:cs="Times New Roman"/>
              </w:rPr>
              <w:t>挥发酚</w:t>
            </w:r>
          </w:p>
        </w:tc>
        <w:tc>
          <w:tcPr>
            <w:tcW w:w="1131" w:type="dxa"/>
            <w:vAlign w:val="center"/>
          </w:tcPr>
          <w:p w14:paraId="18297A1A">
            <w:pPr>
              <w:pStyle w:val="64"/>
              <w:rPr>
                <w:rFonts w:cs="Times New Roman"/>
              </w:rPr>
            </w:pPr>
            <w:r>
              <w:rPr>
                <w:rFonts w:cs="Times New Roman"/>
              </w:rPr>
              <w:t>铅</w:t>
            </w:r>
          </w:p>
        </w:tc>
        <w:tc>
          <w:tcPr>
            <w:tcW w:w="765" w:type="dxa"/>
            <w:vAlign w:val="center"/>
          </w:tcPr>
          <w:p w14:paraId="0A3DF018">
            <w:pPr>
              <w:pStyle w:val="64"/>
              <w:rPr>
                <w:rFonts w:cs="Times New Roman"/>
              </w:rPr>
            </w:pPr>
            <w:r>
              <w:rPr>
                <w:rFonts w:cs="Times New Roman"/>
              </w:rPr>
              <w:t>镍</w:t>
            </w:r>
          </w:p>
        </w:tc>
        <w:tc>
          <w:tcPr>
            <w:tcW w:w="976" w:type="dxa"/>
            <w:vAlign w:val="center"/>
          </w:tcPr>
          <w:p w14:paraId="0530887D">
            <w:pPr>
              <w:pStyle w:val="64"/>
              <w:rPr>
                <w:rFonts w:cs="Times New Roman"/>
              </w:rPr>
            </w:pPr>
            <w:r>
              <w:rPr>
                <w:rFonts w:cs="Times New Roman"/>
              </w:rPr>
              <w:t>砷</w:t>
            </w:r>
          </w:p>
        </w:tc>
        <w:tc>
          <w:tcPr>
            <w:tcW w:w="876" w:type="dxa"/>
            <w:vAlign w:val="center"/>
          </w:tcPr>
          <w:p w14:paraId="31F0C6A1">
            <w:pPr>
              <w:pStyle w:val="64"/>
              <w:rPr>
                <w:rFonts w:cs="Times New Roman"/>
              </w:rPr>
            </w:pPr>
            <w:r>
              <w:rPr>
                <w:rFonts w:cs="Times New Roman"/>
              </w:rPr>
              <w:t>铜</w:t>
            </w:r>
          </w:p>
        </w:tc>
        <w:tc>
          <w:tcPr>
            <w:tcW w:w="1174" w:type="dxa"/>
            <w:vAlign w:val="center"/>
          </w:tcPr>
          <w:p w14:paraId="7D00D032">
            <w:pPr>
              <w:pStyle w:val="64"/>
              <w:rPr>
                <w:rFonts w:cs="Times New Roman"/>
              </w:rPr>
            </w:pPr>
            <w:r>
              <w:rPr>
                <w:rFonts w:cs="Times New Roman"/>
              </w:rPr>
              <w:t>锌</w:t>
            </w:r>
          </w:p>
        </w:tc>
      </w:tr>
      <w:tr w14:paraId="0C1D82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71" w:type="dxa"/>
            <w:vMerge w:val="continue"/>
            <w:vAlign w:val="center"/>
          </w:tcPr>
          <w:p w14:paraId="6D2BCA08">
            <w:pPr>
              <w:pStyle w:val="64"/>
              <w:rPr>
                <w:rFonts w:cs="Times New Roman"/>
              </w:rPr>
            </w:pPr>
          </w:p>
        </w:tc>
        <w:tc>
          <w:tcPr>
            <w:tcW w:w="1559" w:type="dxa"/>
            <w:vMerge w:val="continue"/>
            <w:vAlign w:val="center"/>
          </w:tcPr>
          <w:p w14:paraId="43F283F3">
            <w:pPr>
              <w:pStyle w:val="64"/>
              <w:rPr>
                <w:rFonts w:cs="Times New Roman"/>
              </w:rPr>
            </w:pPr>
          </w:p>
        </w:tc>
        <w:tc>
          <w:tcPr>
            <w:tcW w:w="1276" w:type="dxa"/>
            <w:vMerge w:val="continue"/>
            <w:vAlign w:val="center"/>
          </w:tcPr>
          <w:p w14:paraId="49BCE29C">
            <w:pPr>
              <w:pStyle w:val="64"/>
              <w:rPr>
                <w:rFonts w:cs="Times New Roman"/>
              </w:rPr>
            </w:pPr>
          </w:p>
        </w:tc>
        <w:tc>
          <w:tcPr>
            <w:tcW w:w="1575" w:type="dxa"/>
            <w:vAlign w:val="center"/>
          </w:tcPr>
          <w:p w14:paraId="6E4E52A3">
            <w:pPr>
              <w:pStyle w:val="64"/>
              <w:rPr>
                <w:rFonts w:cs="Times New Roman"/>
              </w:rPr>
            </w:pPr>
            <w:r>
              <w:rPr>
                <w:rFonts w:cs="Times New Roman"/>
              </w:rPr>
              <w:t>Ⅲ类标准限值</w:t>
            </w:r>
          </w:p>
        </w:tc>
        <w:tc>
          <w:tcPr>
            <w:tcW w:w="844" w:type="dxa"/>
            <w:vAlign w:val="center"/>
          </w:tcPr>
          <w:p w14:paraId="4DC51A7F">
            <w:pPr>
              <w:pStyle w:val="64"/>
              <w:rPr>
                <w:rFonts w:cs="Times New Roman"/>
              </w:rPr>
            </w:pPr>
            <w:r>
              <w:rPr>
                <w:rFonts w:cs="Times New Roman"/>
              </w:rPr>
              <w:t>0.2</w:t>
            </w:r>
          </w:p>
        </w:tc>
        <w:tc>
          <w:tcPr>
            <w:tcW w:w="803" w:type="dxa"/>
            <w:vAlign w:val="center"/>
          </w:tcPr>
          <w:p w14:paraId="1D96478A">
            <w:pPr>
              <w:pStyle w:val="64"/>
              <w:rPr>
                <w:rFonts w:cs="Times New Roman"/>
              </w:rPr>
            </w:pPr>
            <w:r>
              <w:rPr>
                <w:rFonts w:cs="Times New Roman"/>
              </w:rPr>
              <w:t>0.2</w:t>
            </w:r>
          </w:p>
        </w:tc>
        <w:tc>
          <w:tcPr>
            <w:tcW w:w="830" w:type="dxa"/>
            <w:vAlign w:val="center"/>
          </w:tcPr>
          <w:p w14:paraId="294344F6">
            <w:pPr>
              <w:pStyle w:val="64"/>
              <w:rPr>
                <w:rFonts w:cs="Times New Roman"/>
              </w:rPr>
            </w:pPr>
            <w:r>
              <w:rPr>
                <w:rFonts w:cs="Times New Roman"/>
              </w:rPr>
              <w:t>1.0</w:t>
            </w:r>
          </w:p>
        </w:tc>
        <w:tc>
          <w:tcPr>
            <w:tcW w:w="912" w:type="dxa"/>
            <w:vAlign w:val="center"/>
          </w:tcPr>
          <w:p w14:paraId="14B96451">
            <w:pPr>
              <w:pStyle w:val="64"/>
              <w:rPr>
                <w:rFonts w:cs="Times New Roman"/>
              </w:rPr>
            </w:pPr>
            <w:r>
              <w:rPr>
                <w:rFonts w:cs="Times New Roman"/>
              </w:rPr>
              <w:t>0.005</w:t>
            </w:r>
          </w:p>
        </w:tc>
        <w:tc>
          <w:tcPr>
            <w:tcW w:w="1131" w:type="dxa"/>
            <w:vAlign w:val="center"/>
          </w:tcPr>
          <w:p w14:paraId="274A2DD3">
            <w:pPr>
              <w:pStyle w:val="64"/>
              <w:rPr>
                <w:rFonts w:cs="Times New Roman"/>
              </w:rPr>
            </w:pPr>
            <w:r>
              <w:rPr>
                <w:rFonts w:cs="Times New Roman"/>
              </w:rPr>
              <w:t>0.05</w:t>
            </w:r>
          </w:p>
        </w:tc>
        <w:tc>
          <w:tcPr>
            <w:tcW w:w="765" w:type="dxa"/>
            <w:vAlign w:val="center"/>
          </w:tcPr>
          <w:p w14:paraId="63CCCC8B">
            <w:pPr>
              <w:pStyle w:val="64"/>
              <w:rPr>
                <w:rFonts w:cs="Times New Roman"/>
              </w:rPr>
            </w:pPr>
            <w:r>
              <w:rPr>
                <w:rFonts w:cs="Times New Roman"/>
              </w:rPr>
              <w:t>0.02</w:t>
            </w:r>
          </w:p>
        </w:tc>
        <w:tc>
          <w:tcPr>
            <w:tcW w:w="976" w:type="dxa"/>
            <w:vAlign w:val="center"/>
          </w:tcPr>
          <w:p w14:paraId="42CFE8FB">
            <w:pPr>
              <w:pStyle w:val="64"/>
              <w:rPr>
                <w:rFonts w:cs="Times New Roman"/>
              </w:rPr>
            </w:pPr>
            <w:r>
              <w:rPr>
                <w:rFonts w:cs="Times New Roman"/>
              </w:rPr>
              <w:t>0.05</w:t>
            </w:r>
          </w:p>
        </w:tc>
        <w:tc>
          <w:tcPr>
            <w:tcW w:w="876" w:type="dxa"/>
            <w:vAlign w:val="center"/>
          </w:tcPr>
          <w:p w14:paraId="3D29C205">
            <w:pPr>
              <w:pStyle w:val="64"/>
              <w:rPr>
                <w:rFonts w:cs="Times New Roman"/>
              </w:rPr>
            </w:pPr>
            <w:r>
              <w:rPr>
                <w:rFonts w:cs="Times New Roman"/>
              </w:rPr>
              <w:t>1.0</w:t>
            </w:r>
          </w:p>
        </w:tc>
        <w:tc>
          <w:tcPr>
            <w:tcW w:w="1174" w:type="dxa"/>
            <w:vAlign w:val="center"/>
          </w:tcPr>
          <w:p w14:paraId="060515AF">
            <w:pPr>
              <w:pStyle w:val="64"/>
              <w:rPr>
                <w:rFonts w:cs="Times New Roman"/>
              </w:rPr>
            </w:pPr>
            <w:r>
              <w:rPr>
                <w:rFonts w:cs="Times New Roman"/>
              </w:rPr>
              <w:t>1.0</w:t>
            </w:r>
          </w:p>
        </w:tc>
      </w:tr>
      <w:tr w14:paraId="5891BA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71" w:type="dxa"/>
            <w:vMerge w:val="continue"/>
            <w:vAlign w:val="center"/>
          </w:tcPr>
          <w:p w14:paraId="63192ED3">
            <w:pPr>
              <w:pStyle w:val="64"/>
              <w:rPr>
                <w:rFonts w:cs="Times New Roman"/>
              </w:rPr>
            </w:pPr>
          </w:p>
        </w:tc>
        <w:tc>
          <w:tcPr>
            <w:tcW w:w="1559" w:type="dxa"/>
            <w:vMerge w:val="continue"/>
            <w:vAlign w:val="center"/>
          </w:tcPr>
          <w:p w14:paraId="5826535B">
            <w:pPr>
              <w:pStyle w:val="64"/>
              <w:rPr>
                <w:rFonts w:cs="Times New Roman"/>
              </w:rPr>
            </w:pPr>
          </w:p>
        </w:tc>
        <w:tc>
          <w:tcPr>
            <w:tcW w:w="1276" w:type="dxa"/>
            <w:vMerge w:val="continue"/>
            <w:vAlign w:val="center"/>
          </w:tcPr>
          <w:p w14:paraId="5158A9D1">
            <w:pPr>
              <w:pStyle w:val="64"/>
              <w:rPr>
                <w:rFonts w:cs="Times New Roman"/>
              </w:rPr>
            </w:pPr>
          </w:p>
        </w:tc>
        <w:tc>
          <w:tcPr>
            <w:tcW w:w="1575" w:type="dxa"/>
            <w:vAlign w:val="center"/>
          </w:tcPr>
          <w:p w14:paraId="51779602">
            <w:pPr>
              <w:pStyle w:val="64"/>
              <w:rPr>
                <w:rFonts w:cs="Times New Roman"/>
              </w:rPr>
            </w:pPr>
            <w:r>
              <w:rPr>
                <w:rFonts w:cs="Times New Roman"/>
              </w:rPr>
              <w:t>IV类标准限值</w:t>
            </w:r>
          </w:p>
        </w:tc>
        <w:tc>
          <w:tcPr>
            <w:tcW w:w="844" w:type="dxa"/>
            <w:vAlign w:val="center"/>
          </w:tcPr>
          <w:p w14:paraId="73C2B7D2">
            <w:pPr>
              <w:pStyle w:val="64"/>
              <w:rPr>
                <w:rFonts w:cs="Times New Roman"/>
              </w:rPr>
            </w:pPr>
            <w:r>
              <w:rPr>
                <w:rFonts w:cs="Times New Roman"/>
              </w:rPr>
              <w:t>0.3</w:t>
            </w:r>
          </w:p>
        </w:tc>
        <w:tc>
          <w:tcPr>
            <w:tcW w:w="803" w:type="dxa"/>
            <w:vAlign w:val="center"/>
          </w:tcPr>
          <w:p w14:paraId="1012DF1D">
            <w:pPr>
              <w:pStyle w:val="64"/>
              <w:rPr>
                <w:rFonts w:cs="Times New Roman"/>
              </w:rPr>
            </w:pPr>
            <w:r>
              <w:rPr>
                <w:rFonts w:cs="Times New Roman"/>
              </w:rPr>
              <w:t>0.5</w:t>
            </w:r>
          </w:p>
        </w:tc>
        <w:tc>
          <w:tcPr>
            <w:tcW w:w="830" w:type="dxa"/>
            <w:vAlign w:val="center"/>
          </w:tcPr>
          <w:p w14:paraId="3F061DB2">
            <w:pPr>
              <w:pStyle w:val="64"/>
              <w:rPr>
                <w:rFonts w:cs="Times New Roman"/>
              </w:rPr>
            </w:pPr>
            <w:r>
              <w:rPr>
                <w:rFonts w:cs="Times New Roman"/>
              </w:rPr>
              <w:t>1.5</w:t>
            </w:r>
          </w:p>
        </w:tc>
        <w:tc>
          <w:tcPr>
            <w:tcW w:w="912" w:type="dxa"/>
            <w:vAlign w:val="center"/>
          </w:tcPr>
          <w:p w14:paraId="68AE1E69">
            <w:pPr>
              <w:pStyle w:val="64"/>
              <w:rPr>
                <w:rFonts w:cs="Times New Roman"/>
              </w:rPr>
            </w:pPr>
            <w:r>
              <w:rPr>
                <w:rFonts w:cs="Times New Roman"/>
              </w:rPr>
              <w:t>0.01</w:t>
            </w:r>
          </w:p>
        </w:tc>
        <w:tc>
          <w:tcPr>
            <w:tcW w:w="1131" w:type="dxa"/>
            <w:vAlign w:val="center"/>
          </w:tcPr>
          <w:p w14:paraId="7AD19FCC">
            <w:pPr>
              <w:pStyle w:val="64"/>
              <w:rPr>
                <w:rFonts w:cs="Times New Roman"/>
              </w:rPr>
            </w:pPr>
            <w:r>
              <w:rPr>
                <w:rFonts w:cs="Times New Roman"/>
              </w:rPr>
              <w:t>0.05</w:t>
            </w:r>
          </w:p>
        </w:tc>
        <w:tc>
          <w:tcPr>
            <w:tcW w:w="765" w:type="dxa"/>
            <w:vAlign w:val="center"/>
          </w:tcPr>
          <w:p w14:paraId="56EC4666">
            <w:pPr>
              <w:pStyle w:val="64"/>
              <w:rPr>
                <w:rFonts w:cs="Times New Roman"/>
              </w:rPr>
            </w:pPr>
            <w:r>
              <w:rPr>
                <w:rFonts w:cs="Times New Roman"/>
              </w:rPr>
              <w:t>0.02</w:t>
            </w:r>
          </w:p>
        </w:tc>
        <w:tc>
          <w:tcPr>
            <w:tcW w:w="976" w:type="dxa"/>
            <w:vAlign w:val="center"/>
          </w:tcPr>
          <w:p w14:paraId="4155A978">
            <w:pPr>
              <w:pStyle w:val="64"/>
              <w:rPr>
                <w:rFonts w:cs="Times New Roman"/>
              </w:rPr>
            </w:pPr>
            <w:r>
              <w:rPr>
                <w:rFonts w:cs="Times New Roman"/>
              </w:rPr>
              <w:t>0.1</w:t>
            </w:r>
          </w:p>
        </w:tc>
        <w:tc>
          <w:tcPr>
            <w:tcW w:w="876" w:type="dxa"/>
            <w:vAlign w:val="center"/>
          </w:tcPr>
          <w:p w14:paraId="0E534873">
            <w:pPr>
              <w:pStyle w:val="64"/>
              <w:rPr>
                <w:rFonts w:cs="Times New Roman"/>
              </w:rPr>
            </w:pPr>
            <w:r>
              <w:rPr>
                <w:rFonts w:cs="Times New Roman"/>
              </w:rPr>
              <w:t>1.0</w:t>
            </w:r>
          </w:p>
        </w:tc>
        <w:tc>
          <w:tcPr>
            <w:tcW w:w="1174" w:type="dxa"/>
            <w:vAlign w:val="center"/>
          </w:tcPr>
          <w:p w14:paraId="2C0F0DD0">
            <w:pPr>
              <w:pStyle w:val="64"/>
              <w:rPr>
                <w:rFonts w:cs="Times New Roman"/>
              </w:rPr>
            </w:pPr>
            <w:r>
              <w:rPr>
                <w:rFonts w:cs="Times New Roman"/>
              </w:rPr>
              <w:t>2.0</w:t>
            </w:r>
          </w:p>
        </w:tc>
      </w:tr>
      <w:tr w14:paraId="3733E0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71" w:type="dxa"/>
            <w:vMerge w:val="restart"/>
            <w:vAlign w:val="center"/>
          </w:tcPr>
          <w:p w14:paraId="69AFADAF">
            <w:pPr>
              <w:pStyle w:val="64"/>
              <w:rPr>
                <w:rFonts w:cs="Times New Roman"/>
              </w:rPr>
            </w:pPr>
            <w:r>
              <w:rPr>
                <w:rFonts w:hint="eastAsia" w:cs="Times New Roman"/>
              </w:rPr>
              <w:t>1</w:t>
            </w:r>
            <w:r>
              <w:rPr>
                <w:rFonts w:cs="Times New Roman"/>
              </w:rPr>
              <w:t>#沫冲引河与三铺大沟交口上游500m</w:t>
            </w:r>
          </w:p>
        </w:tc>
        <w:tc>
          <w:tcPr>
            <w:tcW w:w="1559" w:type="dxa"/>
            <w:vMerge w:val="restart"/>
            <w:vAlign w:val="center"/>
          </w:tcPr>
          <w:p w14:paraId="13A6FE53">
            <w:pPr>
              <w:pStyle w:val="64"/>
              <w:rPr>
                <w:rFonts w:cs="Times New Roman"/>
              </w:rPr>
            </w:pPr>
            <w:r>
              <w:rPr>
                <w:rFonts w:cs="Times New Roman"/>
              </w:rPr>
              <w:t>E:117°33'21.51"</w:t>
            </w:r>
            <w:r>
              <w:rPr>
                <w:rFonts w:cs="Times New Roman"/>
              </w:rPr>
              <w:br w:type="textWrapping"/>
            </w:r>
            <w:r>
              <w:rPr>
                <w:rFonts w:cs="Times New Roman"/>
              </w:rPr>
              <w:t>N:32°58'48.89"</w:t>
            </w:r>
          </w:p>
        </w:tc>
        <w:tc>
          <w:tcPr>
            <w:tcW w:w="1276" w:type="dxa"/>
            <w:vMerge w:val="restart"/>
            <w:vAlign w:val="center"/>
          </w:tcPr>
          <w:p w14:paraId="08777146">
            <w:pPr>
              <w:pStyle w:val="64"/>
              <w:rPr>
                <w:rFonts w:cs="Times New Roman"/>
              </w:rPr>
            </w:pPr>
            <w:r>
              <w:rPr>
                <w:rFonts w:cs="Times New Roman"/>
              </w:rPr>
              <w:t>2024.4.28</w:t>
            </w:r>
          </w:p>
        </w:tc>
        <w:tc>
          <w:tcPr>
            <w:tcW w:w="1575" w:type="dxa"/>
            <w:vAlign w:val="center"/>
          </w:tcPr>
          <w:p w14:paraId="694149F7">
            <w:pPr>
              <w:pStyle w:val="64"/>
              <w:rPr>
                <w:rFonts w:cs="Times New Roman"/>
              </w:rPr>
            </w:pPr>
            <w:r>
              <w:rPr>
                <w:rFonts w:cs="Times New Roman"/>
              </w:rPr>
              <w:t>Ci</w:t>
            </w:r>
          </w:p>
        </w:tc>
        <w:tc>
          <w:tcPr>
            <w:tcW w:w="844" w:type="dxa"/>
            <w:vAlign w:val="center"/>
          </w:tcPr>
          <w:p w14:paraId="08BF8A23">
            <w:pPr>
              <w:pStyle w:val="64"/>
              <w:rPr>
                <w:rFonts w:cs="Times New Roman"/>
              </w:rPr>
            </w:pPr>
            <w:r>
              <w:rPr>
                <w:rFonts w:cs="Times New Roman"/>
              </w:rPr>
              <w:t>0.18</w:t>
            </w:r>
          </w:p>
        </w:tc>
        <w:tc>
          <w:tcPr>
            <w:tcW w:w="803" w:type="dxa"/>
            <w:vAlign w:val="center"/>
          </w:tcPr>
          <w:p w14:paraId="3723086D">
            <w:pPr>
              <w:pStyle w:val="64"/>
              <w:rPr>
                <w:rFonts w:cs="Times New Roman"/>
              </w:rPr>
            </w:pPr>
            <w:r>
              <w:rPr>
                <w:rFonts w:cs="Times New Roman"/>
              </w:rPr>
              <w:t>0.01</w:t>
            </w:r>
          </w:p>
        </w:tc>
        <w:tc>
          <w:tcPr>
            <w:tcW w:w="830" w:type="dxa"/>
            <w:vAlign w:val="center"/>
          </w:tcPr>
          <w:p w14:paraId="560721C7">
            <w:pPr>
              <w:pStyle w:val="64"/>
              <w:rPr>
                <w:rFonts w:cs="Times New Roman"/>
              </w:rPr>
            </w:pPr>
            <w:r>
              <w:rPr>
                <w:rFonts w:cs="Times New Roman"/>
              </w:rPr>
              <w:t>0.92</w:t>
            </w:r>
          </w:p>
        </w:tc>
        <w:tc>
          <w:tcPr>
            <w:tcW w:w="912" w:type="dxa"/>
            <w:vAlign w:val="center"/>
          </w:tcPr>
          <w:p w14:paraId="6AA7A383">
            <w:pPr>
              <w:pStyle w:val="64"/>
              <w:rPr>
                <w:rFonts w:cs="Times New Roman"/>
              </w:rPr>
            </w:pPr>
            <w:r>
              <w:rPr>
                <w:rFonts w:cs="Times New Roman"/>
              </w:rPr>
              <w:t>&lt;0.0003</w:t>
            </w:r>
          </w:p>
        </w:tc>
        <w:tc>
          <w:tcPr>
            <w:tcW w:w="1131" w:type="dxa"/>
            <w:vAlign w:val="center"/>
          </w:tcPr>
          <w:p w14:paraId="3C38B8B9">
            <w:pPr>
              <w:pStyle w:val="64"/>
              <w:rPr>
                <w:rFonts w:cs="Times New Roman"/>
              </w:rPr>
            </w:pPr>
            <w:r>
              <w:rPr>
                <w:rFonts w:cs="Times New Roman"/>
              </w:rPr>
              <w:t>&lt;0.01</w:t>
            </w:r>
          </w:p>
        </w:tc>
        <w:tc>
          <w:tcPr>
            <w:tcW w:w="765" w:type="dxa"/>
            <w:vAlign w:val="center"/>
          </w:tcPr>
          <w:p w14:paraId="67136CC4">
            <w:pPr>
              <w:pStyle w:val="64"/>
              <w:rPr>
                <w:rFonts w:cs="Times New Roman"/>
              </w:rPr>
            </w:pPr>
            <w:r>
              <w:rPr>
                <w:rFonts w:cs="Times New Roman"/>
              </w:rPr>
              <w:t>ND</w:t>
            </w:r>
          </w:p>
        </w:tc>
        <w:tc>
          <w:tcPr>
            <w:tcW w:w="976" w:type="dxa"/>
            <w:vAlign w:val="center"/>
          </w:tcPr>
          <w:p w14:paraId="6F409A0E">
            <w:pPr>
              <w:pStyle w:val="64"/>
              <w:rPr>
                <w:rFonts w:cs="Times New Roman"/>
              </w:rPr>
            </w:pPr>
            <w:r>
              <w:rPr>
                <w:rFonts w:cs="Times New Roman"/>
              </w:rPr>
              <w:t>&lt;3×10</w:t>
            </w:r>
            <w:r>
              <w:rPr>
                <w:rFonts w:hint="eastAsia" w:cs="Times New Roman"/>
                <w:vertAlign w:val="superscript"/>
              </w:rPr>
              <w:t>-4</w:t>
            </w:r>
          </w:p>
        </w:tc>
        <w:tc>
          <w:tcPr>
            <w:tcW w:w="876" w:type="dxa"/>
            <w:vAlign w:val="center"/>
          </w:tcPr>
          <w:p w14:paraId="1C62F8C9">
            <w:pPr>
              <w:pStyle w:val="64"/>
              <w:rPr>
                <w:rFonts w:cs="Times New Roman"/>
              </w:rPr>
            </w:pPr>
            <w:r>
              <w:rPr>
                <w:rFonts w:cs="Times New Roman"/>
              </w:rPr>
              <w:t>&lt;0.005</w:t>
            </w:r>
          </w:p>
        </w:tc>
        <w:tc>
          <w:tcPr>
            <w:tcW w:w="1174" w:type="dxa"/>
            <w:vAlign w:val="center"/>
          </w:tcPr>
          <w:p w14:paraId="1BEEE780">
            <w:pPr>
              <w:pStyle w:val="64"/>
              <w:rPr>
                <w:rFonts w:cs="Times New Roman"/>
              </w:rPr>
            </w:pPr>
            <w:r>
              <w:rPr>
                <w:rFonts w:cs="Times New Roman"/>
              </w:rPr>
              <w:t>0.014</w:t>
            </w:r>
          </w:p>
        </w:tc>
      </w:tr>
      <w:tr w14:paraId="3E394D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71" w:type="dxa"/>
            <w:vMerge w:val="continue"/>
            <w:vAlign w:val="center"/>
          </w:tcPr>
          <w:p w14:paraId="5C4AE1F6">
            <w:pPr>
              <w:pStyle w:val="64"/>
              <w:rPr>
                <w:rFonts w:cs="Times New Roman"/>
              </w:rPr>
            </w:pPr>
          </w:p>
        </w:tc>
        <w:tc>
          <w:tcPr>
            <w:tcW w:w="1559" w:type="dxa"/>
            <w:vMerge w:val="continue"/>
            <w:vAlign w:val="center"/>
          </w:tcPr>
          <w:p w14:paraId="3FCB7FF8">
            <w:pPr>
              <w:pStyle w:val="64"/>
              <w:rPr>
                <w:rFonts w:cs="Times New Roman"/>
              </w:rPr>
            </w:pPr>
          </w:p>
        </w:tc>
        <w:tc>
          <w:tcPr>
            <w:tcW w:w="1276" w:type="dxa"/>
            <w:vMerge w:val="continue"/>
            <w:vAlign w:val="center"/>
          </w:tcPr>
          <w:p w14:paraId="7CF9329E">
            <w:pPr>
              <w:pStyle w:val="64"/>
              <w:rPr>
                <w:rFonts w:cs="Times New Roman"/>
              </w:rPr>
            </w:pPr>
          </w:p>
        </w:tc>
        <w:tc>
          <w:tcPr>
            <w:tcW w:w="1575" w:type="dxa"/>
            <w:vAlign w:val="center"/>
          </w:tcPr>
          <w:p w14:paraId="7F17DC51">
            <w:pPr>
              <w:pStyle w:val="64"/>
              <w:rPr>
                <w:rFonts w:cs="Times New Roman"/>
              </w:rPr>
            </w:pPr>
            <w:r>
              <w:rPr>
                <w:rFonts w:cs="Times New Roman"/>
              </w:rPr>
              <w:t>Si</w:t>
            </w:r>
          </w:p>
        </w:tc>
        <w:tc>
          <w:tcPr>
            <w:tcW w:w="844" w:type="dxa"/>
            <w:vAlign w:val="center"/>
          </w:tcPr>
          <w:p w14:paraId="516C189E">
            <w:pPr>
              <w:pStyle w:val="64"/>
              <w:rPr>
                <w:rFonts w:cs="Times New Roman"/>
              </w:rPr>
            </w:pPr>
            <w:r>
              <w:rPr>
                <w:rFonts w:cs="Times New Roman"/>
              </w:rPr>
              <w:t>0.6</w:t>
            </w:r>
          </w:p>
        </w:tc>
        <w:tc>
          <w:tcPr>
            <w:tcW w:w="803" w:type="dxa"/>
            <w:vAlign w:val="center"/>
          </w:tcPr>
          <w:p w14:paraId="3AF955B7">
            <w:pPr>
              <w:pStyle w:val="64"/>
              <w:rPr>
                <w:rFonts w:cs="Times New Roman"/>
              </w:rPr>
            </w:pPr>
            <w:r>
              <w:rPr>
                <w:rFonts w:cs="Times New Roman"/>
              </w:rPr>
              <w:t>0.02</w:t>
            </w:r>
          </w:p>
        </w:tc>
        <w:tc>
          <w:tcPr>
            <w:tcW w:w="830" w:type="dxa"/>
            <w:vAlign w:val="center"/>
          </w:tcPr>
          <w:p w14:paraId="0A5A320A">
            <w:pPr>
              <w:pStyle w:val="64"/>
              <w:rPr>
                <w:rFonts w:cs="Times New Roman"/>
              </w:rPr>
            </w:pPr>
            <w:r>
              <w:rPr>
                <w:rFonts w:cs="Times New Roman"/>
              </w:rPr>
              <w:t>0.61</w:t>
            </w:r>
          </w:p>
        </w:tc>
        <w:tc>
          <w:tcPr>
            <w:tcW w:w="912" w:type="dxa"/>
            <w:vAlign w:val="center"/>
          </w:tcPr>
          <w:p w14:paraId="413E53F8">
            <w:pPr>
              <w:pStyle w:val="64"/>
              <w:rPr>
                <w:rFonts w:cs="Times New Roman"/>
              </w:rPr>
            </w:pPr>
            <w:r>
              <w:rPr>
                <w:rFonts w:cs="Times New Roman"/>
              </w:rPr>
              <w:t>&lt;0.03</w:t>
            </w:r>
          </w:p>
        </w:tc>
        <w:tc>
          <w:tcPr>
            <w:tcW w:w="1131" w:type="dxa"/>
            <w:vAlign w:val="center"/>
          </w:tcPr>
          <w:p w14:paraId="0F281CA0">
            <w:pPr>
              <w:pStyle w:val="64"/>
              <w:rPr>
                <w:rFonts w:cs="Times New Roman"/>
              </w:rPr>
            </w:pPr>
            <w:r>
              <w:rPr>
                <w:rFonts w:cs="Times New Roman"/>
              </w:rPr>
              <w:t>&lt;0.2</w:t>
            </w:r>
          </w:p>
        </w:tc>
        <w:tc>
          <w:tcPr>
            <w:tcW w:w="765" w:type="dxa"/>
            <w:vAlign w:val="center"/>
          </w:tcPr>
          <w:p w14:paraId="10DEDD33">
            <w:pPr>
              <w:pStyle w:val="64"/>
              <w:rPr>
                <w:rFonts w:cs="Times New Roman"/>
              </w:rPr>
            </w:pPr>
            <w:r>
              <w:rPr>
                <w:rFonts w:cs="Times New Roman"/>
              </w:rPr>
              <w:t>ND</w:t>
            </w:r>
          </w:p>
        </w:tc>
        <w:tc>
          <w:tcPr>
            <w:tcW w:w="976" w:type="dxa"/>
            <w:vAlign w:val="center"/>
          </w:tcPr>
          <w:p w14:paraId="50D8B469">
            <w:pPr>
              <w:pStyle w:val="64"/>
              <w:rPr>
                <w:rFonts w:cs="Times New Roman"/>
              </w:rPr>
            </w:pPr>
            <w:r>
              <w:rPr>
                <w:rFonts w:cs="Times New Roman"/>
              </w:rPr>
              <w:t>&lt;0.003</w:t>
            </w:r>
          </w:p>
        </w:tc>
        <w:tc>
          <w:tcPr>
            <w:tcW w:w="876" w:type="dxa"/>
            <w:vAlign w:val="center"/>
          </w:tcPr>
          <w:p w14:paraId="248DF38B">
            <w:pPr>
              <w:pStyle w:val="64"/>
              <w:rPr>
                <w:rFonts w:cs="Times New Roman"/>
              </w:rPr>
            </w:pPr>
            <w:r>
              <w:rPr>
                <w:rFonts w:cs="Times New Roman"/>
              </w:rPr>
              <w:t>&lt;0.005</w:t>
            </w:r>
          </w:p>
        </w:tc>
        <w:tc>
          <w:tcPr>
            <w:tcW w:w="1174" w:type="dxa"/>
            <w:vAlign w:val="center"/>
          </w:tcPr>
          <w:p w14:paraId="74C4D556">
            <w:pPr>
              <w:pStyle w:val="64"/>
              <w:rPr>
                <w:rFonts w:cs="Times New Roman"/>
              </w:rPr>
            </w:pPr>
            <w:r>
              <w:rPr>
                <w:rFonts w:cs="Times New Roman"/>
              </w:rPr>
              <w:t>0.007</w:t>
            </w:r>
          </w:p>
        </w:tc>
      </w:tr>
      <w:tr w14:paraId="7445A2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71" w:type="dxa"/>
            <w:vMerge w:val="continue"/>
            <w:vAlign w:val="center"/>
          </w:tcPr>
          <w:p w14:paraId="37510C29">
            <w:pPr>
              <w:pStyle w:val="64"/>
              <w:rPr>
                <w:rFonts w:cs="Times New Roman"/>
              </w:rPr>
            </w:pPr>
          </w:p>
        </w:tc>
        <w:tc>
          <w:tcPr>
            <w:tcW w:w="1559" w:type="dxa"/>
            <w:vMerge w:val="continue"/>
            <w:vAlign w:val="center"/>
          </w:tcPr>
          <w:p w14:paraId="3B4C4F92">
            <w:pPr>
              <w:pStyle w:val="64"/>
              <w:rPr>
                <w:rFonts w:cs="Times New Roman"/>
              </w:rPr>
            </w:pPr>
          </w:p>
        </w:tc>
        <w:tc>
          <w:tcPr>
            <w:tcW w:w="1276" w:type="dxa"/>
            <w:vMerge w:val="restart"/>
            <w:vAlign w:val="center"/>
          </w:tcPr>
          <w:p w14:paraId="7995633C">
            <w:pPr>
              <w:pStyle w:val="64"/>
              <w:rPr>
                <w:rFonts w:cs="Times New Roman"/>
              </w:rPr>
            </w:pPr>
            <w:r>
              <w:rPr>
                <w:rFonts w:cs="Times New Roman"/>
              </w:rPr>
              <w:t>2024.4.29</w:t>
            </w:r>
          </w:p>
        </w:tc>
        <w:tc>
          <w:tcPr>
            <w:tcW w:w="1575" w:type="dxa"/>
            <w:vAlign w:val="center"/>
          </w:tcPr>
          <w:p w14:paraId="730CF4C6">
            <w:pPr>
              <w:pStyle w:val="64"/>
              <w:rPr>
                <w:rFonts w:cs="Times New Roman"/>
              </w:rPr>
            </w:pPr>
            <w:r>
              <w:rPr>
                <w:rFonts w:cs="Times New Roman"/>
              </w:rPr>
              <w:t>Ci</w:t>
            </w:r>
          </w:p>
        </w:tc>
        <w:tc>
          <w:tcPr>
            <w:tcW w:w="844" w:type="dxa"/>
            <w:vAlign w:val="center"/>
          </w:tcPr>
          <w:p w14:paraId="5317330F">
            <w:pPr>
              <w:pStyle w:val="64"/>
              <w:rPr>
                <w:rFonts w:cs="Times New Roman"/>
              </w:rPr>
            </w:pPr>
            <w:r>
              <w:rPr>
                <w:rFonts w:cs="Times New Roman"/>
              </w:rPr>
              <w:t>0.17</w:t>
            </w:r>
          </w:p>
        </w:tc>
        <w:tc>
          <w:tcPr>
            <w:tcW w:w="803" w:type="dxa"/>
            <w:vAlign w:val="center"/>
          </w:tcPr>
          <w:p w14:paraId="3C0EAC47">
            <w:pPr>
              <w:pStyle w:val="64"/>
              <w:rPr>
                <w:rFonts w:cs="Times New Roman"/>
              </w:rPr>
            </w:pPr>
            <w:r>
              <w:rPr>
                <w:rFonts w:cs="Times New Roman"/>
              </w:rPr>
              <w:t>0.01</w:t>
            </w:r>
          </w:p>
        </w:tc>
        <w:tc>
          <w:tcPr>
            <w:tcW w:w="830" w:type="dxa"/>
            <w:vAlign w:val="center"/>
          </w:tcPr>
          <w:p w14:paraId="19F3F3DD">
            <w:pPr>
              <w:pStyle w:val="64"/>
              <w:rPr>
                <w:rFonts w:cs="Times New Roman"/>
              </w:rPr>
            </w:pPr>
            <w:r>
              <w:rPr>
                <w:rFonts w:cs="Times New Roman"/>
              </w:rPr>
              <w:t>0.88</w:t>
            </w:r>
          </w:p>
        </w:tc>
        <w:tc>
          <w:tcPr>
            <w:tcW w:w="912" w:type="dxa"/>
            <w:vAlign w:val="center"/>
          </w:tcPr>
          <w:p w14:paraId="3EDF377B">
            <w:pPr>
              <w:pStyle w:val="64"/>
              <w:rPr>
                <w:rFonts w:cs="Times New Roman"/>
              </w:rPr>
            </w:pPr>
            <w:r>
              <w:rPr>
                <w:rFonts w:cs="Times New Roman"/>
              </w:rPr>
              <w:t>&lt;0.0003</w:t>
            </w:r>
          </w:p>
        </w:tc>
        <w:tc>
          <w:tcPr>
            <w:tcW w:w="1131" w:type="dxa"/>
            <w:vAlign w:val="center"/>
          </w:tcPr>
          <w:p w14:paraId="14604D7E">
            <w:pPr>
              <w:pStyle w:val="64"/>
              <w:rPr>
                <w:rFonts w:cs="Times New Roman"/>
              </w:rPr>
            </w:pPr>
            <w:r>
              <w:rPr>
                <w:rFonts w:cs="Times New Roman"/>
              </w:rPr>
              <w:t>&lt;0.01</w:t>
            </w:r>
          </w:p>
        </w:tc>
        <w:tc>
          <w:tcPr>
            <w:tcW w:w="765" w:type="dxa"/>
            <w:vAlign w:val="center"/>
          </w:tcPr>
          <w:p w14:paraId="4D898C27">
            <w:pPr>
              <w:pStyle w:val="64"/>
              <w:rPr>
                <w:rFonts w:cs="Times New Roman"/>
              </w:rPr>
            </w:pPr>
            <w:r>
              <w:rPr>
                <w:rFonts w:cs="Times New Roman"/>
              </w:rPr>
              <w:t>ND</w:t>
            </w:r>
          </w:p>
        </w:tc>
        <w:tc>
          <w:tcPr>
            <w:tcW w:w="976" w:type="dxa"/>
            <w:vAlign w:val="center"/>
          </w:tcPr>
          <w:p w14:paraId="30D2828B">
            <w:pPr>
              <w:pStyle w:val="64"/>
              <w:rPr>
                <w:rFonts w:cs="Times New Roman"/>
              </w:rPr>
            </w:pPr>
            <w:r>
              <w:rPr>
                <w:rFonts w:cs="Times New Roman"/>
              </w:rPr>
              <w:t>&lt;3×10</w:t>
            </w:r>
            <w:r>
              <w:rPr>
                <w:rFonts w:hint="eastAsia" w:cs="Times New Roman"/>
                <w:vertAlign w:val="superscript"/>
              </w:rPr>
              <w:t>-4</w:t>
            </w:r>
          </w:p>
        </w:tc>
        <w:tc>
          <w:tcPr>
            <w:tcW w:w="876" w:type="dxa"/>
            <w:vAlign w:val="center"/>
          </w:tcPr>
          <w:p w14:paraId="16E6E830">
            <w:pPr>
              <w:pStyle w:val="64"/>
              <w:rPr>
                <w:rFonts w:cs="Times New Roman"/>
              </w:rPr>
            </w:pPr>
            <w:r>
              <w:rPr>
                <w:rFonts w:cs="Times New Roman"/>
              </w:rPr>
              <w:t>&lt;0.005</w:t>
            </w:r>
          </w:p>
        </w:tc>
        <w:tc>
          <w:tcPr>
            <w:tcW w:w="1174" w:type="dxa"/>
            <w:vAlign w:val="center"/>
          </w:tcPr>
          <w:p w14:paraId="33663D2C">
            <w:pPr>
              <w:pStyle w:val="64"/>
              <w:rPr>
                <w:rFonts w:cs="Times New Roman"/>
              </w:rPr>
            </w:pPr>
            <w:r>
              <w:rPr>
                <w:rFonts w:cs="Times New Roman"/>
              </w:rPr>
              <w:t>0.006</w:t>
            </w:r>
          </w:p>
        </w:tc>
      </w:tr>
      <w:tr w14:paraId="46AAF9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71" w:type="dxa"/>
            <w:vMerge w:val="continue"/>
            <w:vAlign w:val="center"/>
          </w:tcPr>
          <w:p w14:paraId="2E7C54E0">
            <w:pPr>
              <w:pStyle w:val="64"/>
              <w:rPr>
                <w:rFonts w:cs="Times New Roman"/>
              </w:rPr>
            </w:pPr>
          </w:p>
        </w:tc>
        <w:tc>
          <w:tcPr>
            <w:tcW w:w="1559" w:type="dxa"/>
            <w:vMerge w:val="continue"/>
            <w:vAlign w:val="center"/>
          </w:tcPr>
          <w:p w14:paraId="72D0E851">
            <w:pPr>
              <w:pStyle w:val="64"/>
              <w:rPr>
                <w:rFonts w:cs="Times New Roman"/>
              </w:rPr>
            </w:pPr>
          </w:p>
        </w:tc>
        <w:tc>
          <w:tcPr>
            <w:tcW w:w="1276" w:type="dxa"/>
            <w:vMerge w:val="continue"/>
            <w:vAlign w:val="center"/>
          </w:tcPr>
          <w:p w14:paraId="536D6E8D">
            <w:pPr>
              <w:pStyle w:val="64"/>
              <w:rPr>
                <w:rFonts w:cs="Times New Roman"/>
              </w:rPr>
            </w:pPr>
          </w:p>
        </w:tc>
        <w:tc>
          <w:tcPr>
            <w:tcW w:w="1575" w:type="dxa"/>
            <w:vAlign w:val="center"/>
          </w:tcPr>
          <w:p w14:paraId="2836EC45">
            <w:pPr>
              <w:pStyle w:val="64"/>
              <w:rPr>
                <w:rFonts w:cs="Times New Roman"/>
              </w:rPr>
            </w:pPr>
            <w:r>
              <w:rPr>
                <w:rFonts w:cs="Times New Roman"/>
              </w:rPr>
              <w:t>Si</w:t>
            </w:r>
          </w:p>
        </w:tc>
        <w:tc>
          <w:tcPr>
            <w:tcW w:w="844" w:type="dxa"/>
            <w:vAlign w:val="center"/>
          </w:tcPr>
          <w:p w14:paraId="5E12CCC2">
            <w:pPr>
              <w:pStyle w:val="64"/>
              <w:rPr>
                <w:rFonts w:cs="Times New Roman"/>
              </w:rPr>
            </w:pPr>
            <w:r>
              <w:rPr>
                <w:rFonts w:cs="Times New Roman"/>
              </w:rPr>
              <w:t>0.57</w:t>
            </w:r>
          </w:p>
        </w:tc>
        <w:tc>
          <w:tcPr>
            <w:tcW w:w="803" w:type="dxa"/>
            <w:vAlign w:val="center"/>
          </w:tcPr>
          <w:p w14:paraId="12462970">
            <w:pPr>
              <w:pStyle w:val="64"/>
              <w:rPr>
                <w:rFonts w:cs="Times New Roman"/>
              </w:rPr>
            </w:pPr>
            <w:r>
              <w:rPr>
                <w:rFonts w:cs="Times New Roman"/>
              </w:rPr>
              <w:t>0.02</w:t>
            </w:r>
          </w:p>
        </w:tc>
        <w:tc>
          <w:tcPr>
            <w:tcW w:w="830" w:type="dxa"/>
            <w:vAlign w:val="center"/>
          </w:tcPr>
          <w:p w14:paraId="28B063F0">
            <w:pPr>
              <w:pStyle w:val="64"/>
              <w:rPr>
                <w:rFonts w:cs="Times New Roman"/>
              </w:rPr>
            </w:pPr>
            <w:r>
              <w:rPr>
                <w:rFonts w:cs="Times New Roman"/>
              </w:rPr>
              <w:t>0.59</w:t>
            </w:r>
          </w:p>
        </w:tc>
        <w:tc>
          <w:tcPr>
            <w:tcW w:w="912" w:type="dxa"/>
            <w:vAlign w:val="center"/>
          </w:tcPr>
          <w:p w14:paraId="11F6B526">
            <w:pPr>
              <w:pStyle w:val="64"/>
              <w:rPr>
                <w:rFonts w:cs="Times New Roman"/>
              </w:rPr>
            </w:pPr>
            <w:r>
              <w:rPr>
                <w:rFonts w:cs="Times New Roman"/>
              </w:rPr>
              <w:t>&lt;0.03</w:t>
            </w:r>
          </w:p>
        </w:tc>
        <w:tc>
          <w:tcPr>
            <w:tcW w:w="1131" w:type="dxa"/>
            <w:vAlign w:val="center"/>
          </w:tcPr>
          <w:p w14:paraId="409026CE">
            <w:pPr>
              <w:pStyle w:val="64"/>
              <w:rPr>
                <w:rFonts w:cs="Times New Roman"/>
              </w:rPr>
            </w:pPr>
            <w:r>
              <w:rPr>
                <w:rFonts w:cs="Times New Roman"/>
              </w:rPr>
              <w:t>&lt;0.2</w:t>
            </w:r>
          </w:p>
        </w:tc>
        <w:tc>
          <w:tcPr>
            <w:tcW w:w="765" w:type="dxa"/>
            <w:vAlign w:val="center"/>
          </w:tcPr>
          <w:p w14:paraId="752D88EB">
            <w:pPr>
              <w:pStyle w:val="64"/>
              <w:rPr>
                <w:rFonts w:cs="Times New Roman"/>
              </w:rPr>
            </w:pPr>
            <w:r>
              <w:rPr>
                <w:rFonts w:cs="Times New Roman"/>
              </w:rPr>
              <w:t>ND</w:t>
            </w:r>
          </w:p>
        </w:tc>
        <w:tc>
          <w:tcPr>
            <w:tcW w:w="976" w:type="dxa"/>
            <w:vAlign w:val="center"/>
          </w:tcPr>
          <w:p w14:paraId="6EEAA8A3">
            <w:pPr>
              <w:pStyle w:val="64"/>
              <w:rPr>
                <w:rFonts w:cs="Times New Roman"/>
              </w:rPr>
            </w:pPr>
            <w:r>
              <w:rPr>
                <w:rFonts w:cs="Times New Roman"/>
              </w:rPr>
              <w:t>&lt;0.003</w:t>
            </w:r>
          </w:p>
        </w:tc>
        <w:tc>
          <w:tcPr>
            <w:tcW w:w="876" w:type="dxa"/>
            <w:vAlign w:val="center"/>
          </w:tcPr>
          <w:p w14:paraId="3B546C6D">
            <w:pPr>
              <w:pStyle w:val="64"/>
              <w:rPr>
                <w:rFonts w:cs="Times New Roman"/>
              </w:rPr>
            </w:pPr>
            <w:r>
              <w:rPr>
                <w:rFonts w:cs="Times New Roman"/>
              </w:rPr>
              <w:t>&lt;0.005</w:t>
            </w:r>
          </w:p>
        </w:tc>
        <w:tc>
          <w:tcPr>
            <w:tcW w:w="1174" w:type="dxa"/>
            <w:vAlign w:val="center"/>
          </w:tcPr>
          <w:p w14:paraId="30D06B23">
            <w:pPr>
              <w:pStyle w:val="64"/>
              <w:rPr>
                <w:rFonts w:cs="Times New Roman"/>
              </w:rPr>
            </w:pPr>
            <w:r>
              <w:rPr>
                <w:rFonts w:cs="Times New Roman"/>
              </w:rPr>
              <w:t>0.003</w:t>
            </w:r>
          </w:p>
        </w:tc>
      </w:tr>
      <w:tr w14:paraId="10E4EC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71" w:type="dxa"/>
            <w:vMerge w:val="continue"/>
            <w:vAlign w:val="center"/>
          </w:tcPr>
          <w:p w14:paraId="2840F040">
            <w:pPr>
              <w:pStyle w:val="64"/>
              <w:rPr>
                <w:rFonts w:cs="Times New Roman"/>
              </w:rPr>
            </w:pPr>
          </w:p>
        </w:tc>
        <w:tc>
          <w:tcPr>
            <w:tcW w:w="1559" w:type="dxa"/>
            <w:vMerge w:val="continue"/>
            <w:vAlign w:val="center"/>
          </w:tcPr>
          <w:p w14:paraId="5E4D93FA">
            <w:pPr>
              <w:pStyle w:val="64"/>
              <w:rPr>
                <w:rFonts w:cs="Times New Roman"/>
              </w:rPr>
            </w:pPr>
          </w:p>
        </w:tc>
        <w:tc>
          <w:tcPr>
            <w:tcW w:w="1276" w:type="dxa"/>
            <w:vMerge w:val="restart"/>
            <w:vAlign w:val="center"/>
          </w:tcPr>
          <w:p w14:paraId="6132B7A8">
            <w:pPr>
              <w:pStyle w:val="64"/>
              <w:rPr>
                <w:rFonts w:cs="Times New Roman"/>
              </w:rPr>
            </w:pPr>
            <w:r>
              <w:rPr>
                <w:rFonts w:cs="Times New Roman"/>
              </w:rPr>
              <w:t>2024.4.30</w:t>
            </w:r>
          </w:p>
        </w:tc>
        <w:tc>
          <w:tcPr>
            <w:tcW w:w="1575" w:type="dxa"/>
            <w:vAlign w:val="center"/>
          </w:tcPr>
          <w:p w14:paraId="71BCA010">
            <w:pPr>
              <w:pStyle w:val="64"/>
              <w:rPr>
                <w:rFonts w:cs="Times New Roman"/>
              </w:rPr>
            </w:pPr>
            <w:r>
              <w:rPr>
                <w:rFonts w:cs="Times New Roman"/>
              </w:rPr>
              <w:t>Ci</w:t>
            </w:r>
          </w:p>
        </w:tc>
        <w:tc>
          <w:tcPr>
            <w:tcW w:w="844" w:type="dxa"/>
            <w:vAlign w:val="center"/>
          </w:tcPr>
          <w:p w14:paraId="6C558590">
            <w:pPr>
              <w:pStyle w:val="64"/>
              <w:rPr>
                <w:rFonts w:cs="Times New Roman"/>
              </w:rPr>
            </w:pPr>
            <w:r>
              <w:rPr>
                <w:rFonts w:cs="Times New Roman"/>
              </w:rPr>
              <w:t>0.18</w:t>
            </w:r>
          </w:p>
        </w:tc>
        <w:tc>
          <w:tcPr>
            <w:tcW w:w="803" w:type="dxa"/>
            <w:vAlign w:val="center"/>
          </w:tcPr>
          <w:p w14:paraId="27F1D9FA">
            <w:pPr>
              <w:pStyle w:val="64"/>
              <w:rPr>
                <w:rFonts w:cs="Times New Roman"/>
              </w:rPr>
            </w:pPr>
            <w:r>
              <w:rPr>
                <w:rFonts w:cs="Times New Roman"/>
              </w:rPr>
              <w:t>0.01</w:t>
            </w:r>
          </w:p>
        </w:tc>
        <w:tc>
          <w:tcPr>
            <w:tcW w:w="830" w:type="dxa"/>
            <w:vAlign w:val="center"/>
          </w:tcPr>
          <w:p w14:paraId="04441E9F">
            <w:pPr>
              <w:pStyle w:val="64"/>
              <w:rPr>
                <w:rFonts w:cs="Times New Roman"/>
              </w:rPr>
            </w:pPr>
            <w:r>
              <w:rPr>
                <w:rFonts w:cs="Times New Roman"/>
              </w:rPr>
              <w:t>0.82</w:t>
            </w:r>
          </w:p>
        </w:tc>
        <w:tc>
          <w:tcPr>
            <w:tcW w:w="912" w:type="dxa"/>
            <w:vAlign w:val="center"/>
          </w:tcPr>
          <w:p w14:paraId="44576239">
            <w:pPr>
              <w:pStyle w:val="64"/>
              <w:rPr>
                <w:rFonts w:cs="Times New Roman"/>
              </w:rPr>
            </w:pPr>
            <w:r>
              <w:rPr>
                <w:rFonts w:cs="Times New Roman"/>
              </w:rPr>
              <w:t>&lt;0.0003</w:t>
            </w:r>
          </w:p>
        </w:tc>
        <w:tc>
          <w:tcPr>
            <w:tcW w:w="1131" w:type="dxa"/>
            <w:vAlign w:val="center"/>
          </w:tcPr>
          <w:p w14:paraId="676001D7">
            <w:pPr>
              <w:pStyle w:val="64"/>
              <w:rPr>
                <w:rFonts w:cs="Times New Roman"/>
              </w:rPr>
            </w:pPr>
            <w:r>
              <w:rPr>
                <w:rFonts w:cs="Times New Roman"/>
              </w:rPr>
              <w:t>&lt;0.01</w:t>
            </w:r>
          </w:p>
        </w:tc>
        <w:tc>
          <w:tcPr>
            <w:tcW w:w="765" w:type="dxa"/>
            <w:vAlign w:val="center"/>
          </w:tcPr>
          <w:p w14:paraId="69338CD7">
            <w:pPr>
              <w:pStyle w:val="64"/>
              <w:rPr>
                <w:rFonts w:cs="Times New Roman"/>
              </w:rPr>
            </w:pPr>
            <w:r>
              <w:rPr>
                <w:rFonts w:cs="Times New Roman"/>
              </w:rPr>
              <w:t>ND</w:t>
            </w:r>
          </w:p>
        </w:tc>
        <w:tc>
          <w:tcPr>
            <w:tcW w:w="976" w:type="dxa"/>
            <w:vAlign w:val="center"/>
          </w:tcPr>
          <w:p w14:paraId="79AEF7FB">
            <w:pPr>
              <w:pStyle w:val="64"/>
              <w:rPr>
                <w:rFonts w:cs="Times New Roman"/>
              </w:rPr>
            </w:pPr>
            <w:r>
              <w:rPr>
                <w:rFonts w:cs="Times New Roman"/>
              </w:rPr>
              <w:t>&lt;3×10</w:t>
            </w:r>
            <w:r>
              <w:rPr>
                <w:rFonts w:hint="eastAsia" w:cs="Times New Roman"/>
                <w:vertAlign w:val="superscript"/>
              </w:rPr>
              <w:t>-4</w:t>
            </w:r>
          </w:p>
        </w:tc>
        <w:tc>
          <w:tcPr>
            <w:tcW w:w="876" w:type="dxa"/>
            <w:vAlign w:val="center"/>
          </w:tcPr>
          <w:p w14:paraId="486C5D42">
            <w:pPr>
              <w:pStyle w:val="64"/>
              <w:rPr>
                <w:rFonts w:cs="Times New Roman"/>
              </w:rPr>
            </w:pPr>
            <w:r>
              <w:rPr>
                <w:rFonts w:cs="Times New Roman"/>
              </w:rPr>
              <w:t>≤0.005</w:t>
            </w:r>
          </w:p>
        </w:tc>
        <w:tc>
          <w:tcPr>
            <w:tcW w:w="1174" w:type="dxa"/>
            <w:vAlign w:val="center"/>
          </w:tcPr>
          <w:p w14:paraId="0042773C">
            <w:pPr>
              <w:pStyle w:val="64"/>
              <w:rPr>
                <w:rFonts w:cs="Times New Roman"/>
              </w:rPr>
            </w:pPr>
            <w:r>
              <w:rPr>
                <w:rFonts w:cs="Times New Roman"/>
              </w:rPr>
              <w:t>&lt;0.005</w:t>
            </w:r>
          </w:p>
        </w:tc>
      </w:tr>
      <w:tr w14:paraId="2F0F89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71" w:type="dxa"/>
            <w:vMerge w:val="continue"/>
            <w:vAlign w:val="center"/>
          </w:tcPr>
          <w:p w14:paraId="3951AAB7">
            <w:pPr>
              <w:pStyle w:val="64"/>
              <w:rPr>
                <w:rFonts w:cs="Times New Roman"/>
              </w:rPr>
            </w:pPr>
          </w:p>
        </w:tc>
        <w:tc>
          <w:tcPr>
            <w:tcW w:w="1559" w:type="dxa"/>
            <w:vMerge w:val="continue"/>
            <w:vAlign w:val="center"/>
          </w:tcPr>
          <w:p w14:paraId="0D0F09E1">
            <w:pPr>
              <w:pStyle w:val="64"/>
              <w:rPr>
                <w:rFonts w:cs="Times New Roman"/>
              </w:rPr>
            </w:pPr>
          </w:p>
        </w:tc>
        <w:tc>
          <w:tcPr>
            <w:tcW w:w="1276" w:type="dxa"/>
            <w:vMerge w:val="continue"/>
            <w:vAlign w:val="center"/>
          </w:tcPr>
          <w:p w14:paraId="14FAA8CD">
            <w:pPr>
              <w:pStyle w:val="64"/>
              <w:rPr>
                <w:rFonts w:cs="Times New Roman"/>
              </w:rPr>
            </w:pPr>
          </w:p>
        </w:tc>
        <w:tc>
          <w:tcPr>
            <w:tcW w:w="1575" w:type="dxa"/>
            <w:vAlign w:val="center"/>
          </w:tcPr>
          <w:p w14:paraId="6F2A6C74">
            <w:pPr>
              <w:pStyle w:val="64"/>
              <w:rPr>
                <w:rFonts w:cs="Times New Roman"/>
              </w:rPr>
            </w:pPr>
            <w:r>
              <w:rPr>
                <w:rFonts w:cs="Times New Roman"/>
              </w:rPr>
              <w:t>Si</w:t>
            </w:r>
          </w:p>
        </w:tc>
        <w:tc>
          <w:tcPr>
            <w:tcW w:w="844" w:type="dxa"/>
            <w:vAlign w:val="center"/>
          </w:tcPr>
          <w:p w14:paraId="498F8FE2">
            <w:pPr>
              <w:pStyle w:val="64"/>
              <w:rPr>
                <w:rFonts w:cs="Times New Roman"/>
              </w:rPr>
            </w:pPr>
            <w:r>
              <w:rPr>
                <w:rFonts w:cs="Times New Roman"/>
              </w:rPr>
              <w:t>0.6</w:t>
            </w:r>
          </w:p>
        </w:tc>
        <w:tc>
          <w:tcPr>
            <w:tcW w:w="803" w:type="dxa"/>
            <w:vAlign w:val="center"/>
          </w:tcPr>
          <w:p w14:paraId="238FA0C1">
            <w:pPr>
              <w:pStyle w:val="64"/>
              <w:rPr>
                <w:rFonts w:cs="Times New Roman"/>
              </w:rPr>
            </w:pPr>
            <w:r>
              <w:rPr>
                <w:rFonts w:cs="Times New Roman"/>
              </w:rPr>
              <w:t>0.02</w:t>
            </w:r>
          </w:p>
        </w:tc>
        <w:tc>
          <w:tcPr>
            <w:tcW w:w="830" w:type="dxa"/>
            <w:vAlign w:val="center"/>
          </w:tcPr>
          <w:p w14:paraId="5816C2CF">
            <w:pPr>
              <w:pStyle w:val="64"/>
              <w:rPr>
                <w:rFonts w:cs="Times New Roman"/>
              </w:rPr>
            </w:pPr>
            <w:r>
              <w:rPr>
                <w:rFonts w:cs="Times New Roman"/>
              </w:rPr>
              <w:t>0.55</w:t>
            </w:r>
          </w:p>
        </w:tc>
        <w:tc>
          <w:tcPr>
            <w:tcW w:w="912" w:type="dxa"/>
            <w:vAlign w:val="center"/>
          </w:tcPr>
          <w:p w14:paraId="7C3C6FF7">
            <w:pPr>
              <w:pStyle w:val="64"/>
              <w:rPr>
                <w:rFonts w:cs="Times New Roman"/>
              </w:rPr>
            </w:pPr>
            <w:r>
              <w:rPr>
                <w:rFonts w:cs="Times New Roman"/>
              </w:rPr>
              <w:t>&lt;0.03</w:t>
            </w:r>
          </w:p>
        </w:tc>
        <w:tc>
          <w:tcPr>
            <w:tcW w:w="1131" w:type="dxa"/>
            <w:vAlign w:val="center"/>
          </w:tcPr>
          <w:p w14:paraId="35A03EBB">
            <w:pPr>
              <w:pStyle w:val="64"/>
              <w:rPr>
                <w:rFonts w:cs="Times New Roman"/>
              </w:rPr>
            </w:pPr>
            <w:r>
              <w:rPr>
                <w:rFonts w:cs="Times New Roman"/>
              </w:rPr>
              <w:t>&lt;0.2</w:t>
            </w:r>
          </w:p>
        </w:tc>
        <w:tc>
          <w:tcPr>
            <w:tcW w:w="765" w:type="dxa"/>
            <w:vAlign w:val="center"/>
          </w:tcPr>
          <w:p w14:paraId="5F936A44">
            <w:pPr>
              <w:pStyle w:val="64"/>
              <w:rPr>
                <w:rFonts w:cs="Times New Roman"/>
              </w:rPr>
            </w:pPr>
            <w:r>
              <w:rPr>
                <w:rFonts w:cs="Times New Roman"/>
              </w:rPr>
              <w:t>ND</w:t>
            </w:r>
          </w:p>
        </w:tc>
        <w:tc>
          <w:tcPr>
            <w:tcW w:w="976" w:type="dxa"/>
            <w:vAlign w:val="center"/>
          </w:tcPr>
          <w:p w14:paraId="3560A6D8">
            <w:pPr>
              <w:pStyle w:val="64"/>
              <w:rPr>
                <w:rFonts w:cs="Times New Roman"/>
              </w:rPr>
            </w:pPr>
            <w:r>
              <w:rPr>
                <w:rFonts w:cs="Times New Roman"/>
              </w:rPr>
              <w:t>&lt;0.003</w:t>
            </w:r>
          </w:p>
        </w:tc>
        <w:tc>
          <w:tcPr>
            <w:tcW w:w="876" w:type="dxa"/>
            <w:vAlign w:val="center"/>
          </w:tcPr>
          <w:p w14:paraId="57ED74C6">
            <w:pPr>
              <w:pStyle w:val="64"/>
              <w:rPr>
                <w:rFonts w:cs="Times New Roman"/>
              </w:rPr>
            </w:pPr>
            <w:r>
              <w:rPr>
                <w:rFonts w:cs="Times New Roman"/>
              </w:rPr>
              <w:t>&lt;0.005</w:t>
            </w:r>
          </w:p>
        </w:tc>
        <w:tc>
          <w:tcPr>
            <w:tcW w:w="1174" w:type="dxa"/>
            <w:vAlign w:val="center"/>
          </w:tcPr>
          <w:p w14:paraId="4BA5B4A2">
            <w:pPr>
              <w:pStyle w:val="64"/>
              <w:rPr>
                <w:rFonts w:cs="Times New Roman"/>
              </w:rPr>
            </w:pPr>
            <w:r>
              <w:rPr>
                <w:rFonts w:cs="Times New Roman"/>
              </w:rPr>
              <w:t>&lt;0.0025</w:t>
            </w:r>
          </w:p>
        </w:tc>
      </w:tr>
      <w:tr w14:paraId="293523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71" w:type="dxa"/>
            <w:vMerge w:val="restart"/>
            <w:vAlign w:val="center"/>
          </w:tcPr>
          <w:p w14:paraId="021A43B3">
            <w:pPr>
              <w:pStyle w:val="64"/>
              <w:rPr>
                <w:rFonts w:cs="Times New Roman"/>
              </w:rPr>
            </w:pPr>
            <w:r>
              <w:rPr>
                <w:rFonts w:hint="eastAsia" w:cs="Times New Roman"/>
              </w:rPr>
              <w:t>2</w:t>
            </w:r>
            <w:r>
              <w:rPr>
                <w:rFonts w:cs="Times New Roman"/>
              </w:rPr>
              <w:t>#三铺大沟与沫冲引河交口上游500m</w:t>
            </w:r>
          </w:p>
        </w:tc>
        <w:tc>
          <w:tcPr>
            <w:tcW w:w="1559" w:type="dxa"/>
            <w:vMerge w:val="restart"/>
            <w:vAlign w:val="center"/>
          </w:tcPr>
          <w:p w14:paraId="44A3E1D9">
            <w:pPr>
              <w:pStyle w:val="64"/>
              <w:rPr>
                <w:rFonts w:cs="Times New Roman"/>
              </w:rPr>
            </w:pPr>
            <w:r>
              <w:rPr>
                <w:rFonts w:cs="Times New Roman"/>
              </w:rPr>
              <w:t>E:117°33'09.34"</w:t>
            </w:r>
            <w:r>
              <w:rPr>
                <w:rFonts w:cs="Times New Roman"/>
              </w:rPr>
              <w:br w:type="textWrapping"/>
            </w:r>
            <w:r>
              <w:rPr>
                <w:rFonts w:cs="Times New Roman"/>
              </w:rPr>
              <w:t>N:32°59'03.79"</w:t>
            </w:r>
          </w:p>
        </w:tc>
        <w:tc>
          <w:tcPr>
            <w:tcW w:w="1276" w:type="dxa"/>
            <w:vMerge w:val="restart"/>
            <w:vAlign w:val="center"/>
          </w:tcPr>
          <w:p w14:paraId="5E1C2809">
            <w:pPr>
              <w:pStyle w:val="64"/>
              <w:rPr>
                <w:rFonts w:cs="Times New Roman"/>
              </w:rPr>
            </w:pPr>
            <w:r>
              <w:rPr>
                <w:rFonts w:cs="Times New Roman"/>
              </w:rPr>
              <w:t>2024.4.28</w:t>
            </w:r>
          </w:p>
        </w:tc>
        <w:tc>
          <w:tcPr>
            <w:tcW w:w="1575" w:type="dxa"/>
            <w:vAlign w:val="center"/>
          </w:tcPr>
          <w:p w14:paraId="7938C8D1">
            <w:pPr>
              <w:pStyle w:val="64"/>
              <w:rPr>
                <w:rFonts w:cs="Times New Roman"/>
              </w:rPr>
            </w:pPr>
            <w:r>
              <w:rPr>
                <w:rFonts w:cs="Times New Roman"/>
              </w:rPr>
              <w:t>Ci</w:t>
            </w:r>
          </w:p>
        </w:tc>
        <w:tc>
          <w:tcPr>
            <w:tcW w:w="844" w:type="dxa"/>
            <w:vAlign w:val="center"/>
          </w:tcPr>
          <w:p w14:paraId="127CFB2E">
            <w:pPr>
              <w:pStyle w:val="64"/>
              <w:rPr>
                <w:rFonts w:cs="Times New Roman"/>
              </w:rPr>
            </w:pPr>
            <w:r>
              <w:rPr>
                <w:rFonts w:cs="Times New Roman"/>
              </w:rPr>
              <w:t>0.17</w:t>
            </w:r>
          </w:p>
        </w:tc>
        <w:tc>
          <w:tcPr>
            <w:tcW w:w="803" w:type="dxa"/>
            <w:vAlign w:val="center"/>
          </w:tcPr>
          <w:p w14:paraId="5FBCD3EC">
            <w:pPr>
              <w:pStyle w:val="64"/>
              <w:rPr>
                <w:rFonts w:cs="Times New Roman"/>
              </w:rPr>
            </w:pPr>
            <w:r>
              <w:rPr>
                <w:rFonts w:cs="Times New Roman"/>
              </w:rPr>
              <w:t>0.01</w:t>
            </w:r>
          </w:p>
        </w:tc>
        <w:tc>
          <w:tcPr>
            <w:tcW w:w="830" w:type="dxa"/>
            <w:vAlign w:val="center"/>
          </w:tcPr>
          <w:p w14:paraId="6A1AF81F">
            <w:pPr>
              <w:pStyle w:val="64"/>
              <w:rPr>
                <w:rFonts w:cs="Times New Roman"/>
              </w:rPr>
            </w:pPr>
            <w:r>
              <w:rPr>
                <w:rFonts w:cs="Times New Roman"/>
              </w:rPr>
              <w:t>0.76</w:t>
            </w:r>
          </w:p>
        </w:tc>
        <w:tc>
          <w:tcPr>
            <w:tcW w:w="912" w:type="dxa"/>
            <w:vAlign w:val="center"/>
          </w:tcPr>
          <w:p w14:paraId="27ADB2FA">
            <w:pPr>
              <w:pStyle w:val="64"/>
              <w:rPr>
                <w:rFonts w:cs="Times New Roman"/>
              </w:rPr>
            </w:pPr>
            <w:r>
              <w:rPr>
                <w:rFonts w:cs="Times New Roman"/>
              </w:rPr>
              <w:t>&lt;0.0003</w:t>
            </w:r>
          </w:p>
        </w:tc>
        <w:tc>
          <w:tcPr>
            <w:tcW w:w="1131" w:type="dxa"/>
            <w:vAlign w:val="center"/>
          </w:tcPr>
          <w:p w14:paraId="4DB7E202">
            <w:pPr>
              <w:pStyle w:val="64"/>
              <w:rPr>
                <w:rFonts w:cs="Times New Roman"/>
              </w:rPr>
            </w:pPr>
            <w:r>
              <w:rPr>
                <w:rFonts w:cs="Times New Roman"/>
              </w:rPr>
              <w:t>&lt;0.01</w:t>
            </w:r>
          </w:p>
        </w:tc>
        <w:tc>
          <w:tcPr>
            <w:tcW w:w="765" w:type="dxa"/>
            <w:vAlign w:val="center"/>
          </w:tcPr>
          <w:p w14:paraId="2266419E">
            <w:pPr>
              <w:pStyle w:val="64"/>
              <w:rPr>
                <w:rFonts w:cs="Times New Roman"/>
              </w:rPr>
            </w:pPr>
            <w:r>
              <w:rPr>
                <w:rFonts w:cs="Times New Roman"/>
              </w:rPr>
              <w:t>ND</w:t>
            </w:r>
          </w:p>
        </w:tc>
        <w:tc>
          <w:tcPr>
            <w:tcW w:w="976" w:type="dxa"/>
            <w:vAlign w:val="center"/>
          </w:tcPr>
          <w:p w14:paraId="47F00A89">
            <w:pPr>
              <w:pStyle w:val="64"/>
              <w:rPr>
                <w:rFonts w:cs="Times New Roman"/>
              </w:rPr>
            </w:pPr>
            <w:r>
              <w:rPr>
                <w:rFonts w:cs="Times New Roman"/>
              </w:rPr>
              <w:t>&lt;3×10</w:t>
            </w:r>
            <w:r>
              <w:rPr>
                <w:rFonts w:hint="eastAsia" w:cs="Times New Roman"/>
                <w:vertAlign w:val="superscript"/>
              </w:rPr>
              <w:t>-4</w:t>
            </w:r>
          </w:p>
        </w:tc>
        <w:tc>
          <w:tcPr>
            <w:tcW w:w="876" w:type="dxa"/>
            <w:vAlign w:val="center"/>
          </w:tcPr>
          <w:p w14:paraId="5ED11630">
            <w:pPr>
              <w:pStyle w:val="64"/>
              <w:rPr>
                <w:rFonts w:cs="Times New Roman"/>
              </w:rPr>
            </w:pPr>
            <w:r>
              <w:rPr>
                <w:rFonts w:cs="Times New Roman"/>
              </w:rPr>
              <w:t>&lt;0.005</w:t>
            </w:r>
          </w:p>
        </w:tc>
        <w:tc>
          <w:tcPr>
            <w:tcW w:w="1174" w:type="dxa"/>
            <w:vAlign w:val="center"/>
          </w:tcPr>
          <w:p w14:paraId="164D2946">
            <w:pPr>
              <w:pStyle w:val="64"/>
              <w:rPr>
                <w:rFonts w:cs="Times New Roman"/>
              </w:rPr>
            </w:pPr>
            <w:r>
              <w:rPr>
                <w:rFonts w:cs="Times New Roman"/>
              </w:rPr>
              <w:t>&lt;0.005</w:t>
            </w:r>
          </w:p>
        </w:tc>
      </w:tr>
      <w:tr w14:paraId="740EC1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71" w:type="dxa"/>
            <w:vMerge w:val="continue"/>
            <w:vAlign w:val="center"/>
          </w:tcPr>
          <w:p w14:paraId="7695DFEE">
            <w:pPr>
              <w:pStyle w:val="64"/>
              <w:rPr>
                <w:rFonts w:cs="Times New Roman"/>
              </w:rPr>
            </w:pPr>
          </w:p>
        </w:tc>
        <w:tc>
          <w:tcPr>
            <w:tcW w:w="1559" w:type="dxa"/>
            <w:vMerge w:val="continue"/>
            <w:vAlign w:val="center"/>
          </w:tcPr>
          <w:p w14:paraId="6EBCA891">
            <w:pPr>
              <w:pStyle w:val="64"/>
              <w:rPr>
                <w:rFonts w:cs="Times New Roman"/>
              </w:rPr>
            </w:pPr>
          </w:p>
        </w:tc>
        <w:tc>
          <w:tcPr>
            <w:tcW w:w="1276" w:type="dxa"/>
            <w:vMerge w:val="continue"/>
            <w:vAlign w:val="center"/>
          </w:tcPr>
          <w:p w14:paraId="569BAD4C">
            <w:pPr>
              <w:pStyle w:val="64"/>
              <w:rPr>
                <w:rFonts w:cs="Times New Roman"/>
              </w:rPr>
            </w:pPr>
          </w:p>
        </w:tc>
        <w:tc>
          <w:tcPr>
            <w:tcW w:w="1575" w:type="dxa"/>
            <w:vAlign w:val="center"/>
          </w:tcPr>
          <w:p w14:paraId="2D5428BB">
            <w:pPr>
              <w:pStyle w:val="64"/>
              <w:rPr>
                <w:rFonts w:cs="Times New Roman"/>
              </w:rPr>
            </w:pPr>
            <w:r>
              <w:rPr>
                <w:rFonts w:cs="Times New Roman"/>
              </w:rPr>
              <w:t>Si</w:t>
            </w:r>
          </w:p>
        </w:tc>
        <w:tc>
          <w:tcPr>
            <w:tcW w:w="844" w:type="dxa"/>
            <w:vAlign w:val="center"/>
          </w:tcPr>
          <w:p w14:paraId="10AB6BE6">
            <w:pPr>
              <w:pStyle w:val="64"/>
              <w:rPr>
                <w:rFonts w:cs="Times New Roman"/>
              </w:rPr>
            </w:pPr>
            <w:r>
              <w:rPr>
                <w:rFonts w:cs="Times New Roman"/>
              </w:rPr>
              <w:t>0.57</w:t>
            </w:r>
          </w:p>
        </w:tc>
        <w:tc>
          <w:tcPr>
            <w:tcW w:w="803" w:type="dxa"/>
            <w:vAlign w:val="center"/>
          </w:tcPr>
          <w:p w14:paraId="1B57017E">
            <w:pPr>
              <w:pStyle w:val="64"/>
              <w:rPr>
                <w:rFonts w:cs="Times New Roman"/>
              </w:rPr>
            </w:pPr>
            <w:r>
              <w:rPr>
                <w:rFonts w:cs="Times New Roman"/>
              </w:rPr>
              <w:t>0.02</w:t>
            </w:r>
          </w:p>
        </w:tc>
        <w:tc>
          <w:tcPr>
            <w:tcW w:w="830" w:type="dxa"/>
            <w:vAlign w:val="center"/>
          </w:tcPr>
          <w:p w14:paraId="73E0F552">
            <w:pPr>
              <w:pStyle w:val="64"/>
              <w:rPr>
                <w:rFonts w:cs="Times New Roman"/>
              </w:rPr>
            </w:pPr>
            <w:r>
              <w:rPr>
                <w:rFonts w:cs="Times New Roman"/>
              </w:rPr>
              <w:t>0.51</w:t>
            </w:r>
          </w:p>
        </w:tc>
        <w:tc>
          <w:tcPr>
            <w:tcW w:w="912" w:type="dxa"/>
            <w:vAlign w:val="center"/>
          </w:tcPr>
          <w:p w14:paraId="18302D9F">
            <w:pPr>
              <w:pStyle w:val="64"/>
              <w:rPr>
                <w:rFonts w:cs="Times New Roman"/>
              </w:rPr>
            </w:pPr>
            <w:r>
              <w:rPr>
                <w:rFonts w:cs="Times New Roman"/>
              </w:rPr>
              <w:t>&lt;0.03</w:t>
            </w:r>
          </w:p>
        </w:tc>
        <w:tc>
          <w:tcPr>
            <w:tcW w:w="1131" w:type="dxa"/>
            <w:vAlign w:val="center"/>
          </w:tcPr>
          <w:p w14:paraId="0B52F6B8">
            <w:pPr>
              <w:pStyle w:val="64"/>
              <w:rPr>
                <w:rFonts w:cs="Times New Roman"/>
              </w:rPr>
            </w:pPr>
            <w:r>
              <w:rPr>
                <w:rFonts w:cs="Times New Roman"/>
              </w:rPr>
              <w:t>&lt;0.2</w:t>
            </w:r>
          </w:p>
        </w:tc>
        <w:tc>
          <w:tcPr>
            <w:tcW w:w="765" w:type="dxa"/>
            <w:vAlign w:val="center"/>
          </w:tcPr>
          <w:p w14:paraId="08CFAF0A">
            <w:pPr>
              <w:pStyle w:val="64"/>
              <w:rPr>
                <w:rFonts w:cs="Times New Roman"/>
              </w:rPr>
            </w:pPr>
            <w:r>
              <w:rPr>
                <w:rFonts w:cs="Times New Roman"/>
              </w:rPr>
              <w:t>ND</w:t>
            </w:r>
          </w:p>
        </w:tc>
        <w:tc>
          <w:tcPr>
            <w:tcW w:w="976" w:type="dxa"/>
            <w:vAlign w:val="center"/>
          </w:tcPr>
          <w:p w14:paraId="227ABCF8">
            <w:pPr>
              <w:pStyle w:val="64"/>
              <w:rPr>
                <w:rFonts w:cs="Times New Roman"/>
              </w:rPr>
            </w:pPr>
            <w:r>
              <w:rPr>
                <w:rFonts w:cs="Times New Roman"/>
              </w:rPr>
              <w:t>&lt;0.003</w:t>
            </w:r>
          </w:p>
        </w:tc>
        <w:tc>
          <w:tcPr>
            <w:tcW w:w="876" w:type="dxa"/>
            <w:vAlign w:val="center"/>
          </w:tcPr>
          <w:p w14:paraId="59B0419F">
            <w:pPr>
              <w:pStyle w:val="64"/>
              <w:rPr>
                <w:rFonts w:cs="Times New Roman"/>
              </w:rPr>
            </w:pPr>
            <w:r>
              <w:rPr>
                <w:rFonts w:cs="Times New Roman"/>
              </w:rPr>
              <w:t>&lt;0.005</w:t>
            </w:r>
          </w:p>
        </w:tc>
        <w:tc>
          <w:tcPr>
            <w:tcW w:w="1174" w:type="dxa"/>
            <w:vAlign w:val="center"/>
          </w:tcPr>
          <w:p w14:paraId="59D24E32">
            <w:pPr>
              <w:pStyle w:val="64"/>
              <w:rPr>
                <w:rFonts w:cs="Times New Roman"/>
              </w:rPr>
            </w:pPr>
            <w:r>
              <w:rPr>
                <w:rFonts w:cs="Times New Roman"/>
              </w:rPr>
              <w:t>&lt;0.0025</w:t>
            </w:r>
          </w:p>
        </w:tc>
      </w:tr>
      <w:tr w14:paraId="4E071F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71" w:type="dxa"/>
            <w:vMerge w:val="continue"/>
            <w:vAlign w:val="center"/>
          </w:tcPr>
          <w:p w14:paraId="751EAC89">
            <w:pPr>
              <w:pStyle w:val="64"/>
              <w:rPr>
                <w:rFonts w:cs="Times New Roman"/>
              </w:rPr>
            </w:pPr>
          </w:p>
        </w:tc>
        <w:tc>
          <w:tcPr>
            <w:tcW w:w="1559" w:type="dxa"/>
            <w:vMerge w:val="continue"/>
            <w:vAlign w:val="center"/>
          </w:tcPr>
          <w:p w14:paraId="34CE0A6B">
            <w:pPr>
              <w:pStyle w:val="64"/>
              <w:rPr>
                <w:rFonts w:cs="Times New Roman"/>
              </w:rPr>
            </w:pPr>
          </w:p>
        </w:tc>
        <w:tc>
          <w:tcPr>
            <w:tcW w:w="1276" w:type="dxa"/>
            <w:vMerge w:val="restart"/>
            <w:vAlign w:val="center"/>
          </w:tcPr>
          <w:p w14:paraId="5F726E15">
            <w:pPr>
              <w:pStyle w:val="64"/>
              <w:rPr>
                <w:rFonts w:cs="Times New Roman"/>
              </w:rPr>
            </w:pPr>
            <w:r>
              <w:rPr>
                <w:rFonts w:cs="Times New Roman"/>
              </w:rPr>
              <w:t>2024.4.29</w:t>
            </w:r>
          </w:p>
        </w:tc>
        <w:tc>
          <w:tcPr>
            <w:tcW w:w="1575" w:type="dxa"/>
            <w:vAlign w:val="center"/>
          </w:tcPr>
          <w:p w14:paraId="43F5F2D8">
            <w:pPr>
              <w:pStyle w:val="64"/>
              <w:rPr>
                <w:rFonts w:cs="Times New Roman"/>
              </w:rPr>
            </w:pPr>
            <w:r>
              <w:rPr>
                <w:rFonts w:cs="Times New Roman"/>
              </w:rPr>
              <w:t>Ci</w:t>
            </w:r>
          </w:p>
        </w:tc>
        <w:tc>
          <w:tcPr>
            <w:tcW w:w="844" w:type="dxa"/>
            <w:vAlign w:val="center"/>
          </w:tcPr>
          <w:p w14:paraId="4D7232CB">
            <w:pPr>
              <w:pStyle w:val="64"/>
              <w:rPr>
                <w:rFonts w:cs="Times New Roman"/>
              </w:rPr>
            </w:pPr>
            <w:r>
              <w:rPr>
                <w:rFonts w:cs="Times New Roman"/>
              </w:rPr>
              <w:t>0.16</w:t>
            </w:r>
          </w:p>
        </w:tc>
        <w:tc>
          <w:tcPr>
            <w:tcW w:w="803" w:type="dxa"/>
            <w:vAlign w:val="center"/>
          </w:tcPr>
          <w:p w14:paraId="311365EC">
            <w:pPr>
              <w:pStyle w:val="64"/>
              <w:rPr>
                <w:rFonts w:cs="Times New Roman"/>
              </w:rPr>
            </w:pPr>
            <w:r>
              <w:rPr>
                <w:rFonts w:cs="Times New Roman"/>
              </w:rPr>
              <w:t>0.01</w:t>
            </w:r>
          </w:p>
        </w:tc>
        <w:tc>
          <w:tcPr>
            <w:tcW w:w="830" w:type="dxa"/>
            <w:vAlign w:val="center"/>
          </w:tcPr>
          <w:p w14:paraId="5039CFD9">
            <w:pPr>
              <w:pStyle w:val="64"/>
              <w:rPr>
                <w:rFonts w:cs="Times New Roman"/>
              </w:rPr>
            </w:pPr>
            <w:r>
              <w:rPr>
                <w:rFonts w:cs="Times New Roman"/>
              </w:rPr>
              <w:t>0.82</w:t>
            </w:r>
          </w:p>
        </w:tc>
        <w:tc>
          <w:tcPr>
            <w:tcW w:w="912" w:type="dxa"/>
            <w:vAlign w:val="center"/>
          </w:tcPr>
          <w:p w14:paraId="54E78BC0">
            <w:pPr>
              <w:pStyle w:val="64"/>
              <w:rPr>
                <w:rFonts w:cs="Times New Roman"/>
              </w:rPr>
            </w:pPr>
            <w:r>
              <w:rPr>
                <w:rFonts w:cs="Times New Roman"/>
              </w:rPr>
              <w:t>&lt;0.0003</w:t>
            </w:r>
          </w:p>
        </w:tc>
        <w:tc>
          <w:tcPr>
            <w:tcW w:w="1131" w:type="dxa"/>
            <w:vAlign w:val="center"/>
          </w:tcPr>
          <w:p w14:paraId="51E92F5F">
            <w:pPr>
              <w:pStyle w:val="64"/>
              <w:rPr>
                <w:rFonts w:cs="Times New Roman"/>
              </w:rPr>
            </w:pPr>
            <w:r>
              <w:rPr>
                <w:rFonts w:cs="Times New Roman"/>
              </w:rPr>
              <w:t>&lt;0.01</w:t>
            </w:r>
          </w:p>
        </w:tc>
        <w:tc>
          <w:tcPr>
            <w:tcW w:w="765" w:type="dxa"/>
            <w:vAlign w:val="center"/>
          </w:tcPr>
          <w:p w14:paraId="79CB3B8E">
            <w:pPr>
              <w:pStyle w:val="64"/>
              <w:rPr>
                <w:rFonts w:cs="Times New Roman"/>
              </w:rPr>
            </w:pPr>
            <w:r>
              <w:rPr>
                <w:rFonts w:cs="Times New Roman"/>
              </w:rPr>
              <w:t>ND</w:t>
            </w:r>
          </w:p>
        </w:tc>
        <w:tc>
          <w:tcPr>
            <w:tcW w:w="976" w:type="dxa"/>
            <w:vAlign w:val="center"/>
          </w:tcPr>
          <w:p w14:paraId="04B8B3F2">
            <w:pPr>
              <w:pStyle w:val="64"/>
              <w:rPr>
                <w:rFonts w:cs="Times New Roman"/>
              </w:rPr>
            </w:pPr>
            <w:r>
              <w:rPr>
                <w:rFonts w:cs="Times New Roman"/>
              </w:rPr>
              <w:t>&lt;3×10</w:t>
            </w:r>
            <w:r>
              <w:rPr>
                <w:rFonts w:hint="eastAsia" w:cs="Times New Roman"/>
                <w:vertAlign w:val="superscript"/>
              </w:rPr>
              <w:t>-4</w:t>
            </w:r>
          </w:p>
        </w:tc>
        <w:tc>
          <w:tcPr>
            <w:tcW w:w="876" w:type="dxa"/>
            <w:vAlign w:val="center"/>
          </w:tcPr>
          <w:p w14:paraId="3CDBFA0B">
            <w:pPr>
              <w:pStyle w:val="64"/>
              <w:rPr>
                <w:rFonts w:cs="Times New Roman"/>
              </w:rPr>
            </w:pPr>
            <w:r>
              <w:rPr>
                <w:rFonts w:cs="Times New Roman"/>
              </w:rPr>
              <w:t>&lt;0.005</w:t>
            </w:r>
          </w:p>
        </w:tc>
        <w:tc>
          <w:tcPr>
            <w:tcW w:w="1174" w:type="dxa"/>
            <w:vAlign w:val="center"/>
          </w:tcPr>
          <w:p w14:paraId="5E145B80">
            <w:pPr>
              <w:pStyle w:val="64"/>
              <w:rPr>
                <w:rFonts w:cs="Times New Roman"/>
              </w:rPr>
            </w:pPr>
            <w:r>
              <w:rPr>
                <w:rFonts w:cs="Times New Roman"/>
              </w:rPr>
              <w:t>&lt;0.005</w:t>
            </w:r>
          </w:p>
        </w:tc>
      </w:tr>
      <w:tr w14:paraId="2C76AC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71" w:type="dxa"/>
            <w:vMerge w:val="continue"/>
            <w:vAlign w:val="center"/>
          </w:tcPr>
          <w:p w14:paraId="025927CC">
            <w:pPr>
              <w:pStyle w:val="64"/>
              <w:rPr>
                <w:rFonts w:cs="Times New Roman"/>
              </w:rPr>
            </w:pPr>
          </w:p>
        </w:tc>
        <w:tc>
          <w:tcPr>
            <w:tcW w:w="1559" w:type="dxa"/>
            <w:vMerge w:val="continue"/>
            <w:vAlign w:val="center"/>
          </w:tcPr>
          <w:p w14:paraId="31586EF0">
            <w:pPr>
              <w:pStyle w:val="64"/>
              <w:rPr>
                <w:rFonts w:cs="Times New Roman"/>
              </w:rPr>
            </w:pPr>
          </w:p>
        </w:tc>
        <w:tc>
          <w:tcPr>
            <w:tcW w:w="1276" w:type="dxa"/>
            <w:vMerge w:val="continue"/>
            <w:vAlign w:val="center"/>
          </w:tcPr>
          <w:p w14:paraId="28A4BF03">
            <w:pPr>
              <w:pStyle w:val="64"/>
              <w:rPr>
                <w:rFonts w:cs="Times New Roman"/>
              </w:rPr>
            </w:pPr>
          </w:p>
        </w:tc>
        <w:tc>
          <w:tcPr>
            <w:tcW w:w="1575" w:type="dxa"/>
            <w:vAlign w:val="center"/>
          </w:tcPr>
          <w:p w14:paraId="5340AE0E">
            <w:pPr>
              <w:pStyle w:val="64"/>
              <w:rPr>
                <w:rFonts w:cs="Times New Roman"/>
              </w:rPr>
            </w:pPr>
            <w:r>
              <w:rPr>
                <w:rFonts w:cs="Times New Roman"/>
              </w:rPr>
              <w:t>Si</w:t>
            </w:r>
          </w:p>
        </w:tc>
        <w:tc>
          <w:tcPr>
            <w:tcW w:w="844" w:type="dxa"/>
            <w:vAlign w:val="center"/>
          </w:tcPr>
          <w:p w14:paraId="7362325D">
            <w:pPr>
              <w:pStyle w:val="64"/>
              <w:rPr>
                <w:rFonts w:cs="Times New Roman"/>
              </w:rPr>
            </w:pPr>
            <w:r>
              <w:rPr>
                <w:rFonts w:cs="Times New Roman"/>
              </w:rPr>
              <w:t>0.53</w:t>
            </w:r>
          </w:p>
        </w:tc>
        <w:tc>
          <w:tcPr>
            <w:tcW w:w="803" w:type="dxa"/>
            <w:vAlign w:val="center"/>
          </w:tcPr>
          <w:p w14:paraId="19330D7A">
            <w:pPr>
              <w:pStyle w:val="64"/>
              <w:rPr>
                <w:rFonts w:cs="Times New Roman"/>
              </w:rPr>
            </w:pPr>
            <w:r>
              <w:rPr>
                <w:rFonts w:cs="Times New Roman"/>
              </w:rPr>
              <w:t>0.02</w:t>
            </w:r>
          </w:p>
        </w:tc>
        <w:tc>
          <w:tcPr>
            <w:tcW w:w="830" w:type="dxa"/>
            <w:vAlign w:val="center"/>
          </w:tcPr>
          <w:p w14:paraId="5698C62E">
            <w:pPr>
              <w:pStyle w:val="64"/>
              <w:rPr>
                <w:rFonts w:cs="Times New Roman"/>
              </w:rPr>
            </w:pPr>
            <w:r>
              <w:rPr>
                <w:rFonts w:cs="Times New Roman"/>
              </w:rPr>
              <w:t>0.55</w:t>
            </w:r>
          </w:p>
        </w:tc>
        <w:tc>
          <w:tcPr>
            <w:tcW w:w="912" w:type="dxa"/>
            <w:vAlign w:val="center"/>
          </w:tcPr>
          <w:p w14:paraId="3DF7A9C7">
            <w:pPr>
              <w:pStyle w:val="64"/>
              <w:rPr>
                <w:rFonts w:cs="Times New Roman"/>
              </w:rPr>
            </w:pPr>
            <w:r>
              <w:rPr>
                <w:rFonts w:cs="Times New Roman"/>
              </w:rPr>
              <w:t>&lt;0.03</w:t>
            </w:r>
          </w:p>
        </w:tc>
        <w:tc>
          <w:tcPr>
            <w:tcW w:w="1131" w:type="dxa"/>
            <w:vAlign w:val="center"/>
          </w:tcPr>
          <w:p w14:paraId="613913AE">
            <w:pPr>
              <w:pStyle w:val="64"/>
              <w:rPr>
                <w:rFonts w:cs="Times New Roman"/>
              </w:rPr>
            </w:pPr>
            <w:r>
              <w:rPr>
                <w:rFonts w:cs="Times New Roman"/>
              </w:rPr>
              <w:t>&lt;0.2</w:t>
            </w:r>
          </w:p>
        </w:tc>
        <w:tc>
          <w:tcPr>
            <w:tcW w:w="765" w:type="dxa"/>
            <w:vAlign w:val="center"/>
          </w:tcPr>
          <w:p w14:paraId="65B4D2A0">
            <w:pPr>
              <w:pStyle w:val="64"/>
              <w:rPr>
                <w:rFonts w:cs="Times New Roman"/>
              </w:rPr>
            </w:pPr>
            <w:r>
              <w:rPr>
                <w:rFonts w:cs="Times New Roman"/>
              </w:rPr>
              <w:t>ND</w:t>
            </w:r>
          </w:p>
        </w:tc>
        <w:tc>
          <w:tcPr>
            <w:tcW w:w="976" w:type="dxa"/>
            <w:vAlign w:val="center"/>
          </w:tcPr>
          <w:p w14:paraId="65012ADA">
            <w:pPr>
              <w:pStyle w:val="64"/>
              <w:rPr>
                <w:rFonts w:cs="Times New Roman"/>
              </w:rPr>
            </w:pPr>
            <w:r>
              <w:rPr>
                <w:rFonts w:cs="Times New Roman"/>
              </w:rPr>
              <w:t>&lt;0.003</w:t>
            </w:r>
          </w:p>
        </w:tc>
        <w:tc>
          <w:tcPr>
            <w:tcW w:w="876" w:type="dxa"/>
            <w:vAlign w:val="center"/>
          </w:tcPr>
          <w:p w14:paraId="78D5C828">
            <w:pPr>
              <w:pStyle w:val="64"/>
              <w:rPr>
                <w:rFonts w:cs="Times New Roman"/>
              </w:rPr>
            </w:pPr>
            <w:r>
              <w:rPr>
                <w:rFonts w:cs="Times New Roman"/>
              </w:rPr>
              <w:t>&lt;0.005</w:t>
            </w:r>
          </w:p>
        </w:tc>
        <w:tc>
          <w:tcPr>
            <w:tcW w:w="1174" w:type="dxa"/>
            <w:vAlign w:val="center"/>
          </w:tcPr>
          <w:p w14:paraId="3C6C9401">
            <w:pPr>
              <w:pStyle w:val="64"/>
              <w:rPr>
                <w:rFonts w:cs="Times New Roman"/>
              </w:rPr>
            </w:pPr>
            <w:r>
              <w:rPr>
                <w:rFonts w:cs="Times New Roman"/>
              </w:rPr>
              <w:t>&lt;0.0025</w:t>
            </w:r>
          </w:p>
        </w:tc>
      </w:tr>
      <w:tr w14:paraId="4734AC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71" w:type="dxa"/>
            <w:vMerge w:val="continue"/>
            <w:vAlign w:val="center"/>
          </w:tcPr>
          <w:p w14:paraId="5FBFB9B0">
            <w:pPr>
              <w:pStyle w:val="64"/>
              <w:rPr>
                <w:rFonts w:cs="Times New Roman"/>
              </w:rPr>
            </w:pPr>
          </w:p>
        </w:tc>
        <w:tc>
          <w:tcPr>
            <w:tcW w:w="1559" w:type="dxa"/>
            <w:vMerge w:val="continue"/>
            <w:vAlign w:val="center"/>
          </w:tcPr>
          <w:p w14:paraId="59437478">
            <w:pPr>
              <w:pStyle w:val="64"/>
              <w:rPr>
                <w:rFonts w:cs="Times New Roman"/>
              </w:rPr>
            </w:pPr>
          </w:p>
        </w:tc>
        <w:tc>
          <w:tcPr>
            <w:tcW w:w="1276" w:type="dxa"/>
            <w:vMerge w:val="restart"/>
            <w:vAlign w:val="center"/>
          </w:tcPr>
          <w:p w14:paraId="0BD81024">
            <w:pPr>
              <w:pStyle w:val="64"/>
              <w:rPr>
                <w:rFonts w:cs="Times New Roman"/>
              </w:rPr>
            </w:pPr>
            <w:r>
              <w:rPr>
                <w:rFonts w:cs="Times New Roman"/>
              </w:rPr>
              <w:t>2024.4.30</w:t>
            </w:r>
          </w:p>
        </w:tc>
        <w:tc>
          <w:tcPr>
            <w:tcW w:w="1575" w:type="dxa"/>
            <w:vAlign w:val="center"/>
          </w:tcPr>
          <w:p w14:paraId="7AEFE1CF">
            <w:pPr>
              <w:pStyle w:val="64"/>
              <w:rPr>
                <w:rFonts w:cs="Times New Roman"/>
              </w:rPr>
            </w:pPr>
            <w:r>
              <w:rPr>
                <w:rFonts w:cs="Times New Roman"/>
              </w:rPr>
              <w:t>Ci</w:t>
            </w:r>
          </w:p>
        </w:tc>
        <w:tc>
          <w:tcPr>
            <w:tcW w:w="844" w:type="dxa"/>
            <w:vAlign w:val="center"/>
          </w:tcPr>
          <w:p w14:paraId="5FB6ACE5">
            <w:pPr>
              <w:pStyle w:val="64"/>
              <w:rPr>
                <w:rFonts w:cs="Times New Roman"/>
              </w:rPr>
            </w:pPr>
            <w:r>
              <w:rPr>
                <w:rFonts w:cs="Times New Roman"/>
              </w:rPr>
              <w:t>0.17</w:t>
            </w:r>
          </w:p>
        </w:tc>
        <w:tc>
          <w:tcPr>
            <w:tcW w:w="803" w:type="dxa"/>
            <w:vAlign w:val="center"/>
          </w:tcPr>
          <w:p w14:paraId="7E13C034">
            <w:pPr>
              <w:pStyle w:val="64"/>
              <w:rPr>
                <w:rFonts w:cs="Times New Roman"/>
              </w:rPr>
            </w:pPr>
            <w:r>
              <w:rPr>
                <w:rFonts w:cs="Times New Roman"/>
              </w:rPr>
              <w:t>0.01</w:t>
            </w:r>
          </w:p>
        </w:tc>
        <w:tc>
          <w:tcPr>
            <w:tcW w:w="830" w:type="dxa"/>
            <w:vAlign w:val="center"/>
          </w:tcPr>
          <w:p w14:paraId="56C18420">
            <w:pPr>
              <w:pStyle w:val="64"/>
              <w:rPr>
                <w:rFonts w:cs="Times New Roman"/>
              </w:rPr>
            </w:pPr>
            <w:r>
              <w:rPr>
                <w:rFonts w:cs="Times New Roman"/>
              </w:rPr>
              <w:t>0.76</w:t>
            </w:r>
          </w:p>
        </w:tc>
        <w:tc>
          <w:tcPr>
            <w:tcW w:w="912" w:type="dxa"/>
            <w:vAlign w:val="center"/>
          </w:tcPr>
          <w:p w14:paraId="58F69591">
            <w:pPr>
              <w:pStyle w:val="64"/>
              <w:rPr>
                <w:rFonts w:cs="Times New Roman"/>
              </w:rPr>
            </w:pPr>
            <w:r>
              <w:rPr>
                <w:rFonts w:cs="Times New Roman"/>
              </w:rPr>
              <w:t>&lt;0.0003</w:t>
            </w:r>
          </w:p>
        </w:tc>
        <w:tc>
          <w:tcPr>
            <w:tcW w:w="1131" w:type="dxa"/>
            <w:vAlign w:val="center"/>
          </w:tcPr>
          <w:p w14:paraId="06D4C2A2">
            <w:pPr>
              <w:pStyle w:val="64"/>
              <w:rPr>
                <w:rFonts w:cs="Times New Roman"/>
              </w:rPr>
            </w:pPr>
            <w:r>
              <w:rPr>
                <w:rFonts w:cs="Times New Roman"/>
              </w:rPr>
              <w:t>&lt;0.01</w:t>
            </w:r>
          </w:p>
        </w:tc>
        <w:tc>
          <w:tcPr>
            <w:tcW w:w="765" w:type="dxa"/>
            <w:vAlign w:val="center"/>
          </w:tcPr>
          <w:p w14:paraId="2B3B63FF">
            <w:pPr>
              <w:pStyle w:val="64"/>
              <w:rPr>
                <w:rFonts w:cs="Times New Roman"/>
              </w:rPr>
            </w:pPr>
            <w:r>
              <w:rPr>
                <w:rFonts w:cs="Times New Roman"/>
              </w:rPr>
              <w:t>ND</w:t>
            </w:r>
          </w:p>
        </w:tc>
        <w:tc>
          <w:tcPr>
            <w:tcW w:w="976" w:type="dxa"/>
            <w:vAlign w:val="center"/>
          </w:tcPr>
          <w:p w14:paraId="2077E862">
            <w:pPr>
              <w:pStyle w:val="64"/>
              <w:rPr>
                <w:rFonts w:cs="Times New Roman"/>
              </w:rPr>
            </w:pPr>
            <w:r>
              <w:rPr>
                <w:rFonts w:cs="Times New Roman"/>
              </w:rPr>
              <w:t>&lt;3×10</w:t>
            </w:r>
            <w:r>
              <w:rPr>
                <w:rFonts w:hint="eastAsia" w:cs="Times New Roman"/>
                <w:vertAlign w:val="superscript"/>
              </w:rPr>
              <w:t>-4</w:t>
            </w:r>
          </w:p>
        </w:tc>
        <w:tc>
          <w:tcPr>
            <w:tcW w:w="876" w:type="dxa"/>
            <w:vAlign w:val="center"/>
          </w:tcPr>
          <w:p w14:paraId="331ABAAA">
            <w:pPr>
              <w:pStyle w:val="64"/>
              <w:rPr>
                <w:rFonts w:cs="Times New Roman"/>
              </w:rPr>
            </w:pPr>
            <w:r>
              <w:rPr>
                <w:rFonts w:cs="Times New Roman"/>
              </w:rPr>
              <w:t>&lt;0.005</w:t>
            </w:r>
          </w:p>
        </w:tc>
        <w:tc>
          <w:tcPr>
            <w:tcW w:w="1174" w:type="dxa"/>
            <w:vAlign w:val="center"/>
          </w:tcPr>
          <w:p w14:paraId="2377D50A">
            <w:pPr>
              <w:pStyle w:val="64"/>
              <w:rPr>
                <w:rFonts w:cs="Times New Roman"/>
              </w:rPr>
            </w:pPr>
            <w:r>
              <w:rPr>
                <w:rFonts w:cs="Times New Roman"/>
              </w:rPr>
              <w:t>&lt;0.005</w:t>
            </w:r>
          </w:p>
        </w:tc>
      </w:tr>
      <w:tr w14:paraId="5D975A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71" w:type="dxa"/>
            <w:vMerge w:val="continue"/>
            <w:vAlign w:val="center"/>
          </w:tcPr>
          <w:p w14:paraId="4AD75D2A">
            <w:pPr>
              <w:pStyle w:val="64"/>
              <w:rPr>
                <w:rFonts w:cs="Times New Roman"/>
              </w:rPr>
            </w:pPr>
          </w:p>
        </w:tc>
        <w:tc>
          <w:tcPr>
            <w:tcW w:w="1559" w:type="dxa"/>
            <w:vMerge w:val="continue"/>
            <w:vAlign w:val="center"/>
          </w:tcPr>
          <w:p w14:paraId="431E02C7">
            <w:pPr>
              <w:pStyle w:val="64"/>
              <w:rPr>
                <w:rFonts w:cs="Times New Roman"/>
              </w:rPr>
            </w:pPr>
          </w:p>
        </w:tc>
        <w:tc>
          <w:tcPr>
            <w:tcW w:w="1276" w:type="dxa"/>
            <w:vMerge w:val="continue"/>
            <w:vAlign w:val="center"/>
          </w:tcPr>
          <w:p w14:paraId="715D630F">
            <w:pPr>
              <w:pStyle w:val="64"/>
              <w:rPr>
                <w:rFonts w:cs="Times New Roman"/>
              </w:rPr>
            </w:pPr>
          </w:p>
        </w:tc>
        <w:tc>
          <w:tcPr>
            <w:tcW w:w="1575" w:type="dxa"/>
            <w:vAlign w:val="center"/>
          </w:tcPr>
          <w:p w14:paraId="26AE1D54">
            <w:pPr>
              <w:pStyle w:val="64"/>
              <w:rPr>
                <w:rFonts w:cs="Times New Roman"/>
              </w:rPr>
            </w:pPr>
            <w:r>
              <w:rPr>
                <w:rFonts w:cs="Times New Roman"/>
              </w:rPr>
              <w:t>Si</w:t>
            </w:r>
          </w:p>
        </w:tc>
        <w:tc>
          <w:tcPr>
            <w:tcW w:w="844" w:type="dxa"/>
            <w:vAlign w:val="center"/>
          </w:tcPr>
          <w:p w14:paraId="00A7E222">
            <w:pPr>
              <w:pStyle w:val="64"/>
              <w:rPr>
                <w:rFonts w:cs="Times New Roman"/>
              </w:rPr>
            </w:pPr>
            <w:r>
              <w:rPr>
                <w:rFonts w:cs="Times New Roman"/>
              </w:rPr>
              <w:t>0.57</w:t>
            </w:r>
          </w:p>
        </w:tc>
        <w:tc>
          <w:tcPr>
            <w:tcW w:w="803" w:type="dxa"/>
            <w:vAlign w:val="center"/>
          </w:tcPr>
          <w:p w14:paraId="439AD1D2">
            <w:pPr>
              <w:pStyle w:val="64"/>
              <w:rPr>
                <w:rFonts w:cs="Times New Roman"/>
              </w:rPr>
            </w:pPr>
            <w:r>
              <w:rPr>
                <w:rFonts w:cs="Times New Roman"/>
              </w:rPr>
              <w:t>0.02</w:t>
            </w:r>
          </w:p>
        </w:tc>
        <w:tc>
          <w:tcPr>
            <w:tcW w:w="830" w:type="dxa"/>
            <w:vAlign w:val="center"/>
          </w:tcPr>
          <w:p w14:paraId="25704A38">
            <w:pPr>
              <w:pStyle w:val="64"/>
              <w:rPr>
                <w:rFonts w:cs="Times New Roman"/>
              </w:rPr>
            </w:pPr>
            <w:r>
              <w:rPr>
                <w:rFonts w:cs="Times New Roman"/>
              </w:rPr>
              <w:t>0.51</w:t>
            </w:r>
          </w:p>
        </w:tc>
        <w:tc>
          <w:tcPr>
            <w:tcW w:w="912" w:type="dxa"/>
            <w:vAlign w:val="center"/>
          </w:tcPr>
          <w:p w14:paraId="5FDC1EFB">
            <w:pPr>
              <w:pStyle w:val="64"/>
              <w:rPr>
                <w:rFonts w:cs="Times New Roman"/>
              </w:rPr>
            </w:pPr>
            <w:r>
              <w:rPr>
                <w:rFonts w:cs="Times New Roman"/>
              </w:rPr>
              <w:t>&lt;0.03</w:t>
            </w:r>
          </w:p>
        </w:tc>
        <w:tc>
          <w:tcPr>
            <w:tcW w:w="1131" w:type="dxa"/>
            <w:vAlign w:val="center"/>
          </w:tcPr>
          <w:p w14:paraId="1A9D7ED1">
            <w:pPr>
              <w:pStyle w:val="64"/>
              <w:rPr>
                <w:rFonts w:cs="Times New Roman"/>
              </w:rPr>
            </w:pPr>
            <w:r>
              <w:rPr>
                <w:rFonts w:cs="Times New Roman"/>
              </w:rPr>
              <w:t>&lt;0.2</w:t>
            </w:r>
          </w:p>
        </w:tc>
        <w:tc>
          <w:tcPr>
            <w:tcW w:w="765" w:type="dxa"/>
            <w:vAlign w:val="center"/>
          </w:tcPr>
          <w:p w14:paraId="2716E687">
            <w:pPr>
              <w:pStyle w:val="64"/>
              <w:rPr>
                <w:rFonts w:cs="Times New Roman"/>
              </w:rPr>
            </w:pPr>
            <w:r>
              <w:rPr>
                <w:rFonts w:cs="Times New Roman"/>
              </w:rPr>
              <w:t>ND</w:t>
            </w:r>
          </w:p>
        </w:tc>
        <w:tc>
          <w:tcPr>
            <w:tcW w:w="976" w:type="dxa"/>
            <w:vAlign w:val="center"/>
          </w:tcPr>
          <w:p w14:paraId="34969146">
            <w:pPr>
              <w:pStyle w:val="64"/>
              <w:rPr>
                <w:rFonts w:cs="Times New Roman"/>
              </w:rPr>
            </w:pPr>
            <w:r>
              <w:rPr>
                <w:rFonts w:cs="Times New Roman"/>
              </w:rPr>
              <w:t>&lt;0.003</w:t>
            </w:r>
          </w:p>
        </w:tc>
        <w:tc>
          <w:tcPr>
            <w:tcW w:w="876" w:type="dxa"/>
            <w:vAlign w:val="center"/>
          </w:tcPr>
          <w:p w14:paraId="0F50082B">
            <w:pPr>
              <w:pStyle w:val="64"/>
              <w:rPr>
                <w:rFonts w:cs="Times New Roman"/>
              </w:rPr>
            </w:pPr>
            <w:r>
              <w:rPr>
                <w:rFonts w:cs="Times New Roman"/>
              </w:rPr>
              <w:t>&lt;0.005</w:t>
            </w:r>
          </w:p>
        </w:tc>
        <w:tc>
          <w:tcPr>
            <w:tcW w:w="1174" w:type="dxa"/>
            <w:vAlign w:val="center"/>
          </w:tcPr>
          <w:p w14:paraId="0C561604">
            <w:pPr>
              <w:pStyle w:val="64"/>
              <w:rPr>
                <w:rFonts w:cs="Times New Roman"/>
              </w:rPr>
            </w:pPr>
            <w:r>
              <w:rPr>
                <w:rFonts w:cs="Times New Roman"/>
              </w:rPr>
              <w:t>&lt;0.0025</w:t>
            </w:r>
          </w:p>
        </w:tc>
      </w:tr>
      <w:tr w14:paraId="629FB9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71" w:type="dxa"/>
            <w:vMerge w:val="restart"/>
            <w:vAlign w:val="center"/>
          </w:tcPr>
          <w:p w14:paraId="1272837F">
            <w:pPr>
              <w:pStyle w:val="64"/>
              <w:rPr>
                <w:rFonts w:cs="Times New Roman"/>
              </w:rPr>
            </w:pPr>
            <w:r>
              <w:rPr>
                <w:rFonts w:hint="eastAsia" w:cs="Times New Roman"/>
              </w:rPr>
              <w:t>3</w:t>
            </w:r>
            <w:r>
              <w:rPr>
                <w:rFonts w:cs="Times New Roman"/>
              </w:rPr>
              <w:t>#三铺大沟入淮河口处上游500m距</w:t>
            </w:r>
          </w:p>
        </w:tc>
        <w:tc>
          <w:tcPr>
            <w:tcW w:w="1559" w:type="dxa"/>
            <w:vMerge w:val="restart"/>
            <w:vAlign w:val="center"/>
          </w:tcPr>
          <w:p w14:paraId="4E2B4D38">
            <w:pPr>
              <w:pStyle w:val="64"/>
              <w:rPr>
                <w:rFonts w:cs="Times New Roman"/>
              </w:rPr>
            </w:pPr>
            <w:r>
              <w:rPr>
                <w:rFonts w:cs="Times New Roman"/>
              </w:rPr>
              <w:t>E:11732'31.01"</w:t>
            </w:r>
            <w:r>
              <w:rPr>
                <w:rFonts w:cs="Times New Roman"/>
              </w:rPr>
              <w:br w:type="textWrapping"/>
            </w:r>
            <w:r>
              <w:rPr>
                <w:rFonts w:cs="Times New Roman"/>
              </w:rPr>
              <w:t>N:32°58'36.51"</w:t>
            </w:r>
          </w:p>
        </w:tc>
        <w:tc>
          <w:tcPr>
            <w:tcW w:w="1276" w:type="dxa"/>
            <w:vMerge w:val="restart"/>
            <w:vAlign w:val="center"/>
          </w:tcPr>
          <w:p w14:paraId="6E3E2C04">
            <w:pPr>
              <w:pStyle w:val="64"/>
              <w:rPr>
                <w:rFonts w:cs="Times New Roman"/>
              </w:rPr>
            </w:pPr>
            <w:r>
              <w:rPr>
                <w:rFonts w:cs="Times New Roman"/>
              </w:rPr>
              <w:t>2024.4.28</w:t>
            </w:r>
          </w:p>
        </w:tc>
        <w:tc>
          <w:tcPr>
            <w:tcW w:w="1575" w:type="dxa"/>
            <w:vAlign w:val="center"/>
          </w:tcPr>
          <w:p w14:paraId="622B8B04">
            <w:pPr>
              <w:pStyle w:val="64"/>
              <w:rPr>
                <w:rFonts w:cs="Times New Roman"/>
              </w:rPr>
            </w:pPr>
            <w:r>
              <w:rPr>
                <w:rFonts w:cs="Times New Roman"/>
              </w:rPr>
              <w:t>Ci</w:t>
            </w:r>
          </w:p>
        </w:tc>
        <w:tc>
          <w:tcPr>
            <w:tcW w:w="844" w:type="dxa"/>
            <w:vAlign w:val="center"/>
          </w:tcPr>
          <w:p w14:paraId="3B80F225">
            <w:pPr>
              <w:pStyle w:val="64"/>
              <w:rPr>
                <w:rFonts w:cs="Times New Roman"/>
              </w:rPr>
            </w:pPr>
            <w:r>
              <w:rPr>
                <w:rFonts w:cs="Times New Roman"/>
              </w:rPr>
              <w:t>0.11</w:t>
            </w:r>
          </w:p>
        </w:tc>
        <w:tc>
          <w:tcPr>
            <w:tcW w:w="803" w:type="dxa"/>
            <w:vAlign w:val="center"/>
          </w:tcPr>
          <w:p w14:paraId="5CD6392D">
            <w:pPr>
              <w:pStyle w:val="64"/>
              <w:rPr>
                <w:rFonts w:cs="Times New Roman"/>
              </w:rPr>
            </w:pPr>
            <w:r>
              <w:rPr>
                <w:rFonts w:cs="Times New Roman"/>
              </w:rPr>
              <w:t>0.01</w:t>
            </w:r>
          </w:p>
        </w:tc>
        <w:tc>
          <w:tcPr>
            <w:tcW w:w="830" w:type="dxa"/>
            <w:vAlign w:val="center"/>
          </w:tcPr>
          <w:p w14:paraId="215C54FB">
            <w:pPr>
              <w:pStyle w:val="64"/>
              <w:rPr>
                <w:rFonts w:cs="Times New Roman"/>
              </w:rPr>
            </w:pPr>
            <w:r>
              <w:rPr>
                <w:rFonts w:cs="Times New Roman"/>
              </w:rPr>
              <w:t>0.4</w:t>
            </w:r>
          </w:p>
        </w:tc>
        <w:tc>
          <w:tcPr>
            <w:tcW w:w="912" w:type="dxa"/>
            <w:vAlign w:val="center"/>
          </w:tcPr>
          <w:p w14:paraId="6E34EEA8">
            <w:pPr>
              <w:pStyle w:val="64"/>
              <w:rPr>
                <w:rFonts w:cs="Times New Roman"/>
              </w:rPr>
            </w:pPr>
            <w:r>
              <w:rPr>
                <w:rFonts w:cs="Times New Roman"/>
              </w:rPr>
              <w:t>&lt;0.0003</w:t>
            </w:r>
          </w:p>
        </w:tc>
        <w:tc>
          <w:tcPr>
            <w:tcW w:w="1131" w:type="dxa"/>
            <w:vAlign w:val="center"/>
          </w:tcPr>
          <w:p w14:paraId="7FB49C30">
            <w:pPr>
              <w:pStyle w:val="64"/>
              <w:rPr>
                <w:rFonts w:cs="Times New Roman"/>
              </w:rPr>
            </w:pPr>
            <w:r>
              <w:rPr>
                <w:rFonts w:cs="Times New Roman"/>
              </w:rPr>
              <w:t>&lt;0.01</w:t>
            </w:r>
          </w:p>
        </w:tc>
        <w:tc>
          <w:tcPr>
            <w:tcW w:w="765" w:type="dxa"/>
            <w:vAlign w:val="center"/>
          </w:tcPr>
          <w:p w14:paraId="4ED8D2B3">
            <w:pPr>
              <w:pStyle w:val="64"/>
              <w:rPr>
                <w:rFonts w:cs="Times New Roman"/>
              </w:rPr>
            </w:pPr>
            <w:r>
              <w:rPr>
                <w:rFonts w:cs="Times New Roman"/>
              </w:rPr>
              <w:t>ND</w:t>
            </w:r>
          </w:p>
        </w:tc>
        <w:tc>
          <w:tcPr>
            <w:tcW w:w="976" w:type="dxa"/>
            <w:vAlign w:val="center"/>
          </w:tcPr>
          <w:p w14:paraId="6F180134">
            <w:pPr>
              <w:pStyle w:val="64"/>
              <w:rPr>
                <w:rFonts w:cs="Times New Roman"/>
              </w:rPr>
            </w:pPr>
            <w:r>
              <w:rPr>
                <w:rFonts w:cs="Times New Roman"/>
              </w:rPr>
              <w:t>&lt;3×10</w:t>
            </w:r>
            <w:r>
              <w:rPr>
                <w:rFonts w:hint="eastAsia" w:cs="Times New Roman"/>
                <w:vertAlign w:val="superscript"/>
              </w:rPr>
              <w:t>-4</w:t>
            </w:r>
          </w:p>
        </w:tc>
        <w:tc>
          <w:tcPr>
            <w:tcW w:w="876" w:type="dxa"/>
            <w:vAlign w:val="center"/>
          </w:tcPr>
          <w:p w14:paraId="06F3227A">
            <w:pPr>
              <w:pStyle w:val="64"/>
              <w:rPr>
                <w:rFonts w:cs="Times New Roman"/>
              </w:rPr>
            </w:pPr>
            <w:r>
              <w:rPr>
                <w:rFonts w:cs="Times New Roman"/>
              </w:rPr>
              <w:t>&lt;0.005</w:t>
            </w:r>
          </w:p>
        </w:tc>
        <w:tc>
          <w:tcPr>
            <w:tcW w:w="1174" w:type="dxa"/>
            <w:vAlign w:val="center"/>
          </w:tcPr>
          <w:p w14:paraId="387E5C17">
            <w:pPr>
              <w:pStyle w:val="64"/>
              <w:rPr>
                <w:rFonts w:cs="Times New Roman"/>
              </w:rPr>
            </w:pPr>
            <w:r>
              <w:rPr>
                <w:rFonts w:cs="Times New Roman"/>
              </w:rPr>
              <w:t>&lt;0.005</w:t>
            </w:r>
          </w:p>
        </w:tc>
      </w:tr>
      <w:tr w14:paraId="320BD8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71" w:type="dxa"/>
            <w:vMerge w:val="continue"/>
            <w:vAlign w:val="center"/>
          </w:tcPr>
          <w:p w14:paraId="24AC44DD">
            <w:pPr>
              <w:pStyle w:val="64"/>
              <w:rPr>
                <w:rFonts w:cs="Times New Roman"/>
              </w:rPr>
            </w:pPr>
          </w:p>
        </w:tc>
        <w:tc>
          <w:tcPr>
            <w:tcW w:w="1559" w:type="dxa"/>
            <w:vMerge w:val="continue"/>
            <w:vAlign w:val="center"/>
          </w:tcPr>
          <w:p w14:paraId="7FDA999D">
            <w:pPr>
              <w:pStyle w:val="64"/>
              <w:rPr>
                <w:rFonts w:cs="Times New Roman"/>
              </w:rPr>
            </w:pPr>
          </w:p>
        </w:tc>
        <w:tc>
          <w:tcPr>
            <w:tcW w:w="1276" w:type="dxa"/>
            <w:vMerge w:val="continue"/>
            <w:vAlign w:val="center"/>
          </w:tcPr>
          <w:p w14:paraId="0044193F">
            <w:pPr>
              <w:pStyle w:val="64"/>
              <w:rPr>
                <w:rFonts w:cs="Times New Roman"/>
              </w:rPr>
            </w:pPr>
          </w:p>
        </w:tc>
        <w:tc>
          <w:tcPr>
            <w:tcW w:w="1575" w:type="dxa"/>
            <w:vAlign w:val="center"/>
          </w:tcPr>
          <w:p w14:paraId="4F892714">
            <w:pPr>
              <w:pStyle w:val="64"/>
              <w:rPr>
                <w:rFonts w:cs="Times New Roman"/>
              </w:rPr>
            </w:pPr>
            <w:r>
              <w:rPr>
                <w:rFonts w:cs="Times New Roman"/>
              </w:rPr>
              <w:t>Si</w:t>
            </w:r>
          </w:p>
        </w:tc>
        <w:tc>
          <w:tcPr>
            <w:tcW w:w="844" w:type="dxa"/>
            <w:vAlign w:val="center"/>
          </w:tcPr>
          <w:p w14:paraId="5BAD1603">
            <w:pPr>
              <w:pStyle w:val="64"/>
              <w:rPr>
                <w:rFonts w:cs="Times New Roman"/>
              </w:rPr>
            </w:pPr>
            <w:r>
              <w:rPr>
                <w:rFonts w:cs="Times New Roman"/>
              </w:rPr>
              <w:t>0.55</w:t>
            </w:r>
          </w:p>
        </w:tc>
        <w:tc>
          <w:tcPr>
            <w:tcW w:w="803" w:type="dxa"/>
            <w:vAlign w:val="center"/>
          </w:tcPr>
          <w:p w14:paraId="1A3260F6">
            <w:pPr>
              <w:pStyle w:val="64"/>
              <w:rPr>
                <w:rFonts w:cs="Times New Roman"/>
              </w:rPr>
            </w:pPr>
            <w:r>
              <w:rPr>
                <w:rFonts w:cs="Times New Roman"/>
              </w:rPr>
              <w:t>0.05</w:t>
            </w:r>
          </w:p>
        </w:tc>
        <w:tc>
          <w:tcPr>
            <w:tcW w:w="830" w:type="dxa"/>
            <w:vAlign w:val="center"/>
          </w:tcPr>
          <w:p w14:paraId="19BE781D">
            <w:pPr>
              <w:pStyle w:val="64"/>
              <w:rPr>
                <w:rFonts w:cs="Times New Roman"/>
              </w:rPr>
            </w:pPr>
            <w:r>
              <w:rPr>
                <w:rFonts w:cs="Times New Roman"/>
              </w:rPr>
              <w:t>0.4</w:t>
            </w:r>
          </w:p>
        </w:tc>
        <w:tc>
          <w:tcPr>
            <w:tcW w:w="912" w:type="dxa"/>
            <w:vAlign w:val="center"/>
          </w:tcPr>
          <w:p w14:paraId="3B12B399">
            <w:pPr>
              <w:pStyle w:val="64"/>
              <w:rPr>
                <w:rFonts w:cs="Times New Roman"/>
              </w:rPr>
            </w:pPr>
            <w:r>
              <w:rPr>
                <w:rFonts w:cs="Times New Roman"/>
              </w:rPr>
              <w:t>&lt;0.06</w:t>
            </w:r>
          </w:p>
        </w:tc>
        <w:tc>
          <w:tcPr>
            <w:tcW w:w="1131" w:type="dxa"/>
            <w:vAlign w:val="center"/>
          </w:tcPr>
          <w:p w14:paraId="5780BDDC">
            <w:pPr>
              <w:pStyle w:val="64"/>
              <w:rPr>
                <w:rFonts w:cs="Times New Roman"/>
              </w:rPr>
            </w:pPr>
            <w:r>
              <w:rPr>
                <w:rFonts w:cs="Times New Roman"/>
              </w:rPr>
              <w:t>&lt;0.2</w:t>
            </w:r>
          </w:p>
        </w:tc>
        <w:tc>
          <w:tcPr>
            <w:tcW w:w="765" w:type="dxa"/>
            <w:vAlign w:val="center"/>
          </w:tcPr>
          <w:p w14:paraId="0100937E">
            <w:pPr>
              <w:pStyle w:val="64"/>
              <w:rPr>
                <w:rFonts w:cs="Times New Roman"/>
              </w:rPr>
            </w:pPr>
            <w:r>
              <w:rPr>
                <w:rFonts w:cs="Times New Roman"/>
              </w:rPr>
              <w:t>ND</w:t>
            </w:r>
          </w:p>
        </w:tc>
        <w:tc>
          <w:tcPr>
            <w:tcW w:w="976" w:type="dxa"/>
            <w:vAlign w:val="center"/>
          </w:tcPr>
          <w:p w14:paraId="0E26F1D6">
            <w:pPr>
              <w:pStyle w:val="64"/>
              <w:rPr>
                <w:rFonts w:cs="Times New Roman"/>
              </w:rPr>
            </w:pPr>
            <w:r>
              <w:rPr>
                <w:rFonts w:cs="Times New Roman"/>
              </w:rPr>
              <w:t>&lt;0.006</w:t>
            </w:r>
          </w:p>
        </w:tc>
        <w:tc>
          <w:tcPr>
            <w:tcW w:w="876" w:type="dxa"/>
            <w:vAlign w:val="center"/>
          </w:tcPr>
          <w:p w14:paraId="071866E7">
            <w:pPr>
              <w:pStyle w:val="64"/>
              <w:rPr>
                <w:rFonts w:cs="Times New Roman"/>
              </w:rPr>
            </w:pPr>
            <w:r>
              <w:rPr>
                <w:rFonts w:cs="Times New Roman"/>
              </w:rPr>
              <w:t>&lt;0.005</w:t>
            </w:r>
          </w:p>
        </w:tc>
        <w:tc>
          <w:tcPr>
            <w:tcW w:w="1174" w:type="dxa"/>
            <w:vAlign w:val="center"/>
          </w:tcPr>
          <w:p w14:paraId="4E3067D3">
            <w:pPr>
              <w:pStyle w:val="64"/>
              <w:rPr>
                <w:rFonts w:cs="Times New Roman"/>
              </w:rPr>
            </w:pPr>
            <w:r>
              <w:rPr>
                <w:rFonts w:cs="Times New Roman"/>
              </w:rPr>
              <w:t>&lt;0.005</w:t>
            </w:r>
          </w:p>
        </w:tc>
      </w:tr>
      <w:tr w14:paraId="3D6554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71" w:type="dxa"/>
            <w:vMerge w:val="continue"/>
            <w:vAlign w:val="center"/>
          </w:tcPr>
          <w:p w14:paraId="0B898CEA">
            <w:pPr>
              <w:pStyle w:val="64"/>
              <w:rPr>
                <w:rFonts w:cs="Times New Roman"/>
              </w:rPr>
            </w:pPr>
          </w:p>
        </w:tc>
        <w:tc>
          <w:tcPr>
            <w:tcW w:w="1559" w:type="dxa"/>
            <w:vMerge w:val="continue"/>
            <w:vAlign w:val="center"/>
          </w:tcPr>
          <w:p w14:paraId="36EFAF52">
            <w:pPr>
              <w:pStyle w:val="64"/>
              <w:rPr>
                <w:rFonts w:cs="Times New Roman"/>
              </w:rPr>
            </w:pPr>
          </w:p>
        </w:tc>
        <w:tc>
          <w:tcPr>
            <w:tcW w:w="1276" w:type="dxa"/>
            <w:vMerge w:val="restart"/>
            <w:vAlign w:val="center"/>
          </w:tcPr>
          <w:p w14:paraId="2425AD1D">
            <w:pPr>
              <w:pStyle w:val="64"/>
              <w:rPr>
                <w:rFonts w:cs="Times New Roman"/>
              </w:rPr>
            </w:pPr>
            <w:r>
              <w:rPr>
                <w:rFonts w:cs="Times New Roman"/>
              </w:rPr>
              <w:t>2024.4.29</w:t>
            </w:r>
          </w:p>
        </w:tc>
        <w:tc>
          <w:tcPr>
            <w:tcW w:w="1575" w:type="dxa"/>
            <w:vAlign w:val="center"/>
          </w:tcPr>
          <w:p w14:paraId="546F0095">
            <w:pPr>
              <w:pStyle w:val="64"/>
              <w:rPr>
                <w:rFonts w:cs="Times New Roman"/>
              </w:rPr>
            </w:pPr>
            <w:r>
              <w:rPr>
                <w:rFonts w:cs="Times New Roman"/>
              </w:rPr>
              <w:t>Ci</w:t>
            </w:r>
          </w:p>
        </w:tc>
        <w:tc>
          <w:tcPr>
            <w:tcW w:w="844" w:type="dxa"/>
            <w:vAlign w:val="center"/>
          </w:tcPr>
          <w:p w14:paraId="4176462C">
            <w:pPr>
              <w:pStyle w:val="64"/>
              <w:rPr>
                <w:rFonts w:cs="Times New Roman"/>
              </w:rPr>
            </w:pPr>
            <w:r>
              <w:rPr>
                <w:rFonts w:cs="Times New Roman"/>
              </w:rPr>
              <w:t>0.11</w:t>
            </w:r>
          </w:p>
        </w:tc>
        <w:tc>
          <w:tcPr>
            <w:tcW w:w="803" w:type="dxa"/>
            <w:vAlign w:val="center"/>
          </w:tcPr>
          <w:p w14:paraId="716ECAFE">
            <w:pPr>
              <w:pStyle w:val="64"/>
              <w:rPr>
                <w:rFonts w:cs="Times New Roman"/>
              </w:rPr>
            </w:pPr>
            <w:r>
              <w:rPr>
                <w:rFonts w:cs="Times New Roman"/>
              </w:rPr>
              <w:t>0.01</w:t>
            </w:r>
          </w:p>
        </w:tc>
        <w:tc>
          <w:tcPr>
            <w:tcW w:w="830" w:type="dxa"/>
            <w:vAlign w:val="center"/>
          </w:tcPr>
          <w:p w14:paraId="426E5747">
            <w:pPr>
              <w:pStyle w:val="64"/>
              <w:rPr>
                <w:rFonts w:cs="Times New Roman"/>
              </w:rPr>
            </w:pPr>
            <w:r>
              <w:rPr>
                <w:rFonts w:cs="Times New Roman"/>
              </w:rPr>
              <w:t>0.45</w:t>
            </w:r>
          </w:p>
        </w:tc>
        <w:tc>
          <w:tcPr>
            <w:tcW w:w="912" w:type="dxa"/>
            <w:vAlign w:val="center"/>
          </w:tcPr>
          <w:p w14:paraId="1E1712F1">
            <w:pPr>
              <w:pStyle w:val="64"/>
              <w:rPr>
                <w:rFonts w:cs="Times New Roman"/>
              </w:rPr>
            </w:pPr>
            <w:r>
              <w:rPr>
                <w:rFonts w:cs="Times New Roman"/>
              </w:rPr>
              <w:t>&lt;0.0003</w:t>
            </w:r>
          </w:p>
        </w:tc>
        <w:tc>
          <w:tcPr>
            <w:tcW w:w="1131" w:type="dxa"/>
            <w:vAlign w:val="center"/>
          </w:tcPr>
          <w:p w14:paraId="763E5A59">
            <w:pPr>
              <w:pStyle w:val="64"/>
              <w:rPr>
                <w:rFonts w:cs="Times New Roman"/>
              </w:rPr>
            </w:pPr>
            <w:r>
              <w:rPr>
                <w:rFonts w:cs="Times New Roman"/>
              </w:rPr>
              <w:t>&lt;0.01</w:t>
            </w:r>
          </w:p>
        </w:tc>
        <w:tc>
          <w:tcPr>
            <w:tcW w:w="765" w:type="dxa"/>
            <w:vAlign w:val="center"/>
          </w:tcPr>
          <w:p w14:paraId="511D0E61">
            <w:pPr>
              <w:pStyle w:val="64"/>
              <w:rPr>
                <w:rFonts w:cs="Times New Roman"/>
              </w:rPr>
            </w:pPr>
            <w:r>
              <w:rPr>
                <w:rFonts w:cs="Times New Roman"/>
              </w:rPr>
              <w:t>ND</w:t>
            </w:r>
          </w:p>
        </w:tc>
        <w:tc>
          <w:tcPr>
            <w:tcW w:w="976" w:type="dxa"/>
            <w:vAlign w:val="center"/>
          </w:tcPr>
          <w:p w14:paraId="62BD776D">
            <w:pPr>
              <w:pStyle w:val="64"/>
              <w:rPr>
                <w:rFonts w:cs="Times New Roman"/>
              </w:rPr>
            </w:pPr>
            <w:r>
              <w:rPr>
                <w:rFonts w:cs="Times New Roman"/>
              </w:rPr>
              <w:t>&lt;3×10</w:t>
            </w:r>
            <w:r>
              <w:rPr>
                <w:rFonts w:hint="eastAsia" w:cs="Times New Roman"/>
                <w:vertAlign w:val="superscript"/>
              </w:rPr>
              <w:t>-4</w:t>
            </w:r>
          </w:p>
        </w:tc>
        <w:tc>
          <w:tcPr>
            <w:tcW w:w="876" w:type="dxa"/>
            <w:vAlign w:val="center"/>
          </w:tcPr>
          <w:p w14:paraId="199B88C9">
            <w:pPr>
              <w:pStyle w:val="64"/>
              <w:rPr>
                <w:rFonts w:cs="Times New Roman"/>
              </w:rPr>
            </w:pPr>
            <w:r>
              <w:rPr>
                <w:rFonts w:cs="Times New Roman"/>
              </w:rPr>
              <w:t>&lt;0.005</w:t>
            </w:r>
          </w:p>
        </w:tc>
        <w:tc>
          <w:tcPr>
            <w:tcW w:w="1174" w:type="dxa"/>
            <w:vAlign w:val="center"/>
          </w:tcPr>
          <w:p w14:paraId="7EDB47FB">
            <w:pPr>
              <w:pStyle w:val="64"/>
              <w:rPr>
                <w:rFonts w:cs="Times New Roman"/>
              </w:rPr>
            </w:pPr>
            <w:r>
              <w:rPr>
                <w:rFonts w:cs="Times New Roman"/>
              </w:rPr>
              <w:t>&lt;0.005</w:t>
            </w:r>
          </w:p>
        </w:tc>
      </w:tr>
      <w:tr w14:paraId="459C13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71" w:type="dxa"/>
            <w:vMerge w:val="continue"/>
            <w:vAlign w:val="center"/>
          </w:tcPr>
          <w:p w14:paraId="7368B20E">
            <w:pPr>
              <w:pStyle w:val="64"/>
              <w:rPr>
                <w:rFonts w:cs="Times New Roman"/>
              </w:rPr>
            </w:pPr>
          </w:p>
        </w:tc>
        <w:tc>
          <w:tcPr>
            <w:tcW w:w="1559" w:type="dxa"/>
            <w:vMerge w:val="continue"/>
            <w:vAlign w:val="center"/>
          </w:tcPr>
          <w:p w14:paraId="1283BC53">
            <w:pPr>
              <w:pStyle w:val="64"/>
              <w:rPr>
                <w:rFonts w:cs="Times New Roman"/>
              </w:rPr>
            </w:pPr>
          </w:p>
        </w:tc>
        <w:tc>
          <w:tcPr>
            <w:tcW w:w="1276" w:type="dxa"/>
            <w:vMerge w:val="continue"/>
            <w:vAlign w:val="center"/>
          </w:tcPr>
          <w:p w14:paraId="62DC6BBB">
            <w:pPr>
              <w:pStyle w:val="64"/>
              <w:rPr>
                <w:rFonts w:cs="Times New Roman"/>
              </w:rPr>
            </w:pPr>
          </w:p>
        </w:tc>
        <w:tc>
          <w:tcPr>
            <w:tcW w:w="1575" w:type="dxa"/>
            <w:vAlign w:val="center"/>
          </w:tcPr>
          <w:p w14:paraId="3D1DCBE3">
            <w:pPr>
              <w:pStyle w:val="64"/>
              <w:rPr>
                <w:rFonts w:cs="Times New Roman"/>
              </w:rPr>
            </w:pPr>
            <w:r>
              <w:rPr>
                <w:rFonts w:cs="Times New Roman"/>
              </w:rPr>
              <w:t>Si</w:t>
            </w:r>
          </w:p>
        </w:tc>
        <w:tc>
          <w:tcPr>
            <w:tcW w:w="844" w:type="dxa"/>
            <w:vAlign w:val="center"/>
          </w:tcPr>
          <w:p w14:paraId="3B238CF8">
            <w:pPr>
              <w:pStyle w:val="64"/>
              <w:rPr>
                <w:rFonts w:cs="Times New Roman"/>
              </w:rPr>
            </w:pPr>
            <w:r>
              <w:rPr>
                <w:rFonts w:cs="Times New Roman"/>
              </w:rPr>
              <w:t>0.55</w:t>
            </w:r>
          </w:p>
        </w:tc>
        <w:tc>
          <w:tcPr>
            <w:tcW w:w="803" w:type="dxa"/>
            <w:vAlign w:val="center"/>
          </w:tcPr>
          <w:p w14:paraId="5DE3E733">
            <w:pPr>
              <w:pStyle w:val="64"/>
              <w:rPr>
                <w:rFonts w:cs="Times New Roman"/>
              </w:rPr>
            </w:pPr>
            <w:r>
              <w:rPr>
                <w:rFonts w:cs="Times New Roman"/>
              </w:rPr>
              <w:t>0.05</w:t>
            </w:r>
          </w:p>
        </w:tc>
        <w:tc>
          <w:tcPr>
            <w:tcW w:w="830" w:type="dxa"/>
            <w:vAlign w:val="center"/>
          </w:tcPr>
          <w:p w14:paraId="0B2978F4">
            <w:pPr>
              <w:pStyle w:val="64"/>
              <w:rPr>
                <w:rFonts w:cs="Times New Roman"/>
              </w:rPr>
            </w:pPr>
            <w:r>
              <w:rPr>
                <w:rFonts w:cs="Times New Roman"/>
              </w:rPr>
              <w:t>0.45</w:t>
            </w:r>
          </w:p>
        </w:tc>
        <w:tc>
          <w:tcPr>
            <w:tcW w:w="912" w:type="dxa"/>
            <w:vAlign w:val="center"/>
          </w:tcPr>
          <w:p w14:paraId="5111F1EB">
            <w:pPr>
              <w:pStyle w:val="64"/>
              <w:rPr>
                <w:rFonts w:cs="Times New Roman"/>
              </w:rPr>
            </w:pPr>
            <w:r>
              <w:rPr>
                <w:rFonts w:cs="Times New Roman"/>
              </w:rPr>
              <w:t>&lt;0.06</w:t>
            </w:r>
          </w:p>
        </w:tc>
        <w:tc>
          <w:tcPr>
            <w:tcW w:w="1131" w:type="dxa"/>
            <w:vAlign w:val="center"/>
          </w:tcPr>
          <w:p w14:paraId="387AB6F0">
            <w:pPr>
              <w:pStyle w:val="64"/>
              <w:rPr>
                <w:rFonts w:cs="Times New Roman"/>
              </w:rPr>
            </w:pPr>
            <w:r>
              <w:rPr>
                <w:rFonts w:cs="Times New Roman"/>
              </w:rPr>
              <w:t>&lt;0.2</w:t>
            </w:r>
          </w:p>
        </w:tc>
        <w:tc>
          <w:tcPr>
            <w:tcW w:w="765" w:type="dxa"/>
            <w:vAlign w:val="center"/>
          </w:tcPr>
          <w:p w14:paraId="56C8E49C">
            <w:pPr>
              <w:pStyle w:val="64"/>
              <w:rPr>
                <w:rFonts w:cs="Times New Roman"/>
              </w:rPr>
            </w:pPr>
            <w:r>
              <w:rPr>
                <w:rFonts w:cs="Times New Roman"/>
              </w:rPr>
              <w:t>ND</w:t>
            </w:r>
          </w:p>
        </w:tc>
        <w:tc>
          <w:tcPr>
            <w:tcW w:w="976" w:type="dxa"/>
            <w:vAlign w:val="center"/>
          </w:tcPr>
          <w:p w14:paraId="73F72330">
            <w:pPr>
              <w:pStyle w:val="64"/>
              <w:rPr>
                <w:rFonts w:cs="Times New Roman"/>
              </w:rPr>
            </w:pPr>
            <w:r>
              <w:rPr>
                <w:rFonts w:cs="Times New Roman"/>
              </w:rPr>
              <w:t>&lt;0.006</w:t>
            </w:r>
          </w:p>
        </w:tc>
        <w:tc>
          <w:tcPr>
            <w:tcW w:w="876" w:type="dxa"/>
            <w:vAlign w:val="center"/>
          </w:tcPr>
          <w:p w14:paraId="6B0DE591">
            <w:pPr>
              <w:pStyle w:val="64"/>
              <w:rPr>
                <w:rFonts w:cs="Times New Roman"/>
              </w:rPr>
            </w:pPr>
            <w:r>
              <w:rPr>
                <w:rFonts w:cs="Times New Roman"/>
              </w:rPr>
              <w:t>&lt;0.005</w:t>
            </w:r>
          </w:p>
        </w:tc>
        <w:tc>
          <w:tcPr>
            <w:tcW w:w="1174" w:type="dxa"/>
            <w:vAlign w:val="center"/>
          </w:tcPr>
          <w:p w14:paraId="0F2CD2B5">
            <w:pPr>
              <w:pStyle w:val="64"/>
              <w:rPr>
                <w:rFonts w:cs="Times New Roman"/>
              </w:rPr>
            </w:pPr>
            <w:r>
              <w:rPr>
                <w:rFonts w:cs="Times New Roman"/>
              </w:rPr>
              <w:t>&lt;0.005</w:t>
            </w:r>
          </w:p>
        </w:tc>
      </w:tr>
      <w:tr w14:paraId="1D7D9F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71" w:type="dxa"/>
            <w:vMerge w:val="continue"/>
            <w:vAlign w:val="center"/>
          </w:tcPr>
          <w:p w14:paraId="0FB5C225">
            <w:pPr>
              <w:pStyle w:val="64"/>
              <w:rPr>
                <w:rFonts w:cs="Times New Roman"/>
              </w:rPr>
            </w:pPr>
          </w:p>
        </w:tc>
        <w:tc>
          <w:tcPr>
            <w:tcW w:w="1559" w:type="dxa"/>
            <w:vMerge w:val="continue"/>
            <w:vAlign w:val="center"/>
          </w:tcPr>
          <w:p w14:paraId="4AE5C4C1">
            <w:pPr>
              <w:pStyle w:val="64"/>
              <w:rPr>
                <w:rFonts w:cs="Times New Roman"/>
              </w:rPr>
            </w:pPr>
          </w:p>
        </w:tc>
        <w:tc>
          <w:tcPr>
            <w:tcW w:w="1276" w:type="dxa"/>
            <w:vMerge w:val="restart"/>
            <w:vAlign w:val="center"/>
          </w:tcPr>
          <w:p w14:paraId="6BBA0C9B">
            <w:pPr>
              <w:pStyle w:val="64"/>
              <w:rPr>
                <w:rFonts w:cs="Times New Roman"/>
              </w:rPr>
            </w:pPr>
            <w:r>
              <w:rPr>
                <w:rFonts w:cs="Times New Roman"/>
              </w:rPr>
              <w:t>2024.4.30</w:t>
            </w:r>
          </w:p>
        </w:tc>
        <w:tc>
          <w:tcPr>
            <w:tcW w:w="1575" w:type="dxa"/>
            <w:vAlign w:val="center"/>
          </w:tcPr>
          <w:p w14:paraId="5B82971C">
            <w:pPr>
              <w:pStyle w:val="64"/>
              <w:rPr>
                <w:rFonts w:cs="Times New Roman"/>
              </w:rPr>
            </w:pPr>
            <w:r>
              <w:rPr>
                <w:rFonts w:cs="Times New Roman"/>
              </w:rPr>
              <w:t>Ci</w:t>
            </w:r>
          </w:p>
        </w:tc>
        <w:tc>
          <w:tcPr>
            <w:tcW w:w="844" w:type="dxa"/>
            <w:vAlign w:val="center"/>
          </w:tcPr>
          <w:p w14:paraId="3BEBF04D">
            <w:pPr>
              <w:pStyle w:val="64"/>
              <w:rPr>
                <w:rFonts w:cs="Times New Roman"/>
              </w:rPr>
            </w:pPr>
            <w:r>
              <w:rPr>
                <w:rFonts w:cs="Times New Roman"/>
              </w:rPr>
              <w:t>0.11</w:t>
            </w:r>
          </w:p>
        </w:tc>
        <w:tc>
          <w:tcPr>
            <w:tcW w:w="803" w:type="dxa"/>
            <w:vAlign w:val="center"/>
          </w:tcPr>
          <w:p w14:paraId="656E9FB9">
            <w:pPr>
              <w:pStyle w:val="64"/>
              <w:rPr>
                <w:rFonts w:cs="Times New Roman"/>
              </w:rPr>
            </w:pPr>
            <w:r>
              <w:rPr>
                <w:rFonts w:cs="Times New Roman"/>
              </w:rPr>
              <w:t>0.01</w:t>
            </w:r>
          </w:p>
        </w:tc>
        <w:tc>
          <w:tcPr>
            <w:tcW w:w="830" w:type="dxa"/>
            <w:vAlign w:val="center"/>
          </w:tcPr>
          <w:p w14:paraId="5FF26FAB">
            <w:pPr>
              <w:pStyle w:val="64"/>
              <w:rPr>
                <w:rFonts w:cs="Times New Roman"/>
              </w:rPr>
            </w:pPr>
            <w:r>
              <w:rPr>
                <w:rFonts w:cs="Times New Roman"/>
              </w:rPr>
              <w:t>0.44</w:t>
            </w:r>
          </w:p>
        </w:tc>
        <w:tc>
          <w:tcPr>
            <w:tcW w:w="912" w:type="dxa"/>
            <w:vAlign w:val="center"/>
          </w:tcPr>
          <w:p w14:paraId="72B2EFCD">
            <w:pPr>
              <w:pStyle w:val="64"/>
              <w:rPr>
                <w:rFonts w:cs="Times New Roman"/>
              </w:rPr>
            </w:pPr>
            <w:r>
              <w:rPr>
                <w:rFonts w:cs="Times New Roman"/>
              </w:rPr>
              <w:t>&lt;0.0003</w:t>
            </w:r>
          </w:p>
        </w:tc>
        <w:tc>
          <w:tcPr>
            <w:tcW w:w="1131" w:type="dxa"/>
            <w:vAlign w:val="center"/>
          </w:tcPr>
          <w:p w14:paraId="55A66EE7">
            <w:pPr>
              <w:pStyle w:val="64"/>
              <w:rPr>
                <w:rFonts w:cs="Times New Roman"/>
              </w:rPr>
            </w:pPr>
            <w:r>
              <w:rPr>
                <w:rFonts w:cs="Times New Roman"/>
              </w:rPr>
              <w:t>&lt;0.01</w:t>
            </w:r>
          </w:p>
        </w:tc>
        <w:tc>
          <w:tcPr>
            <w:tcW w:w="765" w:type="dxa"/>
            <w:vAlign w:val="center"/>
          </w:tcPr>
          <w:p w14:paraId="6CF96F41">
            <w:pPr>
              <w:pStyle w:val="64"/>
              <w:rPr>
                <w:rFonts w:cs="Times New Roman"/>
              </w:rPr>
            </w:pPr>
            <w:r>
              <w:rPr>
                <w:rFonts w:cs="Times New Roman"/>
              </w:rPr>
              <w:t>ND</w:t>
            </w:r>
          </w:p>
        </w:tc>
        <w:tc>
          <w:tcPr>
            <w:tcW w:w="976" w:type="dxa"/>
            <w:vAlign w:val="center"/>
          </w:tcPr>
          <w:p w14:paraId="382DFA90">
            <w:pPr>
              <w:pStyle w:val="64"/>
              <w:rPr>
                <w:rFonts w:cs="Times New Roman"/>
              </w:rPr>
            </w:pPr>
            <w:r>
              <w:rPr>
                <w:rFonts w:cs="Times New Roman"/>
              </w:rPr>
              <w:t>&lt;3×10</w:t>
            </w:r>
            <w:r>
              <w:rPr>
                <w:rFonts w:hint="eastAsia" w:cs="Times New Roman"/>
                <w:vertAlign w:val="superscript"/>
              </w:rPr>
              <w:t>-4</w:t>
            </w:r>
          </w:p>
        </w:tc>
        <w:tc>
          <w:tcPr>
            <w:tcW w:w="876" w:type="dxa"/>
            <w:vAlign w:val="center"/>
          </w:tcPr>
          <w:p w14:paraId="56F23A28">
            <w:pPr>
              <w:pStyle w:val="64"/>
              <w:rPr>
                <w:rFonts w:cs="Times New Roman"/>
              </w:rPr>
            </w:pPr>
            <w:r>
              <w:rPr>
                <w:rFonts w:cs="Times New Roman"/>
              </w:rPr>
              <w:t>&lt;0.005</w:t>
            </w:r>
          </w:p>
        </w:tc>
        <w:tc>
          <w:tcPr>
            <w:tcW w:w="1174" w:type="dxa"/>
            <w:vAlign w:val="center"/>
          </w:tcPr>
          <w:p w14:paraId="25ADF430">
            <w:pPr>
              <w:pStyle w:val="64"/>
              <w:rPr>
                <w:rFonts w:cs="Times New Roman"/>
              </w:rPr>
            </w:pPr>
            <w:r>
              <w:rPr>
                <w:rFonts w:cs="Times New Roman"/>
              </w:rPr>
              <w:t>&lt;0.005</w:t>
            </w:r>
          </w:p>
        </w:tc>
      </w:tr>
      <w:tr w14:paraId="65D550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71" w:type="dxa"/>
            <w:vMerge w:val="continue"/>
            <w:vAlign w:val="center"/>
          </w:tcPr>
          <w:p w14:paraId="7752E423">
            <w:pPr>
              <w:pStyle w:val="64"/>
              <w:rPr>
                <w:rFonts w:cs="Times New Roman"/>
              </w:rPr>
            </w:pPr>
          </w:p>
        </w:tc>
        <w:tc>
          <w:tcPr>
            <w:tcW w:w="1559" w:type="dxa"/>
            <w:vMerge w:val="continue"/>
            <w:vAlign w:val="center"/>
          </w:tcPr>
          <w:p w14:paraId="42071205">
            <w:pPr>
              <w:pStyle w:val="64"/>
              <w:rPr>
                <w:rFonts w:cs="Times New Roman"/>
              </w:rPr>
            </w:pPr>
          </w:p>
        </w:tc>
        <w:tc>
          <w:tcPr>
            <w:tcW w:w="1276" w:type="dxa"/>
            <w:vMerge w:val="continue"/>
            <w:vAlign w:val="center"/>
          </w:tcPr>
          <w:p w14:paraId="244B14AC">
            <w:pPr>
              <w:pStyle w:val="64"/>
              <w:rPr>
                <w:rFonts w:cs="Times New Roman"/>
              </w:rPr>
            </w:pPr>
          </w:p>
        </w:tc>
        <w:tc>
          <w:tcPr>
            <w:tcW w:w="1575" w:type="dxa"/>
            <w:vAlign w:val="center"/>
          </w:tcPr>
          <w:p w14:paraId="6F64CF91">
            <w:pPr>
              <w:pStyle w:val="64"/>
              <w:rPr>
                <w:rFonts w:cs="Times New Roman"/>
              </w:rPr>
            </w:pPr>
            <w:r>
              <w:rPr>
                <w:rFonts w:cs="Times New Roman"/>
              </w:rPr>
              <w:t>Si</w:t>
            </w:r>
          </w:p>
        </w:tc>
        <w:tc>
          <w:tcPr>
            <w:tcW w:w="844" w:type="dxa"/>
            <w:vAlign w:val="center"/>
          </w:tcPr>
          <w:p w14:paraId="097BD9A7">
            <w:pPr>
              <w:pStyle w:val="64"/>
              <w:rPr>
                <w:rFonts w:cs="Times New Roman"/>
              </w:rPr>
            </w:pPr>
            <w:r>
              <w:rPr>
                <w:rFonts w:cs="Times New Roman"/>
              </w:rPr>
              <w:t>0.55</w:t>
            </w:r>
          </w:p>
        </w:tc>
        <w:tc>
          <w:tcPr>
            <w:tcW w:w="803" w:type="dxa"/>
            <w:vAlign w:val="center"/>
          </w:tcPr>
          <w:p w14:paraId="6F598567">
            <w:pPr>
              <w:pStyle w:val="64"/>
              <w:rPr>
                <w:rFonts w:cs="Times New Roman"/>
              </w:rPr>
            </w:pPr>
            <w:r>
              <w:rPr>
                <w:rFonts w:cs="Times New Roman"/>
              </w:rPr>
              <w:t>0.05</w:t>
            </w:r>
          </w:p>
        </w:tc>
        <w:tc>
          <w:tcPr>
            <w:tcW w:w="830" w:type="dxa"/>
            <w:vAlign w:val="center"/>
          </w:tcPr>
          <w:p w14:paraId="585FA0ED">
            <w:pPr>
              <w:pStyle w:val="64"/>
              <w:rPr>
                <w:rFonts w:cs="Times New Roman"/>
              </w:rPr>
            </w:pPr>
            <w:r>
              <w:rPr>
                <w:rFonts w:cs="Times New Roman"/>
              </w:rPr>
              <w:t>0.44</w:t>
            </w:r>
          </w:p>
        </w:tc>
        <w:tc>
          <w:tcPr>
            <w:tcW w:w="912" w:type="dxa"/>
            <w:vAlign w:val="center"/>
          </w:tcPr>
          <w:p w14:paraId="67AD7C23">
            <w:pPr>
              <w:pStyle w:val="64"/>
              <w:rPr>
                <w:rFonts w:cs="Times New Roman"/>
              </w:rPr>
            </w:pPr>
            <w:r>
              <w:rPr>
                <w:rFonts w:cs="Times New Roman"/>
              </w:rPr>
              <w:t>&lt;0.06</w:t>
            </w:r>
          </w:p>
        </w:tc>
        <w:tc>
          <w:tcPr>
            <w:tcW w:w="1131" w:type="dxa"/>
            <w:vAlign w:val="center"/>
          </w:tcPr>
          <w:p w14:paraId="058034F8">
            <w:pPr>
              <w:pStyle w:val="64"/>
              <w:rPr>
                <w:rFonts w:cs="Times New Roman"/>
              </w:rPr>
            </w:pPr>
            <w:r>
              <w:rPr>
                <w:rFonts w:cs="Times New Roman"/>
              </w:rPr>
              <w:t>&lt;0.2</w:t>
            </w:r>
          </w:p>
        </w:tc>
        <w:tc>
          <w:tcPr>
            <w:tcW w:w="765" w:type="dxa"/>
            <w:vAlign w:val="center"/>
          </w:tcPr>
          <w:p w14:paraId="227CB0F0">
            <w:pPr>
              <w:pStyle w:val="64"/>
              <w:rPr>
                <w:rFonts w:cs="Times New Roman"/>
              </w:rPr>
            </w:pPr>
            <w:r>
              <w:rPr>
                <w:rFonts w:cs="Times New Roman"/>
              </w:rPr>
              <w:t>ND</w:t>
            </w:r>
          </w:p>
        </w:tc>
        <w:tc>
          <w:tcPr>
            <w:tcW w:w="976" w:type="dxa"/>
            <w:vAlign w:val="center"/>
          </w:tcPr>
          <w:p w14:paraId="249CAC6C">
            <w:pPr>
              <w:pStyle w:val="64"/>
              <w:rPr>
                <w:rFonts w:cs="Times New Roman"/>
              </w:rPr>
            </w:pPr>
            <w:r>
              <w:rPr>
                <w:rFonts w:cs="Times New Roman"/>
              </w:rPr>
              <w:t>&lt;0.006</w:t>
            </w:r>
          </w:p>
        </w:tc>
        <w:tc>
          <w:tcPr>
            <w:tcW w:w="876" w:type="dxa"/>
            <w:vAlign w:val="center"/>
          </w:tcPr>
          <w:p w14:paraId="298F7EC8">
            <w:pPr>
              <w:pStyle w:val="64"/>
              <w:rPr>
                <w:rFonts w:cs="Times New Roman"/>
              </w:rPr>
            </w:pPr>
            <w:r>
              <w:rPr>
                <w:rFonts w:cs="Times New Roman"/>
              </w:rPr>
              <w:t>&lt;0.005</w:t>
            </w:r>
          </w:p>
        </w:tc>
        <w:tc>
          <w:tcPr>
            <w:tcW w:w="1174" w:type="dxa"/>
            <w:vAlign w:val="center"/>
          </w:tcPr>
          <w:p w14:paraId="00FF8671">
            <w:pPr>
              <w:pStyle w:val="64"/>
              <w:rPr>
                <w:rFonts w:cs="Times New Roman"/>
              </w:rPr>
            </w:pPr>
            <w:r>
              <w:rPr>
                <w:rFonts w:cs="Times New Roman"/>
              </w:rPr>
              <w:t>&lt;0.005</w:t>
            </w:r>
          </w:p>
        </w:tc>
      </w:tr>
      <w:tr w14:paraId="676140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71" w:type="dxa"/>
            <w:vMerge w:val="restart"/>
            <w:vAlign w:val="center"/>
          </w:tcPr>
          <w:p w14:paraId="43905BF1">
            <w:pPr>
              <w:pStyle w:val="64"/>
              <w:rPr>
                <w:rFonts w:cs="Times New Roman"/>
              </w:rPr>
            </w:pPr>
            <w:r>
              <w:rPr>
                <w:rFonts w:hint="eastAsia" w:cs="Times New Roman"/>
              </w:rPr>
              <w:t>4</w:t>
            </w:r>
            <w:r>
              <w:rPr>
                <w:rFonts w:cs="Times New Roman"/>
              </w:rPr>
              <w:t>#三铺大沟入淮河口处下游500m距</w:t>
            </w:r>
          </w:p>
        </w:tc>
        <w:tc>
          <w:tcPr>
            <w:tcW w:w="1559" w:type="dxa"/>
            <w:vMerge w:val="restart"/>
            <w:vAlign w:val="center"/>
          </w:tcPr>
          <w:p w14:paraId="1423F8AE">
            <w:pPr>
              <w:pStyle w:val="64"/>
              <w:rPr>
                <w:rFonts w:cs="Times New Roman"/>
              </w:rPr>
            </w:pPr>
            <w:r>
              <w:rPr>
                <w:rFonts w:cs="Times New Roman"/>
              </w:rPr>
              <w:t>E:117°32'59.78"</w:t>
            </w:r>
            <w:r>
              <w:rPr>
                <w:rFonts w:cs="Times New Roman"/>
              </w:rPr>
              <w:br w:type="textWrapping"/>
            </w:r>
            <w:r>
              <w:rPr>
                <w:rFonts w:cs="Times New Roman"/>
              </w:rPr>
              <w:t>N:32°58'14.68"</w:t>
            </w:r>
          </w:p>
        </w:tc>
        <w:tc>
          <w:tcPr>
            <w:tcW w:w="1276" w:type="dxa"/>
            <w:vMerge w:val="restart"/>
            <w:vAlign w:val="center"/>
          </w:tcPr>
          <w:p w14:paraId="4307F3AB">
            <w:pPr>
              <w:pStyle w:val="64"/>
              <w:rPr>
                <w:rFonts w:cs="Times New Roman"/>
              </w:rPr>
            </w:pPr>
            <w:r>
              <w:rPr>
                <w:rFonts w:cs="Times New Roman"/>
              </w:rPr>
              <w:t>2024.4.28</w:t>
            </w:r>
          </w:p>
        </w:tc>
        <w:tc>
          <w:tcPr>
            <w:tcW w:w="1575" w:type="dxa"/>
            <w:vAlign w:val="center"/>
          </w:tcPr>
          <w:p w14:paraId="231BB366">
            <w:pPr>
              <w:pStyle w:val="64"/>
              <w:rPr>
                <w:rFonts w:cs="Times New Roman"/>
              </w:rPr>
            </w:pPr>
            <w:r>
              <w:rPr>
                <w:rFonts w:cs="Times New Roman"/>
              </w:rPr>
              <w:t>Ci</w:t>
            </w:r>
          </w:p>
        </w:tc>
        <w:tc>
          <w:tcPr>
            <w:tcW w:w="844" w:type="dxa"/>
            <w:vAlign w:val="center"/>
          </w:tcPr>
          <w:p w14:paraId="78BE2672">
            <w:pPr>
              <w:pStyle w:val="64"/>
              <w:rPr>
                <w:rFonts w:cs="Times New Roman"/>
              </w:rPr>
            </w:pPr>
            <w:r>
              <w:rPr>
                <w:rFonts w:cs="Times New Roman"/>
              </w:rPr>
              <w:t>0.15</w:t>
            </w:r>
          </w:p>
        </w:tc>
        <w:tc>
          <w:tcPr>
            <w:tcW w:w="803" w:type="dxa"/>
            <w:vAlign w:val="center"/>
          </w:tcPr>
          <w:p w14:paraId="31D5CDD0">
            <w:pPr>
              <w:pStyle w:val="64"/>
              <w:rPr>
                <w:rFonts w:cs="Times New Roman"/>
              </w:rPr>
            </w:pPr>
            <w:r>
              <w:rPr>
                <w:rFonts w:cs="Times New Roman"/>
              </w:rPr>
              <w:t>0.01</w:t>
            </w:r>
          </w:p>
        </w:tc>
        <w:tc>
          <w:tcPr>
            <w:tcW w:w="830" w:type="dxa"/>
            <w:vAlign w:val="center"/>
          </w:tcPr>
          <w:p w14:paraId="72457BB4">
            <w:pPr>
              <w:pStyle w:val="64"/>
              <w:rPr>
                <w:rFonts w:cs="Times New Roman"/>
              </w:rPr>
            </w:pPr>
            <w:r>
              <w:rPr>
                <w:rFonts w:cs="Times New Roman"/>
              </w:rPr>
              <w:t>0.44</w:t>
            </w:r>
          </w:p>
        </w:tc>
        <w:tc>
          <w:tcPr>
            <w:tcW w:w="912" w:type="dxa"/>
            <w:vAlign w:val="center"/>
          </w:tcPr>
          <w:p w14:paraId="6EA78BBE">
            <w:pPr>
              <w:pStyle w:val="64"/>
              <w:rPr>
                <w:rFonts w:cs="Times New Roman"/>
              </w:rPr>
            </w:pPr>
            <w:r>
              <w:rPr>
                <w:rFonts w:cs="Times New Roman"/>
              </w:rPr>
              <w:t>&lt;0.0003</w:t>
            </w:r>
          </w:p>
        </w:tc>
        <w:tc>
          <w:tcPr>
            <w:tcW w:w="1131" w:type="dxa"/>
            <w:vAlign w:val="center"/>
          </w:tcPr>
          <w:p w14:paraId="2CA8F2D5">
            <w:pPr>
              <w:pStyle w:val="64"/>
              <w:rPr>
                <w:rFonts w:cs="Times New Roman"/>
              </w:rPr>
            </w:pPr>
            <w:r>
              <w:rPr>
                <w:rFonts w:cs="Times New Roman"/>
              </w:rPr>
              <w:t>&lt;0.01</w:t>
            </w:r>
          </w:p>
        </w:tc>
        <w:tc>
          <w:tcPr>
            <w:tcW w:w="765" w:type="dxa"/>
            <w:vAlign w:val="center"/>
          </w:tcPr>
          <w:p w14:paraId="6878A420">
            <w:pPr>
              <w:pStyle w:val="64"/>
              <w:rPr>
                <w:rFonts w:cs="Times New Roman"/>
              </w:rPr>
            </w:pPr>
            <w:r>
              <w:rPr>
                <w:rFonts w:cs="Times New Roman"/>
              </w:rPr>
              <w:t>ND</w:t>
            </w:r>
          </w:p>
        </w:tc>
        <w:tc>
          <w:tcPr>
            <w:tcW w:w="976" w:type="dxa"/>
            <w:vAlign w:val="center"/>
          </w:tcPr>
          <w:p w14:paraId="773D5C27">
            <w:pPr>
              <w:pStyle w:val="64"/>
              <w:rPr>
                <w:rFonts w:cs="Times New Roman"/>
              </w:rPr>
            </w:pPr>
            <w:r>
              <w:rPr>
                <w:rFonts w:cs="Times New Roman"/>
              </w:rPr>
              <w:t>&lt;3×10</w:t>
            </w:r>
            <w:r>
              <w:rPr>
                <w:rFonts w:hint="eastAsia" w:cs="Times New Roman"/>
                <w:vertAlign w:val="superscript"/>
              </w:rPr>
              <w:t>-4</w:t>
            </w:r>
          </w:p>
        </w:tc>
        <w:tc>
          <w:tcPr>
            <w:tcW w:w="876" w:type="dxa"/>
            <w:vAlign w:val="center"/>
          </w:tcPr>
          <w:p w14:paraId="08054007">
            <w:pPr>
              <w:pStyle w:val="64"/>
              <w:rPr>
                <w:rFonts w:cs="Times New Roman"/>
              </w:rPr>
            </w:pPr>
            <w:r>
              <w:rPr>
                <w:rFonts w:cs="Times New Roman"/>
              </w:rPr>
              <w:t>&lt;0.005</w:t>
            </w:r>
          </w:p>
        </w:tc>
        <w:tc>
          <w:tcPr>
            <w:tcW w:w="1174" w:type="dxa"/>
            <w:vAlign w:val="center"/>
          </w:tcPr>
          <w:p w14:paraId="4C7609C2">
            <w:pPr>
              <w:pStyle w:val="64"/>
              <w:rPr>
                <w:rFonts w:cs="Times New Roman"/>
              </w:rPr>
            </w:pPr>
            <w:r>
              <w:rPr>
                <w:rFonts w:cs="Times New Roman"/>
              </w:rPr>
              <w:t>&lt;0.005</w:t>
            </w:r>
          </w:p>
        </w:tc>
      </w:tr>
      <w:tr w14:paraId="21328B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71" w:type="dxa"/>
            <w:vMerge w:val="continue"/>
            <w:vAlign w:val="center"/>
          </w:tcPr>
          <w:p w14:paraId="18FB0797">
            <w:pPr>
              <w:pStyle w:val="64"/>
              <w:rPr>
                <w:rFonts w:cs="Times New Roman"/>
              </w:rPr>
            </w:pPr>
          </w:p>
        </w:tc>
        <w:tc>
          <w:tcPr>
            <w:tcW w:w="1559" w:type="dxa"/>
            <w:vMerge w:val="continue"/>
            <w:vAlign w:val="center"/>
          </w:tcPr>
          <w:p w14:paraId="715EDE0E">
            <w:pPr>
              <w:pStyle w:val="64"/>
              <w:rPr>
                <w:rFonts w:cs="Times New Roman"/>
              </w:rPr>
            </w:pPr>
          </w:p>
        </w:tc>
        <w:tc>
          <w:tcPr>
            <w:tcW w:w="1276" w:type="dxa"/>
            <w:vMerge w:val="continue"/>
            <w:vAlign w:val="center"/>
          </w:tcPr>
          <w:p w14:paraId="5F79B3BF">
            <w:pPr>
              <w:pStyle w:val="64"/>
              <w:rPr>
                <w:rFonts w:cs="Times New Roman"/>
              </w:rPr>
            </w:pPr>
          </w:p>
        </w:tc>
        <w:tc>
          <w:tcPr>
            <w:tcW w:w="1575" w:type="dxa"/>
            <w:vAlign w:val="center"/>
          </w:tcPr>
          <w:p w14:paraId="5AF19F8B">
            <w:pPr>
              <w:pStyle w:val="64"/>
              <w:rPr>
                <w:rFonts w:cs="Times New Roman"/>
              </w:rPr>
            </w:pPr>
            <w:r>
              <w:rPr>
                <w:rFonts w:cs="Times New Roman"/>
              </w:rPr>
              <w:t>Si</w:t>
            </w:r>
          </w:p>
        </w:tc>
        <w:tc>
          <w:tcPr>
            <w:tcW w:w="844" w:type="dxa"/>
            <w:vAlign w:val="center"/>
          </w:tcPr>
          <w:p w14:paraId="02828CB0">
            <w:pPr>
              <w:pStyle w:val="64"/>
              <w:rPr>
                <w:rFonts w:cs="Times New Roman"/>
              </w:rPr>
            </w:pPr>
            <w:r>
              <w:rPr>
                <w:rFonts w:cs="Times New Roman"/>
              </w:rPr>
              <w:t>0.75</w:t>
            </w:r>
          </w:p>
        </w:tc>
        <w:tc>
          <w:tcPr>
            <w:tcW w:w="803" w:type="dxa"/>
            <w:vAlign w:val="center"/>
          </w:tcPr>
          <w:p w14:paraId="655BF2B5">
            <w:pPr>
              <w:pStyle w:val="64"/>
              <w:rPr>
                <w:rFonts w:cs="Times New Roman"/>
              </w:rPr>
            </w:pPr>
            <w:r>
              <w:rPr>
                <w:rFonts w:cs="Times New Roman"/>
              </w:rPr>
              <w:t>0.05</w:t>
            </w:r>
          </w:p>
        </w:tc>
        <w:tc>
          <w:tcPr>
            <w:tcW w:w="830" w:type="dxa"/>
            <w:vAlign w:val="center"/>
          </w:tcPr>
          <w:p w14:paraId="137B017F">
            <w:pPr>
              <w:pStyle w:val="64"/>
              <w:rPr>
                <w:rFonts w:cs="Times New Roman"/>
              </w:rPr>
            </w:pPr>
            <w:r>
              <w:rPr>
                <w:rFonts w:cs="Times New Roman"/>
              </w:rPr>
              <w:t>0.44</w:t>
            </w:r>
          </w:p>
        </w:tc>
        <w:tc>
          <w:tcPr>
            <w:tcW w:w="912" w:type="dxa"/>
            <w:vAlign w:val="center"/>
          </w:tcPr>
          <w:p w14:paraId="70F5134A">
            <w:pPr>
              <w:pStyle w:val="64"/>
              <w:rPr>
                <w:rFonts w:cs="Times New Roman"/>
              </w:rPr>
            </w:pPr>
            <w:r>
              <w:rPr>
                <w:rFonts w:cs="Times New Roman"/>
              </w:rPr>
              <w:t>&lt;0.06</w:t>
            </w:r>
          </w:p>
        </w:tc>
        <w:tc>
          <w:tcPr>
            <w:tcW w:w="1131" w:type="dxa"/>
            <w:vAlign w:val="center"/>
          </w:tcPr>
          <w:p w14:paraId="04F1F9E5">
            <w:pPr>
              <w:pStyle w:val="64"/>
              <w:rPr>
                <w:rFonts w:cs="Times New Roman"/>
              </w:rPr>
            </w:pPr>
            <w:r>
              <w:rPr>
                <w:rFonts w:cs="Times New Roman"/>
              </w:rPr>
              <w:t>&lt;0.2</w:t>
            </w:r>
          </w:p>
        </w:tc>
        <w:tc>
          <w:tcPr>
            <w:tcW w:w="765" w:type="dxa"/>
            <w:vAlign w:val="center"/>
          </w:tcPr>
          <w:p w14:paraId="520C6AFB">
            <w:pPr>
              <w:pStyle w:val="64"/>
              <w:rPr>
                <w:rFonts w:cs="Times New Roman"/>
              </w:rPr>
            </w:pPr>
            <w:r>
              <w:rPr>
                <w:rFonts w:cs="Times New Roman"/>
              </w:rPr>
              <w:t>ND</w:t>
            </w:r>
          </w:p>
        </w:tc>
        <w:tc>
          <w:tcPr>
            <w:tcW w:w="976" w:type="dxa"/>
            <w:vAlign w:val="center"/>
          </w:tcPr>
          <w:p w14:paraId="41710024">
            <w:pPr>
              <w:pStyle w:val="64"/>
              <w:rPr>
                <w:rFonts w:cs="Times New Roman"/>
              </w:rPr>
            </w:pPr>
            <w:r>
              <w:rPr>
                <w:rFonts w:cs="Times New Roman"/>
              </w:rPr>
              <w:t>&lt;0.006</w:t>
            </w:r>
          </w:p>
        </w:tc>
        <w:tc>
          <w:tcPr>
            <w:tcW w:w="876" w:type="dxa"/>
            <w:vAlign w:val="center"/>
          </w:tcPr>
          <w:p w14:paraId="271F4091">
            <w:pPr>
              <w:pStyle w:val="64"/>
              <w:rPr>
                <w:rFonts w:cs="Times New Roman"/>
              </w:rPr>
            </w:pPr>
            <w:r>
              <w:rPr>
                <w:rFonts w:cs="Times New Roman"/>
              </w:rPr>
              <w:t>&lt;0.005</w:t>
            </w:r>
          </w:p>
        </w:tc>
        <w:tc>
          <w:tcPr>
            <w:tcW w:w="1174" w:type="dxa"/>
            <w:vAlign w:val="center"/>
          </w:tcPr>
          <w:p w14:paraId="74FCCC32">
            <w:pPr>
              <w:pStyle w:val="64"/>
              <w:rPr>
                <w:rFonts w:cs="Times New Roman"/>
              </w:rPr>
            </w:pPr>
            <w:r>
              <w:rPr>
                <w:rFonts w:cs="Times New Roman"/>
              </w:rPr>
              <w:t>&lt;0.005</w:t>
            </w:r>
          </w:p>
        </w:tc>
      </w:tr>
      <w:tr w14:paraId="1DDB07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71" w:type="dxa"/>
            <w:vMerge w:val="continue"/>
            <w:vAlign w:val="center"/>
          </w:tcPr>
          <w:p w14:paraId="2B30F2BA">
            <w:pPr>
              <w:pStyle w:val="64"/>
              <w:rPr>
                <w:rFonts w:cs="Times New Roman"/>
              </w:rPr>
            </w:pPr>
          </w:p>
        </w:tc>
        <w:tc>
          <w:tcPr>
            <w:tcW w:w="1559" w:type="dxa"/>
            <w:vMerge w:val="continue"/>
            <w:vAlign w:val="center"/>
          </w:tcPr>
          <w:p w14:paraId="0FDC9B8C">
            <w:pPr>
              <w:pStyle w:val="64"/>
              <w:rPr>
                <w:rFonts w:cs="Times New Roman"/>
              </w:rPr>
            </w:pPr>
          </w:p>
        </w:tc>
        <w:tc>
          <w:tcPr>
            <w:tcW w:w="1276" w:type="dxa"/>
            <w:vMerge w:val="restart"/>
            <w:vAlign w:val="center"/>
          </w:tcPr>
          <w:p w14:paraId="1D47F266">
            <w:pPr>
              <w:pStyle w:val="64"/>
              <w:rPr>
                <w:rFonts w:cs="Times New Roman"/>
              </w:rPr>
            </w:pPr>
            <w:r>
              <w:rPr>
                <w:rFonts w:cs="Times New Roman"/>
              </w:rPr>
              <w:t>2024.4.29</w:t>
            </w:r>
          </w:p>
        </w:tc>
        <w:tc>
          <w:tcPr>
            <w:tcW w:w="1575" w:type="dxa"/>
            <w:vAlign w:val="center"/>
          </w:tcPr>
          <w:p w14:paraId="6C2AF0CB">
            <w:pPr>
              <w:pStyle w:val="64"/>
              <w:rPr>
                <w:rFonts w:cs="Times New Roman"/>
              </w:rPr>
            </w:pPr>
            <w:r>
              <w:rPr>
                <w:rFonts w:cs="Times New Roman"/>
              </w:rPr>
              <w:t>Ci</w:t>
            </w:r>
          </w:p>
        </w:tc>
        <w:tc>
          <w:tcPr>
            <w:tcW w:w="844" w:type="dxa"/>
            <w:vAlign w:val="center"/>
          </w:tcPr>
          <w:p w14:paraId="46648F5C">
            <w:pPr>
              <w:pStyle w:val="64"/>
              <w:rPr>
                <w:rFonts w:cs="Times New Roman"/>
              </w:rPr>
            </w:pPr>
            <w:r>
              <w:rPr>
                <w:rFonts w:cs="Times New Roman"/>
              </w:rPr>
              <w:t>0.11</w:t>
            </w:r>
          </w:p>
        </w:tc>
        <w:tc>
          <w:tcPr>
            <w:tcW w:w="803" w:type="dxa"/>
            <w:vAlign w:val="center"/>
          </w:tcPr>
          <w:p w14:paraId="1ADCA0C1">
            <w:pPr>
              <w:pStyle w:val="64"/>
              <w:rPr>
                <w:rFonts w:cs="Times New Roman"/>
              </w:rPr>
            </w:pPr>
            <w:r>
              <w:rPr>
                <w:rFonts w:cs="Times New Roman"/>
              </w:rPr>
              <w:t>0.01</w:t>
            </w:r>
          </w:p>
        </w:tc>
        <w:tc>
          <w:tcPr>
            <w:tcW w:w="830" w:type="dxa"/>
            <w:vAlign w:val="center"/>
          </w:tcPr>
          <w:p w14:paraId="1D0FC7E9">
            <w:pPr>
              <w:pStyle w:val="64"/>
              <w:rPr>
                <w:rFonts w:cs="Times New Roman"/>
              </w:rPr>
            </w:pPr>
            <w:r>
              <w:rPr>
                <w:rFonts w:cs="Times New Roman"/>
              </w:rPr>
              <w:t>0.42</w:t>
            </w:r>
          </w:p>
        </w:tc>
        <w:tc>
          <w:tcPr>
            <w:tcW w:w="912" w:type="dxa"/>
            <w:vAlign w:val="center"/>
          </w:tcPr>
          <w:p w14:paraId="0174E72D">
            <w:pPr>
              <w:pStyle w:val="64"/>
              <w:rPr>
                <w:rFonts w:cs="Times New Roman"/>
              </w:rPr>
            </w:pPr>
            <w:r>
              <w:rPr>
                <w:rFonts w:cs="Times New Roman"/>
              </w:rPr>
              <w:t>&lt;0.0003</w:t>
            </w:r>
          </w:p>
        </w:tc>
        <w:tc>
          <w:tcPr>
            <w:tcW w:w="1131" w:type="dxa"/>
            <w:vAlign w:val="center"/>
          </w:tcPr>
          <w:p w14:paraId="7CD55F4B">
            <w:pPr>
              <w:pStyle w:val="64"/>
              <w:rPr>
                <w:rFonts w:cs="Times New Roman"/>
              </w:rPr>
            </w:pPr>
            <w:r>
              <w:rPr>
                <w:rFonts w:cs="Times New Roman"/>
              </w:rPr>
              <w:t>&lt;0.01</w:t>
            </w:r>
          </w:p>
        </w:tc>
        <w:tc>
          <w:tcPr>
            <w:tcW w:w="765" w:type="dxa"/>
            <w:vAlign w:val="center"/>
          </w:tcPr>
          <w:p w14:paraId="20B5B80F">
            <w:pPr>
              <w:pStyle w:val="64"/>
              <w:rPr>
                <w:rFonts w:cs="Times New Roman"/>
              </w:rPr>
            </w:pPr>
            <w:r>
              <w:rPr>
                <w:rFonts w:cs="Times New Roman"/>
              </w:rPr>
              <w:t>ND</w:t>
            </w:r>
          </w:p>
        </w:tc>
        <w:tc>
          <w:tcPr>
            <w:tcW w:w="976" w:type="dxa"/>
            <w:vAlign w:val="center"/>
          </w:tcPr>
          <w:p w14:paraId="7662E78B">
            <w:pPr>
              <w:pStyle w:val="64"/>
              <w:rPr>
                <w:rFonts w:cs="Times New Roman"/>
              </w:rPr>
            </w:pPr>
            <w:r>
              <w:rPr>
                <w:rFonts w:cs="Times New Roman"/>
              </w:rPr>
              <w:t>&lt;3×10</w:t>
            </w:r>
            <w:r>
              <w:rPr>
                <w:rFonts w:hint="eastAsia" w:cs="Times New Roman"/>
                <w:vertAlign w:val="superscript"/>
              </w:rPr>
              <w:t>-4</w:t>
            </w:r>
          </w:p>
        </w:tc>
        <w:tc>
          <w:tcPr>
            <w:tcW w:w="876" w:type="dxa"/>
            <w:vAlign w:val="center"/>
          </w:tcPr>
          <w:p w14:paraId="4B59C65E">
            <w:pPr>
              <w:pStyle w:val="64"/>
              <w:rPr>
                <w:rFonts w:cs="Times New Roman"/>
              </w:rPr>
            </w:pPr>
            <w:r>
              <w:rPr>
                <w:rFonts w:cs="Times New Roman"/>
              </w:rPr>
              <w:t>&lt;0.005</w:t>
            </w:r>
          </w:p>
        </w:tc>
        <w:tc>
          <w:tcPr>
            <w:tcW w:w="1174" w:type="dxa"/>
            <w:vAlign w:val="center"/>
          </w:tcPr>
          <w:p w14:paraId="4E1BDC30">
            <w:pPr>
              <w:pStyle w:val="64"/>
              <w:rPr>
                <w:rFonts w:cs="Times New Roman"/>
              </w:rPr>
            </w:pPr>
            <w:r>
              <w:rPr>
                <w:rFonts w:cs="Times New Roman"/>
              </w:rPr>
              <w:t>&lt;0.005</w:t>
            </w:r>
          </w:p>
        </w:tc>
      </w:tr>
      <w:tr w14:paraId="5B7D21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71" w:type="dxa"/>
            <w:vMerge w:val="continue"/>
            <w:vAlign w:val="center"/>
          </w:tcPr>
          <w:p w14:paraId="76C2B424">
            <w:pPr>
              <w:pStyle w:val="64"/>
              <w:rPr>
                <w:rFonts w:cs="Times New Roman"/>
              </w:rPr>
            </w:pPr>
          </w:p>
        </w:tc>
        <w:tc>
          <w:tcPr>
            <w:tcW w:w="1559" w:type="dxa"/>
            <w:vMerge w:val="continue"/>
            <w:vAlign w:val="center"/>
          </w:tcPr>
          <w:p w14:paraId="2685B4AD">
            <w:pPr>
              <w:pStyle w:val="64"/>
              <w:rPr>
                <w:rFonts w:cs="Times New Roman"/>
              </w:rPr>
            </w:pPr>
          </w:p>
        </w:tc>
        <w:tc>
          <w:tcPr>
            <w:tcW w:w="1276" w:type="dxa"/>
            <w:vMerge w:val="continue"/>
            <w:vAlign w:val="center"/>
          </w:tcPr>
          <w:p w14:paraId="72712464">
            <w:pPr>
              <w:pStyle w:val="64"/>
              <w:rPr>
                <w:rFonts w:cs="Times New Roman"/>
              </w:rPr>
            </w:pPr>
          </w:p>
        </w:tc>
        <w:tc>
          <w:tcPr>
            <w:tcW w:w="1575" w:type="dxa"/>
            <w:vAlign w:val="center"/>
          </w:tcPr>
          <w:p w14:paraId="798DFE78">
            <w:pPr>
              <w:pStyle w:val="64"/>
              <w:rPr>
                <w:rFonts w:cs="Times New Roman"/>
              </w:rPr>
            </w:pPr>
            <w:r>
              <w:rPr>
                <w:rFonts w:cs="Times New Roman"/>
              </w:rPr>
              <w:t>Si</w:t>
            </w:r>
          </w:p>
        </w:tc>
        <w:tc>
          <w:tcPr>
            <w:tcW w:w="844" w:type="dxa"/>
            <w:vAlign w:val="center"/>
          </w:tcPr>
          <w:p w14:paraId="57684265">
            <w:pPr>
              <w:pStyle w:val="64"/>
              <w:rPr>
                <w:rFonts w:cs="Times New Roman"/>
              </w:rPr>
            </w:pPr>
            <w:r>
              <w:rPr>
                <w:rFonts w:cs="Times New Roman"/>
              </w:rPr>
              <w:t>0.55</w:t>
            </w:r>
          </w:p>
        </w:tc>
        <w:tc>
          <w:tcPr>
            <w:tcW w:w="803" w:type="dxa"/>
            <w:vAlign w:val="center"/>
          </w:tcPr>
          <w:p w14:paraId="55C7FFD2">
            <w:pPr>
              <w:pStyle w:val="64"/>
              <w:rPr>
                <w:rFonts w:cs="Times New Roman"/>
              </w:rPr>
            </w:pPr>
            <w:r>
              <w:rPr>
                <w:rFonts w:cs="Times New Roman"/>
              </w:rPr>
              <w:t>0.05</w:t>
            </w:r>
          </w:p>
        </w:tc>
        <w:tc>
          <w:tcPr>
            <w:tcW w:w="830" w:type="dxa"/>
            <w:vAlign w:val="center"/>
          </w:tcPr>
          <w:p w14:paraId="74AE010A">
            <w:pPr>
              <w:pStyle w:val="64"/>
              <w:rPr>
                <w:rFonts w:cs="Times New Roman"/>
              </w:rPr>
            </w:pPr>
            <w:r>
              <w:rPr>
                <w:rFonts w:cs="Times New Roman"/>
              </w:rPr>
              <w:t>0.42</w:t>
            </w:r>
          </w:p>
        </w:tc>
        <w:tc>
          <w:tcPr>
            <w:tcW w:w="912" w:type="dxa"/>
            <w:vAlign w:val="center"/>
          </w:tcPr>
          <w:p w14:paraId="526AD019">
            <w:pPr>
              <w:pStyle w:val="64"/>
              <w:rPr>
                <w:rFonts w:cs="Times New Roman"/>
              </w:rPr>
            </w:pPr>
            <w:r>
              <w:rPr>
                <w:rFonts w:cs="Times New Roman"/>
              </w:rPr>
              <w:t>&lt;0.06</w:t>
            </w:r>
          </w:p>
        </w:tc>
        <w:tc>
          <w:tcPr>
            <w:tcW w:w="1131" w:type="dxa"/>
            <w:vAlign w:val="center"/>
          </w:tcPr>
          <w:p w14:paraId="66BE2579">
            <w:pPr>
              <w:pStyle w:val="64"/>
              <w:rPr>
                <w:rFonts w:cs="Times New Roman"/>
              </w:rPr>
            </w:pPr>
            <w:r>
              <w:rPr>
                <w:rFonts w:cs="Times New Roman"/>
              </w:rPr>
              <w:t>&lt;0.2</w:t>
            </w:r>
          </w:p>
        </w:tc>
        <w:tc>
          <w:tcPr>
            <w:tcW w:w="765" w:type="dxa"/>
            <w:vAlign w:val="center"/>
          </w:tcPr>
          <w:p w14:paraId="27B07D5B">
            <w:pPr>
              <w:pStyle w:val="64"/>
              <w:rPr>
                <w:rFonts w:cs="Times New Roman"/>
              </w:rPr>
            </w:pPr>
            <w:r>
              <w:rPr>
                <w:rFonts w:cs="Times New Roman"/>
              </w:rPr>
              <w:t>ND</w:t>
            </w:r>
          </w:p>
        </w:tc>
        <w:tc>
          <w:tcPr>
            <w:tcW w:w="976" w:type="dxa"/>
            <w:vAlign w:val="center"/>
          </w:tcPr>
          <w:p w14:paraId="38C5E333">
            <w:pPr>
              <w:pStyle w:val="64"/>
              <w:rPr>
                <w:rFonts w:cs="Times New Roman"/>
              </w:rPr>
            </w:pPr>
            <w:r>
              <w:rPr>
                <w:rFonts w:cs="Times New Roman"/>
              </w:rPr>
              <w:t>&lt;0.006</w:t>
            </w:r>
          </w:p>
        </w:tc>
        <w:tc>
          <w:tcPr>
            <w:tcW w:w="876" w:type="dxa"/>
            <w:vAlign w:val="center"/>
          </w:tcPr>
          <w:p w14:paraId="1AA9FEE3">
            <w:pPr>
              <w:pStyle w:val="64"/>
              <w:rPr>
                <w:rFonts w:cs="Times New Roman"/>
              </w:rPr>
            </w:pPr>
            <w:r>
              <w:rPr>
                <w:rFonts w:cs="Times New Roman"/>
              </w:rPr>
              <w:t>&lt;0.005</w:t>
            </w:r>
          </w:p>
        </w:tc>
        <w:tc>
          <w:tcPr>
            <w:tcW w:w="1174" w:type="dxa"/>
            <w:vAlign w:val="center"/>
          </w:tcPr>
          <w:p w14:paraId="06A3F866">
            <w:pPr>
              <w:pStyle w:val="64"/>
              <w:rPr>
                <w:rFonts w:cs="Times New Roman"/>
              </w:rPr>
            </w:pPr>
            <w:r>
              <w:rPr>
                <w:rFonts w:cs="Times New Roman"/>
              </w:rPr>
              <w:t>&lt;0.005</w:t>
            </w:r>
          </w:p>
        </w:tc>
      </w:tr>
      <w:tr w14:paraId="32784A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71" w:type="dxa"/>
            <w:vMerge w:val="continue"/>
            <w:vAlign w:val="center"/>
          </w:tcPr>
          <w:p w14:paraId="6A86402F">
            <w:pPr>
              <w:pStyle w:val="64"/>
              <w:rPr>
                <w:rFonts w:cs="Times New Roman"/>
              </w:rPr>
            </w:pPr>
          </w:p>
        </w:tc>
        <w:tc>
          <w:tcPr>
            <w:tcW w:w="1559" w:type="dxa"/>
            <w:vMerge w:val="continue"/>
            <w:vAlign w:val="center"/>
          </w:tcPr>
          <w:p w14:paraId="3B594A4E">
            <w:pPr>
              <w:pStyle w:val="64"/>
              <w:rPr>
                <w:rFonts w:cs="Times New Roman"/>
              </w:rPr>
            </w:pPr>
          </w:p>
        </w:tc>
        <w:tc>
          <w:tcPr>
            <w:tcW w:w="1276" w:type="dxa"/>
            <w:vMerge w:val="restart"/>
            <w:vAlign w:val="center"/>
          </w:tcPr>
          <w:p w14:paraId="6B845625">
            <w:pPr>
              <w:pStyle w:val="64"/>
              <w:rPr>
                <w:rFonts w:cs="Times New Roman"/>
              </w:rPr>
            </w:pPr>
            <w:r>
              <w:rPr>
                <w:rFonts w:cs="Times New Roman"/>
              </w:rPr>
              <w:t>2024.4.30</w:t>
            </w:r>
          </w:p>
        </w:tc>
        <w:tc>
          <w:tcPr>
            <w:tcW w:w="1575" w:type="dxa"/>
            <w:vAlign w:val="center"/>
          </w:tcPr>
          <w:p w14:paraId="4EE9B20A">
            <w:pPr>
              <w:pStyle w:val="64"/>
              <w:rPr>
                <w:rFonts w:cs="Times New Roman"/>
              </w:rPr>
            </w:pPr>
            <w:r>
              <w:rPr>
                <w:rFonts w:cs="Times New Roman"/>
              </w:rPr>
              <w:t>Ci</w:t>
            </w:r>
          </w:p>
        </w:tc>
        <w:tc>
          <w:tcPr>
            <w:tcW w:w="844" w:type="dxa"/>
            <w:vAlign w:val="center"/>
          </w:tcPr>
          <w:p w14:paraId="76601959">
            <w:pPr>
              <w:pStyle w:val="64"/>
              <w:rPr>
                <w:rFonts w:cs="Times New Roman"/>
              </w:rPr>
            </w:pPr>
            <w:r>
              <w:rPr>
                <w:rFonts w:cs="Times New Roman"/>
              </w:rPr>
              <w:t>0.12</w:t>
            </w:r>
          </w:p>
        </w:tc>
        <w:tc>
          <w:tcPr>
            <w:tcW w:w="803" w:type="dxa"/>
            <w:vAlign w:val="center"/>
          </w:tcPr>
          <w:p w14:paraId="5FB964DD">
            <w:pPr>
              <w:pStyle w:val="64"/>
              <w:rPr>
                <w:rFonts w:cs="Times New Roman"/>
              </w:rPr>
            </w:pPr>
            <w:r>
              <w:rPr>
                <w:rFonts w:cs="Times New Roman"/>
              </w:rPr>
              <w:t>0.01</w:t>
            </w:r>
          </w:p>
        </w:tc>
        <w:tc>
          <w:tcPr>
            <w:tcW w:w="830" w:type="dxa"/>
            <w:vAlign w:val="center"/>
          </w:tcPr>
          <w:p w14:paraId="665F6419">
            <w:pPr>
              <w:pStyle w:val="64"/>
              <w:rPr>
                <w:rFonts w:cs="Times New Roman"/>
              </w:rPr>
            </w:pPr>
            <w:r>
              <w:rPr>
                <w:rFonts w:cs="Times New Roman"/>
              </w:rPr>
              <w:t>0.39</w:t>
            </w:r>
          </w:p>
        </w:tc>
        <w:tc>
          <w:tcPr>
            <w:tcW w:w="912" w:type="dxa"/>
            <w:vAlign w:val="center"/>
          </w:tcPr>
          <w:p w14:paraId="74900FE9">
            <w:pPr>
              <w:pStyle w:val="64"/>
              <w:rPr>
                <w:rFonts w:cs="Times New Roman"/>
              </w:rPr>
            </w:pPr>
            <w:r>
              <w:rPr>
                <w:rFonts w:cs="Times New Roman"/>
              </w:rPr>
              <w:t>&lt;0.0003</w:t>
            </w:r>
          </w:p>
        </w:tc>
        <w:tc>
          <w:tcPr>
            <w:tcW w:w="1131" w:type="dxa"/>
            <w:vAlign w:val="center"/>
          </w:tcPr>
          <w:p w14:paraId="55BF4F03">
            <w:pPr>
              <w:pStyle w:val="64"/>
              <w:rPr>
                <w:rFonts w:cs="Times New Roman"/>
              </w:rPr>
            </w:pPr>
            <w:r>
              <w:rPr>
                <w:rFonts w:cs="Times New Roman"/>
              </w:rPr>
              <w:t>&lt;0.01</w:t>
            </w:r>
          </w:p>
        </w:tc>
        <w:tc>
          <w:tcPr>
            <w:tcW w:w="765" w:type="dxa"/>
            <w:vAlign w:val="center"/>
          </w:tcPr>
          <w:p w14:paraId="2746F930">
            <w:pPr>
              <w:pStyle w:val="64"/>
              <w:rPr>
                <w:rFonts w:cs="Times New Roman"/>
              </w:rPr>
            </w:pPr>
            <w:r>
              <w:rPr>
                <w:rFonts w:cs="Times New Roman"/>
              </w:rPr>
              <w:t>ND</w:t>
            </w:r>
          </w:p>
        </w:tc>
        <w:tc>
          <w:tcPr>
            <w:tcW w:w="976" w:type="dxa"/>
            <w:vAlign w:val="center"/>
          </w:tcPr>
          <w:p w14:paraId="68D26AC5">
            <w:pPr>
              <w:pStyle w:val="64"/>
              <w:rPr>
                <w:rFonts w:cs="Times New Roman"/>
              </w:rPr>
            </w:pPr>
            <w:r>
              <w:rPr>
                <w:rFonts w:cs="Times New Roman"/>
              </w:rPr>
              <w:t>&lt;3×10</w:t>
            </w:r>
            <w:r>
              <w:rPr>
                <w:rFonts w:hint="eastAsia" w:cs="Times New Roman"/>
                <w:vertAlign w:val="superscript"/>
              </w:rPr>
              <w:t>-4</w:t>
            </w:r>
          </w:p>
        </w:tc>
        <w:tc>
          <w:tcPr>
            <w:tcW w:w="876" w:type="dxa"/>
            <w:vAlign w:val="center"/>
          </w:tcPr>
          <w:p w14:paraId="6B56FA94">
            <w:pPr>
              <w:pStyle w:val="64"/>
              <w:rPr>
                <w:rFonts w:cs="Times New Roman"/>
              </w:rPr>
            </w:pPr>
            <w:r>
              <w:rPr>
                <w:rFonts w:cs="Times New Roman"/>
              </w:rPr>
              <w:t>&lt;0.005</w:t>
            </w:r>
          </w:p>
        </w:tc>
        <w:tc>
          <w:tcPr>
            <w:tcW w:w="1174" w:type="dxa"/>
            <w:vAlign w:val="center"/>
          </w:tcPr>
          <w:p w14:paraId="02D7F901">
            <w:pPr>
              <w:pStyle w:val="64"/>
              <w:rPr>
                <w:rFonts w:cs="Times New Roman"/>
              </w:rPr>
            </w:pPr>
            <w:r>
              <w:rPr>
                <w:rFonts w:cs="Times New Roman"/>
              </w:rPr>
              <w:t>&lt;0.005</w:t>
            </w:r>
          </w:p>
        </w:tc>
      </w:tr>
      <w:tr w14:paraId="7E2C8F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71" w:type="dxa"/>
            <w:vMerge w:val="continue"/>
            <w:vAlign w:val="center"/>
          </w:tcPr>
          <w:p w14:paraId="4BDFE681">
            <w:pPr>
              <w:pStyle w:val="64"/>
              <w:rPr>
                <w:rFonts w:cs="Times New Roman"/>
              </w:rPr>
            </w:pPr>
          </w:p>
        </w:tc>
        <w:tc>
          <w:tcPr>
            <w:tcW w:w="1559" w:type="dxa"/>
            <w:vMerge w:val="continue"/>
            <w:vAlign w:val="center"/>
          </w:tcPr>
          <w:p w14:paraId="679AC35E">
            <w:pPr>
              <w:pStyle w:val="64"/>
              <w:rPr>
                <w:rFonts w:cs="Times New Roman"/>
              </w:rPr>
            </w:pPr>
          </w:p>
        </w:tc>
        <w:tc>
          <w:tcPr>
            <w:tcW w:w="1276" w:type="dxa"/>
            <w:vMerge w:val="continue"/>
            <w:vAlign w:val="center"/>
          </w:tcPr>
          <w:p w14:paraId="3745EB8E">
            <w:pPr>
              <w:pStyle w:val="64"/>
              <w:rPr>
                <w:rFonts w:cs="Times New Roman"/>
              </w:rPr>
            </w:pPr>
          </w:p>
        </w:tc>
        <w:tc>
          <w:tcPr>
            <w:tcW w:w="1575" w:type="dxa"/>
            <w:vAlign w:val="center"/>
          </w:tcPr>
          <w:p w14:paraId="106A6A79">
            <w:pPr>
              <w:pStyle w:val="64"/>
              <w:rPr>
                <w:rFonts w:cs="Times New Roman"/>
              </w:rPr>
            </w:pPr>
            <w:r>
              <w:rPr>
                <w:rFonts w:cs="Times New Roman"/>
              </w:rPr>
              <w:t>Si</w:t>
            </w:r>
          </w:p>
        </w:tc>
        <w:tc>
          <w:tcPr>
            <w:tcW w:w="844" w:type="dxa"/>
            <w:vAlign w:val="center"/>
          </w:tcPr>
          <w:p w14:paraId="5D836D29">
            <w:pPr>
              <w:pStyle w:val="64"/>
              <w:rPr>
                <w:rFonts w:cs="Times New Roman"/>
              </w:rPr>
            </w:pPr>
            <w:r>
              <w:rPr>
                <w:rFonts w:cs="Times New Roman"/>
              </w:rPr>
              <w:t>0.6</w:t>
            </w:r>
          </w:p>
        </w:tc>
        <w:tc>
          <w:tcPr>
            <w:tcW w:w="803" w:type="dxa"/>
            <w:vAlign w:val="center"/>
          </w:tcPr>
          <w:p w14:paraId="15FFA97F">
            <w:pPr>
              <w:pStyle w:val="64"/>
              <w:rPr>
                <w:rFonts w:cs="Times New Roman"/>
              </w:rPr>
            </w:pPr>
            <w:r>
              <w:rPr>
                <w:rFonts w:cs="Times New Roman"/>
              </w:rPr>
              <w:t>0.05</w:t>
            </w:r>
          </w:p>
        </w:tc>
        <w:tc>
          <w:tcPr>
            <w:tcW w:w="830" w:type="dxa"/>
            <w:vAlign w:val="center"/>
          </w:tcPr>
          <w:p w14:paraId="0C161A52">
            <w:pPr>
              <w:pStyle w:val="64"/>
              <w:rPr>
                <w:rFonts w:cs="Times New Roman"/>
              </w:rPr>
            </w:pPr>
            <w:r>
              <w:rPr>
                <w:rFonts w:cs="Times New Roman"/>
              </w:rPr>
              <w:t>0.39</w:t>
            </w:r>
          </w:p>
        </w:tc>
        <w:tc>
          <w:tcPr>
            <w:tcW w:w="912" w:type="dxa"/>
            <w:vAlign w:val="center"/>
          </w:tcPr>
          <w:p w14:paraId="46FC8392">
            <w:pPr>
              <w:pStyle w:val="64"/>
              <w:rPr>
                <w:rFonts w:cs="Times New Roman"/>
              </w:rPr>
            </w:pPr>
            <w:r>
              <w:rPr>
                <w:rFonts w:cs="Times New Roman"/>
              </w:rPr>
              <w:t>&lt;0.06</w:t>
            </w:r>
          </w:p>
        </w:tc>
        <w:tc>
          <w:tcPr>
            <w:tcW w:w="1131" w:type="dxa"/>
            <w:vAlign w:val="center"/>
          </w:tcPr>
          <w:p w14:paraId="60505253">
            <w:pPr>
              <w:pStyle w:val="64"/>
              <w:rPr>
                <w:rFonts w:cs="Times New Roman"/>
              </w:rPr>
            </w:pPr>
            <w:r>
              <w:rPr>
                <w:rFonts w:cs="Times New Roman"/>
              </w:rPr>
              <w:t>&lt;0.2</w:t>
            </w:r>
          </w:p>
        </w:tc>
        <w:tc>
          <w:tcPr>
            <w:tcW w:w="765" w:type="dxa"/>
            <w:vAlign w:val="center"/>
          </w:tcPr>
          <w:p w14:paraId="047335A3">
            <w:pPr>
              <w:pStyle w:val="64"/>
              <w:rPr>
                <w:rFonts w:cs="Times New Roman"/>
              </w:rPr>
            </w:pPr>
            <w:r>
              <w:rPr>
                <w:rFonts w:cs="Times New Roman"/>
              </w:rPr>
              <w:t>ND</w:t>
            </w:r>
          </w:p>
        </w:tc>
        <w:tc>
          <w:tcPr>
            <w:tcW w:w="976" w:type="dxa"/>
            <w:vAlign w:val="center"/>
          </w:tcPr>
          <w:p w14:paraId="52DD6EE1">
            <w:pPr>
              <w:pStyle w:val="64"/>
              <w:rPr>
                <w:rFonts w:cs="Times New Roman"/>
              </w:rPr>
            </w:pPr>
            <w:r>
              <w:rPr>
                <w:rFonts w:cs="Times New Roman"/>
              </w:rPr>
              <w:t>&lt;0.006</w:t>
            </w:r>
          </w:p>
        </w:tc>
        <w:tc>
          <w:tcPr>
            <w:tcW w:w="876" w:type="dxa"/>
            <w:vAlign w:val="center"/>
          </w:tcPr>
          <w:p w14:paraId="13F37E37">
            <w:pPr>
              <w:pStyle w:val="64"/>
              <w:rPr>
                <w:rFonts w:cs="Times New Roman"/>
              </w:rPr>
            </w:pPr>
            <w:r>
              <w:rPr>
                <w:rFonts w:cs="Times New Roman"/>
              </w:rPr>
              <w:t>&lt;0.005</w:t>
            </w:r>
          </w:p>
        </w:tc>
        <w:tc>
          <w:tcPr>
            <w:tcW w:w="1174" w:type="dxa"/>
            <w:vAlign w:val="center"/>
          </w:tcPr>
          <w:p w14:paraId="7F3DBA9A">
            <w:pPr>
              <w:pStyle w:val="64"/>
              <w:rPr>
                <w:rFonts w:cs="Times New Roman"/>
              </w:rPr>
            </w:pPr>
            <w:r>
              <w:rPr>
                <w:rFonts w:cs="Times New Roman"/>
              </w:rPr>
              <w:t>&lt;0.005</w:t>
            </w:r>
          </w:p>
        </w:tc>
      </w:tr>
      <w:tr w14:paraId="5CEBD0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71" w:type="dxa"/>
            <w:vMerge w:val="restart"/>
            <w:vAlign w:val="center"/>
          </w:tcPr>
          <w:p w14:paraId="0E935826">
            <w:pPr>
              <w:pStyle w:val="64"/>
              <w:rPr>
                <w:rFonts w:cs="Times New Roman"/>
              </w:rPr>
            </w:pPr>
            <w:r>
              <w:rPr>
                <w:rFonts w:hint="eastAsia" w:cs="Times New Roman"/>
              </w:rPr>
              <w:t>5</w:t>
            </w:r>
            <w:r>
              <w:rPr>
                <w:rFonts w:cs="Times New Roman"/>
              </w:rPr>
              <w:t>#三铺大沟入淮河口处下游2000m</w:t>
            </w:r>
          </w:p>
        </w:tc>
        <w:tc>
          <w:tcPr>
            <w:tcW w:w="1559" w:type="dxa"/>
            <w:vMerge w:val="restart"/>
            <w:vAlign w:val="center"/>
          </w:tcPr>
          <w:p w14:paraId="45A9617A">
            <w:pPr>
              <w:pStyle w:val="64"/>
              <w:rPr>
                <w:rFonts w:cs="Times New Roman"/>
              </w:rPr>
            </w:pPr>
            <w:r>
              <w:rPr>
                <w:rFonts w:cs="Times New Roman"/>
              </w:rPr>
              <w:t>E:117°33'38.71"</w:t>
            </w:r>
            <w:r>
              <w:rPr>
                <w:rFonts w:cs="Times New Roman"/>
              </w:rPr>
              <w:br w:type="textWrapping"/>
            </w:r>
            <w:r>
              <w:rPr>
                <w:rFonts w:cs="Times New Roman"/>
              </w:rPr>
              <w:t>N:32°57'39.59"</w:t>
            </w:r>
          </w:p>
        </w:tc>
        <w:tc>
          <w:tcPr>
            <w:tcW w:w="1276" w:type="dxa"/>
            <w:vMerge w:val="restart"/>
            <w:vAlign w:val="center"/>
          </w:tcPr>
          <w:p w14:paraId="0E0D5D97">
            <w:pPr>
              <w:pStyle w:val="64"/>
              <w:rPr>
                <w:rFonts w:cs="Times New Roman"/>
              </w:rPr>
            </w:pPr>
            <w:r>
              <w:rPr>
                <w:rFonts w:cs="Times New Roman"/>
              </w:rPr>
              <w:t>2024.4.28</w:t>
            </w:r>
          </w:p>
        </w:tc>
        <w:tc>
          <w:tcPr>
            <w:tcW w:w="1575" w:type="dxa"/>
            <w:vAlign w:val="center"/>
          </w:tcPr>
          <w:p w14:paraId="31CC1C49">
            <w:pPr>
              <w:pStyle w:val="64"/>
              <w:rPr>
                <w:rFonts w:cs="Times New Roman"/>
              </w:rPr>
            </w:pPr>
            <w:r>
              <w:rPr>
                <w:rFonts w:cs="Times New Roman"/>
              </w:rPr>
              <w:t>Ci</w:t>
            </w:r>
          </w:p>
        </w:tc>
        <w:tc>
          <w:tcPr>
            <w:tcW w:w="844" w:type="dxa"/>
            <w:vAlign w:val="center"/>
          </w:tcPr>
          <w:p w14:paraId="7E65D95C">
            <w:pPr>
              <w:pStyle w:val="64"/>
              <w:rPr>
                <w:rFonts w:cs="Times New Roman"/>
              </w:rPr>
            </w:pPr>
            <w:r>
              <w:rPr>
                <w:rFonts w:cs="Times New Roman"/>
              </w:rPr>
              <w:t>0.12</w:t>
            </w:r>
          </w:p>
        </w:tc>
        <w:tc>
          <w:tcPr>
            <w:tcW w:w="803" w:type="dxa"/>
            <w:vAlign w:val="center"/>
          </w:tcPr>
          <w:p w14:paraId="24508B25">
            <w:pPr>
              <w:pStyle w:val="64"/>
              <w:rPr>
                <w:rFonts w:cs="Times New Roman"/>
              </w:rPr>
            </w:pPr>
            <w:r>
              <w:rPr>
                <w:rFonts w:cs="Times New Roman"/>
              </w:rPr>
              <w:t>0.01</w:t>
            </w:r>
          </w:p>
        </w:tc>
        <w:tc>
          <w:tcPr>
            <w:tcW w:w="830" w:type="dxa"/>
            <w:vAlign w:val="center"/>
          </w:tcPr>
          <w:p w14:paraId="40F6D37F">
            <w:pPr>
              <w:pStyle w:val="64"/>
              <w:rPr>
                <w:rFonts w:cs="Times New Roman"/>
              </w:rPr>
            </w:pPr>
            <w:r>
              <w:rPr>
                <w:rFonts w:cs="Times New Roman"/>
              </w:rPr>
              <w:t>0.42</w:t>
            </w:r>
          </w:p>
        </w:tc>
        <w:tc>
          <w:tcPr>
            <w:tcW w:w="912" w:type="dxa"/>
            <w:vAlign w:val="center"/>
          </w:tcPr>
          <w:p w14:paraId="581C8CCC">
            <w:pPr>
              <w:pStyle w:val="64"/>
              <w:rPr>
                <w:rFonts w:cs="Times New Roman"/>
              </w:rPr>
            </w:pPr>
            <w:r>
              <w:rPr>
                <w:rFonts w:cs="Times New Roman"/>
              </w:rPr>
              <w:t>&lt;0.0003</w:t>
            </w:r>
          </w:p>
        </w:tc>
        <w:tc>
          <w:tcPr>
            <w:tcW w:w="1131" w:type="dxa"/>
            <w:vAlign w:val="center"/>
          </w:tcPr>
          <w:p w14:paraId="5A5249E5">
            <w:pPr>
              <w:pStyle w:val="64"/>
              <w:rPr>
                <w:rFonts w:cs="Times New Roman"/>
              </w:rPr>
            </w:pPr>
            <w:r>
              <w:rPr>
                <w:rFonts w:cs="Times New Roman"/>
              </w:rPr>
              <w:t>&lt;0.01</w:t>
            </w:r>
          </w:p>
        </w:tc>
        <w:tc>
          <w:tcPr>
            <w:tcW w:w="765" w:type="dxa"/>
            <w:vAlign w:val="center"/>
          </w:tcPr>
          <w:p w14:paraId="21E9C397">
            <w:pPr>
              <w:pStyle w:val="64"/>
              <w:rPr>
                <w:rFonts w:cs="Times New Roman"/>
              </w:rPr>
            </w:pPr>
            <w:r>
              <w:rPr>
                <w:rFonts w:cs="Times New Roman"/>
              </w:rPr>
              <w:t>ND</w:t>
            </w:r>
          </w:p>
        </w:tc>
        <w:tc>
          <w:tcPr>
            <w:tcW w:w="976" w:type="dxa"/>
            <w:vAlign w:val="center"/>
          </w:tcPr>
          <w:p w14:paraId="200132D4">
            <w:pPr>
              <w:pStyle w:val="64"/>
              <w:rPr>
                <w:rFonts w:cs="Times New Roman"/>
              </w:rPr>
            </w:pPr>
            <w:r>
              <w:rPr>
                <w:rFonts w:cs="Times New Roman"/>
              </w:rPr>
              <w:t>&lt;3×10</w:t>
            </w:r>
            <w:r>
              <w:rPr>
                <w:rFonts w:hint="eastAsia" w:cs="Times New Roman"/>
                <w:vertAlign w:val="superscript"/>
              </w:rPr>
              <w:t>-4</w:t>
            </w:r>
          </w:p>
        </w:tc>
        <w:tc>
          <w:tcPr>
            <w:tcW w:w="876" w:type="dxa"/>
            <w:vAlign w:val="center"/>
          </w:tcPr>
          <w:p w14:paraId="6907A09E">
            <w:pPr>
              <w:pStyle w:val="64"/>
              <w:rPr>
                <w:rFonts w:cs="Times New Roman"/>
              </w:rPr>
            </w:pPr>
            <w:r>
              <w:rPr>
                <w:rFonts w:cs="Times New Roman"/>
              </w:rPr>
              <w:t>&lt;0.005</w:t>
            </w:r>
          </w:p>
        </w:tc>
        <w:tc>
          <w:tcPr>
            <w:tcW w:w="1174" w:type="dxa"/>
            <w:vAlign w:val="center"/>
          </w:tcPr>
          <w:p w14:paraId="64A9B0AD">
            <w:pPr>
              <w:pStyle w:val="64"/>
              <w:rPr>
                <w:rFonts w:cs="Times New Roman"/>
              </w:rPr>
            </w:pPr>
            <w:r>
              <w:rPr>
                <w:rFonts w:cs="Times New Roman"/>
              </w:rPr>
              <w:t>&lt;0.005</w:t>
            </w:r>
          </w:p>
        </w:tc>
      </w:tr>
      <w:tr w14:paraId="18F4F9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71" w:type="dxa"/>
            <w:vMerge w:val="continue"/>
            <w:vAlign w:val="center"/>
          </w:tcPr>
          <w:p w14:paraId="5DAC02FE">
            <w:pPr>
              <w:pStyle w:val="64"/>
              <w:rPr>
                <w:rFonts w:cs="Times New Roman"/>
              </w:rPr>
            </w:pPr>
          </w:p>
        </w:tc>
        <w:tc>
          <w:tcPr>
            <w:tcW w:w="1559" w:type="dxa"/>
            <w:vMerge w:val="continue"/>
            <w:vAlign w:val="center"/>
          </w:tcPr>
          <w:p w14:paraId="2AFBA157">
            <w:pPr>
              <w:pStyle w:val="64"/>
              <w:rPr>
                <w:rFonts w:cs="Times New Roman"/>
              </w:rPr>
            </w:pPr>
          </w:p>
        </w:tc>
        <w:tc>
          <w:tcPr>
            <w:tcW w:w="1276" w:type="dxa"/>
            <w:vMerge w:val="continue"/>
            <w:vAlign w:val="center"/>
          </w:tcPr>
          <w:p w14:paraId="126962FF">
            <w:pPr>
              <w:pStyle w:val="64"/>
              <w:rPr>
                <w:rFonts w:cs="Times New Roman"/>
              </w:rPr>
            </w:pPr>
          </w:p>
        </w:tc>
        <w:tc>
          <w:tcPr>
            <w:tcW w:w="1575" w:type="dxa"/>
            <w:vAlign w:val="center"/>
          </w:tcPr>
          <w:p w14:paraId="700782B0">
            <w:pPr>
              <w:pStyle w:val="64"/>
              <w:rPr>
                <w:rFonts w:cs="Times New Roman"/>
              </w:rPr>
            </w:pPr>
            <w:r>
              <w:rPr>
                <w:rFonts w:cs="Times New Roman"/>
              </w:rPr>
              <w:t>Si</w:t>
            </w:r>
          </w:p>
        </w:tc>
        <w:tc>
          <w:tcPr>
            <w:tcW w:w="844" w:type="dxa"/>
            <w:vAlign w:val="center"/>
          </w:tcPr>
          <w:p w14:paraId="6B2D80A9">
            <w:pPr>
              <w:pStyle w:val="64"/>
              <w:rPr>
                <w:rFonts w:cs="Times New Roman"/>
              </w:rPr>
            </w:pPr>
            <w:r>
              <w:rPr>
                <w:rFonts w:cs="Times New Roman"/>
              </w:rPr>
              <w:t>0.6</w:t>
            </w:r>
          </w:p>
        </w:tc>
        <w:tc>
          <w:tcPr>
            <w:tcW w:w="803" w:type="dxa"/>
            <w:vAlign w:val="center"/>
          </w:tcPr>
          <w:p w14:paraId="4BADD4CC">
            <w:pPr>
              <w:pStyle w:val="64"/>
              <w:rPr>
                <w:rFonts w:cs="Times New Roman"/>
              </w:rPr>
            </w:pPr>
            <w:r>
              <w:rPr>
                <w:rFonts w:cs="Times New Roman"/>
              </w:rPr>
              <w:t>0.05</w:t>
            </w:r>
          </w:p>
        </w:tc>
        <w:tc>
          <w:tcPr>
            <w:tcW w:w="830" w:type="dxa"/>
            <w:vAlign w:val="center"/>
          </w:tcPr>
          <w:p w14:paraId="66C96442">
            <w:pPr>
              <w:pStyle w:val="64"/>
              <w:rPr>
                <w:rFonts w:cs="Times New Roman"/>
              </w:rPr>
            </w:pPr>
            <w:r>
              <w:rPr>
                <w:rFonts w:cs="Times New Roman"/>
              </w:rPr>
              <w:t>0.42</w:t>
            </w:r>
          </w:p>
        </w:tc>
        <w:tc>
          <w:tcPr>
            <w:tcW w:w="912" w:type="dxa"/>
            <w:vAlign w:val="center"/>
          </w:tcPr>
          <w:p w14:paraId="5718231F">
            <w:pPr>
              <w:pStyle w:val="64"/>
              <w:rPr>
                <w:rFonts w:cs="Times New Roman"/>
              </w:rPr>
            </w:pPr>
            <w:r>
              <w:rPr>
                <w:rFonts w:cs="Times New Roman"/>
              </w:rPr>
              <w:t>&lt;0.06</w:t>
            </w:r>
          </w:p>
        </w:tc>
        <w:tc>
          <w:tcPr>
            <w:tcW w:w="1131" w:type="dxa"/>
            <w:vAlign w:val="center"/>
          </w:tcPr>
          <w:p w14:paraId="540852B9">
            <w:pPr>
              <w:pStyle w:val="64"/>
              <w:rPr>
                <w:rFonts w:cs="Times New Roman"/>
              </w:rPr>
            </w:pPr>
            <w:r>
              <w:rPr>
                <w:rFonts w:cs="Times New Roman"/>
              </w:rPr>
              <w:t>&lt;0.2</w:t>
            </w:r>
          </w:p>
        </w:tc>
        <w:tc>
          <w:tcPr>
            <w:tcW w:w="765" w:type="dxa"/>
            <w:vAlign w:val="center"/>
          </w:tcPr>
          <w:p w14:paraId="5E5A63B7">
            <w:pPr>
              <w:pStyle w:val="64"/>
              <w:rPr>
                <w:rFonts w:cs="Times New Roman"/>
              </w:rPr>
            </w:pPr>
            <w:r>
              <w:rPr>
                <w:rFonts w:cs="Times New Roman"/>
              </w:rPr>
              <w:t>ND</w:t>
            </w:r>
          </w:p>
        </w:tc>
        <w:tc>
          <w:tcPr>
            <w:tcW w:w="976" w:type="dxa"/>
            <w:vAlign w:val="center"/>
          </w:tcPr>
          <w:p w14:paraId="4CB03B85">
            <w:pPr>
              <w:pStyle w:val="64"/>
              <w:rPr>
                <w:rFonts w:cs="Times New Roman"/>
              </w:rPr>
            </w:pPr>
            <w:r>
              <w:rPr>
                <w:rFonts w:cs="Times New Roman"/>
              </w:rPr>
              <w:t>&lt;0.006</w:t>
            </w:r>
          </w:p>
        </w:tc>
        <w:tc>
          <w:tcPr>
            <w:tcW w:w="876" w:type="dxa"/>
            <w:vAlign w:val="center"/>
          </w:tcPr>
          <w:p w14:paraId="1FE84791">
            <w:pPr>
              <w:pStyle w:val="64"/>
              <w:rPr>
                <w:rFonts w:cs="Times New Roman"/>
              </w:rPr>
            </w:pPr>
            <w:r>
              <w:rPr>
                <w:rFonts w:cs="Times New Roman"/>
              </w:rPr>
              <w:t>&lt;0.005</w:t>
            </w:r>
          </w:p>
        </w:tc>
        <w:tc>
          <w:tcPr>
            <w:tcW w:w="1174" w:type="dxa"/>
            <w:vAlign w:val="center"/>
          </w:tcPr>
          <w:p w14:paraId="2D0E4EE2">
            <w:pPr>
              <w:pStyle w:val="64"/>
              <w:rPr>
                <w:rFonts w:cs="Times New Roman"/>
              </w:rPr>
            </w:pPr>
            <w:r>
              <w:rPr>
                <w:rFonts w:cs="Times New Roman"/>
              </w:rPr>
              <w:t>&lt;0.005</w:t>
            </w:r>
          </w:p>
        </w:tc>
      </w:tr>
      <w:tr w14:paraId="47916A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71" w:type="dxa"/>
            <w:vMerge w:val="continue"/>
            <w:vAlign w:val="center"/>
          </w:tcPr>
          <w:p w14:paraId="090E2BCA">
            <w:pPr>
              <w:pStyle w:val="64"/>
              <w:rPr>
                <w:rFonts w:cs="Times New Roman"/>
              </w:rPr>
            </w:pPr>
          </w:p>
        </w:tc>
        <w:tc>
          <w:tcPr>
            <w:tcW w:w="1559" w:type="dxa"/>
            <w:vMerge w:val="continue"/>
            <w:vAlign w:val="center"/>
          </w:tcPr>
          <w:p w14:paraId="7FB2AC29">
            <w:pPr>
              <w:pStyle w:val="64"/>
              <w:rPr>
                <w:rFonts w:cs="Times New Roman"/>
              </w:rPr>
            </w:pPr>
          </w:p>
        </w:tc>
        <w:tc>
          <w:tcPr>
            <w:tcW w:w="1276" w:type="dxa"/>
            <w:vMerge w:val="restart"/>
            <w:vAlign w:val="center"/>
          </w:tcPr>
          <w:p w14:paraId="0483A18D">
            <w:pPr>
              <w:pStyle w:val="64"/>
              <w:rPr>
                <w:rFonts w:cs="Times New Roman"/>
              </w:rPr>
            </w:pPr>
            <w:r>
              <w:rPr>
                <w:rFonts w:cs="Times New Roman"/>
              </w:rPr>
              <w:t>2024.4.29</w:t>
            </w:r>
          </w:p>
        </w:tc>
        <w:tc>
          <w:tcPr>
            <w:tcW w:w="1575" w:type="dxa"/>
            <w:vAlign w:val="center"/>
          </w:tcPr>
          <w:p w14:paraId="48D94D0D">
            <w:pPr>
              <w:pStyle w:val="64"/>
              <w:rPr>
                <w:rFonts w:cs="Times New Roman"/>
              </w:rPr>
            </w:pPr>
            <w:r>
              <w:rPr>
                <w:rFonts w:cs="Times New Roman"/>
              </w:rPr>
              <w:t>Ci</w:t>
            </w:r>
          </w:p>
        </w:tc>
        <w:tc>
          <w:tcPr>
            <w:tcW w:w="844" w:type="dxa"/>
            <w:vAlign w:val="center"/>
          </w:tcPr>
          <w:p w14:paraId="536DD9B7">
            <w:pPr>
              <w:pStyle w:val="64"/>
              <w:rPr>
                <w:rFonts w:cs="Times New Roman"/>
              </w:rPr>
            </w:pPr>
            <w:r>
              <w:rPr>
                <w:rFonts w:cs="Times New Roman"/>
              </w:rPr>
              <w:t>0.11</w:t>
            </w:r>
          </w:p>
        </w:tc>
        <w:tc>
          <w:tcPr>
            <w:tcW w:w="803" w:type="dxa"/>
            <w:vAlign w:val="center"/>
          </w:tcPr>
          <w:p w14:paraId="38463432">
            <w:pPr>
              <w:pStyle w:val="64"/>
              <w:rPr>
                <w:rFonts w:cs="Times New Roman"/>
              </w:rPr>
            </w:pPr>
            <w:r>
              <w:rPr>
                <w:rFonts w:cs="Times New Roman"/>
              </w:rPr>
              <w:t>0.01</w:t>
            </w:r>
          </w:p>
        </w:tc>
        <w:tc>
          <w:tcPr>
            <w:tcW w:w="830" w:type="dxa"/>
            <w:vAlign w:val="center"/>
          </w:tcPr>
          <w:p w14:paraId="784D3F86">
            <w:pPr>
              <w:pStyle w:val="64"/>
              <w:rPr>
                <w:rFonts w:cs="Times New Roman"/>
              </w:rPr>
            </w:pPr>
            <w:r>
              <w:rPr>
                <w:rFonts w:cs="Times New Roman"/>
              </w:rPr>
              <w:t>0.4</w:t>
            </w:r>
          </w:p>
        </w:tc>
        <w:tc>
          <w:tcPr>
            <w:tcW w:w="912" w:type="dxa"/>
            <w:vAlign w:val="center"/>
          </w:tcPr>
          <w:p w14:paraId="468ADDF5">
            <w:pPr>
              <w:pStyle w:val="64"/>
              <w:rPr>
                <w:rFonts w:cs="Times New Roman"/>
              </w:rPr>
            </w:pPr>
            <w:r>
              <w:rPr>
                <w:rFonts w:cs="Times New Roman"/>
              </w:rPr>
              <w:t>&lt;0.0003</w:t>
            </w:r>
          </w:p>
        </w:tc>
        <w:tc>
          <w:tcPr>
            <w:tcW w:w="1131" w:type="dxa"/>
            <w:vAlign w:val="center"/>
          </w:tcPr>
          <w:p w14:paraId="5871D798">
            <w:pPr>
              <w:pStyle w:val="64"/>
              <w:rPr>
                <w:rFonts w:cs="Times New Roman"/>
              </w:rPr>
            </w:pPr>
            <w:r>
              <w:rPr>
                <w:rFonts w:cs="Times New Roman"/>
              </w:rPr>
              <w:t>&lt;0.01</w:t>
            </w:r>
          </w:p>
        </w:tc>
        <w:tc>
          <w:tcPr>
            <w:tcW w:w="765" w:type="dxa"/>
            <w:vAlign w:val="center"/>
          </w:tcPr>
          <w:p w14:paraId="2268C906">
            <w:pPr>
              <w:pStyle w:val="64"/>
              <w:rPr>
                <w:rFonts w:cs="Times New Roman"/>
              </w:rPr>
            </w:pPr>
            <w:r>
              <w:rPr>
                <w:rFonts w:cs="Times New Roman"/>
              </w:rPr>
              <w:t>ND</w:t>
            </w:r>
          </w:p>
        </w:tc>
        <w:tc>
          <w:tcPr>
            <w:tcW w:w="976" w:type="dxa"/>
            <w:vAlign w:val="center"/>
          </w:tcPr>
          <w:p w14:paraId="28F4A6C0">
            <w:pPr>
              <w:pStyle w:val="64"/>
              <w:rPr>
                <w:rFonts w:cs="Times New Roman"/>
              </w:rPr>
            </w:pPr>
            <w:r>
              <w:rPr>
                <w:rFonts w:cs="Times New Roman"/>
              </w:rPr>
              <w:t>&lt;3×10</w:t>
            </w:r>
            <w:r>
              <w:rPr>
                <w:rFonts w:hint="eastAsia" w:cs="Times New Roman"/>
                <w:vertAlign w:val="superscript"/>
              </w:rPr>
              <w:t>-4</w:t>
            </w:r>
          </w:p>
        </w:tc>
        <w:tc>
          <w:tcPr>
            <w:tcW w:w="876" w:type="dxa"/>
            <w:vAlign w:val="center"/>
          </w:tcPr>
          <w:p w14:paraId="4CADD6BC">
            <w:pPr>
              <w:pStyle w:val="64"/>
              <w:rPr>
                <w:rFonts w:cs="Times New Roman"/>
              </w:rPr>
            </w:pPr>
            <w:r>
              <w:rPr>
                <w:rFonts w:cs="Times New Roman"/>
              </w:rPr>
              <w:t>&lt;0.005</w:t>
            </w:r>
          </w:p>
        </w:tc>
        <w:tc>
          <w:tcPr>
            <w:tcW w:w="1174" w:type="dxa"/>
            <w:vAlign w:val="center"/>
          </w:tcPr>
          <w:p w14:paraId="4413D2F9">
            <w:pPr>
              <w:pStyle w:val="64"/>
              <w:rPr>
                <w:rFonts w:cs="Times New Roman"/>
              </w:rPr>
            </w:pPr>
            <w:r>
              <w:rPr>
                <w:rFonts w:cs="Times New Roman"/>
              </w:rPr>
              <w:t>0.006</w:t>
            </w:r>
          </w:p>
        </w:tc>
      </w:tr>
      <w:tr w14:paraId="4E193E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71" w:type="dxa"/>
            <w:vMerge w:val="continue"/>
            <w:vAlign w:val="center"/>
          </w:tcPr>
          <w:p w14:paraId="30BA49B5">
            <w:pPr>
              <w:pStyle w:val="64"/>
              <w:rPr>
                <w:rFonts w:cs="Times New Roman"/>
              </w:rPr>
            </w:pPr>
          </w:p>
        </w:tc>
        <w:tc>
          <w:tcPr>
            <w:tcW w:w="1559" w:type="dxa"/>
            <w:vMerge w:val="continue"/>
            <w:vAlign w:val="center"/>
          </w:tcPr>
          <w:p w14:paraId="75AA706E">
            <w:pPr>
              <w:pStyle w:val="64"/>
              <w:rPr>
                <w:rFonts w:cs="Times New Roman"/>
              </w:rPr>
            </w:pPr>
          </w:p>
        </w:tc>
        <w:tc>
          <w:tcPr>
            <w:tcW w:w="1276" w:type="dxa"/>
            <w:vMerge w:val="continue"/>
            <w:vAlign w:val="center"/>
          </w:tcPr>
          <w:p w14:paraId="26A81756">
            <w:pPr>
              <w:pStyle w:val="64"/>
              <w:rPr>
                <w:rFonts w:cs="Times New Roman"/>
              </w:rPr>
            </w:pPr>
          </w:p>
        </w:tc>
        <w:tc>
          <w:tcPr>
            <w:tcW w:w="1575" w:type="dxa"/>
            <w:vAlign w:val="center"/>
          </w:tcPr>
          <w:p w14:paraId="1993FCF6">
            <w:pPr>
              <w:pStyle w:val="64"/>
              <w:rPr>
                <w:rFonts w:cs="Times New Roman"/>
              </w:rPr>
            </w:pPr>
            <w:r>
              <w:rPr>
                <w:rFonts w:cs="Times New Roman"/>
              </w:rPr>
              <w:t>Si</w:t>
            </w:r>
          </w:p>
        </w:tc>
        <w:tc>
          <w:tcPr>
            <w:tcW w:w="844" w:type="dxa"/>
            <w:vAlign w:val="center"/>
          </w:tcPr>
          <w:p w14:paraId="5D5C1E1E">
            <w:pPr>
              <w:pStyle w:val="64"/>
              <w:rPr>
                <w:rFonts w:cs="Times New Roman"/>
              </w:rPr>
            </w:pPr>
            <w:r>
              <w:rPr>
                <w:rFonts w:cs="Times New Roman"/>
              </w:rPr>
              <w:t>0.55</w:t>
            </w:r>
          </w:p>
        </w:tc>
        <w:tc>
          <w:tcPr>
            <w:tcW w:w="803" w:type="dxa"/>
            <w:vAlign w:val="center"/>
          </w:tcPr>
          <w:p w14:paraId="31FC39F1">
            <w:pPr>
              <w:pStyle w:val="64"/>
              <w:rPr>
                <w:rFonts w:cs="Times New Roman"/>
              </w:rPr>
            </w:pPr>
            <w:r>
              <w:rPr>
                <w:rFonts w:cs="Times New Roman"/>
              </w:rPr>
              <w:t>0.05</w:t>
            </w:r>
          </w:p>
        </w:tc>
        <w:tc>
          <w:tcPr>
            <w:tcW w:w="830" w:type="dxa"/>
            <w:vAlign w:val="center"/>
          </w:tcPr>
          <w:p w14:paraId="3447B29C">
            <w:pPr>
              <w:pStyle w:val="64"/>
              <w:rPr>
                <w:rFonts w:cs="Times New Roman"/>
              </w:rPr>
            </w:pPr>
            <w:r>
              <w:rPr>
                <w:rFonts w:cs="Times New Roman"/>
              </w:rPr>
              <w:t>0.4</w:t>
            </w:r>
          </w:p>
        </w:tc>
        <w:tc>
          <w:tcPr>
            <w:tcW w:w="912" w:type="dxa"/>
            <w:vAlign w:val="center"/>
          </w:tcPr>
          <w:p w14:paraId="3D9BDF44">
            <w:pPr>
              <w:pStyle w:val="64"/>
              <w:rPr>
                <w:rFonts w:cs="Times New Roman"/>
              </w:rPr>
            </w:pPr>
            <w:r>
              <w:rPr>
                <w:rFonts w:cs="Times New Roman"/>
              </w:rPr>
              <w:t>&lt;0.06</w:t>
            </w:r>
          </w:p>
        </w:tc>
        <w:tc>
          <w:tcPr>
            <w:tcW w:w="1131" w:type="dxa"/>
            <w:vAlign w:val="center"/>
          </w:tcPr>
          <w:p w14:paraId="1FD11051">
            <w:pPr>
              <w:pStyle w:val="64"/>
              <w:rPr>
                <w:rFonts w:cs="Times New Roman"/>
              </w:rPr>
            </w:pPr>
            <w:r>
              <w:rPr>
                <w:rFonts w:cs="Times New Roman"/>
              </w:rPr>
              <w:t>&lt;0.2</w:t>
            </w:r>
          </w:p>
        </w:tc>
        <w:tc>
          <w:tcPr>
            <w:tcW w:w="765" w:type="dxa"/>
            <w:vAlign w:val="center"/>
          </w:tcPr>
          <w:p w14:paraId="326BBA62">
            <w:pPr>
              <w:pStyle w:val="64"/>
              <w:rPr>
                <w:rFonts w:cs="Times New Roman"/>
              </w:rPr>
            </w:pPr>
            <w:r>
              <w:rPr>
                <w:rFonts w:cs="Times New Roman"/>
              </w:rPr>
              <w:t>ND</w:t>
            </w:r>
          </w:p>
        </w:tc>
        <w:tc>
          <w:tcPr>
            <w:tcW w:w="976" w:type="dxa"/>
            <w:vAlign w:val="center"/>
          </w:tcPr>
          <w:p w14:paraId="69DA1BF6">
            <w:pPr>
              <w:pStyle w:val="64"/>
              <w:rPr>
                <w:rFonts w:cs="Times New Roman"/>
              </w:rPr>
            </w:pPr>
            <w:r>
              <w:rPr>
                <w:rFonts w:cs="Times New Roman"/>
              </w:rPr>
              <w:t>&lt;0.006</w:t>
            </w:r>
          </w:p>
        </w:tc>
        <w:tc>
          <w:tcPr>
            <w:tcW w:w="876" w:type="dxa"/>
            <w:vAlign w:val="center"/>
          </w:tcPr>
          <w:p w14:paraId="6F6FAED1">
            <w:pPr>
              <w:pStyle w:val="64"/>
              <w:rPr>
                <w:rFonts w:cs="Times New Roman"/>
              </w:rPr>
            </w:pPr>
            <w:r>
              <w:rPr>
                <w:rFonts w:cs="Times New Roman"/>
              </w:rPr>
              <w:t>&lt;0.005</w:t>
            </w:r>
          </w:p>
        </w:tc>
        <w:tc>
          <w:tcPr>
            <w:tcW w:w="1174" w:type="dxa"/>
            <w:vAlign w:val="center"/>
          </w:tcPr>
          <w:p w14:paraId="2A926AD5">
            <w:pPr>
              <w:pStyle w:val="64"/>
              <w:rPr>
                <w:rFonts w:cs="Times New Roman"/>
              </w:rPr>
            </w:pPr>
            <w:r>
              <w:rPr>
                <w:rFonts w:cs="Times New Roman"/>
              </w:rPr>
              <w:t>0.006</w:t>
            </w:r>
          </w:p>
        </w:tc>
      </w:tr>
      <w:tr w14:paraId="1C9F8F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71" w:type="dxa"/>
            <w:vMerge w:val="continue"/>
            <w:vAlign w:val="center"/>
          </w:tcPr>
          <w:p w14:paraId="39751089">
            <w:pPr>
              <w:pStyle w:val="64"/>
              <w:rPr>
                <w:rFonts w:cs="Times New Roman"/>
              </w:rPr>
            </w:pPr>
          </w:p>
        </w:tc>
        <w:tc>
          <w:tcPr>
            <w:tcW w:w="1559" w:type="dxa"/>
            <w:vMerge w:val="continue"/>
            <w:vAlign w:val="center"/>
          </w:tcPr>
          <w:p w14:paraId="5B082CF6">
            <w:pPr>
              <w:pStyle w:val="64"/>
              <w:rPr>
                <w:rFonts w:cs="Times New Roman"/>
              </w:rPr>
            </w:pPr>
          </w:p>
        </w:tc>
        <w:tc>
          <w:tcPr>
            <w:tcW w:w="1276" w:type="dxa"/>
            <w:vMerge w:val="restart"/>
            <w:vAlign w:val="center"/>
          </w:tcPr>
          <w:p w14:paraId="63B1C75C">
            <w:pPr>
              <w:pStyle w:val="64"/>
              <w:rPr>
                <w:rFonts w:cs="Times New Roman"/>
              </w:rPr>
            </w:pPr>
            <w:r>
              <w:rPr>
                <w:rFonts w:cs="Times New Roman"/>
              </w:rPr>
              <w:t>2024.4.30</w:t>
            </w:r>
          </w:p>
        </w:tc>
        <w:tc>
          <w:tcPr>
            <w:tcW w:w="1575" w:type="dxa"/>
            <w:vAlign w:val="center"/>
          </w:tcPr>
          <w:p w14:paraId="363A0723">
            <w:pPr>
              <w:pStyle w:val="64"/>
              <w:rPr>
                <w:rFonts w:cs="Times New Roman"/>
              </w:rPr>
            </w:pPr>
            <w:r>
              <w:rPr>
                <w:rFonts w:cs="Times New Roman"/>
              </w:rPr>
              <w:t>Ci</w:t>
            </w:r>
          </w:p>
        </w:tc>
        <w:tc>
          <w:tcPr>
            <w:tcW w:w="844" w:type="dxa"/>
            <w:vAlign w:val="center"/>
          </w:tcPr>
          <w:p w14:paraId="6B30A713">
            <w:pPr>
              <w:pStyle w:val="64"/>
              <w:rPr>
                <w:rFonts w:cs="Times New Roman"/>
              </w:rPr>
            </w:pPr>
            <w:r>
              <w:rPr>
                <w:rFonts w:cs="Times New Roman"/>
              </w:rPr>
              <w:t>0.12</w:t>
            </w:r>
          </w:p>
        </w:tc>
        <w:tc>
          <w:tcPr>
            <w:tcW w:w="803" w:type="dxa"/>
            <w:vAlign w:val="center"/>
          </w:tcPr>
          <w:p w14:paraId="44866A2E">
            <w:pPr>
              <w:pStyle w:val="64"/>
              <w:rPr>
                <w:rFonts w:cs="Times New Roman"/>
              </w:rPr>
            </w:pPr>
            <w:r>
              <w:rPr>
                <w:rFonts w:cs="Times New Roman"/>
              </w:rPr>
              <w:t>0.01</w:t>
            </w:r>
          </w:p>
        </w:tc>
        <w:tc>
          <w:tcPr>
            <w:tcW w:w="830" w:type="dxa"/>
            <w:vAlign w:val="center"/>
          </w:tcPr>
          <w:p w14:paraId="73A43E4D">
            <w:pPr>
              <w:pStyle w:val="64"/>
              <w:rPr>
                <w:rFonts w:cs="Times New Roman"/>
              </w:rPr>
            </w:pPr>
            <w:r>
              <w:rPr>
                <w:rFonts w:cs="Times New Roman"/>
              </w:rPr>
              <w:t>0.37</w:t>
            </w:r>
          </w:p>
        </w:tc>
        <w:tc>
          <w:tcPr>
            <w:tcW w:w="912" w:type="dxa"/>
            <w:vAlign w:val="center"/>
          </w:tcPr>
          <w:p w14:paraId="7EF6F6C5">
            <w:pPr>
              <w:pStyle w:val="64"/>
              <w:rPr>
                <w:rFonts w:cs="Times New Roman"/>
              </w:rPr>
            </w:pPr>
            <w:r>
              <w:rPr>
                <w:rFonts w:cs="Times New Roman"/>
              </w:rPr>
              <w:t>&lt;0.0003</w:t>
            </w:r>
          </w:p>
        </w:tc>
        <w:tc>
          <w:tcPr>
            <w:tcW w:w="1131" w:type="dxa"/>
            <w:vAlign w:val="center"/>
          </w:tcPr>
          <w:p w14:paraId="6365EBDC">
            <w:pPr>
              <w:pStyle w:val="64"/>
              <w:rPr>
                <w:rFonts w:cs="Times New Roman"/>
              </w:rPr>
            </w:pPr>
            <w:r>
              <w:rPr>
                <w:rFonts w:cs="Times New Roman"/>
              </w:rPr>
              <w:t>&lt;0.01</w:t>
            </w:r>
          </w:p>
        </w:tc>
        <w:tc>
          <w:tcPr>
            <w:tcW w:w="765" w:type="dxa"/>
            <w:vAlign w:val="center"/>
          </w:tcPr>
          <w:p w14:paraId="58164058">
            <w:pPr>
              <w:pStyle w:val="64"/>
              <w:rPr>
                <w:rFonts w:cs="Times New Roman"/>
              </w:rPr>
            </w:pPr>
            <w:r>
              <w:rPr>
                <w:rFonts w:cs="Times New Roman"/>
              </w:rPr>
              <w:t>ND</w:t>
            </w:r>
          </w:p>
        </w:tc>
        <w:tc>
          <w:tcPr>
            <w:tcW w:w="976" w:type="dxa"/>
            <w:vAlign w:val="center"/>
          </w:tcPr>
          <w:p w14:paraId="68AF5F9C">
            <w:pPr>
              <w:pStyle w:val="64"/>
              <w:rPr>
                <w:rFonts w:cs="Times New Roman"/>
              </w:rPr>
            </w:pPr>
            <w:r>
              <w:rPr>
                <w:rFonts w:cs="Times New Roman"/>
              </w:rPr>
              <w:t>&lt;3×10</w:t>
            </w:r>
            <w:r>
              <w:rPr>
                <w:rFonts w:hint="eastAsia" w:cs="Times New Roman"/>
                <w:vertAlign w:val="superscript"/>
              </w:rPr>
              <w:t>-4</w:t>
            </w:r>
          </w:p>
        </w:tc>
        <w:tc>
          <w:tcPr>
            <w:tcW w:w="876" w:type="dxa"/>
            <w:vAlign w:val="center"/>
          </w:tcPr>
          <w:p w14:paraId="2AF3D63D">
            <w:pPr>
              <w:pStyle w:val="64"/>
              <w:rPr>
                <w:rFonts w:cs="Times New Roman"/>
              </w:rPr>
            </w:pPr>
            <w:r>
              <w:rPr>
                <w:rFonts w:cs="Times New Roman"/>
              </w:rPr>
              <w:t>&lt;0.005</w:t>
            </w:r>
          </w:p>
        </w:tc>
        <w:tc>
          <w:tcPr>
            <w:tcW w:w="1174" w:type="dxa"/>
            <w:vAlign w:val="center"/>
          </w:tcPr>
          <w:p w14:paraId="676EB195">
            <w:pPr>
              <w:pStyle w:val="64"/>
              <w:rPr>
                <w:rFonts w:cs="Times New Roman"/>
              </w:rPr>
            </w:pPr>
            <w:r>
              <w:rPr>
                <w:rFonts w:cs="Times New Roman"/>
              </w:rPr>
              <w:t>&lt;0.005</w:t>
            </w:r>
          </w:p>
        </w:tc>
      </w:tr>
      <w:tr w14:paraId="43483A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71" w:type="dxa"/>
            <w:vMerge w:val="continue"/>
            <w:vAlign w:val="center"/>
          </w:tcPr>
          <w:p w14:paraId="3056AA13">
            <w:pPr>
              <w:pStyle w:val="64"/>
              <w:rPr>
                <w:rFonts w:cs="Times New Roman"/>
              </w:rPr>
            </w:pPr>
          </w:p>
        </w:tc>
        <w:tc>
          <w:tcPr>
            <w:tcW w:w="1559" w:type="dxa"/>
            <w:vMerge w:val="continue"/>
            <w:vAlign w:val="center"/>
          </w:tcPr>
          <w:p w14:paraId="07C75B6B">
            <w:pPr>
              <w:pStyle w:val="64"/>
              <w:rPr>
                <w:rFonts w:cs="Times New Roman"/>
              </w:rPr>
            </w:pPr>
          </w:p>
        </w:tc>
        <w:tc>
          <w:tcPr>
            <w:tcW w:w="1276" w:type="dxa"/>
            <w:vMerge w:val="continue"/>
            <w:vAlign w:val="center"/>
          </w:tcPr>
          <w:p w14:paraId="060ADA69">
            <w:pPr>
              <w:pStyle w:val="64"/>
              <w:rPr>
                <w:rFonts w:cs="Times New Roman"/>
              </w:rPr>
            </w:pPr>
          </w:p>
        </w:tc>
        <w:tc>
          <w:tcPr>
            <w:tcW w:w="1575" w:type="dxa"/>
            <w:vAlign w:val="center"/>
          </w:tcPr>
          <w:p w14:paraId="6969AD02">
            <w:pPr>
              <w:pStyle w:val="64"/>
              <w:rPr>
                <w:rFonts w:cs="Times New Roman"/>
              </w:rPr>
            </w:pPr>
            <w:r>
              <w:rPr>
                <w:rFonts w:cs="Times New Roman"/>
              </w:rPr>
              <w:t>Si</w:t>
            </w:r>
          </w:p>
        </w:tc>
        <w:tc>
          <w:tcPr>
            <w:tcW w:w="844" w:type="dxa"/>
            <w:vAlign w:val="center"/>
          </w:tcPr>
          <w:p w14:paraId="161F0EC7">
            <w:pPr>
              <w:pStyle w:val="64"/>
              <w:rPr>
                <w:rFonts w:cs="Times New Roman"/>
              </w:rPr>
            </w:pPr>
            <w:r>
              <w:rPr>
                <w:rFonts w:cs="Times New Roman"/>
              </w:rPr>
              <w:t>0.6</w:t>
            </w:r>
          </w:p>
        </w:tc>
        <w:tc>
          <w:tcPr>
            <w:tcW w:w="803" w:type="dxa"/>
            <w:vAlign w:val="center"/>
          </w:tcPr>
          <w:p w14:paraId="4086B518">
            <w:pPr>
              <w:pStyle w:val="64"/>
              <w:rPr>
                <w:rFonts w:cs="Times New Roman"/>
              </w:rPr>
            </w:pPr>
            <w:r>
              <w:rPr>
                <w:rFonts w:cs="Times New Roman"/>
              </w:rPr>
              <w:t>0.05</w:t>
            </w:r>
          </w:p>
        </w:tc>
        <w:tc>
          <w:tcPr>
            <w:tcW w:w="830" w:type="dxa"/>
            <w:vAlign w:val="center"/>
          </w:tcPr>
          <w:p w14:paraId="0ADE3A88">
            <w:pPr>
              <w:pStyle w:val="64"/>
              <w:rPr>
                <w:rFonts w:cs="Times New Roman"/>
              </w:rPr>
            </w:pPr>
            <w:r>
              <w:rPr>
                <w:rFonts w:cs="Times New Roman"/>
              </w:rPr>
              <w:t>0.37</w:t>
            </w:r>
          </w:p>
        </w:tc>
        <w:tc>
          <w:tcPr>
            <w:tcW w:w="912" w:type="dxa"/>
            <w:vAlign w:val="center"/>
          </w:tcPr>
          <w:p w14:paraId="0A781A99">
            <w:pPr>
              <w:pStyle w:val="64"/>
              <w:rPr>
                <w:rFonts w:cs="Times New Roman"/>
              </w:rPr>
            </w:pPr>
            <w:r>
              <w:rPr>
                <w:rFonts w:cs="Times New Roman"/>
              </w:rPr>
              <w:t>&lt;0.06</w:t>
            </w:r>
          </w:p>
        </w:tc>
        <w:tc>
          <w:tcPr>
            <w:tcW w:w="1131" w:type="dxa"/>
            <w:vAlign w:val="center"/>
          </w:tcPr>
          <w:p w14:paraId="3CA112FC">
            <w:pPr>
              <w:pStyle w:val="64"/>
              <w:rPr>
                <w:rFonts w:cs="Times New Roman"/>
              </w:rPr>
            </w:pPr>
            <w:r>
              <w:rPr>
                <w:rFonts w:cs="Times New Roman"/>
              </w:rPr>
              <w:t>&lt;0.2</w:t>
            </w:r>
          </w:p>
        </w:tc>
        <w:tc>
          <w:tcPr>
            <w:tcW w:w="765" w:type="dxa"/>
            <w:vAlign w:val="center"/>
          </w:tcPr>
          <w:p w14:paraId="0A621841">
            <w:pPr>
              <w:pStyle w:val="64"/>
              <w:rPr>
                <w:rFonts w:cs="Times New Roman"/>
              </w:rPr>
            </w:pPr>
            <w:r>
              <w:rPr>
                <w:rFonts w:cs="Times New Roman"/>
              </w:rPr>
              <w:t>ND</w:t>
            </w:r>
          </w:p>
        </w:tc>
        <w:tc>
          <w:tcPr>
            <w:tcW w:w="976" w:type="dxa"/>
            <w:vAlign w:val="center"/>
          </w:tcPr>
          <w:p w14:paraId="70492CC2">
            <w:pPr>
              <w:pStyle w:val="64"/>
              <w:rPr>
                <w:rFonts w:cs="Times New Roman"/>
              </w:rPr>
            </w:pPr>
            <w:r>
              <w:rPr>
                <w:rFonts w:cs="Times New Roman"/>
              </w:rPr>
              <w:t>&lt;0.006</w:t>
            </w:r>
          </w:p>
        </w:tc>
        <w:tc>
          <w:tcPr>
            <w:tcW w:w="876" w:type="dxa"/>
            <w:vAlign w:val="center"/>
          </w:tcPr>
          <w:p w14:paraId="424702B1">
            <w:pPr>
              <w:pStyle w:val="64"/>
              <w:rPr>
                <w:rFonts w:cs="Times New Roman"/>
              </w:rPr>
            </w:pPr>
            <w:r>
              <w:rPr>
                <w:rFonts w:cs="Times New Roman"/>
              </w:rPr>
              <w:t>&lt;0.005</w:t>
            </w:r>
          </w:p>
        </w:tc>
        <w:tc>
          <w:tcPr>
            <w:tcW w:w="1174" w:type="dxa"/>
            <w:vAlign w:val="center"/>
          </w:tcPr>
          <w:p w14:paraId="393F0FA7">
            <w:pPr>
              <w:pStyle w:val="64"/>
              <w:rPr>
                <w:rFonts w:cs="Times New Roman"/>
              </w:rPr>
            </w:pPr>
            <w:r>
              <w:rPr>
                <w:rFonts w:cs="Times New Roman"/>
              </w:rPr>
              <w:t>&lt;0.005</w:t>
            </w:r>
          </w:p>
        </w:tc>
      </w:tr>
      <w:tr w14:paraId="264687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71" w:type="dxa"/>
            <w:vMerge w:val="restart"/>
            <w:vAlign w:val="center"/>
          </w:tcPr>
          <w:p w14:paraId="4506BE72">
            <w:pPr>
              <w:pStyle w:val="64"/>
              <w:rPr>
                <w:rFonts w:cs="Times New Roman"/>
              </w:rPr>
            </w:pPr>
            <w:r>
              <w:rPr>
                <w:rFonts w:hint="eastAsia" w:cs="Times New Roman"/>
              </w:rPr>
              <w:t>6</w:t>
            </w:r>
            <w:r>
              <w:rPr>
                <w:rFonts w:cs="Times New Roman"/>
              </w:rPr>
              <w:t>#三铺大沟入淮河口处下游5000m</w:t>
            </w:r>
          </w:p>
        </w:tc>
        <w:tc>
          <w:tcPr>
            <w:tcW w:w="1559" w:type="dxa"/>
            <w:vMerge w:val="restart"/>
            <w:vAlign w:val="center"/>
          </w:tcPr>
          <w:p w14:paraId="2EC501EB">
            <w:pPr>
              <w:pStyle w:val="64"/>
              <w:rPr>
                <w:rFonts w:cs="Times New Roman"/>
              </w:rPr>
            </w:pPr>
            <w:r>
              <w:rPr>
                <w:rFonts w:cs="Times New Roman"/>
              </w:rPr>
              <w:t>E:117°34'59.39"</w:t>
            </w:r>
            <w:r>
              <w:rPr>
                <w:rFonts w:cs="Times New Roman"/>
              </w:rPr>
              <w:br w:type="textWrapping"/>
            </w:r>
            <w:r>
              <w:rPr>
                <w:rFonts w:cs="Times New Roman"/>
              </w:rPr>
              <w:t>N:32°56'29.50"</w:t>
            </w:r>
          </w:p>
        </w:tc>
        <w:tc>
          <w:tcPr>
            <w:tcW w:w="1276" w:type="dxa"/>
            <w:vMerge w:val="restart"/>
            <w:vAlign w:val="center"/>
          </w:tcPr>
          <w:p w14:paraId="56E75A6E">
            <w:pPr>
              <w:pStyle w:val="64"/>
              <w:rPr>
                <w:rFonts w:cs="Times New Roman"/>
              </w:rPr>
            </w:pPr>
            <w:r>
              <w:rPr>
                <w:rFonts w:cs="Times New Roman"/>
              </w:rPr>
              <w:t>2024.4.28</w:t>
            </w:r>
          </w:p>
        </w:tc>
        <w:tc>
          <w:tcPr>
            <w:tcW w:w="1575" w:type="dxa"/>
            <w:vAlign w:val="center"/>
          </w:tcPr>
          <w:p w14:paraId="0485016F">
            <w:pPr>
              <w:pStyle w:val="64"/>
              <w:rPr>
                <w:rFonts w:cs="Times New Roman"/>
              </w:rPr>
            </w:pPr>
            <w:r>
              <w:rPr>
                <w:rFonts w:cs="Times New Roman"/>
              </w:rPr>
              <w:t>Ci</w:t>
            </w:r>
          </w:p>
        </w:tc>
        <w:tc>
          <w:tcPr>
            <w:tcW w:w="844" w:type="dxa"/>
            <w:vAlign w:val="center"/>
          </w:tcPr>
          <w:p w14:paraId="7D94C022">
            <w:pPr>
              <w:pStyle w:val="64"/>
              <w:rPr>
                <w:rFonts w:cs="Times New Roman"/>
              </w:rPr>
            </w:pPr>
            <w:r>
              <w:rPr>
                <w:rFonts w:cs="Times New Roman"/>
              </w:rPr>
              <w:t>0.11</w:t>
            </w:r>
          </w:p>
        </w:tc>
        <w:tc>
          <w:tcPr>
            <w:tcW w:w="803" w:type="dxa"/>
            <w:vAlign w:val="center"/>
          </w:tcPr>
          <w:p w14:paraId="4E9BDD20">
            <w:pPr>
              <w:pStyle w:val="64"/>
              <w:rPr>
                <w:rFonts w:cs="Times New Roman"/>
              </w:rPr>
            </w:pPr>
            <w:r>
              <w:rPr>
                <w:rFonts w:cs="Times New Roman"/>
              </w:rPr>
              <w:t>0.01</w:t>
            </w:r>
          </w:p>
        </w:tc>
        <w:tc>
          <w:tcPr>
            <w:tcW w:w="830" w:type="dxa"/>
            <w:vAlign w:val="center"/>
          </w:tcPr>
          <w:p w14:paraId="4C7EE95E">
            <w:pPr>
              <w:pStyle w:val="64"/>
              <w:rPr>
                <w:rFonts w:cs="Times New Roman"/>
              </w:rPr>
            </w:pPr>
            <w:r>
              <w:rPr>
                <w:rFonts w:cs="Times New Roman"/>
              </w:rPr>
              <w:t>0.4</w:t>
            </w:r>
          </w:p>
        </w:tc>
        <w:tc>
          <w:tcPr>
            <w:tcW w:w="912" w:type="dxa"/>
            <w:vAlign w:val="center"/>
          </w:tcPr>
          <w:p w14:paraId="3BCBA5B2">
            <w:pPr>
              <w:pStyle w:val="64"/>
              <w:rPr>
                <w:rFonts w:cs="Times New Roman"/>
              </w:rPr>
            </w:pPr>
            <w:r>
              <w:rPr>
                <w:rFonts w:cs="Times New Roman"/>
              </w:rPr>
              <w:t>&lt;0.0003</w:t>
            </w:r>
          </w:p>
        </w:tc>
        <w:tc>
          <w:tcPr>
            <w:tcW w:w="1131" w:type="dxa"/>
            <w:vAlign w:val="center"/>
          </w:tcPr>
          <w:p w14:paraId="0EA082BF">
            <w:pPr>
              <w:pStyle w:val="64"/>
              <w:rPr>
                <w:rFonts w:cs="Times New Roman"/>
              </w:rPr>
            </w:pPr>
            <w:r>
              <w:rPr>
                <w:rFonts w:cs="Times New Roman"/>
              </w:rPr>
              <w:t>&lt;0.01</w:t>
            </w:r>
          </w:p>
        </w:tc>
        <w:tc>
          <w:tcPr>
            <w:tcW w:w="765" w:type="dxa"/>
            <w:vAlign w:val="center"/>
          </w:tcPr>
          <w:p w14:paraId="3EC48E23">
            <w:pPr>
              <w:pStyle w:val="64"/>
              <w:rPr>
                <w:rFonts w:cs="Times New Roman"/>
              </w:rPr>
            </w:pPr>
            <w:r>
              <w:rPr>
                <w:rFonts w:cs="Times New Roman"/>
              </w:rPr>
              <w:t>ND</w:t>
            </w:r>
          </w:p>
        </w:tc>
        <w:tc>
          <w:tcPr>
            <w:tcW w:w="976" w:type="dxa"/>
            <w:vAlign w:val="center"/>
          </w:tcPr>
          <w:p w14:paraId="158DA9C3">
            <w:pPr>
              <w:pStyle w:val="64"/>
              <w:rPr>
                <w:rFonts w:cs="Times New Roman"/>
              </w:rPr>
            </w:pPr>
            <w:r>
              <w:rPr>
                <w:rFonts w:cs="Times New Roman"/>
              </w:rPr>
              <w:t>&lt;3×10</w:t>
            </w:r>
            <w:r>
              <w:rPr>
                <w:rFonts w:hint="eastAsia" w:cs="Times New Roman"/>
                <w:vertAlign w:val="superscript"/>
              </w:rPr>
              <w:t>-4</w:t>
            </w:r>
          </w:p>
        </w:tc>
        <w:tc>
          <w:tcPr>
            <w:tcW w:w="876" w:type="dxa"/>
            <w:vAlign w:val="center"/>
          </w:tcPr>
          <w:p w14:paraId="76B65788">
            <w:pPr>
              <w:pStyle w:val="64"/>
              <w:rPr>
                <w:rFonts w:cs="Times New Roman"/>
              </w:rPr>
            </w:pPr>
            <w:r>
              <w:rPr>
                <w:rFonts w:cs="Times New Roman"/>
              </w:rPr>
              <w:t>&lt;0.005</w:t>
            </w:r>
          </w:p>
        </w:tc>
        <w:tc>
          <w:tcPr>
            <w:tcW w:w="1174" w:type="dxa"/>
            <w:vAlign w:val="center"/>
          </w:tcPr>
          <w:p w14:paraId="4C48F75D">
            <w:pPr>
              <w:pStyle w:val="64"/>
              <w:rPr>
                <w:rFonts w:cs="Times New Roman"/>
              </w:rPr>
            </w:pPr>
            <w:r>
              <w:rPr>
                <w:rFonts w:cs="Times New Roman"/>
              </w:rPr>
              <w:t>&lt;0.005</w:t>
            </w:r>
          </w:p>
        </w:tc>
      </w:tr>
      <w:tr w14:paraId="6A20D9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71" w:type="dxa"/>
            <w:vMerge w:val="continue"/>
            <w:vAlign w:val="center"/>
          </w:tcPr>
          <w:p w14:paraId="7AC7FAE1">
            <w:pPr>
              <w:pStyle w:val="64"/>
              <w:rPr>
                <w:rFonts w:cs="Times New Roman"/>
              </w:rPr>
            </w:pPr>
          </w:p>
        </w:tc>
        <w:tc>
          <w:tcPr>
            <w:tcW w:w="1559" w:type="dxa"/>
            <w:vMerge w:val="continue"/>
            <w:vAlign w:val="center"/>
          </w:tcPr>
          <w:p w14:paraId="64F08658">
            <w:pPr>
              <w:pStyle w:val="64"/>
              <w:rPr>
                <w:rFonts w:cs="Times New Roman"/>
              </w:rPr>
            </w:pPr>
          </w:p>
        </w:tc>
        <w:tc>
          <w:tcPr>
            <w:tcW w:w="1276" w:type="dxa"/>
            <w:vMerge w:val="continue"/>
            <w:vAlign w:val="center"/>
          </w:tcPr>
          <w:p w14:paraId="7A5EBA81">
            <w:pPr>
              <w:pStyle w:val="64"/>
              <w:rPr>
                <w:rFonts w:cs="Times New Roman"/>
              </w:rPr>
            </w:pPr>
          </w:p>
        </w:tc>
        <w:tc>
          <w:tcPr>
            <w:tcW w:w="1575" w:type="dxa"/>
            <w:vAlign w:val="center"/>
          </w:tcPr>
          <w:p w14:paraId="1F25CD38">
            <w:pPr>
              <w:pStyle w:val="64"/>
              <w:rPr>
                <w:rFonts w:cs="Times New Roman"/>
              </w:rPr>
            </w:pPr>
            <w:r>
              <w:rPr>
                <w:rFonts w:cs="Times New Roman"/>
              </w:rPr>
              <w:t>Si</w:t>
            </w:r>
          </w:p>
        </w:tc>
        <w:tc>
          <w:tcPr>
            <w:tcW w:w="844" w:type="dxa"/>
            <w:vAlign w:val="center"/>
          </w:tcPr>
          <w:p w14:paraId="083E959E">
            <w:pPr>
              <w:pStyle w:val="64"/>
              <w:rPr>
                <w:rFonts w:cs="Times New Roman"/>
              </w:rPr>
            </w:pPr>
            <w:r>
              <w:rPr>
                <w:rFonts w:cs="Times New Roman"/>
              </w:rPr>
              <w:t>0.55</w:t>
            </w:r>
          </w:p>
        </w:tc>
        <w:tc>
          <w:tcPr>
            <w:tcW w:w="803" w:type="dxa"/>
            <w:vAlign w:val="center"/>
          </w:tcPr>
          <w:p w14:paraId="63FE91AF">
            <w:pPr>
              <w:pStyle w:val="64"/>
              <w:rPr>
                <w:rFonts w:cs="Times New Roman"/>
              </w:rPr>
            </w:pPr>
            <w:r>
              <w:rPr>
                <w:rFonts w:cs="Times New Roman"/>
              </w:rPr>
              <w:t>0.05</w:t>
            </w:r>
          </w:p>
        </w:tc>
        <w:tc>
          <w:tcPr>
            <w:tcW w:w="830" w:type="dxa"/>
            <w:vAlign w:val="center"/>
          </w:tcPr>
          <w:p w14:paraId="3827C4C3">
            <w:pPr>
              <w:pStyle w:val="64"/>
              <w:rPr>
                <w:rFonts w:cs="Times New Roman"/>
              </w:rPr>
            </w:pPr>
            <w:r>
              <w:rPr>
                <w:rFonts w:cs="Times New Roman"/>
              </w:rPr>
              <w:t>0.4</w:t>
            </w:r>
          </w:p>
        </w:tc>
        <w:tc>
          <w:tcPr>
            <w:tcW w:w="912" w:type="dxa"/>
            <w:vAlign w:val="center"/>
          </w:tcPr>
          <w:p w14:paraId="68B42CAD">
            <w:pPr>
              <w:pStyle w:val="64"/>
              <w:rPr>
                <w:rFonts w:cs="Times New Roman"/>
              </w:rPr>
            </w:pPr>
            <w:r>
              <w:rPr>
                <w:rFonts w:cs="Times New Roman"/>
              </w:rPr>
              <w:t>&lt;0.06</w:t>
            </w:r>
          </w:p>
        </w:tc>
        <w:tc>
          <w:tcPr>
            <w:tcW w:w="1131" w:type="dxa"/>
            <w:vAlign w:val="center"/>
          </w:tcPr>
          <w:p w14:paraId="6322DFC2">
            <w:pPr>
              <w:pStyle w:val="64"/>
              <w:rPr>
                <w:rFonts w:cs="Times New Roman"/>
              </w:rPr>
            </w:pPr>
            <w:r>
              <w:rPr>
                <w:rFonts w:cs="Times New Roman"/>
              </w:rPr>
              <w:t>&lt;0.2</w:t>
            </w:r>
          </w:p>
        </w:tc>
        <w:tc>
          <w:tcPr>
            <w:tcW w:w="765" w:type="dxa"/>
            <w:vAlign w:val="center"/>
          </w:tcPr>
          <w:p w14:paraId="4BEEF96E">
            <w:pPr>
              <w:pStyle w:val="64"/>
              <w:rPr>
                <w:rFonts w:cs="Times New Roman"/>
              </w:rPr>
            </w:pPr>
            <w:r>
              <w:rPr>
                <w:rFonts w:cs="Times New Roman"/>
              </w:rPr>
              <w:t>ND</w:t>
            </w:r>
          </w:p>
        </w:tc>
        <w:tc>
          <w:tcPr>
            <w:tcW w:w="976" w:type="dxa"/>
            <w:vAlign w:val="center"/>
          </w:tcPr>
          <w:p w14:paraId="29E3D6A4">
            <w:pPr>
              <w:pStyle w:val="64"/>
              <w:rPr>
                <w:rFonts w:cs="Times New Roman"/>
              </w:rPr>
            </w:pPr>
            <w:r>
              <w:rPr>
                <w:rFonts w:cs="Times New Roman"/>
              </w:rPr>
              <w:t>&lt;0.006</w:t>
            </w:r>
          </w:p>
        </w:tc>
        <w:tc>
          <w:tcPr>
            <w:tcW w:w="876" w:type="dxa"/>
            <w:vAlign w:val="center"/>
          </w:tcPr>
          <w:p w14:paraId="24AE17B7">
            <w:pPr>
              <w:pStyle w:val="64"/>
              <w:rPr>
                <w:rFonts w:cs="Times New Roman"/>
              </w:rPr>
            </w:pPr>
            <w:r>
              <w:rPr>
                <w:rFonts w:cs="Times New Roman"/>
              </w:rPr>
              <w:t>&lt;0.005</w:t>
            </w:r>
          </w:p>
        </w:tc>
        <w:tc>
          <w:tcPr>
            <w:tcW w:w="1174" w:type="dxa"/>
            <w:vAlign w:val="center"/>
          </w:tcPr>
          <w:p w14:paraId="45D07B8E">
            <w:pPr>
              <w:pStyle w:val="64"/>
              <w:rPr>
                <w:rFonts w:cs="Times New Roman"/>
              </w:rPr>
            </w:pPr>
            <w:r>
              <w:rPr>
                <w:rFonts w:cs="Times New Roman"/>
              </w:rPr>
              <w:t>&lt;0.005</w:t>
            </w:r>
          </w:p>
        </w:tc>
      </w:tr>
      <w:tr w14:paraId="1A2334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71" w:type="dxa"/>
            <w:vMerge w:val="continue"/>
            <w:vAlign w:val="center"/>
          </w:tcPr>
          <w:p w14:paraId="094A475E">
            <w:pPr>
              <w:pStyle w:val="64"/>
              <w:rPr>
                <w:rFonts w:cs="Times New Roman"/>
              </w:rPr>
            </w:pPr>
          </w:p>
        </w:tc>
        <w:tc>
          <w:tcPr>
            <w:tcW w:w="1559" w:type="dxa"/>
            <w:vMerge w:val="continue"/>
            <w:vAlign w:val="center"/>
          </w:tcPr>
          <w:p w14:paraId="01A08C03">
            <w:pPr>
              <w:pStyle w:val="64"/>
              <w:rPr>
                <w:rFonts w:cs="Times New Roman"/>
              </w:rPr>
            </w:pPr>
          </w:p>
        </w:tc>
        <w:tc>
          <w:tcPr>
            <w:tcW w:w="1276" w:type="dxa"/>
            <w:vMerge w:val="restart"/>
            <w:vAlign w:val="center"/>
          </w:tcPr>
          <w:p w14:paraId="0727FEAC">
            <w:pPr>
              <w:pStyle w:val="64"/>
              <w:rPr>
                <w:rFonts w:cs="Times New Roman"/>
              </w:rPr>
            </w:pPr>
            <w:r>
              <w:rPr>
                <w:rFonts w:cs="Times New Roman"/>
              </w:rPr>
              <w:t>2024.4.29</w:t>
            </w:r>
          </w:p>
        </w:tc>
        <w:tc>
          <w:tcPr>
            <w:tcW w:w="1575" w:type="dxa"/>
            <w:vAlign w:val="center"/>
          </w:tcPr>
          <w:p w14:paraId="2461CD13">
            <w:pPr>
              <w:pStyle w:val="64"/>
              <w:rPr>
                <w:rFonts w:cs="Times New Roman"/>
              </w:rPr>
            </w:pPr>
            <w:r>
              <w:rPr>
                <w:rFonts w:cs="Times New Roman"/>
              </w:rPr>
              <w:t>Ci</w:t>
            </w:r>
          </w:p>
        </w:tc>
        <w:tc>
          <w:tcPr>
            <w:tcW w:w="844" w:type="dxa"/>
            <w:vAlign w:val="center"/>
          </w:tcPr>
          <w:p w14:paraId="570526E8">
            <w:pPr>
              <w:pStyle w:val="64"/>
              <w:rPr>
                <w:rFonts w:cs="Times New Roman"/>
              </w:rPr>
            </w:pPr>
            <w:r>
              <w:rPr>
                <w:rFonts w:cs="Times New Roman"/>
              </w:rPr>
              <w:t>0.11</w:t>
            </w:r>
          </w:p>
        </w:tc>
        <w:tc>
          <w:tcPr>
            <w:tcW w:w="803" w:type="dxa"/>
            <w:vAlign w:val="center"/>
          </w:tcPr>
          <w:p w14:paraId="7BB28209">
            <w:pPr>
              <w:pStyle w:val="64"/>
              <w:rPr>
                <w:rFonts w:cs="Times New Roman"/>
              </w:rPr>
            </w:pPr>
            <w:r>
              <w:rPr>
                <w:rFonts w:cs="Times New Roman"/>
              </w:rPr>
              <w:t>0.01</w:t>
            </w:r>
          </w:p>
        </w:tc>
        <w:tc>
          <w:tcPr>
            <w:tcW w:w="830" w:type="dxa"/>
            <w:vAlign w:val="center"/>
          </w:tcPr>
          <w:p w14:paraId="0A337D12">
            <w:pPr>
              <w:pStyle w:val="64"/>
              <w:rPr>
                <w:rFonts w:cs="Times New Roman"/>
              </w:rPr>
            </w:pPr>
            <w:r>
              <w:rPr>
                <w:rFonts w:cs="Times New Roman"/>
              </w:rPr>
              <w:t>0.39</w:t>
            </w:r>
          </w:p>
        </w:tc>
        <w:tc>
          <w:tcPr>
            <w:tcW w:w="912" w:type="dxa"/>
            <w:vAlign w:val="center"/>
          </w:tcPr>
          <w:p w14:paraId="7451E14B">
            <w:pPr>
              <w:pStyle w:val="64"/>
              <w:rPr>
                <w:rFonts w:cs="Times New Roman"/>
              </w:rPr>
            </w:pPr>
            <w:r>
              <w:rPr>
                <w:rFonts w:cs="Times New Roman"/>
              </w:rPr>
              <w:t>&lt;0.0003</w:t>
            </w:r>
          </w:p>
        </w:tc>
        <w:tc>
          <w:tcPr>
            <w:tcW w:w="1131" w:type="dxa"/>
            <w:vAlign w:val="center"/>
          </w:tcPr>
          <w:p w14:paraId="043CFE93">
            <w:pPr>
              <w:pStyle w:val="64"/>
              <w:rPr>
                <w:rFonts w:cs="Times New Roman"/>
              </w:rPr>
            </w:pPr>
            <w:r>
              <w:rPr>
                <w:rFonts w:cs="Times New Roman"/>
              </w:rPr>
              <w:t>&lt;0.01</w:t>
            </w:r>
          </w:p>
        </w:tc>
        <w:tc>
          <w:tcPr>
            <w:tcW w:w="765" w:type="dxa"/>
            <w:vAlign w:val="center"/>
          </w:tcPr>
          <w:p w14:paraId="32FEF87D">
            <w:pPr>
              <w:pStyle w:val="64"/>
              <w:rPr>
                <w:rFonts w:cs="Times New Roman"/>
              </w:rPr>
            </w:pPr>
            <w:r>
              <w:rPr>
                <w:rFonts w:cs="Times New Roman"/>
              </w:rPr>
              <w:t>ND</w:t>
            </w:r>
          </w:p>
        </w:tc>
        <w:tc>
          <w:tcPr>
            <w:tcW w:w="976" w:type="dxa"/>
            <w:vAlign w:val="center"/>
          </w:tcPr>
          <w:p w14:paraId="7A8F97E4">
            <w:pPr>
              <w:pStyle w:val="64"/>
              <w:rPr>
                <w:rFonts w:cs="Times New Roman"/>
              </w:rPr>
            </w:pPr>
            <w:r>
              <w:rPr>
                <w:rFonts w:cs="Times New Roman"/>
              </w:rPr>
              <w:t>&lt;3×10</w:t>
            </w:r>
            <w:r>
              <w:rPr>
                <w:rFonts w:hint="eastAsia" w:cs="Times New Roman"/>
                <w:vertAlign w:val="superscript"/>
              </w:rPr>
              <w:t>-4</w:t>
            </w:r>
          </w:p>
        </w:tc>
        <w:tc>
          <w:tcPr>
            <w:tcW w:w="876" w:type="dxa"/>
            <w:vAlign w:val="center"/>
          </w:tcPr>
          <w:p w14:paraId="71C306C7">
            <w:pPr>
              <w:pStyle w:val="64"/>
              <w:rPr>
                <w:rFonts w:cs="Times New Roman"/>
              </w:rPr>
            </w:pPr>
            <w:r>
              <w:rPr>
                <w:rFonts w:cs="Times New Roman"/>
              </w:rPr>
              <w:t>&lt;0.005</w:t>
            </w:r>
          </w:p>
        </w:tc>
        <w:tc>
          <w:tcPr>
            <w:tcW w:w="1174" w:type="dxa"/>
            <w:vAlign w:val="center"/>
          </w:tcPr>
          <w:p w14:paraId="61E7F15C">
            <w:pPr>
              <w:pStyle w:val="64"/>
              <w:rPr>
                <w:rFonts w:cs="Times New Roman"/>
              </w:rPr>
            </w:pPr>
            <w:r>
              <w:rPr>
                <w:rFonts w:cs="Times New Roman"/>
              </w:rPr>
              <w:t>&lt;0.005</w:t>
            </w:r>
          </w:p>
        </w:tc>
      </w:tr>
      <w:tr w14:paraId="7B674F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71" w:type="dxa"/>
            <w:vMerge w:val="continue"/>
            <w:vAlign w:val="center"/>
          </w:tcPr>
          <w:p w14:paraId="538F058B">
            <w:pPr>
              <w:pStyle w:val="64"/>
              <w:rPr>
                <w:rFonts w:cs="Times New Roman"/>
              </w:rPr>
            </w:pPr>
          </w:p>
        </w:tc>
        <w:tc>
          <w:tcPr>
            <w:tcW w:w="1559" w:type="dxa"/>
            <w:vMerge w:val="continue"/>
            <w:vAlign w:val="center"/>
          </w:tcPr>
          <w:p w14:paraId="30D49704">
            <w:pPr>
              <w:pStyle w:val="64"/>
              <w:rPr>
                <w:rFonts w:cs="Times New Roman"/>
              </w:rPr>
            </w:pPr>
          </w:p>
        </w:tc>
        <w:tc>
          <w:tcPr>
            <w:tcW w:w="1276" w:type="dxa"/>
            <w:vMerge w:val="continue"/>
            <w:vAlign w:val="center"/>
          </w:tcPr>
          <w:p w14:paraId="66B22F0C">
            <w:pPr>
              <w:pStyle w:val="64"/>
              <w:rPr>
                <w:rFonts w:cs="Times New Roman"/>
              </w:rPr>
            </w:pPr>
          </w:p>
        </w:tc>
        <w:tc>
          <w:tcPr>
            <w:tcW w:w="1575" w:type="dxa"/>
            <w:vAlign w:val="center"/>
          </w:tcPr>
          <w:p w14:paraId="5CC3BAD8">
            <w:pPr>
              <w:pStyle w:val="64"/>
              <w:rPr>
                <w:rFonts w:cs="Times New Roman"/>
              </w:rPr>
            </w:pPr>
            <w:r>
              <w:rPr>
                <w:rFonts w:cs="Times New Roman"/>
              </w:rPr>
              <w:t>Si</w:t>
            </w:r>
          </w:p>
        </w:tc>
        <w:tc>
          <w:tcPr>
            <w:tcW w:w="844" w:type="dxa"/>
            <w:vAlign w:val="center"/>
          </w:tcPr>
          <w:p w14:paraId="5BE3E85A">
            <w:pPr>
              <w:pStyle w:val="64"/>
              <w:rPr>
                <w:rFonts w:cs="Times New Roman"/>
              </w:rPr>
            </w:pPr>
            <w:r>
              <w:rPr>
                <w:rFonts w:cs="Times New Roman"/>
              </w:rPr>
              <w:t>0.55</w:t>
            </w:r>
          </w:p>
        </w:tc>
        <w:tc>
          <w:tcPr>
            <w:tcW w:w="803" w:type="dxa"/>
            <w:vAlign w:val="center"/>
          </w:tcPr>
          <w:p w14:paraId="5155B683">
            <w:pPr>
              <w:pStyle w:val="64"/>
              <w:rPr>
                <w:rFonts w:cs="Times New Roman"/>
              </w:rPr>
            </w:pPr>
            <w:r>
              <w:rPr>
                <w:rFonts w:cs="Times New Roman"/>
              </w:rPr>
              <w:t>0.05</w:t>
            </w:r>
          </w:p>
        </w:tc>
        <w:tc>
          <w:tcPr>
            <w:tcW w:w="830" w:type="dxa"/>
            <w:vAlign w:val="center"/>
          </w:tcPr>
          <w:p w14:paraId="6047960E">
            <w:pPr>
              <w:pStyle w:val="64"/>
              <w:rPr>
                <w:rFonts w:cs="Times New Roman"/>
              </w:rPr>
            </w:pPr>
            <w:r>
              <w:rPr>
                <w:rFonts w:cs="Times New Roman"/>
              </w:rPr>
              <w:t>0.39</w:t>
            </w:r>
          </w:p>
        </w:tc>
        <w:tc>
          <w:tcPr>
            <w:tcW w:w="912" w:type="dxa"/>
            <w:vAlign w:val="center"/>
          </w:tcPr>
          <w:p w14:paraId="35548874">
            <w:pPr>
              <w:pStyle w:val="64"/>
              <w:rPr>
                <w:rFonts w:cs="Times New Roman"/>
              </w:rPr>
            </w:pPr>
            <w:r>
              <w:rPr>
                <w:rFonts w:cs="Times New Roman"/>
              </w:rPr>
              <w:t>&lt;0.06</w:t>
            </w:r>
          </w:p>
        </w:tc>
        <w:tc>
          <w:tcPr>
            <w:tcW w:w="1131" w:type="dxa"/>
            <w:vAlign w:val="center"/>
          </w:tcPr>
          <w:p w14:paraId="07039D2A">
            <w:pPr>
              <w:pStyle w:val="64"/>
              <w:rPr>
                <w:rFonts w:cs="Times New Roman"/>
              </w:rPr>
            </w:pPr>
            <w:r>
              <w:rPr>
                <w:rFonts w:cs="Times New Roman"/>
              </w:rPr>
              <w:t>&lt;0.2</w:t>
            </w:r>
          </w:p>
        </w:tc>
        <w:tc>
          <w:tcPr>
            <w:tcW w:w="765" w:type="dxa"/>
            <w:vAlign w:val="center"/>
          </w:tcPr>
          <w:p w14:paraId="30B111A0">
            <w:pPr>
              <w:pStyle w:val="64"/>
              <w:rPr>
                <w:rFonts w:cs="Times New Roman"/>
              </w:rPr>
            </w:pPr>
            <w:r>
              <w:rPr>
                <w:rFonts w:cs="Times New Roman"/>
              </w:rPr>
              <w:t>ND</w:t>
            </w:r>
          </w:p>
        </w:tc>
        <w:tc>
          <w:tcPr>
            <w:tcW w:w="976" w:type="dxa"/>
            <w:vAlign w:val="center"/>
          </w:tcPr>
          <w:p w14:paraId="13FDF7E7">
            <w:pPr>
              <w:pStyle w:val="64"/>
              <w:rPr>
                <w:rFonts w:cs="Times New Roman"/>
              </w:rPr>
            </w:pPr>
            <w:r>
              <w:rPr>
                <w:rFonts w:cs="Times New Roman"/>
              </w:rPr>
              <w:t>&lt;0.006</w:t>
            </w:r>
          </w:p>
        </w:tc>
        <w:tc>
          <w:tcPr>
            <w:tcW w:w="876" w:type="dxa"/>
            <w:vAlign w:val="center"/>
          </w:tcPr>
          <w:p w14:paraId="111C050E">
            <w:pPr>
              <w:pStyle w:val="64"/>
              <w:rPr>
                <w:rFonts w:cs="Times New Roman"/>
              </w:rPr>
            </w:pPr>
            <w:r>
              <w:rPr>
                <w:rFonts w:cs="Times New Roman"/>
              </w:rPr>
              <w:t>&lt;0.005</w:t>
            </w:r>
          </w:p>
        </w:tc>
        <w:tc>
          <w:tcPr>
            <w:tcW w:w="1174" w:type="dxa"/>
            <w:vAlign w:val="center"/>
          </w:tcPr>
          <w:p w14:paraId="7AFA9D09">
            <w:pPr>
              <w:pStyle w:val="64"/>
              <w:rPr>
                <w:rFonts w:cs="Times New Roman"/>
              </w:rPr>
            </w:pPr>
            <w:r>
              <w:rPr>
                <w:rFonts w:cs="Times New Roman"/>
              </w:rPr>
              <w:t>&lt;0.005</w:t>
            </w:r>
          </w:p>
        </w:tc>
      </w:tr>
      <w:tr w14:paraId="703B37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71" w:type="dxa"/>
            <w:vMerge w:val="continue"/>
            <w:vAlign w:val="center"/>
          </w:tcPr>
          <w:p w14:paraId="4570ADC7">
            <w:pPr>
              <w:pStyle w:val="64"/>
              <w:rPr>
                <w:rFonts w:cs="Times New Roman"/>
              </w:rPr>
            </w:pPr>
          </w:p>
        </w:tc>
        <w:tc>
          <w:tcPr>
            <w:tcW w:w="1559" w:type="dxa"/>
            <w:vMerge w:val="continue"/>
            <w:vAlign w:val="center"/>
          </w:tcPr>
          <w:p w14:paraId="0EC77DF1">
            <w:pPr>
              <w:pStyle w:val="64"/>
              <w:rPr>
                <w:rFonts w:cs="Times New Roman"/>
              </w:rPr>
            </w:pPr>
          </w:p>
        </w:tc>
        <w:tc>
          <w:tcPr>
            <w:tcW w:w="1276" w:type="dxa"/>
            <w:vMerge w:val="restart"/>
            <w:vAlign w:val="center"/>
          </w:tcPr>
          <w:p w14:paraId="16374771">
            <w:pPr>
              <w:pStyle w:val="64"/>
              <w:rPr>
                <w:rFonts w:cs="Times New Roman"/>
              </w:rPr>
            </w:pPr>
            <w:r>
              <w:rPr>
                <w:rFonts w:cs="Times New Roman"/>
              </w:rPr>
              <w:t>2024.4.30</w:t>
            </w:r>
          </w:p>
        </w:tc>
        <w:tc>
          <w:tcPr>
            <w:tcW w:w="1575" w:type="dxa"/>
            <w:vAlign w:val="center"/>
          </w:tcPr>
          <w:p w14:paraId="61BC7910">
            <w:pPr>
              <w:pStyle w:val="64"/>
              <w:rPr>
                <w:rFonts w:cs="Times New Roman"/>
              </w:rPr>
            </w:pPr>
            <w:r>
              <w:rPr>
                <w:rFonts w:cs="Times New Roman"/>
              </w:rPr>
              <w:t>Ci</w:t>
            </w:r>
          </w:p>
        </w:tc>
        <w:tc>
          <w:tcPr>
            <w:tcW w:w="844" w:type="dxa"/>
            <w:vAlign w:val="center"/>
          </w:tcPr>
          <w:p w14:paraId="167D51CD">
            <w:pPr>
              <w:pStyle w:val="64"/>
              <w:rPr>
                <w:rFonts w:cs="Times New Roman"/>
              </w:rPr>
            </w:pPr>
            <w:r>
              <w:rPr>
                <w:rFonts w:cs="Times New Roman"/>
              </w:rPr>
              <w:t>0.09</w:t>
            </w:r>
          </w:p>
        </w:tc>
        <w:tc>
          <w:tcPr>
            <w:tcW w:w="803" w:type="dxa"/>
            <w:vAlign w:val="center"/>
          </w:tcPr>
          <w:p w14:paraId="60B7EA08">
            <w:pPr>
              <w:pStyle w:val="64"/>
              <w:rPr>
                <w:rFonts w:cs="Times New Roman"/>
              </w:rPr>
            </w:pPr>
            <w:r>
              <w:rPr>
                <w:rFonts w:cs="Times New Roman"/>
              </w:rPr>
              <w:t>0.01</w:t>
            </w:r>
          </w:p>
        </w:tc>
        <w:tc>
          <w:tcPr>
            <w:tcW w:w="830" w:type="dxa"/>
            <w:vAlign w:val="center"/>
          </w:tcPr>
          <w:p w14:paraId="0A9A1677">
            <w:pPr>
              <w:pStyle w:val="64"/>
              <w:rPr>
                <w:rFonts w:cs="Times New Roman"/>
              </w:rPr>
            </w:pPr>
            <w:r>
              <w:rPr>
                <w:rFonts w:cs="Times New Roman"/>
              </w:rPr>
              <w:t>0.36</w:t>
            </w:r>
          </w:p>
        </w:tc>
        <w:tc>
          <w:tcPr>
            <w:tcW w:w="912" w:type="dxa"/>
            <w:vAlign w:val="center"/>
          </w:tcPr>
          <w:p w14:paraId="545C99BD">
            <w:pPr>
              <w:pStyle w:val="64"/>
              <w:rPr>
                <w:rFonts w:cs="Times New Roman"/>
              </w:rPr>
            </w:pPr>
            <w:r>
              <w:rPr>
                <w:rFonts w:cs="Times New Roman"/>
              </w:rPr>
              <w:t>&lt;0.0003</w:t>
            </w:r>
          </w:p>
        </w:tc>
        <w:tc>
          <w:tcPr>
            <w:tcW w:w="1131" w:type="dxa"/>
            <w:vAlign w:val="center"/>
          </w:tcPr>
          <w:p w14:paraId="7F82BE93">
            <w:pPr>
              <w:pStyle w:val="64"/>
              <w:rPr>
                <w:rFonts w:cs="Times New Roman"/>
              </w:rPr>
            </w:pPr>
            <w:r>
              <w:rPr>
                <w:rFonts w:cs="Times New Roman"/>
              </w:rPr>
              <w:t>&lt;0.01</w:t>
            </w:r>
          </w:p>
        </w:tc>
        <w:tc>
          <w:tcPr>
            <w:tcW w:w="765" w:type="dxa"/>
            <w:vAlign w:val="center"/>
          </w:tcPr>
          <w:p w14:paraId="55D60237">
            <w:pPr>
              <w:pStyle w:val="64"/>
              <w:rPr>
                <w:rFonts w:cs="Times New Roman"/>
              </w:rPr>
            </w:pPr>
            <w:r>
              <w:rPr>
                <w:rFonts w:cs="Times New Roman"/>
              </w:rPr>
              <w:t>ND</w:t>
            </w:r>
          </w:p>
        </w:tc>
        <w:tc>
          <w:tcPr>
            <w:tcW w:w="976" w:type="dxa"/>
            <w:vAlign w:val="center"/>
          </w:tcPr>
          <w:p w14:paraId="0E1FD8B7">
            <w:pPr>
              <w:pStyle w:val="64"/>
              <w:rPr>
                <w:rFonts w:cs="Times New Roman"/>
              </w:rPr>
            </w:pPr>
            <w:r>
              <w:rPr>
                <w:rFonts w:cs="Times New Roman"/>
              </w:rPr>
              <w:t>&lt;3×10</w:t>
            </w:r>
            <w:r>
              <w:rPr>
                <w:rFonts w:hint="eastAsia" w:cs="Times New Roman"/>
                <w:vertAlign w:val="superscript"/>
              </w:rPr>
              <w:t>-4</w:t>
            </w:r>
          </w:p>
        </w:tc>
        <w:tc>
          <w:tcPr>
            <w:tcW w:w="876" w:type="dxa"/>
            <w:vAlign w:val="center"/>
          </w:tcPr>
          <w:p w14:paraId="76C9AB0F">
            <w:pPr>
              <w:pStyle w:val="64"/>
              <w:rPr>
                <w:rFonts w:cs="Times New Roman"/>
              </w:rPr>
            </w:pPr>
            <w:r>
              <w:rPr>
                <w:rFonts w:cs="Times New Roman"/>
              </w:rPr>
              <w:t>&lt;0.005</w:t>
            </w:r>
          </w:p>
        </w:tc>
        <w:tc>
          <w:tcPr>
            <w:tcW w:w="1174" w:type="dxa"/>
            <w:vAlign w:val="center"/>
          </w:tcPr>
          <w:p w14:paraId="31B462B3">
            <w:pPr>
              <w:pStyle w:val="64"/>
              <w:rPr>
                <w:rFonts w:cs="Times New Roman"/>
              </w:rPr>
            </w:pPr>
            <w:r>
              <w:rPr>
                <w:rFonts w:cs="Times New Roman"/>
              </w:rPr>
              <w:t>&lt;0.005</w:t>
            </w:r>
          </w:p>
        </w:tc>
      </w:tr>
      <w:tr w14:paraId="4596B5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71" w:type="dxa"/>
            <w:vMerge w:val="continue"/>
            <w:vAlign w:val="center"/>
          </w:tcPr>
          <w:p w14:paraId="2ACA5EF7">
            <w:pPr>
              <w:pStyle w:val="64"/>
              <w:rPr>
                <w:rFonts w:cs="Times New Roman"/>
              </w:rPr>
            </w:pPr>
          </w:p>
        </w:tc>
        <w:tc>
          <w:tcPr>
            <w:tcW w:w="1559" w:type="dxa"/>
            <w:vMerge w:val="continue"/>
            <w:vAlign w:val="center"/>
          </w:tcPr>
          <w:p w14:paraId="30A9E1B4">
            <w:pPr>
              <w:pStyle w:val="64"/>
              <w:rPr>
                <w:rFonts w:cs="Times New Roman"/>
              </w:rPr>
            </w:pPr>
          </w:p>
        </w:tc>
        <w:tc>
          <w:tcPr>
            <w:tcW w:w="1276" w:type="dxa"/>
            <w:vMerge w:val="continue"/>
            <w:vAlign w:val="center"/>
          </w:tcPr>
          <w:p w14:paraId="0044842C">
            <w:pPr>
              <w:pStyle w:val="64"/>
              <w:rPr>
                <w:rFonts w:cs="Times New Roman"/>
              </w:rPr>
            </w:pPr>
          </w:p>
        </w:tc>
        <w:tc>
          <w:tcPr>
            <w:tcW w:w="1575" w:type="dxa"/>
            <w:vAlign w:val="center"/>
          </w:tcPr>
          <w:p w14:paraId="5F8F2DED">
            <w:pPr>
              <w:pStyle w:val="64"/>
              <w:rPr>
                <w:rFonts w:cs="Times New Roman"/>
              </w:rPr>
            </w:pPr>
            <w:r>
              <w:rPr>
                <w:rFonts w:cs="Times New Roman"/>
              </w:rPr>
              <w:t>Si</w:t>
            </w:r>
          </w:p>
        </w:tc>
        <w:tc>
          <w:tcPr>
            <w:tcW w:w="844" w:type="dxa"/>
            <w:vAlign w:val="center"/>
          </w:tcPr>
          <w:p w14:paraId="12E1C1CE">
            <w:pPr>
              <w:pStyle w:val="64"/>
              <w:rPr>
                <w:rFonts w:cs="Times New Roman"/>
              </w:rPr>
            </w:pPr>
            <w:r>
              <w:rPr>
                <w:rFonts w:cs="Times New Roman"/>
              </w:rPr>
              <w:t>0.45</w:t>
            </w:r>
          </w:p>
        </w:tc>
        <w:tc>
          <w:tcPr>
            <w:tcW w:w="803" w:type="dxa"/>
            <w:vAlign w:val="center"/>
          </w:tcPr>
          <w:p w14:paraId="79D4C27D">
            <w:pPr>
              <w:pStyle w:val="64"/>
              <w:rPr>
                <w:rFonts w:cs="Times New Roman"/>
              </w:rPr>
            </w:pPr>
            <w:r>
              <w:rPr>
                <w:rFonts w:cs="Times New Roman"/>
              </w:rPr>
              <w:t>0.05</w:t>
            </w:r>
          </w:p>
        </w:tc>
        <w:tc>
          <w:tcPr>
            <w:tcW w:w="830" w:type="dxa"/>
            <w:vAlign w:val="center"/>
          </w:tcPr>
          <w:p w14:paraId="723640A0">
            <w:pPr>
              <w:pStyle w:val="64"/>
              <w:rPr>
                <w:rFonts w:cs="Times New Roman"/>
              </w:rPr>
            </w:pPr>
            <w:r>
              <w:rPr>
                <w:rFonts w:cs="Times New Roman"/>
              </w:rPr>
              <w:t>0.36</w:t>
            </w:r>
          </w:p>
        </w:tc>
        <w:tc>
          <w:tcPr>
            <w:tcW w:w="912" w:type="dxa"/>
            <w:vAlign w:val="center"/>
          </w:tcPr>
          <w:p w14:paraId="265A26D9">
            <w:pPr>
              <w:pStyle w:val="64"/>
              <w:rPr>
                <w:rFonts w:cs="Times New Roman"/>
              </w:rPr>
            </w:pPr>
            <w:r>
              <w:rPr>
                <w:rFonts w:cs="Times New Roman"/>
              </w:rPr>
              <w:t>&lt;0.06</w:t>
            </w:r>
          </w:p>
        </w:tc>
        <w:tc>
          <w:tcPr>
            <w:tcW w:w="1131" w:type="dxa"/>
            <w:vAlign w:val="center"/>
          </w:tcPr>
          <w:p w14:paraId="6B911BE3">
            <w:pPr>
              <w:pStyle w:val="64"/>
              <w:rPr>
                <w:rFonts w:cs="Times New Roman"/>
              </w:rPr>
            </w:pPr>
            <w:r>
              <w:rPr>
                <w:rFonts w:cs="Times New Roman"/>
              </w:rPr>
              <w:t>&lt;0.2</w:t>
            </w:r>
          </w:p>
        </w:tc>
        <w:tc>
          <w:tcPr>
            <w:tcW w:w="765" w:type="dxa"/>
            <w:vAlign w:val="center"/>
          </w:tcPr>
          <w:p w14:paraId="38E7B120">
            <w:pPr>
              <w:pStyle w:val="64"/>
              <w:rPr>
                <w:rFonts w:cs="Times New Roman"/>
              </w:rPr>
            </w:pPr>
            <w:r>
              <w:rPr>
                <w:rFonts w:cs="Times New Roman"/>
              </w:rPr>
              <w:t>ND</w:t>
            </w:r>
          </w:p>
        </w:tc>
        <w:tc>
          <w:tcPr>
            <w:tcW w:w="976" w:type="dxa"/>
            <w:vAlign w:val="center"/>
          </w:tcPr>
          <w:p w14:paraId="2B82F490">
            <w:pPr>
              <w:pStyle w:val="64"/>
              <w:rPr>
                <w:rFonts w:cs="Times New Roman"/>
              </w:rPr>
            </w:pPr>
            <w:r>
              <w:rPr>
                <w:rFonts w:cs="Times New Roman"/>
              </w:rPr>
              <w:t>&lt;0.006</w:t>
            </w:r>
          </w:p>
        </w:tc>
        <w:tc>
          <w:tcPr>
            <w:tcW w:w="876" w:type="dxa"/>
            <w:vAlign w:val="center"/>
          </w:tcPr>
          <w:p w14:paraId="59ED0D48">
            <w:pPr>
              <w:pStyle w:val="64"/>
              <w:rPr>
                <w:rFonts w:cs="Times New Roman"/>
              </w:rPr>
            </w:pPr>
            <w:r>
              <w:rPr>
                <w:rFonts w:cs="Times New Roman"/>
              </w:rPr>
              <w:t>&lt;0.005</w:t>
            </w:r>
          </w:p>
        </w:tc>
        <w:tc>
          <w:tcPr>
            <w:tcW w:w="1174" w:type="dxa"/>
            <w:vAlign w:val="center"/>
          </w:tcPr>
          <w:p w14:paraId="76235C3E">
            <w:pPr>
              <w:pStyle w:val="64"/>
              <w:rPr>
                <w:rFonts w:cs="Times New Roman"/>
              </w:rPr>
            </w:pPr>
            <w:r>
              <w:rPr>
                <w:rFonts w:cs="Times New Roman"/>
              </w:rPr>
              <w:t>&lt;0.005</w:t>
            </w:r>
          </w:p>
        </w:tc>
      </w:tr>
    </w:tbl>
    <w:p w14:paraId="41C1B12F">
      <w:pPr>
        <w:rPr>
          <w:rFonts w:cs="Times New Roman"/>
          <w:spacing w:val="-3"/>
        </w:rPr>
      </w:pPr>
    </w:p>
    <w:p w14:paraId="3EB7228E">
      <w:pPr>
        <w:rPr>
          <w:rFonts w:cs="Times New Roman"/>
          <w:spacing w:val="-3"/>
        </w:rPr>
        <w:sectPr>
          <w:pgSz w:w="16838" w:h="11906" w:orient="landscape"/>
          <w:pgMar w:top="1418" w:right="1418" w:bottom="1418" w:left="1418" w:header="851" w:footer="992" w:gutter="0"/>
          <w:cols w:space="425" w:num="1"/>
          <w:docGrid w:type="lines" w:linePitch="326" w:charSpace="0"/>
        </w:sectPr>
      </w:pPr>
    </w:p>
    <w:p w14:paraId="12B56A32">
      <w:pPr>
        <w:pStyle w:val="4"/>
        <w:rPr>
          <w:rFonts w:hint="eastAsia"/>
        </w:rPr>
      </w:pPr>
      <w:bookmarkStart w:id="64" w:name="_Toc209720894"/>
      <w:bookmarkStart w:id="65" w:name="_Toc221056402"/>
      <w:bookmarkStart w:id="66" w:name="_Toc215670181"/>
      <w:r>
        <w:rPr>
          <w:rFonts w:hint="eastAsia"/>
        </w:rPr>
        <w:t>5.2.3声环境质量现状</w:t>
      </w:r>
      <w:bookmarkEnd w:id="64"/>
      <w:bookmarkEnd w:id="65"/>
      <w:bookmarkEnd w:id="66"/>
    </w:p>
    <w:p w14:paraId="54B7B403">
      <w:pPr>
        <w:ind w:firstLine="480" w:firstLineChars="200"/>
        <w:rPr>
          <w:rFonts w:cs="Times New Roman"/>
          <w14:ligatures w14:val="none"/>
        </w:rPr>
      </w:pPr>
      <w:bookmarkStart w:id="67" w:name="_Toc209720895"/>
      <w:bookmarkStart w:id="68" w:name="_Toc215670182"/>
      <w:r>
        <w:rPr>
          <w:rFonts w:hint="eastAsia" w:cs="Times New Roman"/>
          <w14:ligatures w14:val="none"/>
        </w:rPr>
        <w:t>由于现有间甲酚车间已全部建设完成并稳定运行，因此声环境质量现状监测数据引用2025年11月，企业2025年第四季度例行监测数据来表征厂界噪声环境质量现状。</w:t>
      </w:r>
    </w:p>
    <w:p w14:paraId="2681CB9B">
      <w:pPr>
        <w:ind w:firstLine="480" w:firstLineChars="200"/>
        <w:rPr>
          <w:rFonts w:cs="Times New Roman"/>
          <w14:ligatures w14:val="none"/>
        </w:rPr>
      </w:pPr>
      <w:r>
        <w:rPr>
          <w:rFonts w:cs="Times New Roman"/>
          <w14:ligatures w14:val="none"/>
        </w:rPr>
        <w:t>1</w:t>
      </w:r>
      <w:r>
        <w:rPr>
          <w:rFonts w:hint="eastAsia" w:cs="Times New Roman"/>
          <w14:ligatures w14:val="none"/>
        </w:rPr>
        <w:t>、</w:t>
      </w:r>
      <w:r>
        <w:rPr>
          <w:rFonts w:ascii="宋体" w:hAnsi="宋体" w:cs="Times New Roman"/>
          <w14:ligatures w14:val="none"/>
        </w:rPr>
        <w:t>监测布点</w:t>
      </w:r>
    </w:p>
    <w:p w14:paraId="5C6CBE17">
      <w:pPr>
        <w:ind w:firstLine="480" w:firstLineChars="200"/>
        <w:rPr>
          <w:rFonts w:cs="Times New Roman"/>
          <w14:ligatures w14:val="none"/>
        </w:rPr>
      </w:pPr>
      <w:r>
        <w:rPr>
          <w:rFonts w:ascii="宋体" w:hAnsi="宋体" w:cs="Times New Roman"/>
          <w14:ligatures w14:val="none"/>
        </w:rPr>
        <w:t>厂区周围共布设</w:t>
      </w:r>
      <w:r>
        <w:rPr>
          <w:rFonts w:cs="Times New Roman"/>
          <w14:ligatures w14:val="none"/>
        </w:rPr>
        <w:t>4</w:t>
      </w:r>
      <w:r>
        <w:rPr>
          <w:rFonts w:ascii="宋体" w:hAnsi="宋体" w:cs="Times New Roman"/>
          <w14:ligatures w14:val="none"/>
        </w:rPr>
        <w:t>个监测点，具体位置见表</w:t>
      </w:r>
      <w:r>
        <w:rPr>
          <w:rFonts w:hint="eastAsia" w:cs="Times New Roman"/>
          <w14:ligatures w14:val="none"/>
        </w:rPr>
        <w:t>5.2-7和图5.2-3</w:t>
      </w:r>
      <w:r>
        <w:rPr>
          <w:rFonts w:ascii="宋体" w:hAnsi="宋体" w:cs="Times New Roman"/>
          <w14:ligatures w14:val="none"/>
        </w:rPr>
        <w:t>。</w:t>
      </w:r>
    </w:p>
    <w:p w14:paraId="52C56ED1">
      <w:pPr>
        <w:pStyle w:val="28"/>
        <w:rPr>
          <w:rFonts w:hint="eastAsia"/>
        </w:rPr>
      </w:pPr>
      <w:r>
        <w:t>表</w:t>
      </w:r>
      <w:r>
        <w:rPr>
          <w:rFonts w:hint="eastAsia"/>
        </w:rPr>
        <w:t>5</w:t>
      </w:r>
      <w:r>
        <w:t>.2-</w:t>
      </w:r>
      <w:r>
        <w:rPr>
          <w:rFonts w:hint="eastAsia"/>
        </w:rPr>
        <w:t>7</w:t>
      </w:r>
      <w:r>
        <w:t xml:space="preserve">  项目噪声监测点位表</w:t>
      </w:r>
    </w:p>
    <w:tbl>
      <w:tblPr>
        <w:tblStyle w:val="3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04"/>
        <w:gridCol w:w="3887"/>
        <w:gridCol w:w="3395"/>
      </w:tblGrid>
      <w:tr w14:paraId="0AC2C6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0" w:hRule="atLeast"/>
          <w:jc w:val="center"/>
        </w:trPr>
        <w:tc>
          <w:tcPr>
            <w:tcW w:w="1079" w:type="pct"/>
            <w:tcBorders>
              <w:top w:val="single" w:color="auto" w:sz="4" w:space="0"/>
              <w:left w:val="single" w:color="auto" w:sz="4" w:space="0"/>
              <w:bottom w:val="single" w:color="auto" w:sz="4" w:space="0"/>
              <w:right w:val="single" w:color="auto" w:sz="4" w:space="0"/>
            </w:tcBorders>
            <w:vAlign w:val="center"/>
          </w:tcPr>
          <w:p w14:paraId="7B39286E">
            <w:pPr>
              <w:spacing w:line="240" w:lineRule="auto"/>
              <w:jc w:val="center"/>
              <w:rPr>
                <w:rFonts w:cs="Times New Roman"/>
                <w:sz w:val="21"/>
                <w:szCs w:val="21"/>
                <w14:ligatures w14:val="none"/>
              </w:rPr>
            </w:pPr>
            <w:r>
              <w:rPr>
                <w:rFonts w:hint="eastAsia" w:ascii="宋体" w:hAnsi="宋体" w:cs="Times New Roman"/>
                <w:sz w:val="21"/>
                <w:szCs w:val="21"/>
                <w14:ligatures w14:val="none"/>
              </w:rPr>
              <w:t>监</w:t>
            </w:r>
            <w:r>
              <w:rPr>
                <w:rFonts w:ascii="宋体" w:hAnsi="宋体" w:cs="Times New Roman"/>
                <w:sz w:val="21"/>
                <w:szCs w:val="21"/>
                <w14:ligatures w14:val="none"/>
              </w:rPr>
              <w:t>测点</w:t>
            </w:r>
          </w:p>
        </w:tc>
        <w:tc>
          <w:tcPr>
            <w:tcW w:w="2093" w:type="pct"/>
            <w:tcBorders>
              <w:top w:val="single" w:color="auto" w:sz="4" w:space="0"/>
              <w:left w:val="nil"/>
              <w:bottom w:val="single" w:color="auto" w:sz="4" w:space="0"/>
              <w:right w:val="single" w:color="auto" w:sz="4" w:space="0"/>
            </w:tcBorders>
            <w:vAlign w:val="center"/>
          </w:tcPr>
          <w:p w14:paraId="5AD1025D">
            <w:pPr>
              <w:spacing w:line="240" w:lineRule="auto"/>
              <w:jc w:val="center"/>
              <w:rPr>
                <w:rFonts w:cs="Times New Roman"/>
                <w:sz w:val="21"/>
                <w:szCs w:val="21"/>
                <w14:ligatures w14:val="none"/>
              </w:rPr>
            </w:pPr>
            <w:r>
              <w:rPr>
                <w:rFonts w:ascii="宋体" w:hAnsi="宋体" w:cs="Times New Roman"/>
                <w:sz w:val="21"/>
                <w:szCs w:val="21"/>
                <w14:ligatures w14:val="none"/>
              </w:rPr>
              <w:t>名称</w:t>
            </w:r>
          </w:p>
        </w:tc>
        <w:tc>
          <w:tcPr>
            <w:tcW w:w="1828" w:type="pct"/>
            <w:tcBorders>
              <w:top w:val="single" w:color="auto" w:sz="4" w:space="0"/>
              <w:left w:val="nil"/>
              <w:bottom w:val="single" w:color="auto" w:sz="4" w:space="0"/>
              <w:right w:val="single" w:color="auto" w:sz="4" w:space="0"/>
            </w:tcBorders>
            <w:vAlign w:val="center"/>
          </w:tcPr>
          <w:p w14:paraId="1F54941C">
            <w:pPr>
              <w:spacing w:line="240" w:lineRule="auto"/>
              <w:jc w:val="center"/>
              <w:rPr>
                <w:rFonts w:cs="Times New Roman"/>
                <w:sz w:val="21"/>
                <w:szCs w:val="21"/>
                <w14:ligatures w14:val="none"/>
              </w:rPr>
            </w:pPr>
            <w:r>
              <w:rPr>
                <w:rFonts w:ascii="宋体" w:hAnsi="宋体" w:cs="Times New Roman"/>
                <w:sz w:val="21"/>
                <w:szCs w:val="21"/>
                <w14:ligatures w14:val="none"/>
              </w:rPr>
              <w:t>测点位置</w:t>
            </w:r>
          </w:p>
        </w:tc>
      </w:tr>
      <w:tr w14:paraId="3DE4CF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2" w:hRule="atLeast"/>
          <w:jc w:val="center"/>
        </w:trPr>
        <w:tc>
          <w:tcPr>
            <w:tcW w:w="1079" w:type="pct"/>
            <w:tcBorders>
              <w:top w:val="single" w:color="auto" w:sz="4" w:space="0"/>
              <w:left w:val="single" w:color="auto" w:sz="4" w:space="0"/>
              <w:bottom w:val="single" w:color="auto" w:sz="4" w:space="0"/>
              <w:right w:val="single" w:color="auto" w:sz="4" w:space="0"/>
            </w:tcBorders>
            <w:vAlign w:val="center"/>
          </w:tcPr>
          <w:p w14:paraId="6D400571">
            <w:pPr>
              <w:spacing w:line="240" w:lineRule="auto"/>
              <w:jc w:val="center"/>
              <w:rPr>
                <w:rFonts w:cs="Times New Roman"/>
                <w:sz w:val="21"/>
                <w:szCs w:val="21"/>
                <w14:ligatures w14:val="none"/>
              </w:rPr>
            </w:pPr>
            <w:r>
              <w:rPr>
                <w:rFonts w:cs="Times New Roman"/>
                <w:sz w:val="21"/>
                <w:szCs w:val="21"/>
                <w14:ligatures w14:val="none"/>
              </w:rPr>
              <w:t>N1</w:t>
            </w:r>
          </w:p>
        </w:tc>
        <w:tc>
          <w:tcPr>
            <w:tcW w:w="2093" w:type="pct"/>
            <w:tcBorders>
              <w:top w:val="single" w:color="auto" w:sz="4" w:space="0"/>
              <w:left w:val="nil"/>
              <w:bottom w:val="single" w:color="auto" w:sz="4" w:space="0"/>
              <w:right w:val="single" w:color="auto" w:sz="4" w:space="0"/>
            </w:tcBorders>
            <w:vAlign w:val="center"/>
          </w:tcPr>
          <w:p w14:paraId="4C1DBA55">
            <w:pPr>
              <w:spacing w:line="240" w:lineRule="auto"/>
              <w:jc w:val="center"/>
              <w:rPr>
                <w:rFonts w:cs="Times New Roman"/>
                <w:sz w:val="21"/>
                <w:szCs w:val="21"/>
                <w14:ligatures w14:val="none"/>
              </w:rPr>
            </w:pPr>
            <w:r>
              <w:rPr>
                <w:rFonts w:hint="eastAsia" w:ascii="宋体" w:hAnsi="宋体" w:cs="Times New Roman"/>
                <w:sz w:val="21"/>
                <w:szCs w:val="21"/>
                <w14:ligatures w14:val="none"/>
              </w:rPr>
              <w:t>东</w:t>
            </w:r>
            <w:r>
              <w:rPr>
                <w:rFonts w:ascii="宋体" w:hAnsi="宋体" w:cs="Times New Roman"/>
                <w:sz w:val="21"/>
                <w:szCs w:val="21"/>
                <w14:ligatures w14:val="none"/>
              </w:rPr>
              <w:t>厂界</w:t>
            </w:r>
          </w:p>
        </w:tc>
        <w:tc>
          <w:tcPr>
            <w:tcW w:w="1828" w:type="pct"/>
            <w:tcBorders>
              <w:top w:val="single" w:color="auto" w:sz="4" w:space="0"/>
              <w:left w:val="nil"/>
              <w:bottom w:val="single" w:color="auto" w:sz="4" w:space="0"/>
              <w:right w:val="single" w:color="auto" w:sz="4" w:space="0"/>
            </w:tcBorders>
            <w:vAlign w:val="center"/>
          </w:tcPr>
          <w:p w14:paraId="2B823981">
            <w:pPr>
              <w:spacing w:line="240" w:lineRule="auto"/>
              <w:jc w:val="center"/>
              <w:rPr>
                <w:rFonts w:cs="Times New Roman"/>
                <w:sz w:val="21"/>
                <w:szCs w:val="21"/>
                <w14:ligatures w14:val="none"/>
              </w:rPr>
            </w:pPr>
            <w:r>
              <w:rPr>
                <w:rFonts w:hint="eastAsia" w:ascii="宋体" w:hAnsi="宋体" w:cs="Times New Roman"/>
                <w:sz w:val="21"/>
                <w:szCs w:val="21"/>
                <w14:ligatures w14:val="none"/>
              </w:rPr>
              <w:t>东</w:t>
            </w:r>
            <w:r>
              <w:rPr>
                <w:rFonts w:ascii="宋体" w:hAnsi="宋体" w:cs="Times New Roman"/>
                <w:sz w:val="21"/>
                <w:szCs w:val="21"/>
                <w14:ligatures w14:val="none"/>
              </w:rPr>
              <w:t>厂界外</w:t>
            </w:r>
            <w:r>
              <w:rPr>
                <w:rFonts w:cs="Times New Roman"/>
                <w:sz w:val="21"/>
                <w:szCs w:val="21"/>
                <w14:ligatures w14:val="none"/>
              </w:rPr>
              <w:t>1m</w:t>
            </w:r>
          </w:p>
        </w:tc>
      </w:tr>
      <w:tr w14:paraId="794D52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79" w:type="pct"/>
            <w:tcBorders>
              <w:top w:val="single" w:color="auto" w:sz="4" w:space="0"/>
              <w:left w:val="single" w:color="auto" w:sz="4" w:space="0"/>
              <w:bottom w:val="single" w:color="auto" w:sz="4" w:space="0"/>
              <w:right w:val="single" w:color="auto" w:sz="4" w:space="0"/>
            </w:tcBorders>
            <w:vAlign w:val="center"/>
          </w:tcPr>
          <w:p w14:paraId="0DFB04DB">
            <w:pPr>
              <w:spacing w:line="240" w:lineRule="auto"/>
              <w:jc w:val="center"/>
              <w:rPr>
                <w:rFonts w:cs="Times New Roman"/>
                <w:sz w:val="21"/>
                <w:szCs w:val="21"/>
                <w14:ligatures w14:val="none"/>
              </w:rPr>
            </w:pPr>
            <w:r>
              <w:rPr>
                <w:rFonts w:cs="Times New Roman"/>
                <w:sz w:val="21"/>
                <w:szCs w:val="21"/>
                <w14:ligatures w14:val="none"/>
              </w:rPr>
              <w:t>N2</w:t>
            </w:r>
          </w:p>
        </w:tc>
        <w:tc>
          <w:tcPr>
            <w:tcW w:w="2093" w:type="pct"/>
            <w:tcBorders>
              <w:top w:val="single" w:color="auto" w:sz="4" w:space="0"/>
              <w:left w:val="nil"/>
              <w:bottom w:val="single" w:color="auto" w:sz="4" w:space="0"/>
              <w:right w:val="single" w:color="auto" w:sz="4" w:space="0"/>
            </w:tcBorders>
            <w:vAlign w:val="center"/>
          </w:tcPr>
          <w:p w14:paraId="71F5F49C">
            <w:pPr>
              <w:spacing w:line="240" w:lineRule="auto"/>
              <w:jc w:val="center"/>
              <w:rPr>
                <w:rFonts w:cs="Times New Roman"/>
                <w:sz w:val="21"/>
                <w:szCs w:val="21"/>
                <w14:ligatures w14:val="none"/>
              </w:rPr>
            </w:pPr>
            <w:r>
              <w:rPr>
                <w:rFonts w:ascii="宋体" w:hAnsi="宋体" w:cs="Times New Roman"/>
                <w:sz w:val="21"/>
                <w:szCs w:val="21"/>
                <w14:ligatures w14:val="none"/>
              </w:rPr>
              <w:t>南厂界</w:t>
            </w:r>
          </w:p>
        </w:tc>
        <w:tc>
          <w:tcPr>
            <w:tcW w:w="1828" w:type="pct"/>
            <w:tcBorders>
              <w:top w:val="single" w:color="auto" w:sz="4" w:space="0"/>
              <w:left w:val="nil"/>
              <w:bottom w:val="single" w:color="auto" w:sz="4" w:space="0"/>
              <w:right w:val="single" w:color="auto" w:sz="4" w:space="0"/>
            </w:tcBorders>
            <w:vAlign w:val="center"/>
          </w:tcPr>
          <w:p w14:paraId="03B60793">
            <w:pPr>
              <w:spacing w:line="240" w:lineRule="auto"/>
              <w:jc w:val="center"/>
              <w:rPr>
                <w:rFonts w:cs="Times New Roman"/>
                <w:sz w:val="21"/>
                <w:szCs w:val="21"/>
                <w14:ligatures w14:val="none"/>
              </w:rPr>
            </w:pPr>
            <w:r>
              <w:rPr>
                <w:rFonts w:ascii="宋体" w:hAnsi="宋体" w:cs="Times New Roman"/>
                <w:sz w:val="21"/>
                <w:szCs w:val="21"/>
                <w14:ligatures w14:val="none"/>
              </w:rPr>
              <w:t>南厂界外</w:t>
            </w:r>
            <w:r>
              <w:rPr>
                <w:rFonts w:cs="Times New Roman"/>
                <w:sz w:val="21"/>
                <w:szCs w:val="21"/>
                <w14:ligatures w14:val="none"/>
              </w:rPr>
              <w:t>1m</w:t>
            </w:r>
          </w:p>
        </w:tc>
      </w:tr>
      <w:tr w14:paraId="3A420C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79" w:type="pct"/>
            <w:tcBorders>
              <w:top w:val="single" w:color="auto" w:sz="4" w:space="0"/>
              <w:left w:val="single" w:color="auto" w:sz="4" w:space="0"/>
              <w:bottom w:val="single" w:color="auto" w:sz="4" w:space="0"/>
              <w:right w:val="single" w:color="auto" w:sz="4" w:space="0"/>
            </w:tcBorders>
            <w:vAlign w:val="center"/>
          </w:tcPr>
          <w:p w14:paraId="266184AF">
            <w:pPr>
              <w:spacing w:line="240" w:lineRule="auto"/>
              <w:jc w:val="center"/>
              <w:rPr>
                <w:rFonts w:cs="Times New Roman"/>
                <w:sz w:val="21"/>
                <w:szCs w:val="21"/>
                <w14:ligatures w14:val="none"/>
              </w:rPr>
            </w:pPr>
            <w:r>
              <w:rPr>
                <w:rFonts w:cs="Times New Roman"/>
                <w:sz w:val="21"/>
                <w:szCs w:val="21"/>
                <w14:ligatures w14:val="none"/>
              </w:rPr>
              <w:t>N3</w:t>
            </w:r>
          </w:p>
        </w:tc>
        <w:tc>
          <w:tcPr>
            <w:tcW w:w="2093" w:type="pct"/>
            <w:tcBorders>
              <w:top w:val="single" w:color="auto" w:sz="4" w:space="0"/>
              <w:left w:val="nil"/>
              <w:bottom w:val="single" w:color="auto" w:sz="4" w:space="0"/>
              <w:right w:val="single" w:color="auto" w:sz="4" w:space="0"/>
            </w:tcBorders>
            <w:vAlign w:val="center"/>
          </w:tcPr>
          <w:p w14:paraId="062C0552">
            <w:pPr>
              <w:spacing w:line="240" w:lineRule="auto"/>
              <w:jc w:val="center"/>
              <w:rPr>
                <w:rFonts w:cs="Times New Roman"/>
                <w:sz w:val="21"/>
                <w:szCs w:val="21"/>
                <w14:ligatures w14:val="none"/>
              </w:rPr>
            </w:pPr>
            <w:r>
              <w:rPr>
                <w:rFonts w:hint="eastAsia" w:ascii="宋体" w:hAnsi="宋体" w:cs="Times New Roman"/>
                <w:sz w:val="21"/>
                <w:szCs w:val="21"/>
                <w14:ligatures w14:val="none"/>
              </w:rPr>
              <w:t>西</w:t>
            </w:r>
            <w:r>
              <w:rPr>
                <w:rFonts w:ascii="宋体" w:hAnsi="宋体" w:cs="Times New Roman"/>
                <w:sz w:val="21"/>
                <w:szCs w:val="21"/>
                <w14:ligatures w14:val="none"/>
              </w:rPr>
              <w:t>厂界</w:t>
            </w:r>
          </w:p>
        </w:tc>
        <w:tc>
          <w:tcPr>
            <w:tcW w:w="1828" w:type="pct"/>
            <w:tcBorders>
              <w:top w:val="single" w:color="auto" w:sz="4" w:space="0"/>
              <w:left w:val="nil"/>
              <w:bottom w:val="single" w:color="auto" w:sz="4" w:space="0"/>
              <w:right w:val="single" w:color="auto" w:sz="4" w:space="0"/>
            </w:tcBorders>
            <w:vAlign w:val="center"/>
          </w:tcPr>
          <w:p w14:paraId="61D4C2CD">
            <w:pPr>
              <w:spacing w:line="240" w:lineRule="auto"/>
              <w:jc w:val="center"/>
              <w:rPr>
                <w:rFonts w:cs="Times New Roman"/>
                <w:sz w:val="21"/>
                <w:szCs w:val="21"/>
                <w14:ligatures w14:val="none"/>
              </w:rPr>
            </w:pPr>
            <w:r>
              <w:rPr>
                <w:rFonts w:hint="eastAsia" w:ascii="宋体" w:hAnsi="宋体" w:cs="Times New Roman"/>
                <w:sz w:val="21"/>
                <w:szCs w:val="21"/>
                <w14:ligatures w14:val="none"/>
              </w:rPr>
              <w:t>西</w:t>
            </w:r>
            <w:r>
              <w:rPr>
                <w:rFonts w:ascii="宋体" w:hAnsi="宋体" w:cs="Times New Roman"/>
                <w:sz w:val="21"/>
                <w:szCs w:val="21"/>
                <w14:ligatures w14:val="none"/>
              </w:rPr>
              <w:t>厂界外</w:t>
            </w:r>
            <w:r>
              <w:rPr>
                <w:rFonts w:cs="Times New Roman"/>
                <w:sz w:val="21"/>
                <w:szCs w:val="21"/>
                <w14:ligatures w14:val="none"/>
              </w:rPr>
              <w:t>1m</w:t>
            </w:r>
          </w:p>
        </w:tc>
      </w:tr>
      <w:tr w14:paraId="67F2DD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79" w:type="pct"/>
            <w:tcBorders>
              <w:top w:val="single" w:color="auto" w:sz="4" w:space="0"/>
              <w:left w:val="single" w:color="auto" w:sz="4" w:space="0"/>
              <w:bottom w:val="single" w:color="auto" w:sz="4" w:space="0"/>
              <w:right w:val="single" w:color="auto" w:sz="4" w:space="0"/>
            </w:tcBorders>
            <w:vAlign w:val="center"/>
          </w:tcPr>
          <w:p w14:paraId="12D96AFF">
            <w:pPr>
              <w:spacing w:line="240" w:lineRule="auto"/>
              <w:jc w:val="center"/>
              <w:rPr>
                <w:rFonts w:cs="Times New Roman"/>
                <w:sz w:val="21"/>
                <w:szCs w:val="21"/>
                <w14:ligatures w14:val="none"/>
              </w:rPr>
            </w:pPr>
            <w:r>
              <w:rPr>
                <w:rFonts w:cs="Times New Roman"/>
                <w:sz w:val="21"/>
                <w:szCs w:val="21"/>
                <w14:ligatures w14:val="none"/>
              </w:rPr>
              <w:t>N4</w:t>
            </w:r>
          </w:p>
        </w:tc>
        <w:tc>
          <w:tcPr>
            <w:tcW w:w="2093" w:type="pct"/>
            <w:tcBorders>
              <w:top w:val="single" w:color="auto" w:sz="4" w:space="0"/>
              <w:left w:val="single" w:color="auto" w:sz="4" w:space="0"/>
              <w:bottom w:val="single" w:color="auto" w:sz="4" w:space="0"/>
              <w:right w:val="single" w:color="auto" w:sz="4" w:space="0"/>
            </w:tcBorders>
            <w:vAlign w:val="center"/>
          </w:tcPr>
          <w:p w14:paraId="39EA73E8">
            <w:pPr>
              <w:spacing w:line="240" w:lineRule="auto"/>
              <w:jc w:val="center"/>
              <w:rPr>
                <w:rFonts w:cs="Times New Roman"/>
                <w:sz w:val="21"/>
                <w:szCs w:val="21"/>
                <w14:ligatures w14:val="none"/>
              </w:rPr>
            </w:pPr>
            <w:r>
              <w:rPr>
                <w:rFonts w:ascii="宋体" w:hAnsi="宋体" w:cs="Times New Roman"/>
                <w:sz w:val="21"/>
                <w:szCs w:val="21"/>
                <w14:ligatures w14:val="none"/>
              </w:rPr>
              <w:t>北厂界</w:t>
            </w:r>
          </w:p>
        </w:tc>
        <w:tc>
          <w:tcPr>
            <w:tcW w:w="1828" w:type="pct"/>
            <w:tcBorders>
              <w:top w:val="single" w:color="auto" w:sz="4" w:space="0"/>
              <w:left w:val="single" w:color="auto" w:sz="4" w:space="0"/>
              <w:bottom w:val="single" w:color="auto" w:sz="4" w:space="0"/>
              <w:right w:val="single" w:color="auto" w:sz="4" w:space="0"/>
            </w:tcBorders>
            <w:vAlign w:val="center"/>
          </w:tcPr>
          <w:p w14:paraId="726D58C1">
            <w:pPr>
              <w:spacing w:line="240" w:lineRule="auto"/>
              <w:jc w:val="center"/>
              <w:rPr>
                <w:rFonts w:cs="Times New Roman"/>
                <w:sz w:val="21"/>
                <w:szCs w:val="21"/>
                <w14:ligatures w14:val="none"/>
              </w:rPr>
            </w:pPr>
            <w:r>
              <w:rPr>
                <w:rFonts w:ascii="宋体" w:hAnsi="宋体" w:cs="Times New Roman"/>
                <w:sz w:val="21"/>
                <w:szCs w:val="21"/>
                <w14:ligatures w14:val="none"/>
              </w:rPr>
              <w:t>北厂界外</w:t>
            </w:r>
            <w:r>
              <w:rPr>
                <w:rFonts w:cs="Times New Roman"/>
                <w:sz w:val="21"/>
                <w:szCs w:val="21"/>
                <w14:ligatures w14:val="none"/>
              </w:rPr>
              <w:t>1m</w:t>
            </w:r>
          </w:p>
        </w:tc>
      </w:tr>
    </w:tbl>
    <w:p w14:paraId="6B1F9554">
      <w:pPr>
        <w:ind w:firstLine="480" w:firstLineChars="200"/>
        <w:rPr>
          <w:rFonts w:cs="Times New Roman"/>
          <w14:ligatures w14:val="none"/>
        </w:rPr>
      </w:pPr>
    </w:p>
    <w:p w14:paraId="35B09B9F">
      <w:pPr>
        <w:spacing w:line="240" w:lineRule="auto"/>
        <w:jc w:val="center"/>
        <w:rPr>
          <w:rFonts w:cs="Times New Roman"/>
          <w14:ligatures w14:val="none"/>
        </w:rPr>
      </w:pPr>
      <w:r>
        <w:rPr>
          <w:rFonts w:hint="eastAsia" w:cs="Times New Roman"/>
        </w:rPr>
        <w:drawing>
          <wp:inline distT="0" distB="0" distL="0" distR="0">
            <wp:extent cx="5399405" cy="3712845"/>
            <wp:effectExtent l="0" t="0" r="0" b="1905"/>
            <wp:docPr id="833927797"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927797" name="图片 156"/>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400000" cy="3713319"/>
                    </a:xfrm>
                    <a:prstGeom prst="rect">
                      <a:avLst/>
                    </a:prstGeom>
                  </pic:spPr>
                </pic:pic>
              </a:graphicData>
            </a:graphic>
          </wp:inline>
        </w:drawing>
      </w:r>
    </w:p>
    <w:p w14:paraId="534EF003">
      <w:pPr>
        <w:pStyle w:val="28"/>
        <w:rPr>
          <w:rFonts w:hint="eastAsia"/>
        </w:rPr>
      </w:pPr>
      <w:r>
        <w:rPr>
          <w:rFonts w:hint="eastAsia"/>
        </w:rPr>
        <w:t>图5.2-3 地表水</w:t>
      </w:r>
      <w:r>
        <w:t>环境质量现状监测布点图</w:t>
      </w:r>
    </w:p>
    <w:p w14:paraId="165A8759">
      <w:pPr>
        <w:ind w:firstLine="480" w:firstLineChars="200"/>
        <w:rPr>
          <w:rFonts w:cs="Times New Roman"/>
          <w14:ligatures w14:val="none"/>
        </w:rPr>
      </w:pPr>
      <w:r>
        <w:rPr>
          <w:rFonts w:cs="Times New Roman"/>
          <w14:ligatures w14:val="none"/>
        </w:rPr>
        <w:t>2</w:t>
      </w:r>
      <w:r>
        <w:rPr>
          <w:rFonts w:hint="eastAsia" w:cs="Times New Roman"/>
          <w14:ligatures w14:val="none"/>
        </w:rPr>
        <w:t>、</w:t>
      </w:r>
      <w:r>
        <w:rPr>
          <w:rFonts w:ascii="宋体" w:hAnsi="宋体" w:cs="Times New Roman"/>
          <w14:ligatures w14:val="none"/>
        </w:rPr>
        <w:t>监测项目</w:t>
      </w:r>
    </w:p>
    <w:p w14:paraId="2A071628">
      <w:pPr>
        <w:ind w:firstLine="480" w:firstLineChars="200"/>
        <w:rPr>
          <w:rFonts w:cs="Times New Roman"/>
          <w14:ligatures w14:val="none"/>
        </w:rPr>
      </w:pPr>
      <w:r>
        <w:rPr>
          <w:rFonts w:ascii="宋体" w:hAnsi="宋体" w:cs="Times New Roman"/>
          <w14:ligatures w14:val="none"/>
        </w:rPr>
        <w:t>等效连续</w:t>
      </w:r>
      <w:r>
        <w:rPr>
          <w:rFonts w:cs="Times New Roman"/>
          <w14:ligatures w14:val="none"/>
        </w:rPr>
        <w:t>A</w:t>
      </w:r>
      <w:r>
        <w:rPr>
          <w:rFonts w:ascii="宋体" w:hAnsi="宋体" w:cs="Times New Roman"/>
          <w14:ligatures w14:val="none"/>
        </w:rPr>
        <w:t>声级</w:t>
      </w:r>
      <w:r>
        <w:rPr>
          <w:rFonts w:cs="Times New Roman"/>
          <w14:ligatures w14:val="none"/>
        </w:rPr>
        <w:t>(LAeq)</w:t>
      </w:r>
      <w:r>
        <w:rPr>
          <w:rFonts w:ascii="宋体" w:hAnsi="宋体" w:cs="Times New Roman"/>
          <w14:ligatures w14:val="none"/>
        </w:rPr>
        <w:t>。</w:t>
      </w:r>
    </w:p>
    <w:p w14:paraId="6CE9D88A">
      <w:pPr>
        <w:ind w:firstLine="480" w:firstLineChars="200"/>
        <w:rPr>
          <w:rFonts w:cs="Times New Roman"/>
          <w14:ligatures w14:val="none"/>
        </w:rPr>
      </w:pPr>
      <w:r>
        <w:rPr>
          <w:rFonts w:cs="Times New Roman"/>
          <w14:ligatures w14:val="none"/>
        </w:rPr>
        <w:t>3</w:t>
      </w:r>
      <w:r>
        <w:rPr>
          <w:rFonts w:hint="eastAsia" w:cs="Times New Roman"/>
          <w14:ligatures w14:val="none"/>
        </w:rPr>
        <w:t>、</w:t>
      </w:r>
      <w:r>
        <w:rPr>
          <w:rFonts w:ascii="宋体" w:hAnsi="宋体" w:cs="Times New Roman"/>
          <w14:ligatures w14:val="none"/>
        </w:rPr>
        <w:t>监测时间与频次</w:t>
      </w:r>
    </w:p>
    <w:p w14:paraId="6225286E">
      <w:pPr>
        <w:ind w:firstLine="480" w:firstLineChars="200"/>
        <w:rPr>
          <w:rFonts w:cs="Times New Roman"/>
          <w14:ligatures w14:val="none"/>
        </w:rPr>
      </w:pPr>
      <w:r>
        <w:rPr>
          <w:rFonts w:hint="eastAsia" w:cs="Times New Roman"/>
          <w14:ligatures w14:val="none"/>
        </w:rPr>
        <w:t>2025</w:t>
      </w:r>
      <w:r>
        <w:rPr>
          <w:rFonts w:hint="eastAsia" w:ascii="宋体" w:hAnsi="宋体" w:cs="Times New Roman"/>
          <w14:ligatures w14:val="none"/>
        </w:rPr>
        <w:t>年</w:t>
      </w:r>
      <w:r>
        <w:rPr>
          <w:rFonts w:hint="eastAsia" w:cs="Times New Roman"/>
          <w14:ligatures w14:val="none"/>
        </w:rPr>
        <w:t>11</w:t>
      </w:r>
      <w:r>
        <w:rPr>
          <w:rFonts w:hint="eastAsia" w:ascii="宋体" w:hAnsi="宋体" w:cs="Times New Roman"/>
          <w14:ligatures w14:val="none"/>
        </w:rPr>
        <w:t>月</w:t>
      </w:r>
      <w:r>
        <w:rPr>
          <w:rFonts w:hint="eastAsia" w:cs="Times New Roman"/>
          <w14:ligatures w14:val="none"/>
        </w:rPr>
        <w:t>12</w:t>
      </w:r>
      <w:r>
        <w:rPr>
          <w:rFonts w:hint="eastAsia" w:ascii="宋体" w:hAnsi="宋体" w:cs="Times New Roman"/>
          <w14:ligatures w14:val="none"/>
        </w:rPr>
        <w:t>日，监测</w:t>
      </w:r>
      <w:r>
        <w:rPr>
          <w:rFonts w:hint="eastAsia" w:cs="Times New Roman"/>
          <w14:ligatures w14:val="none"/>
        </w:rPr>
        <w:t>1</w:t>
      </w:r>
      <w:r>
        <w:rPr>
          <w:rFonts w:hint="eastAsia" w:ascii="宋体" w:hAnsi="宋体" w:cs="Times New Roman"/>
          <w14:ligatures w14:val="none"/>
        </w:rPr>
        <w:t>天，</w:t>
      </w:r>
      <w:r>
        <w:rPr>
          <w:rFonts w:ascii="宋体" w:hAnsi="宋体" w:cs="Times New Roman"/>
          <w14:ligatures w14:val="none"/>
        </w:rPr>
        <w:t>昼、夜各</w:t>
      </w:r>
      <w:r>
        <w:rPr>
          <w:rFonts w:cs="Times New Roman"/>
          <w14:ligatures w14:val="none"/>
        </w:rPr>
        <w:t>1</w:t>
      </w:r>
      <w:r>
        <w:rPr>
          <w:rFonts w:hint="eastAsia" w:ascii="宋体" w:hAnsi="宋体" w:cs="Times New Roman"/>
          <w14:ligatures w14:val="none"/>
        </w:rPr>
        <w:t>次</w:t>
      </w:r>
      <w:r>
        <w:rPr>
          <w:rFonts w:ascii="宋体" w:hAnsi="宋体" w:cs="Times New Roman"/>
          <w14:ligatures w14:val="none"/>
        </w:rPr>
        <w:t>。昼间安排在</w:t>
      </w:r>
      <w:r>
        <w:rPr>
          <w:rFonts w:cs="Times New Roman"/>
          <w14:ligatures w14:val="none"/>
        </w:rPr>
        <w:t>6:00-22:00</w:t>
      </w:r>
      <w:r>
        <w:rPr>
          <w:rFonts w:ascii="宋体" w:hAnsi="宋体" w:cs="Times New Roman"/>
          <w14:ligatures w14:val="none"/>
        </w:rPr>
        <w:t>，夜间安排在</w:t>
      </w:r>
      <w:r>
        <w:rPr>
          <w:rFonts w:cs="Times New Roman"/>
          <w14:ligatures w14:val="none"/>
        </w:rPr>
        <w:t>22:00-6:00</w:t>
      </w:r>
      <w:r>
        <w:rPr>
          <w:rFonts w:ascii="宋体" w:hAnsi="宋体" w:cs="Times New Roman"/>
          <w14:ligatures w14:val="none"/>
        </w:rPr>
        <w:t>。</w:t>
      </w:r>
    </w:p>
    <w:p w14:paraId="468CFF5E">
      <w:pPr>
        <w:ind w:firstLine="480" w:firstLineChars="200"/>
        <w:rPr>
          <w:rFonts w:cs="Times New Roman"/>
          <w14:ligatures w14:val="none"/>
        </w:rPr>
      </w:pPr>
      <w:r>
        <w:rPr>
          <w:rFonts w:hint="eastAsia" w:cs="Times New Roman"/>
          <w14:ligatures w14:val="none"/>
        </w:rPr>
        <w:t>(4)</w:t>
      </w:r>
      <w:r>
        <w:rPr>
          <w:rFonts w:ascii="宋体" w:hAnsi="宋体" w:cs="Times New Roman"/>
          <w14:ligatures w14:val="none"/>
        </w:rPr>
        <w:t>监测</w:t>
      </w:r>
      <w:r>
        <w:rPr>
          <w:rFonts w:hint="eastAsia" w:ascii="宋体" w:hAnsi="宋体" w:cs="Times New Roman"/>
          <w14:ligatures w14:val="none"/>
        </w:rPr>
        <w:t>结果</w:t>
      </w:r>
    </w:p>
    <w:p w14:paraId="2A2D9935">
      <w:pPr>
        <w:widowControl/>
        <w:jc w:val="center"/>
        <w:rPr>
          <w:rFonts w:hint="eastAsia" w:ascii="黑体" w:hAnsi="黑体" w:eastAsia="黑体" w:cs="Times New Roman"/>
          <w:kern w:val="0"/>
          <w14:ligatures w14:val="none"/>
        </w:rPr>
      </w:pPr>
      <w:r>
        <w:rPr>
          <w:rFonts w:ascii="黑体" w:hAnsi="黑体" w:eastAsia="黑体" w:cs="Times New Roman"/>
          <w:kern w:val="0"/>
          <w14:ligatures w14:val="none"/>
        </w:rPr>
        <w:t>表5.2-</w:t>
      </w:r>
      <w:r>
        <w:rPr>
          <w:rFonts w:hint="eastAsia" w:ascii="黑体" w:hAnsi="黑体" w:eastAsia="黑体" w:cs="Times New Roman"/>
          <w:kern w:val="0"/>
          <w14:ligatures w14:val="none"/>
        </w:rPr>
        <w:t>8</w:t>
      </w:r>
      <w:r>
        <w:rPr>
          <w:rFonts w:ascii="黑体" w:hAnsi="黑体" w:eastAsia="黑体" w:cs="Times New Roman"/>
          <w:kern w:val="0"/>
          <w14:ligatures w14:val="none"/>
        </w:rPr>
        <w:t xml:space="preserve">  声环境质量现状监测结果表(单位：dB(A))</w:t>
      </w:r>
    </w:p>
    <w:tbl>
      <w:tblPr>
        <w:tblStyle w:val="16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28"/>
        <w:gridCol w:w="2299"/>
        <w:gridCol w:w="1415"/>
        <w:gridCol w:w="1415"/>
        <w:gridCol w:w="1415"/>
        <w:gridCol w:w="1414"/>
      </w:tblGrid>
      <w:tr w14:paraId="21F2ED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15" w:type="pct"/>
            <w:vMerge w:val="restart"/>
            <w:tcBorders>
              <w:top w:val="single" w:color="auto" w:sz="4" w:space="0"/>
              <w:left w:val="single" w:color="auto" w:sz="4" w:space="0"/>
              <w:bottom w:val="single" w:color="auto" w:sz="4" w:space="0"/>
              <w:right w:val="single" w:color="auto" w:sz="4" w:space="0"/>
            </w:tcBorders>
            <w:vAlign w:val="center"/>
          </w:tcPr>
          <w:p w14:paraId="325B5AD9">
            <w:pPr>
              <w:spacing w:line="240" w:lineRule="auto"/>
              <w:jc w:val="center"/>
              <w:rPr>
                <w:rFonts w:eastAsia="Times New Roman" w:cs="Times New Roman"/>
                <w:kern w:val="0"/>
                <w:sz w:val="21"/>
                <w:szCs w:val="21"/>
                <w14:ligatures w14:val="none"/>
              </w:rPr>
            </w:pPr>
            <w:r>
              <w:rPr>
                <w:rFonts w:eastAsia="Times New Roman" w:cs="Times New Roman"/>
                <w:kern w:val="0"/>
                <w:sz w:val="21"/>
                <w:szCs w:val="21"/>
                <w14:ligatures w14:val="none"/>
              </w:rPr>
              <w:t>点位编号</w:t>
            </w:r>
          </w:p>
        </w:tc>
        <w:tc>
          <w:tcPr>
            <w:tcW w:w="1238" w:type="pct"/>
            <w:vMerge w:val="restart"/>
            <w:tcBorders>
              <w:top w:val="single" w:color="auto" w:sz="4" w:space="0"/>
              <w:left w:val="nil"/>
              <w:bottom w:val="single" w:color="auto" w:sz="4" w:space="0"/>
              <w:right w:val="single" w:color="auto" w:sz="4" w:space="0"/>
            </w:tcBorders>
            <w:vAlign w:val="center"/>
          </w:tcPr>
          <w:p w14:paraId="75B91371">
            <w:pPr>
              <w:spacing w:line="240" w:lineRule="auto"/>
              <w:jc w:val="center"/>
              <w:rPr>
                <w:rFonts w:eastAsia="Times New Roman" w:cs="Times New Roman"/>
                <w:kern w:val="0"/>
                <w:sz w:val="21"/>
                <w:szCs w:val="21"/>
                <w14:ligatures w14:val="none"/>
              </w:rPr>
            </w:pPr>
            <w:r>
              <w:rPr>
                <w:rFonts w:eastAsia="Times New Roman" w:cs="Times New Roman"/>
                <w:kern w:val="0"/>
                <w:sz w:val="21"/>
                <w:szCs w:val="21"/>
                <w14:ligatures w14:val="none"/>
              </w:rPr>
              <w:t>监测点位</w:t>
            </w:r>
          </w:p>
        </w:tc>
        <w:tc>
          <w:tcPr>
            <w:tcW w:w="3047" w:type="pct"/>
            <w:gridSpan w:val="4"/>
            <w:tcBorders>
              <w:right w:val="single" w:color="auto" w:sz="4" w:space="0"/>
            </w:tcBorders>
          </w:tcPr>
          <w:p w14:paraId="582BC35F">
            <w:pPr>
              <w:spacing w:line="240" w:lineRule="auto"/>
              <w:jc w:val="center"/>
              <w:rPr>
                <w:rFonts w:cs="Times New Roman" w:eastAsiaTheme="minorEastAsia"/>
                <w:kern w:val="0"/>
                <w:sz w:val="21"/>
                <w:szCs w:val="21"/>
                <w14:ligatures w14:val="none"/>
              </w:rPr>
            </w:pPr>
            <w:r>
              <w:rPr>
                <w:rFonts w:hint="eastAsia" w:cs="Times New Roman" w:eastAsiaTheme="minorEastAsia"/>
                <w:kern w:val="0"/>
                <w:sz w:val="21"/>
                <w:szCs w:val="21"/>
                <w14:ligatures w14:val="none"/>
              </w:rPr>
              <w:t>2025.11.12</w:t>
            </w:r>
          </w:p>
        </w:tc>
      </w:tr>
      <w:tr w14:paraId="103AAA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15" w:type="pct"/>
            <w:vMerge w:val="continue"/>
            <w:tcBorders>
              <w:top w:val="single" w:color="auto" w:sz="4" w:space="0"/>
              <w:left w:val="single" w:color="auto" w:sz="4" w:space="0"/>
              <w:bottom w:val="single" w:color="auto" w:sz="4" w:space="0"/>
              <w:right w:val="single" w:color="auto" w:sz="4" w:space="0"/>
            </w:tcBorders>
            <w:vAlign w:val="center"/>
          </w:tcPr>
          <w:p w14:paraId="7F9F6654">
            <w:pPr>
              <w:widowControl/>
              <w:spacing w:line="240" w:lineRule="auto"/>
              <w:jc w:val="left"/>
              <w:rPr>
                <w:rFonts w:eastAsia="Times New Roman" w:cs="Times New Roman"/>
                <w:kern w:val="0"/>
                <w:sz w:val="21"/>
                <w:szCs w:val="21"/>
                <w14:ligatures w14:val="none"/>
              </w:rPr>
            </w:pPr>
          </w:p>
        </w:tc>
        <w:tc>
          <w:tcPr>
            <w:tcW w:w="1238" w:type="pct"/>
            <w:vMerge w:val="continue"/>
            <w:tcBorders>
              <w:top w:val="single" w:color="auto" w:sz="4" w:space="0"/>
              <w:left w:val="nil"/>
              <w:bottom w:val="single" w:color="auto" w:sz="4" w:space="0"/>
              <w:right w:val="single" w:color="auto" w:sz="4" w:space="0"/>
            </w:tcBorders>
            <w:vAlign w:val="center"/>
          </w:tcPr>
          <w:p w14:paraId="2125A9AA">
            <w:pPr>
              <w:widowControl/>
              <w:spacing w:line="240" w:lineRule="auto"/>
              <w:jc w:val="left"/>
              <w:rPr>
                <w:rFonts w:eastAsia="Times New Roman" w:cs="Times New Roman"/>
                <w:kern w:val="0"/>
                <w:sz w:val="21"/>
                <w:szCs w:val="21"/>
                <w14:ligatures w14:val="none"/>
              </w:rPr>
            </w:pPr>
          </w:p>
        </w:tc>
        <w:tc>
          <w:tcPr>
            <w:tcW w:w="762" w:type="pct"/>
            <w:tcBorders>
              <w:top w:val="single" w:color="auto" w:sz="4" w:space="0"/>
              <w:left w:val="nil"/>
              <w:bottom w:val="single" w:color="auto" w:sz="4" w:space="0"/>
              <w:right w:val="single" w:color="auto" w:sz="4" w:space="0"/>
            </w:tcBorders>
            <w:vAlign w:val="center"/>
          </w:tcPr>
          <w:p w14:paraId="3CEAB00E">
            <w:pPr>
              <w:spacing w:line="240" w:lineRule="auto"/>
              <w:jc w:val="center"/>
              <w:rPr>
                <w:rFonts w:eastAsia="Times New Roman" w:cs="Times New Roman"/>
                <w:kern w:val="0"/>
                <w:sz w:val="21"/>
                <w:szCs w:val="21"/>
                <w14:ligatures w14:val="none"/>
              </w:rPr>
            </w:pPr>
            <w:r>
              <w:rPr>
                <w:rFonts w:eastAsia="Times New Roman" w:cs="Times New Roman"/>
                <w:kern w:val="0"/>
                <w:sz w:val="21"/>
                <w:szCs w:val="21"/>
                <w14:ligatures w14:val="none"/>
              </w:rPr>
              <w:t>昼间Leq</w:t>
            </w:r>
          </w:p>
        </w:tc>
        <w:tc>
          <w:tcPr>
            <w:tcW w:w="762" w:type="pct"/>
          </w:tcPr>
          <w:p w14:paraId="1270E600">
            <w:pPr>
              <w:spacing w:line="240" w:lineRule="auto"/>
              <w:jc w:val="center"/>
              <w:rPr>
                <w:rFonts w:eastAsia="Times New Roman" w:cs="Times New Roman"/>
                <w:kern w:val="0"/>
                <w:sz w:val="21"/>
                <w:szCs w:val="21"/>
                <w14:ligatures w14:val="none"/>
              </w:rPr>
            </w:pPr>
            <w:r>
              <w:rPr>
                <w:rFonts w:eastAsia="Times New Roman" w:cs="Times New Roman"/>
                <w:kern w:val="0"/>
                <w:sz w:val="21"/>
                <w:szCs w:val="21"/>
                <w14:ligatures w14:val="none"/>
              </w:rPr>
              <w:t>标准限值</w:t>
            </w:r>
          </w:p>
        </w:tc>
        <w:tc>
          <w:tcPr>
            <w:tcW w:w="762" w:type="pct"/>
            <w:vAlign w:val="center"/>
          </w:tcPr>
          <w:p w14:paraId="10344A78">
            <w:pPr>
              <w:spacing w:line="240" w:lineRule="auto"/>
              <w:jc w:val="center"/>
              <w:rPr>
                <w:rFonts w:eastAsia="Times New Roman" w:cs="Times New Roman"/>
                <w:kern w:val="0"/>
                <w:sz w:val="21"/>
                <w:szCs w:val="21"/>
                <w14:ligatures w14:val="none"/>
              </w:rPr>
            </w:pPr>
            <w:r>
              <w:rPr>
                <w:rFonts w:eastAsia="Times New Roman" w:cs="Times New Roman"/>
                <w:kern w:val="0"/>
                <w:sz w:val="21"/>
                <w:szCs w:val="21"/>
                <w14:ligatures w14:val="none"/>
              </w:rPr>
              <w:t>夜间Leq</w:t>
            </w:r>
          </w:p>
        </w:tc>
        <w:tc>
          <w:tcPr>
            <w:tcW w:w="762" w:type="pct"/>
            <w:tcBorders>
              <w:top w:val="single" w:color="auto" w:sz="4" w:space="0"/>
              <w:left w:val="nil"/>
              <w:bottom w:val="single" w:color="auto" w:sz="4" w:space="0"/>
              <w:right w:val="single" w:color="auto" w:sz="4" w:space="0"/>
            </w:tcBorders>
            <w:vAlign w:val="center"/>
          </w:tcPr>
          <w:p w14:paraId="4119A779">
            <w:pPr>
              <w:spacing w:line="240" w:lineRule="auto"/>
              <w:jc w:val="center"/>
              <w:rPr>
                <w:rFonts w:eastAsia="Times New Roman" w:cs="Times New Roman"/>
                <w:kern w:val="0"/>
                <w:sz w:val="21"/>
                <w:szCs w:val="21"/>
                <w14:ligatures w14:val="none"/>
              </w:rPr>
            </w:pPr>
            <w:r>
              <w:rPr>
                <w:rFonts w:eastAsia="Times New Roman" w:cs="Times New Roman"/>
                <w:kern w:val="0"/>
                <w:sz w:val="21"/>
                <w:szCs w:val="21"/>
                <w14:ligatures w14:val="none"/>
              </w:rPr>
              <w:t>标准限值</w:t>
            </w:r>
          </w:p>
        </w:tc>
      </w:tr>
      <w:tr w14:paraId="034896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15" w:type="pct"/>
            <w:tcBorders>
              <w:top w:val="single" w:color="auto" w:sz="4" w:space="0"/>
              <w:left w:val="single" w:color="auto" w:sz="4" w:space="0"/>
              <w:bottom w:val="single" w:color="auto" w:sz="4" w:space="0"/>
              <w:right w:val="single" w:color="auto" w:sz="4" w:space="0"/>
            </w:tcBorders>
            <w:vAlign w:val="center"/>
          </w:tcPr>
          <w:p w14:paraId="35AD6B51">
            <w:pPr>
              <w:spacing w:line="240" w:lineRule="auto"/>
              <w:jc w:val="center"/>
              <w:rPr>
                <w:rFonts w:eastAsia="Times New Roman" w:cs="Times New Roman"/>
                <w:kern w:val="0"/>
                <w:sz w:val="21"/>
                <w:szCs w:val="21"/>
                <w14:ligatures w14:val="none"/>
              </w:rPr>
            </w:pPr>
            <w:r>
              <w:rPr>
                <w:rFonts w:eastAsia="Times New Roman" w:cs="Times New Roman"/>
                <w:kern w:val="0"/>
                <w:sz w:val="21"/>
                <w:szCs w:val="21"/>
                <w14:ligatures w14:val="none"/>
              </w:rPr>
              <w:t>N1</w:t>
            </w:r>
          </w:p>
        </w:tc>
        <w:tc>
          <w:tcPr>
            <w:tcW w:w="1238" w:type="pct"/>
            <w:tcBorders>
              <w:top w:val="single" w:color="auto" w:sz="4" w:space="0"/>
              <w:left w:val="nil"/>
              <w:bottom w:val="single" w:color="auto" w:sz="4" w:space="0"/>
              <w:right w:val="single" w:color="auto" w:sz="4" w:space="0"/>
            </w:tcBorders>
            <w:vAlign w:val="center"/>
          </w:tcPr>
          <w:p w14:paraId="58FACD94">
            <w:pPr>
              <w:spacing w:line="240" w:lineRule="auto"/>
              <w:jc w:val="center"/>
              <w:rPr>
                <w:rFonts w:eastAsia="Times New Roman" w:cs="Times New Roman"/>
                <w:kern w:val="0"/>
                <w:sz w:val="21"/>
                <w:szCs w:val="21"/>
                <w14:ligatures w14:val="none"/>
              </w:rPr>
            </w:pPr>
            <w:r>
              <w:rPr>
                <w:rFonts w:eastAsia="Times New Roman" w:cs="Times New Roman"/>
                <w:kern w:val="0"/>
                <w:sz w:val="21"/>
                <w:szCs w:val="21"/>
                <w14:ligatures w14:val="none"/>
              </w:rPr>
              <w:t>项目</w:t>
            </w:r>
            <w:r>
              <w:rPr>
                <w:rFonts w:hint="eastAsia" w:eastAsia="Times New Roman" w:cs="Times New Roman"/>
                <w:kern w:val="0"/>
                <w:sz w:val="21"/>
                <w:szCs w:val="21"/>
                <w14:ligatures w14:val="none"/>
              </w:rPr>
              <w:t>东</w:t>
            </w:r>
            <w:r>
              <w:rPr>
                <w:rFonts w:eastAsia="Times New Roman" w:cs="Times New Roman"/>
                <w:kern w:val="0"/>
                <w:sz w:val="21"/>
                <w:szCs w:val="21"/>
                <w14:ligatures w14:val="none"/>
              </w:rPr>
              <w:t>厂界</w:t>
            </w:r>
          </w:p>
        </w:tc>
        <w:tc>
          <w:tcPr>
            <w:tcW w:w="762" w:type="pct"/>
            <w:tcBorders>
              <w:top w:val="single" w:color="auto" w:sz="4" w:space="0"/>
              <w:left w:val="nil"/>
              <w:bottom w:val="single" w:color="auto" w:sz="4" w:space="0"/>
              <w:right w:val="single" w:color="auto" w:sz="4" w:space="0"/>
            </w:tcBorders>
            <w:vAlign w:val="center"/>
          </w:tcPr>
          <w:p w14:paraId="28AD87B9">
            <w:pPr>
              <w:spacing w:line="240" w:lineRule="auto"/>
              <w:jc w:val="center"/>
              <w:rPr>
                <w:rFonts w:cs="Times New Roman" w:eastAsiaTheme="minorEastAsia"/>
                <w:kern w:val="0"/>
                <w:sz w:val="21"/>
                <w:szCs w:val="21"/>
                <w14:ligatures w14:val="none"/>
              </w:rPr>
            </w:pPr>
            <w:r>
              <w:rPr>
                <w:rFonts w:hint="eastAsia" w:cs="Times New Roman" w:eastAsiaTheme="minorEastAsia"/>
                <w:kern w:val="0"/>
                <w:sz w:val="21"/>
                <w:szCs w:val="21"/>
                <w14:ligatures w14:val="none"/>
              </w:rPr>
              <w:t>57.5</w:t>
            </w:r>
          </w:p>
        </w:tc>
        <w:tc>
          <w:tcPr>
            <w:tcW w:w="762" w:type="pct"/>
          </w:tcPr>
          <w:p w14:paraId="243C9FB2">
            <w:pPr>
              <w:spacing w:line="240" w:lineRule="auto"/>
              <w:jc w:val="center"/>
              <w:rPr>
                <w:rFonts w:eastAsia="Times New Roman" w:cs="Times New Roman"/>
                <w:kern w:val="0"/>
                <w:sz w:val="21"/>
                <w:szCs w:val="21"/>
                <w14:ligatures w14:val="none"/>
              </w:rPr>
            </w:pPr>
            <w:r>
              <w:rPr>
                <w:rFonts w:hint="eastAsia" w:eastAsia="Times New Roman" w:cs="Times New Roman"/>
                <w:kern w:val="0"/>
                <w:sz w:val="21"/>
                <w:szCs w:val="21"/>
                <w14:ligatures w14:val="none"/>
              </w:rPr>
              <w:t>65</w:t>
            </w:r>
          </w:p>
        </w:tc>
        <w:tc>
          <w:tcPr>
            <w:tcW w:w="762" w:type="pct"/>
            <w:vAlign w:val="center"/>
          </w:tcPr>
          <w:p w14:paraId="44C74130">
            <w:pPr>
              <w:spacing w:line="240" w:lineRule="auto"/>
              <w:jc w:val="center"/>
              <w:rPr>
                <w:rFonts w:cs="Times New Roman" w:eastAsiaTheme="minorEastAsia"/>
                <w:kern w:val="0"/>
                <w:sz w:val="21"/>
                <w:szCs w:val="21"/>
                <w14:ligatures w14:val="none"/>
              </w:rPr>
            </w:pPr>
            <w:r>
              <w:rPr>
                <w:rFonts w:hint="eastAsia" w:cs="Times New Roman" w:eastAsiaTheme="minorEastAsia"/>
                <w:kern w:val="0"/>
                <w:sz w:val="21"/>
                <w:szCs w:val="21"/>
                <w14:ligatures w14:val="none"/>
              </w:rPr>
              <w:t>53.6</w:t>
            </w:r>
          </w:p>
        </w:tc>
        <w:tc>
          <w:tcPr>
            <w:tcW w:w="762" w:type="pct"/>
            <w:tcBorders>
              <w:top w:val="single" w:color="auto" w:sz="4" w:space="0"/>
              <w:left w:val="nil"/>
              <w:bottom w:val="single" w:color="auto" w:sz="4" w:space="0"/>
              <w:right w:val="single" w:color="auto" w:sz="4" w:space="0"/>
            </w:tcBorders>
            <w:vAlign w:val="center"/>
          </w:tcPr>
          <w:p w14:paraId="2B1C99E4">
            <w:pPr>
              <w:spacing w:line="240" w:lineRule="auto"/>
              <w:jc w:val="center"/>
              <w:rPr>
                <w:rFonts w:eastAsia="Times New Roman" w:cs="Times New Roman"/>
                <w:kern w:val="0"/>
                <w:sz w:val="21"/>
                <w:szCs w:val="21"/>
                <w14:ligatures w14:val="none"/>
              </w:rPr>
            </w:pPr>
            <w:r>
              <w:rPr>
                <w:rFonts w:hint="eastAsia" w:eastAsia="Times New Roman" w:cs="Times New Roman"/>
                <w:kern w:val="0"/>
                <w:sz w:val="21"/>
                <w:szCs w:val="21"/>
                <w14:ligatures w14:val="none"/>
              </w:rPr>
              <w:t>55</w:t>
            </w:r>
          </w:p>
        </w:tc>
      </w:tr>
      <w:tr w14:paraId="7FF16E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15" w:type="pct"/>
            <w:tcBorders>
              <w:top w:val="single" w:color="auto" w:sz="4" w:space="0"/>
              <w:left w:val="single" w:color="auto" w:sz="4" w:space="0"/>
              <w:bottom w:val="single" w:color="auto" w:sz="4" w:space="0"/>
              <w:right w:val="single" w:color="auto" w:sz="4" w:space="0"/>
            </w:tcBorders>
            <w:vAlign w:val="center"/>
          </w:tcPr>
          <w:p w14:paraId="12BAAC9E">
            <w:pPr>
              <w:spacing w:line="240" w:lineRule="auto"/>
              <w:jc w:val="center"/>
              <w:rPr>
                <w:rFonts w:eastAsia="Times New Roman" w:cs="Times New Roman"/>
                <w:kern w:val="0"/>
                <w:sz w:val="21"/>
                <w:szCs w:val="21"/>
                <w14:ligatures w14:val="none"/>
              </w:rPr>
            </w:pPr>
            <w:r>
              <w:rPr>
                <w:rFonts w:eastAsia="Times New Roman" w:cs="Times New Roman"/>
                <w:kern w:val="0"/>
                <w:sz w:val="21"/>
                <w:szCs w:val="21"/>
                <w14:ligatures w14:val="none"/>
              </w:rPr>
              <w:t>N2</w:t>
            </w:r>
          </w:p>
        </w:tc>
        <w:tc>
          <w:tcPr>
            <w:tcW w:w="1238" w:type="pct"/>
            <w:tcBorders>
              <w:top w:val="single" w:color="auto" w:sz="4" w:space="0"/>
              <w:left w:val="nil"/>
              <w:bottom w:val="single" w:color="auto" w:sz="4" w:space="0"/>
              <w:right w:val="single" w:color="auto" w:sz="4" w:space="0"/>
            </w:tcBorders>
            <w:vAlign w:val="center"/>
          </w:tcPr>
          <w:p w14:paraId="1E7CD60F">
            <w:pPr>
              <w:spacing w:line="240" w:lineRule="auto"/>
              <w:jc w:val="center"/>
              <w:rPr>
                <w:rFonts w:eastAsia="Times New Roman" w:cs="Times New Roman"/>
                <w:kern w:val="0"/>
                <w:sz w:val="21"/>
                <w:szCs w:val="21"/>
                <w14:ligatures w14:val="none"/>
              </w:rPr>
            </w:pPr>
            <w:r>
              <w:rPr>
                <w:rFonts w:eastAsia="Times New Roman" w:cs="Times New Roman"/>
                <w:kern w:val="0"/>
                <w:sz w:val="21"/>
                <w:szCs w:val="21"/>
                <w14:ligatures w14:val="none"/>
              </w:rPr>
              <w:t>项目</w:t>
            </w:r>
            <w:r>
              <w:rPr>
                <w:rFonts w:hint="eastAsia" w:eastAsia="Times New Roman" w:cs="Times New Roman"/>
                <w:kern w:val="0"/>
                <w:sz w:val="21"/>
                <w:szCs w:val="21"/>
                <w14:ligatures w14:val="none"/>
              </w:rPr>
              <w:t>南</w:t>
            </w:r>
            <w:r>
              <w:rPr>
                <w:rFonts w:eastAsia="Times New Roman" w:cs="Times New Roman"/>
                <w:kern w:val="0"/>
                <w:sz w:val="21"/>
                <w:szCs w:val="21"/>
                <w14:ligatures w14:val="none"/>
              </w:rPr>
              <w:t>厂界</w:t>
            </w:r>
          </w:p>
        </w:tc>
        <w:tc>
          <w:tcPr>
            <w:tcW w:w="762" w:type="pct"/>
            <w:tcBorders>
              <w:top w:val="single" w:color="auto" w:sz="4" w:space="0"/>
              <w:left w:val="nil"/>
              <w:bottom w:val="single" w:color="auto" w:sz="4" w:space="0"/>
              <w:right w:val="single" w:color="auto" w:sz="4" w:space="0"/>
            </w:tcBorders>
            <w:vAlign w:val="center"/>
          </w:tcPr>
          <w:p w14:paraId="362CD1D2">
            <w:pPr>
              <w:spacing w:line="240" w:lineRule="auto"/>
              <w:jc w:val="center"/>
              <w:rPr>
                <w:rFonts w:cs="Times New Roman" w:eastAsiaTheme="minorEastAsia"/>
                <w:kern w:val="0"/>
                <w:sz w:val="21"/>
                <w:szCs w:val="21"/>
                <w14:ligatures w14:val="none"/>
              </w:rPr>
            </w:pPr>
            <w:r>
              <w:rPr>
                <w:rFonts w:hint="eastAsia" w:cs="Times New Roman" w:eastAsiaTheme="minorEastAsia"/>
                <w:kern w:val="0"/>
                <w:sz w:val="21"/>
                <w:szCs w:val="21"/>
                <w14:ligatures w14:val="none"/>
              </w:rPr>
              <w:t>53.2</w:t>
            </w:r>
          </w:p>
        </w:tc>
        <w:tc>
          <w:tcPr>
            <w:tcW w:w="762" w:type="pct"/>
          </w:tcPr>
          <w:p w14:paraId="707A2CFE">
            <w:pPr>
              <w:spacing w:line="240" w:lineRule="auto"/>
              <w:jc w:val="center"/>
              <w:rPr>
                <w:rFonts w:eastAsia="Times New Roman" w:cs="Times New Roman"/>
                <w:kern w:val="0"/>
                <w:sz w:val="21"/>
                <w:szCs w:val="21"/>
                <w14:ligatures w14:val="none"/>
              </w:rPr>
            </w:pPr>
            <w:r>
              <w:rPr>
                <w:rFonts w:hint="eastAsia" w:eastAsia="Times New Roman" w:cs="Times New Roman"/>
                <w:kern w:val="0"/>
                <w:sz w:val="21"/>
                <w:szCs w:val="21"/>
                <w14:ligatures w14:val="none"/>
              </w:rPr>
              <w:t>65</w:t>
            </w:r>
          </w:p>
        </w:tc>
        <w:tc>
          <w:tcPr>
            <w:tcW w:w="762" w:type="pct"/>
            <w:vAlign w:val="center"/>
          </w:tcPr>
          <w:p w14:paraId="1A1D05F6">
            <w:pPr>
              <w:spacing w:line="240" w:lineRule="auto"/>
              <w:jc w:val="center"/>
              <w:rPr>
                <w:rFonts w:cs="Times New Roman" w:eastAsiaTheme="minorEastAsia"/>
                <w:kern w:val="0"/>
                <w:sz w:val="21"/>
                <w:szCs w:val="21"/>
                <w14:ligatures w14:val="none"/>
              </w:rPr>
            </w:pPr>
            <w:r>
              <w:rPr>
                <w:rFonts w:hint="eastAsia" w:cs="Times New Roman" w:eastAsiaTheme="minorEastAsia"/>
                <w:kern w:val="0"/>
                <w:sz w:val="21"/>
                <w:szCs w:val="21"/>
                <w14:ligatures w14:val="none"/>
              </w:rPr>
              <w:t>47.6</w:t>
            </w:r>
          </w:p>
        </w:tc>
        <w:tc>
          <w:tcPr>
            <w:tcW w:w="762" w:type="pct"/>
            <w:tcBorders>
              <w:top w:val="single" w:color="auto" w:sz="4" w:space="0"/>
              <w:left w:val="nil"/>
              <w:bottom w:val="single" w:color="auto" w:sz="4" w:space="0"/>
              <w:right w:val="single" w:color="auto" w:sz="4" w:space="0"/>
            </w:tcBorders>
            <w:vAlign w:val="center"/>
          </w:tcPr>
          <w:p w14:paraId="667A613E">
            <w:pPr>
              <w:spacing w:line="240" w:lineRule="auto"/>
              <w:jc w:val="center"/>
              <w:rPr>
                <w:rFonts w:eastAsia="Times New Roman" w:cs="Times New Roman"/>
                <w:kern w:val="0"/>
                <w:sz w:val="21"/>
                <w:szCs w:val="21"/>
                <w14:ligatures w14:val="none"/>
              </w:rPr>
            </w:pPr>
            <w:r>
              <w:rPr>
                <w:rFonts w:hint="eastAsia" w:eastAsia="Times New Roman" w:cs="Times New Roman"/>
                <w:kern w:val="0"/>
                <w:sz w:val="21"/>
                <w:szCs w:val="21"/>
                <w14:ligatures w14:val="none"/>
              </w:rPr>
              <w:t>55</w:t>
            </w:r>
          </w:p>
        </w:tc>
      </w:tr>
      <w:tr w14:paraId="5BC879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15" w:type="pct"/>
            <w:tcBorders>
              <w:top w:val="single" w:color="auto" w:sz="4" w:space="0"/>
              <w:left w:val="single" w:color="auto" w:sz="4" w:space="0"/>
              <w:bottom w:val="single" w:color="auto" w:sz="4" w:space="0"/>
              <w:right w:val="single" w:color="auto" w:sz="4" w:space="0"/>
            </w:tcBorders>
            <w:vAlign w:val="center"/>
          </w:tcPr>
          <w:p w14:paraId="6C1C8857">
            <w:pPr>
              <w:spacing w:line="240" w:lineRule="auto"/>
              <w:jc w:val="center"/>
              <w:rPr>
                <w:rFonts w:eastAsia="Times New Roman" w:cs="Times New Roman"/>
                <w:kern w:val="0"/>
                <w:sz w:val="21"/>
                <w:szCs w:val="21"/>
                <w14:ligatures w14:val="none"/>
              </w:rPr>
            </w:pPr>
            <w:r>
              <w:rPr>
                <w:rFonts w:eastAsia="Times New Roman" w:cs="Times New Roman"/>
                <w:kern w:val="0"/>
                <w:sz w:val="21"/>
                <w:szCs w:val="21"/>
                <w14:ligatures w14:val="none"/>
              </w:rPr>
              <w:t>N3</w:t>
            </w:r>
          </w:p>
        </w:tc>
        <w:tc>
          <w:tcPr>
            <w:tcW w:w="1238" w:type="pct"/>
            <w:tcBorders>
              <w:top w:val="single" w:color="auto" w:sz="4" w:space="0"/>
              <w:left w:val="nil"/>
              <w:bottom w:val="single" w:color="auto" w:sz="4" w:space="0"/>
              <w:right w:val="single" w:color="auto" w:sz="4" w:space="0"/>
            </w:tcBorders>
            <w:vAlign w:val="center"/>
          </w:tcPr>
          <w:p w14:paraId="1DA76346">
            <w:pPr>
              <w:spacing w:line="240" w:lineRule="auto"/>
              <w:jc w:val="center"/>
              <w:rPr>
                <w:rFonts w:eastAsia="Times New Roman" w:cs="Times New Roman"/>
                <w:kern w:val="0"/>
                <w:sz w:val="21"/>
                <w:szCs w:val="21"/>
                <w14:ligatures w14:val="none"/>
              </w:rPr>
            </w:pPr>
            <w:r>
              <w:rPr>
                <w:rFonts w:eastAsia="Times New Roman" w:cs="Times New Roman"/>
                <w:kern w:val="0"/>
                <w:sz w:val="21"/>
                <w:szCs w:val="21"/>
                <w14:ligatures w14:val="none"/>
              </w:rPr>
              <w:t>项目</w:t>
            </w:r>
            <w:r>
              <w:rPr>
                <w:rFonts w:hint="eastAsia" w:eastAsia="Times New Roman" w:cs="Times New Roman"/>
                <w:kern w:val="0"/>
                <w:sz w:val="21"/>
                <w:szCs w:val="21"/>
                <w14:ligatures w14:val="none"/>
              </w:rPr>
              <w:t>西</w:t>
            </w:r>
            <w:r>
              <w:rPr>
                <w:rFonts w:eastAsia="Times New Roman" w:cs="Times New Roman"/>
                <w:kern w:val="0"/>
                <w:sz w:val="21"/>
                <w:szCs w:val="21"/>
                <w14:ligatures w14:val="none"/>
              </w:rPr>
              <w:t>厂界</w:t>
            </w:r>
          </w:p>
        </w:tc>
        <w:tc>
          <w:tcPr>
            <w:tcW w:w="762" w:type="pct"/>
            <w:tcBorders>
              <w:top w:val="single" w:color="auto" w:sz="4" w:space="0"/>
              <w:left w:val="nil"/>
              <w:bottom w:val="single" w:color="auto" w:sz="4" w:space="0"/>
              <w:right w:val="single" w:color="auto" w:sz="4" w:space="0"/>
            </w:tcBorders>
            <w:vAlign w:val="center"/>
          </w:tcPr>
          <w:p w14:paraId="39983D09">
            <w:pPr>
              <w:spacing w:line="240" w:lineRule="auto"/>
              <w:jc w:val="center"/>
              <w:rPr>
                <w:rFonts w:cs="Times New Roman" w:eastAsiaTheme="minorEastAsia"/>
                <w:kern w:val="0"/>
                <w:sz w:val="21"/>
                <w:szCs w:val="21"/>
                <w14:ligatures w14:val="none"/>
              </w:rPr>
            </w:pPr>
            <w:r>
              <w:rPr>
                <w:rFonts w:hint="eastAsia" w:cs="Times New Roman" w:eastAsiaTheme="minorEastAsia"/>
                <w:kern w:val="0"/>
                <w:sz w:val="21"/>
                <w:szCs w:val="21"/>
                <w14:ligatures w14:val="none"/>
              </w:rPr>
              <w:t>62.5</w:t>
            </w:r>
          </w:p>
        </w:tc>
        <w:tc>
          <w:tcPr>
            <w:tcW w:w="762" w:type="pct"/>
          </w:tcPr>
          <w:p w14:paraId="206A5C7C">
            <w:pPr>
              <w:spacing w:line="240" w:lineRule="auto"/>
              <w:jc w:val="center"/>
              <w:rPr>
                <w:rFonts w:eastAsia="Times New Roman" w:cs="Times New Roman"/>
                <w:kern w:val="0"/>
                <w:sz w:val="21"/>
                <w:szCs w:val="21"/>
                <w14:ligatures w14:val="none"/>
              </w:rPr>
            </w:pPr>
            <w:r>
              <w:rPr>
                <w:rFonts w:hint="eastAsia" w:eastAsia="Times New Roman" w:cs="Times New Roman"/>
                <w:kern w:val="0"/>
                <w:sz w:val="21"/>
                <w:szCs w:val="21"/>
                <w14:ligatures w14:val="none"/>
              </w:rPr>
              <w:t>65</w:t>
            </w:r>
          </w:p>
        </w:tc>
        <w:tc>
          <w:tcPr>
            <w:tcW w:w="762" w:type="pct"/>
            <w:vAlign w:val="center"/>
          </w:tcPr>
          <w:p w14:paraId="2B6ACF33">
            <w:pPr>
              <w:spacing w:line="240" w:lineRule="auto"/>
              <w:jc w:val="center"/>
              <w:rPr>
                <w:rFonts w:cs="Times New Roman" w:eastAsiaTheme="minorEastAsia"/>
                <w:kern w:val="0"/>
                <w:sz w:val="21"/>
                <w:szCs w:val="21"/>
                <w14:ligatures w14:val="none"/>
              </w:rPr>
            </w:pPr>
            <w:r>
              <w:rPr>
                <w:rFonts w:hint="eastAsia" w:cs="Times New Roman" w:eastAsiaTheme="minorEastAsia"/>
                <w:kern w:val="0"/>
                <w:sz w:val="21"/>
                <w:szCs w:val="21"/>
                <w14:ligatures w14:val="none"/>
              </w:rPr>
              <w:t>53.9</w:t>
            </w:r>
          </w:p>
        </w:tc>
        <w:tc>
          <w:tcPr>
            <w:tcW w:w="762" w:type="pct"/>
            <w:tcBorders>
              <w:top w:val="single" w:color="auto" w:sz="4" w:space="0"/>
              <w:left w:val="nil"/>
              <w:bottom w:val="single" w:color="auto" w:sz="4" w:space="0"/>
              <w:right w:val="single" w:color="auto" w:sz="4" w:space="0"/>
            </w:tcBorders>
            <w:vAlign w:val="center"/>
          </w:tcPr>
          <w:p w14:paraId="3B9B9C50">
            <w:pPr>
              <w:spacing w:line="240" w:lineRule="auto"/>
              <w:jc w:val="center"/>
              <w:rPr>
                <w:rFonts w:eastAsia="Times New Roman" w:cs="Times New Roman"/>
                <w:kern w:val="0"/>
                <w:sz w:val="21"/>
                <w:szCs w:val="21"/>
                <w14:ligatures w14:val="none"/>
              </w:rPr>
            </w:pPr>
            <w:r>
              <w:rPr>
                <w:rFonts w:hint="eastAsia" w:eastAsia="Times New Roman" w:cs="Times New Roman"/>
                <w:kern w:val="0"/>
                <w:sz w:val="21"/>
                <w:szCs w:val="21"/>
                <w14:ligatures w14:val="none"/>
              </w:rPr>
              <w:t>55</w:t>
            </w:r>
          </w:p>
        </w:tc>
      </w:tr>
      <w:tr w14:paraId="165263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15" w:type="pct"/>
            <w:tcBorders>
              <w:top w:val="single" w:color="auto" w:sz="4" w:space="0"/>
              <w:left w:val="single" w:color="auto" w:sz="4" w:space="0"/>
              <w:bottom w:val="single" w:color="auto" w:sz="4" w:space="0"/>
              <w:right w:val="single" w:color="auto" w:sz="4" w:space="0"/>
            </w:tcBorders>
            <w:vAlign w:val="center"/>
          </w:tcPr>
          <w:p w14:paraId="34DCFA67">
            <w:pPr>
              <w:spacing w:line="240" w:lineRule="auto"/>
              <w:jc w:val="center"/>
              <w:rPr>
                <w:rFonts w:eastAsia="Times New Roman" w:cs="Times New Roman"/>
                <w:kern w:val="0"/>
                <w:sz w:val="21"/>
                <w:szCs w:val="21"/>
                <w14:ligatures w14:val="none"/>
              </w:rPr>
            </w:pPr>
            <w:r>
              <w:rPr>
                <w:rFonts w:eastAsia="Times New Roman" w:cs="Times New Roman"/>
                <w:kern w:val="0"/>
                <w:sz w:val="21"/>
                <w:szCs w:val="21"/>
                <w14:ligatures w14:val="none"/>
              </w:rPr>
              <w:t>N4</w:t>
            </w:r>
          </w:p>
        </w:tc>
        <w:tc>
          <w:tcPr>
            <w:tcW w:w="1238" w:type="pct"/>
            <w:tcBorders>
              <w:top w:val="single" w:color="auto" w:sz="4" w:space="0"/>
              <w:left w:val="nil"/>
              <w:bottom w:val="single" w:color="auto" w:sz="4" w:space="0"/>
              <w:right w:val="single" w:color="auto" w:sz="4" w:space="0"/>
            </w:tcBorders>
            <w:vAlign w:val="center"/>
          </w:tcPr>
          <w:p w14:paraId="1C7F1976">
            <w:pPr>
              <w:spacing w:line="240" w:lineRule="auto"/>
              <w:jc w:val="center"/>
              <w:rPr>
                <w:rFonts w:eastAsia="Times New Roman" w:cs="Times New Roman"/>
                <w:kern w:val="0"/>
                <w:sz w:val="21"/>
                <w:szCs w:val="21"/>
                <w14:ligatures w14:val="none"/>
              </w:rPr>
            </w:pPr>
            <w:r>
              <w:rPr>
                <w:rFonts w:eastAsia="Times New Roman" w:cs="Times New Roman"/>
                <w:kern w:val="0"/>
                <w:sz w:val="21"/>
                <w:szCs w:val="21"/>
                <w14:ligatures w14:val="none"/>
              </w:rPr>
              <w:t>项目</w:t>
            </w:r>
            <w:r>
              <w:rPr>
                <w:rFonts w:hint="eastAsia" w:eastAsia="Times New Roman" w:cs="Times New Roman"/>
                <w:kern w:val="0"/>
                <w:sz w:val="21"/>
                <w:szCs w:val="21"/>
                <w14:ligatures w14:val="none"/>
              </w:rPr>
              <w:t>北</w:t>
            </w:r>
            <w:r>
              <w:rPr>
                <w:rFonts w:eastAsia="Times New Roman" w:cs="Times New Roman"/>
                <w:kern w:val="0"/>
                <w:sz w:val="21"/>
                <w:szCs w:val="21"/>
                <w14:ligatures w14:val="none"/>
              </w:rPr>
              <w:t>厂界</w:t>
            </w:r>
          </w:p>
        </w:tc>
        <w:tc>
          <w:tcPr>
            <w:tcW w:w="762" w:type="pct"/>
            <w:tcBorders>
              <w:top w:val="single" w:color="auto" w:sz="4" w:space="0"/>
              <w:left w:val="nil"/>
              <w:bottom w:val="single" w:color="auto" w:sz="4" w:space="0"/>
              <w:right w:val="single" w:color="auto" w:sz="4" w:space="0"/>
            </w:tcBorders>
            <w:vAlign w:val="center"/>
          </w:tcPr>
          <w:p w14:paraId="530087C0">
            <w:pPr>
              <w:spacing w:line="240" w:lineRule="auto"/>
              <w:jc w:val="center"/>
              <w:rPr>
                <w:rFonts w:cs="Times New Roman" w:eastAsiaTheme="minorEastAsia"/>
                <w:kern w:val="0"/>
                <w:sz w:val="21"/>
                <w:szCs w:val="21"/>
                <w14:ligatures w14:val="none"/>
              </w:rPr>
            </w:pPr>
            <w:r>
              <w:rPr>
                <w:rFonts w:hint="eastAsia" w:eastAsia="Times New Roman" w:cs="Times New Roman"/>
                <w:kern w:val="0"/>
                <w:sz w:val="21"/>
                <w:szCs w:val="21"/>
                <w14:ligatures w14:val="none"/>
              </w:rPr>
              <w:t>5</w:t>
            </w:r>
            <w:r>
              <w:rPr>
                <w:rFonts w:hint="eastAsia" w:cs="Times New Roman" w:eastAsiaTheme="minorEastAsia"/>
                <w:kern w:val="0"/>
                <w:sz w:val="21"/>
                <w:szCs w:val="21"/>
                <w14:ligatures w14:val="none"/>
              </w:rPr>
              <w:t>0.8</w:t>
            </w:r>
          </w:p>
        </w:tc>
        <w:tc>
          <w:tcPr>
            <w:tcW w:w="762" w:type="pct"/>
          </w:tcPr>
          <w:p w14:paraId="5664C051">
            <w:pPr>
              <w:spacing w:line="240" w:lineRule="auto"/>
              <w:jc w:val="center"/>
              <w:rPr>
                <w:rFonts w:eastAsia="Times New Roman" w:cs="Times New Roman"/>
                <w:kern w:val="0"/>
                <w:sz w:val="21"/>
                <w:szCs w:val="21"/>
                <w14:ligatures w14:val="none"/>
              </w:rPr>
            </w:pPr>
            <w:r>
              <w:rPr>
                <w:rFonts w:hint="eastAsia" w:eastAsia="Times New Roman" w:cs="Times New Roman"/>
                <w:kern w:val="0"/>
                <w:sz w:val="21"/>
                <w:szCs w:val="21"/>
                <w14:ligatures w14:val="none"/>
              </w:rPr>
              <w:t>65</w:t>
            </w:r>
          </w:p>
        </w:tc>
        <w:tc>
          <w:tcPr>
            <w:tcW w:w="762" w:type="pct"/>
            <w:vAlign w:val="center"/>
          </w:tcPr>
          <w:p w14:paraId="7232CF05">
            <w:pPr>
              <w:spacing w:line="240" w:lineRule="auto"/>
              <w:jc w:val="center"/>
              <w:rPr>
                <w:rFonts w:cs="Times New Roman" w:eastAsiaTheme="minorEastAsia"/>
                <w:kern w:val="0"/>
                <w:sz w:val="21"/>
                <w:szCs w:val="21"/>
                <w14:ligatures w14:val="none"/>
              </w:rPr>
            </w:pPr>
            <w:r>
              <w:rPr>
                <w:rFonts w:hint="eastAsia" w:cs="Times New Roman" w:eastAsiaTheme="minorEastAsia"/>
                <w:kern w:val="0"/>
                <w:sz w:val="21"/>
                <w:szCs w:val="21"/>
                <w14:ligatures w14:val="none"/>
              </w:rPr>
              <w:t>53.9</w:t>
            </w:r>
          </w:p>
        </w:tc>
        <w:tc>
          <w:tcPr>
            <w:tcW w:w="762" w:type="pct"/>
            <w:tcBorders>
              <w:top w:val="single" w:color="auto" w:sz="4" w:space="0"/>
              <w:left w:val="nil"/>
              <w:bottom w:val="single" w:color="auto" w:sz="4" w:space="0"/>
              <w:right w:val="single" w:color="auto" w:sz="4" w:space="0"/>
            </w:tcBorders>
            <w:vAlign w:val="center"/>
          </w:tcPr>
          <w:p w14:paraId="223CECBA">
            <w:pPr>
              <w:spacing w:line="240" w:lineRule="auto"/>
              <w:jc w:val="center"/>
              <w:rPr>
                <w:rFonts w:eastAsia="Times New Roman" w:cs="Times New Roman"/>
                <w:kern w:val="0"/>
                <w:sz w:val="21"/>
                <w:szCs w:val="21"/>
                <w14:ligatures w14:val="none"/>
              </w:rPr>
            </w:pPr>
            <w:r>
              <w:rPr>
                <w:rFonts w:hint="eastAsia" w:eastAsia="Times New Roman" w:cs="Times New Roman"/>
                <w:kern w:val="0"/>
                <w:sz w:val="21"/>
                <w:szCs w:val="21"/>
                <w14:ligatures w14:val="none"/>
              </w:rPr>
              <w:t>55</w:t>
            </w:r>
          </w:p>
        </w:tc>
      </w:tr>
    </w:tbl>
    <w:p w14:paraId="71BD2DDA">
      <w:pPr>
        <w:ind w:firstLine="480" w:firstLineChars="200"/>
      </w:pPr>
    </w:p>
    <w:p w14:paraId="0194FB8F">
      <w:pPr>
        <w:ind w:firstLine="480" w:firstLineChars="200"/>
      </w:pPr>
      <w:r>
        <w:rPr>
          <w:rFonts w:hint="eastAsia"/>
        </w:rPr>
        <w:t>根据现状监测结果，厂界各点位现状监测结果均可满足《</w:t>
      </w:r>
      <w:r>
        <w:t>声环境质量标准》(GB3096-2008)中3类标准</w:t>
      </w:r>
      <w:r>
        <w:rPr>
          <w:rFonts w:hint="eastAsia"/>
        </w:rPr>
        <w:t>中的3类标准限值要求，区域声环境质量状况良好。</w:t>
      </w:r>
    </w:p>
    <w:p w14:paraId="4B835E10">
      <w:pPr>
        <w:pStyle w:val="4"/>
        <w:rPr>
          <w:rFonts w:hint="eastAsia"/>
        </w:rPr>
      </w:pPr>
      <w:bookmarkStart w:id="69" w:name="_Toc221056403"/>
      <w:r>
        <w:rPr>
          <w:rFonts w:hint="eastAsia"/>
        </w:rPr>
        <w:t>5.2.4地下水环境质量现状</w:t>
      </w:r>
      <w:bookmarkEnd w:id="67"/>
      <w:bookmarkEnd w:id="68"/>
      <w:bookmarkEnd w:id="69"/>
    </w:p>
    <w:p w14:paraId="09BC5FBD">
      <w:pPr>
        <w:ind w:firstLine="480" w:firstLineChars="200"/>
      </w:pPr>
      <w:r>
        <w:rPr>
          <w:rFonts w:hint="eastAsia"/>
        </w:rPr>
        <w:t>区域地下水现状监测数据D1点位、D2点位、D3点位、D4点位、D5点位水质水位数据</w:t>
      </w:r>
      <w:r>
        <w:rPr>
          <w:rFonts w:hint="eastAsia" w:cs="Times New Roman"/>
          <w:spacing w:val="-3"/>
        </w:rPr>
        <w:t>引用《蚌埠精细化工高新技术产业基地环境影响区域评估+环境标准报告》中“三铺村”、“海华科技集团监测井”“二铺村”、“雪郎生物监测井”、“夏家湖”点位监测数据，监测时间为2024年4月8日~2024年4月9日和2024年8月20日~8月21日，引用数据有效。</w:t>
      </w:r>
    </w:p>
    <w:p w14:paraId="1AB17F06">
      <w:pPr>
        <w:ind w:firstLine="480" w:firstLineChars="200"/>
      </w:pPr>
      <w:r>
        <w:rPr>
          <w:rFonts w:hint="eastAsia"/>
        </w:rPr>
        <w:t>D6监测点位水位数据《蚌埠市圣光化工有限公司年产5万吨七水硫酸镁、1万吨无水硫酸镁及2万吨三水醋酸钠项目环境影响报告书》中“项目厂址”监测点位数据，监测时间为2024年7月1日，引用数据有效。D7、D8、D9监测点位水位数据引用《安徽天润化学工业股份有限公司3万吨/年聚丙烯酰胺干粉项目环境影响报告书》中“天润化学东南侧”、“蚌埠市三铺中学”和“草杨家”监测点位数据，监测时间为2023年11月21日，引用数据有效。D10监测点位水位数据引用《安徽皖东树脂科技有限公司五河分公司年产三万吨七水硫酸镁和3000立方米混床树脂精制项目环境影响报告书》中“项目地”监测点位数据，监测时间为2025年11月5日，引用数据有效。</w:t>
      </w:r>
    </w:p>
    <w:p w14:paraId="2662C6D9">
      <w:pPr>
        <w:ind w:firstLine="480" w:firstLineChars="200"/>
      </w:pPr>
      <w:r>
        <w:t>1</w:t>
      </w:r>
      <w:r>
        <w:rPr>
          <w:rFonts w:hint="eastAsia"/>
        </w:rPr>
        <w:t>、监测布点</w:t>
      </w:r>
    </w:p>
    <w:p w14:paraId="3673391E">
      <w:pPr>
        <w:ind w:firstLine="480" w:firstLineChars="200"/>
      </w:pPr>
      <w:r>
        <w:rPr>
          <w:rFonts w:hint="eastAsia"/>
        </w:rPr>
        <w:t>监测点位见表5.2-9和图5.2-4所示。</w:t>
      </w:r>
    </w:p>
    <w:p w14:paraId="7D62F5E8">
      <w:pPr>
        <w:ind w:firstLine="480" w:firstLineChars="200"/>
      </w:pPr>
    </w:p>
    <w:p w14:paraId="5880C675">
      <w:pPr>
        <w:ind w:firstLine="480" w:firstLineChars="200"/>
      </w:pPr>
    </w:p>
    <w:p w14:paraId="5F4A5609">
      <w:pPr>
        <w:ind w:firstLine="480" w:firstLineChars="200"/>
      </w:pPr>
    </w:p>
    <w:p w14:paraId="41D387D0">
      <w:pPr>
        <w:pStyle w:val="82"/>
        <w:spacing w:line="240" w:lineRule="auto"/>
        <w:ind w:firstLine="0" w:firstLineChars="0"/>
        <w:jc w:val="center"/>
        <w:rPr>
          <w:rFonts w:hint="eastAsia"/>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5399405" cy="3616960"/>
            <wp:effectExtent l="19050" t="19050" r="10795" b="21590"/>
            <wp:docPr id="202774295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742952" name="图片 17"/>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400000" cy="3617464"/>
                    </a:xfrm>
                    <a:prstGeom prst="rect">
                      <a:avLst/>
                    </a:prstGeom>
                    <a:ln w="12700">
                      <a:solidFill>
                        <a:schemeClr val="tx1"/>
                      </a:solidFill>
                    </a:ln>
                  </pic:spPr>
                </pic:pic>
              </a:graphicData>
            </a:graphic>
          </wp:inline>
        </w:drawing>
      </w:r>
    </w:p>
    <w:p w14:paraId="6B0E09A8">
      <w:pPr>
        <w:pStyle w:val="82"/>
        <w:ind w:firstLine="0" w:firstLineChars="0"/>
        <w:jc w:val="center"/>
        <w:rPr>
          <w:rFonts w:hint="eastAsia" w:ascii="黑体" w:hAnsi="黑体" w:eastAsia="黑体" w:cs="Times New Roman"/>
          <w:color w:val="000000" w:themeColor="text1"/>
          <w14:textFill>
            <w14:solidFill>
              <w14:schemeClr w14:val="tx1"/>
            </w14:solidFill>
          </w14:textFill>
        </w:rPr>
      </w:pPr>
      <w:r>
        <w:rPr>
          <w:rFonts w:ascii="黑体" w:hAnsi="黑体" w:eastAsia="黑体" w:cs="Times New Roman"/>
          <w:color w:val="000000" w:themeColor="text1"/>
          <w14:textFill>
            <w14:solidFill>
              <w14:schemeClr w14:val="tx1"/>
            </w14:solidFill>
          </w14:textFill>
        </w:rPr>
        <w:t>图5.2-</w:t>
      </w:r>
      <w:r>
        <w:rPr>
          <w:rFonts w:hint="eastAsia" w:ascii="黑体" w:hAnsi="黑体" w:eastAsia="黑体" w:cs="Times New Roman"/>
          <w:color w:val="000000" w:themeColor="text1"/>
          <w14:textFill>
            <w14:solidFill>
              <w14:schemeClr w14:val="tx1"/>
            </w14:solidFill>
          </w14:textFill>
        </w:rPr>
        <w:t>4</w:t>
      </w:r>
      <w:r>
        <w:rPr>
          <w:rFonts w:ascii="黑体" w:hAnsi="黑体" w:eastAsia="黑体" w:cs="Times New Roman"/>
          <w:color w:val="000000" w:themeColor="text1"/>
          <w14:textFill>
            <w14:solidFill>
              <w14:schemeClr w14:val="tx1"/>
            </w14:solidFill>
          </w14:textFill>
        </w:rPr>
        <w:t xml:space="preserve"> 地下水环境质量现状监测布点图</w:t>
      </w:r>
    </w:p>
    <w:p w14:paraId="14955CBB">
      <w:pPr>
        <w:pStyle w:val="28"/>
        <w:rPr>
          <w:rFonts w:hint="eastAsia"/>
        </w:rPr>
      </w:pPr>
      <w:r>
        <w:rPr>
          <w:rFonts w:hint="eastAsia"/>
        </w:rPr>
        <w:t>表5.2-9  地下水水质、水位监测信息一览表</w:t>
      </w:r>
    </w:p>
    <w:tbl>
      <w:tblPr>
        <w:tblStyle w:val="37"/>
        <w:tblW w:w="508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91"/>
        <w:gridCol w:w="1150"/>
        <w:gridCol w:w="874"/>
        <w:gridCol w:w="872"/>
        <w:gridCol w:w="725"/>
        <w:gridCol w:w="1307"/>
        <w:gridCol w:w="3919"/>
      </w:tblGrid>
      <w:tr w14:paraId="23209C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4" w:type="pct"/>
            <w:vAlign w:val="center"/>
          </w:tcPr>
          <w:p w14:paraId="41133E9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点位</w:t>
            </w:r>
          </w:p>
        </w:tc>
        <w:tc>
          <w:tcPr>
            <w:tcW w:w="609" w:type="pct"/>
            <w:vAlign w:val="center"/>
          </w:tcPr>
          <w:p w14:paraId="1A54D35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监测地点</w:t>
            </w:r>
          </w:p>
        </w:tc>
        <w:tc>
          <w:tcPr>
            <w:tcW w:w="463" w:type="pct"/>
            <w:vAlign w:val="center"/>
          </w:tcPr>
          <w:p w14:paraId="433D6C9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相对位置</w:t>
            </w:r>
          </w:p>
        </w:tc>
        <w:tc>
          <w:tcPr>
            <w:tcW w:w="462" w:type="pct"/>
            <w:vAlign w:val="center"/>
          </w:tcPr>
          <w:p w14:paraId="267B42C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相对距离(km)</w:t>
            </w:r>
          </w:p>
        </w:tc>
        <w:tc>
          <w:tcPr>
            <w:tcW w:w="384" w:type="pct"/>
            <w:vAlign w:val="center"/>
          </w:tcPr>
          <w:p w14:paraId="61BDC46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监测指标</w:t>
            </w:r>
          </w:p>
        </w:tc>
        <w:tc>
          <w:tcPr>
            <w:tcW w:w="692" w:type="pct"/>
            <w:vAlign w:val="center"/>
          </w:tcPr>
          <w:p w14:paraId="482483C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监测时间</w:t>
            </w:r>
          </w:p>
        </w:tc>
        <w:tc>
          <w:tcPr>
            <w:tcW w:w="2077" w:type="pct"/>
            <w:vAlign w:val="center"/>
          </w:tcPr>
          <w:p w14:paraId="3BE0336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数据来源</w:t>
            </w:r>
          </w:p>
        </w:tc>
      </w:tr>
      <w:tr w14:paraId="1C7030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4" w:type="pct"/>
            <w:vAlign w:val="center"/>
          </w:tcPr>
          <w:p w14:paraId="35147F8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D1</w:t>
            </w:r>
          </w:p>
        </w:tc>
        <w:tc>
          <w:tcPr>
            <w:tcW w:w="609" w:type="pct"/>
            <w:vAlign w:val="center"/>
          </w:tcPr>
          <w:p w14:paraId="6E6D50A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三铺村</w:t>
            </w:r>
          </w:p>
        </w:tc>
        <w:tc>
          <w:tcPr>
            <w:tcW w:w="463" w:type="pct"/>
            <w:vAlign w:val="center"/>
          </w:tcPr>
          <w:p w14:paraId="72BD1FF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上游</w:t>
            </w:r>
          </w:p>
        </w:tc>
        <w:tc>
          <w:tcPr>
            <w:tcW w:w="462" w:type="pct"/>
            <w:vAlign w:val="center"/>
          </w:tcPr>
          <w:p w14:paraId="5C80313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1.7</w:t>
            </w:r>
          </w:p>
        </w:tc>
        <w:tc>
          <w:tcPr>
            <w:tcW w:w="384" w:type="pct"/>
            <w:vMerge w:val="restart"/>
            <w:vAlign w:val="center"/>
          </w:tcPr>
          <w:p w14:paraId="3CEC761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水质</w:t>
            </w:r>
          </w:p>
          <w:p w14:paraId="567A9D1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水位</w:t>
            </w:r>
          </w:p>
        </w:tc>
        <w:tc>
          <w:tcPr>
            <w:tcW w:w="692" w:type="pct"/>
            <w:vMerge w:val="restart"/>
            <w:vAlign w:val="center"/>
          </w:tcPr>
          <w:p w14:paraId="38E9E55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2024.4.8~2024.4.9、2024.8.20~2024.8.21</w:t>
            </w:r>
          </w:p>
        </w:tc>
        <w:tc>
          <w:tcPr>
            <w:tcW w:w="2077" w:type="pct"/>
            <w:vMerge w:val="restart"/>
            <w:vAlign w:val="center"/>
          </w:tcPr>
          <w:p w14:paraId="0010B804">
            <w:pPr>
              <w:pStyle w:val="82"/>
              <w:spacing w:line="240" w:lineRule="auto"/>
              <w:ind w:firstLine="0" w:firstLineChars="0"/>
              <w:jc w:val="both"/>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《蚌埠精细化工高新技术产业基地环境影响区域评估+环境标准报告》</w:t>
            </w:r>
          </w:p>
        </w:tc>
      </w:tr>
      <w:tr w14:paraId="228F3E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4" w:type="pct"/>
            <w:vAlign w:val="center"/>
          </w:tcPr>
          <w:p w14:paraId="170BBBB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D2</w:t>
            </w:r>
          </w:p>
        </w:tc>
        <w:tc>
          <w:tcPr>
            <w:tcW w:w="609" w:type="pct"/>
            <w:vAlign w:val="center"/>
          </w:tcPr>
          <w:p w14:paraId="382CAA1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海华科技厂区</w:t>
            </w:r>
          </w:p>
        </w:tc>
        <w:tc>
          <w:tcPr>
            <w:tcW w:w="463" w:type="pct"/>
            <w:vAlign w:val="center"/>
          </w:tcPr>
          <w:p w14:paraId="24868CC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厂区内</w:t>
            </w:r>
          </w:p>
        </w:tc>
        <w:tc>
          <w:tcPr>
            <w:tcW w:w="462" w:type="pct"/>
            <w:vAlign w:val="center"/>
          </w:tcPr>
          <w:p w14:paraId="58D26B6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w:t>
            </w:r>
          </w:p>
        </w:tc>
        <w:tc>
          <w:tcPr>
            <w:tcW w:w="384" w:type="pct"/>
            <w:vMerge w:val="continue"/>
            <w:vAlign w:val="center"/>
          </w:tcPr>
          <w:p w14:paraId="1B6F3D7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c>
          <w:tcPr>
            <w:tcW w:w="692" w:type="pct"/>
            <w:vMerge w:val="continue"/>
            <w:vAlign w:val="center"/>
          </w:tcPr>
          <w:p w14:paraId="1595B90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c>
          <w:tcPr>
            <w:tcW w:w="2077" w:type="pct"/>
            <w:vMerge w:val="continue"/>
            <w:vAlign w:val="center"/>
          </w:tcPr>
          <w:p w14:paraId="2BE8F1C1">
            <w:pPr>
              <w:pStyle w:val="82"/>
              <w:spacing w:line="240" w:lineRule="auto"/>
              <w:ind w:firstLine="0" w:firstLineChars="0"/>
              <w:jc w:val="both"/>
              <w:rPr>
                <w:rFonts w:ascii="Times New Roman" w:hAnsi="Times New Roman" w:cs="Times New Roman"/>
                <w:color w:val="000000" w:themeColor="text1"/>
                <w:sz w:val="21"/>
                <w:szCs w:val="21"/>
                <w14:textFill>
                  <w14:solidFill>
                    <w14:schemeClr w14:val="tx1"/>
                  </w14:solidFill>
                </w14:textFill>
              </w:rPr>
            </w:pPr>
          </w:p>
        </w:tc>
      </w:tr>
      <w:tr w14:paraId="7F3E52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4" w:type="pct"/>
            <w:vAlign w:val="center"/>
          </w:tcPr>
          <w:p w14:paraId="6C54D00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D3</w:t>
            </w:r>
          </w:p>
        </w:tc>
        <w:tc>
          <w:tcPr>
            <w:tcW w:w="609" w:type="pct"/>
            <w:vAlign w:val="center"/>
          </w:tcPr>
          <w:p w14:paraId="0CBCA8A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二铺</w:t>
            </w:r>
          </w:p>
        </w:tc>
        <w:tc>
          <w:tcPr>
            <w:tcW w:w="463" w:type="pct"/>
            <w:vAlign w:val="center"/>
          </w:tcPr>
          <w:p w14:paraId="3C9E027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下游</w:t>
            </w:r>
          </w:p>
        </w:tc>
        <w:tc>
          <w:tcPr>
            <w:tcW w:w="462" w:type="pct"/>
            <w:vAlign w:val="center"/>
          </w:tcPr>
          <w:p w14:paraId="14D1E1E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2.3</w:t>
            </w:r>
          </w:p>
        </w:tc>
        <w:tc>
          <w:tcPr>
            <w:tcW w:w="384" w:type="pct"/>
            <w:vMerge w:val="continue"/>
            <w:vAlign w:val="center"/>
          </w:tcPr>
          <w:p w14:paraId="52D5389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c>
          <w:tcPr>
            <w:tcW w:w="692" w:type="pct"/>
            <w:vMerge w:val="continue"/>
            <w:vAlign w:val="center"/>
          </w:tcPr>
          <w:p w14:paraId="58E987A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c>
          <w:tcPr>
            <w:tcW w:w="2077" w:type="pct"/>
            <w:vMerge w:val="continue"/>
            <w:vAlign w:val="center"/>
          </w:tcPr>
          <w:p w14:paraId="1205B004">
            <w:pPr>
              <w:pStyle w:val="82"/>
              <w:spacing w:line="240" w:lineRule="auto"/>
              <w:ind w:firstLine="0" w:firstLineChars="0"/>
              <w:jc w:val="both"/>
              <w:rPr>
                <w:rFonts w:ascii="Times New Roman" w:hAnsi="Times New Roman" w:cs="Times New Roman"/>
                <w:color w:val="000000" w:themeColor="text1"/>
                <w:sz w:val="21"/>
                <w:szCs w:val="21"/>
                <w14:textFill>
                  <w14:solidFill>
                    <w14:schemeClr w14:val="tx1"/>
                  </w14:solidFill>
                </w14:textFill>
              </w:rPr>
            </w:pPr>
          </w:p>
        </w:tc>
      </w:tr>
      <w:tr w14:paraId="744CF1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4" w:type="pct"/>
            <w:vAlign w:val="center"/>
          </w:tcPr>
          <w:p w14:paraId="14F302C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D4</w:t>
            </w:r>
          </w:p>
        </w:tc>
        <w:tc>
          <w:tcPr>
            <w:tcW w:w="609" w:type="pct"/>
            <w:vAlign w:val="center"/>
          </w:tcPr>
          <w:p w14:paraId="49BDA43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雪郎生物厂区</w:t>
            </w:r>
          </w:p>
        </w:tc>
        <w:tc>
          <w:tcPr>
            <w:tcW w:w="463" w:type="pct"/>
            <w:vAlign w:val="center"/>
          </w:tcPr>
          <w:p w14:paraId="0B51C6B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两侧</w:t>
            </w:r>
          </w:p>
        </w:tc>
        <w:tc>
          <w:tcPr>
            <w:tcW w:w="462" w:type="pct"/>
            <w:vAlign w:val="center"/>
          </w:tcPr>
          <w:p w14:paraId="5B415A8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2.0</w:t>
            </w:r>
          </w:p>
        </w:tc>
        <w:tc>
          <w:tcPr>
            <w:tcW w:w="384" w:type="pct"/>
            <w:vMerge w:val="continue"/>
            <w:vAlign w:val="center"/>
          </w:tcPr>
          <w:p w14:paraId="753AFD8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c>
          <w:tcPr>
            <w:tcW w:w="692" w:type="pct"/>
            <w:vMerge w:val="continue"/>
            <w:vAlign w:val="center"/>
          </w:tcPr>
          <w:p w14:paraId="731C1F7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c>
          <w:tcPr>
            <w:tcW w:w="2077" w:type="pct"/>
            <w:vMerge w:val="continue"/>
            <w:vAlign w:val="center"/>
          </w:tcPr>
          <w:p w14:paraId="18F118B1">
            <w:pPr>
              <w:pStyle w:val="82"/>
              <w:spacing w:line="240" w:lineRule="auto"/>
              <w:ind w:firstLine="0" w:firstLineChars="0"/>
              <w:jc w:val="both"/>
              <w:rPr>
                <w:rFonts w:ascii="Times New Roman" w:hAnsi="Times New Roman" w:cs="Times New Roman"/>
                <w:color w:val="000000" w:themeColor="text1"/>
                <w:sz w:val="21"/>
                <w:szCs w:val="21"/>
                <w14:textFill>
                  <w14:solidFill>
                    <w14:schemeClr w14:val="tx1"/>
                  </w14:solidFill>
                </w14:textFill>
              </w:rPr>
            </w:pPr>
          </w:p>
        </w:tc>
      </w:tr>
      <w:tr w14:paraId="1BCA1A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4" w:type="pct"/>
            <w:vAlign w:val="center"/>
          </w:tcPr>
          <w:p w14:paraId="46E430F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D5</w:t>
            </w:r>
          </w:p>
        </w:tc>
        <w:tc>
          <w:tcPr>
            <w:tcW w:w="609" w:type="pct"/>
            <w:vAlign w:val="center"/>
          </w:tcPr>
          <w:p w14:paraId="3B374D4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夏家湖</w:t>
            </w:r>
          </w:p>
        </w:tc>
        <w:tc>
          <w:tcPr>
            <w:tcW w:w="463" w:type="pct"/>
            <w:vAlign w:val="center"/>
          </w:tcPr>
          <w:p w14:paraId="539C2C3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两侧</w:t>
            </w:r>
          </w:p>
        </w:tc>
        <w:tc>
          <w:tcPr>
            <w:tcW w:w="462" w:type="pct"/>
            <w:vAlign w:val="center"/>
          </w:tcPr>
          <w:p w14:paraId="295996F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2.6</w:t>
            </w:r>
          </w:p>
        </w:tc>
        <w:tc>
          <w:tcPr>
            <w:tcW w:w="384" w:type="pct"/>
            <w:vMerge w:val="continue"/>
            <w:vAlign w:val="center"/>
          </w:tcPr>
          <w:p w14:paraId="6D008EA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c>
          <w:tcPr>
            <w:tcW w:w="692" w:type="pct"/>
            <w:vMerge w:val="continue"/>
            <w:vAlign w:val="center"/>
          </w:tcPr>
          <w:p w14:paraId="496D036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c>
          <w:tcPr>
            <w:tcW w:w="2077" w:type="pct"/>
            <w:vMerge w:val="continue"/>
            <w:vAlign w:val="center"/>
          </w:tcPr>
          <w:p w14:paraId="7628F19D">
            <w:pPr>
              <w:pStyle w:val="82"/>
              <w:spacing w:line="240" w:lineRule="auto"/>
              <w:ind w:firstLine="0" w:firstLineChars="0"/>
              <w:jc w:val="both"/>
              <w:rPr>
                <w:rFonts w:ascii="Times New Roman" w:hAnsi="Times New Roman" w:cs="Times New Roman"/>
                <w:color w:val="000000" w:themeColor="text1"/>
                <w:sz w:val="21"/>
                <w:szCs w:val="21"/>
                <w14:textFill>
                  <w14:solidFill>
                    <w14:schemeClr w14:val="tx1"/>
                  </w14:solidFill>
                </w14:textFill>
              </w:rPr>
            </w:pPr>
          </w:p>
        </w:tc>
      </w:tr>
      <w:tr w14:paraId="331B69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4" w:type="pct"/>
            <w:vAlign w:val="center"/>
          </w:tcPr>
          <w:p w14:paraId="33714EB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D6</w:t>
            </w:r>
          </w:p>
        </w:tc>
        <w:tc>
          <w:tcPr>
            <w:tcW w:w="609" w:type="pct"/>
            <w:vAlign w:val="center"/>
          </w:tcPr>
          <w:p w14:paraId="1CE6360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圣光化工厂区</w:t>
            </w:r>
          </w:p>
        </w:tc>
        <w:tc>
          <w:tcPr>
            <w:tcW w:w="463" w:type="pct"/>
            <w:vAlign w:val="center"/>
          </w:tcPr>
          <w:p w14:paraId="46B25E3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西侧</w:t>
            </w:r>
          </w:p>
        </w:tc>
        <w:tc>
          <w:tcPr>
            <w:tcW w:w="462" w:type="pct"/>
            <w:vAlign w:val="center"/>
          </w:tcPr>
          <w:p w14:paraId="43D5310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1.0</w:t>
            </w:r>
          </w:p>
        </w:tc>
        <w:tc>
          <w:tcPr>
            <w:tcW w:w="384" w:type="pct"/>
            <w:vMerge w:val="restart"/>
            <w:vAlign w:val="center"/>
          </w:tcPr>
          <w:p w14:paraId="64C5E91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水位</w:t>
            </w:r>
          </w:p>
        </w:tc>
        <w:tc>
          <w:tcPr>
            <w:tcW w:w="692" w:type="pct"/>
            <w:vAlign w:val="center"/>
          </w:tcPr>
          <w:p w14:paraId="178B657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2024.7.1</w:t>
            </w:r>
          </w:p>
        </w:tc>
        <w:tc>
          <w:tcPr>
            <w:tcW w:w="2077" w:type="pct"/>
            <w:vAlign w:val="center"/>
          </w:tcPr>
          <w:p w14:paraId="59BFEE07">
            <w:pPr>
              <w:pStyle w:val="82"/>
              <w:spacing w:line="240" w:lineRule="auto"/>
              <w:ind w:firstLine="0" w:firstLineChars="0"/>
              <w:jc w:val="both"/>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《蚌埠市圣光化工有限公司年产5万吨七水硫酸镁、1万吨无水硫酸镁及2万吨三水醋酸钠项目环境影响报告书》</w:t>
            </w:r>
          </w:p>
        </w:tc>
      </w:tr>
      <w:tr w14:paraId="399841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4" w:type="pct"/>
            <w:vAlign w:val="center"/>
          </w:tcPr>
          <w:p w14:paraId="3D99B76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D7</w:t>
            </w:r>
          </w:p>
        </w:tc>
        <w:tc>
          <w:tcPr>
            <w:tcW w:w="609" w:type="pct"/>
            <w:vAlign w:val="center"/>
          </w:tcPr>
          <w:p w14:paraId="4D1E575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天润化学东南侧</w:t>
            </w:r>
          </w:p>
        </w:tc>
        <w:tc>
          <w:tcPr>
            <w:tcW w:w="463" w:type="pct"/>
            <w:vAlign w:val="center"/>
          </w:tcPr>
          <w:p w14:paraId="20098BC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南侧</w:t>
            </w:r>
          </w:p>
        </w:tc>
        <w:tc>
          <w:tcPr>
            <w:tcW w:w="462" w:type="pct"/>
            <w:vAlign w:val="center"/>
          </w:tcPr>
          <w:p w14:paraId="2944561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0.6</w:t>
            </w:r>
          </w:p>
        </w:tc>
        <w:tc>
          <w:tcPr>
            <w:tcW w:w="384" w:type="pct"/>
            <w:vMerge w:val="continue"/>
            <w:vAlign w:val="center"/>
          </w:tcPr>
          <w:p w14:paraId="3DA69EE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c>
          <w:tcPr>
            <w:tcW w:w="692" w:type="pct"/>
            <w:vMerge w:val="restart"/>
            <w:vAlign w:val="center"/>
          </w:tcPr>
          <w:p w14:paraId="3C2B87E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2023.11.21</w:t>
            </w:r>
          </w:p>
        </w:tc>
        <w:tc>
          <w:tcPr>
            <w:tcW w:w="2077" w:type="pct"/>
            <w:vMerge w:val="restart"/>
            <w:vAlign w:val="center"/>
          </w:tcPr>
          <w:p w14:paraId="6D0A2772">
            <w:pPr>
              <w:pStyle w:val="82"/>
              <w:spacing w:line="240" w:lineRule="auto"/>
              <w:ind w:firstLine="0" w:firstLineChars="0"/>
              <w:jc w:val="both"/>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《安徽天润化学工业股份有限公司3万吨/年聚丙烯酰胺干粉项目环境影响报告书》</w:t>
            </w:r>
          </w:p>
        </w:tc>
      </w:tr>
      <w:tr w14:paraId="5469FA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4" w:type="pct"/>
            <w:vAlign w:val="center"/>
          </w:tcPr>
          <w:p w14:paraId="21249CE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D8</w:t>
            </w:r>
          </w:p>
        </w:tc>
        <w:tc>
          <w:tcPr>
            <w:tcW w:w="609" w:type="pct"/>
            <w:vAlign w:val="center"/>
          </w:tcPr>
          <w:p w14:paraId="14A2F71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蚌埠市三铺中学</w:t>
            </w:r>
          </w:p>
        </w:tc>
        <w:tc>
          <w:tcPr>
            <w:tcW w:w="463" w:type="pct"/>
            <w:vAlign w:val="center"/>
          </w:tcPr>
          <w:p w14:paraId="4AED422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西北侧</w:t>
            </w:r>
          </w:p>
        </w:tc>
        <w:tc>
          <w:tcPr>
            <w:tcW w:w="462" w:type="pct"/>
            <w:vAlign w:val="center"/>
          </w:tcPr>
          <w:p w14:paraId="0B0EEEF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1.6</w:t>
            </w:r>
          </w:p>
        </w:tc>
        <w:tc>
          <w:tcPr>
            <w:tcW w:w="384" w:type="pct"/>
            <w:vMerge w:val="continue"/>
            <w:vAlign w:val="center"/>
          </w:tcPr>
          <w:p w14:paraId="56F240B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c>
          <w:tcPr>
            <w:tcW w:w="692" w:type="pct"/>
            <w:vMerge w:val="continue"/>
            <w:vAlign w:val="center"/>
          </w:tcPr>
          <w:p w14:paraId="26A87A4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c>
          <w:tcPr>
            <w:tcW w:w="2077" w:type="pct"/>
            <w:vMerge w:val="continue"/>
            <w:vAlign w:val="center"/>
          </w:tcPr>
          <w:p w14:paraId="2868B810">
            <w:pPr>
              <w:pStyle w:val="82"/>
              <w:spacing w:line="240" w:lineRule="auto"/>
              <w:ind w:firstLine="0" w:firstLineChars="0"/>
              <w:jc w:val="both"/>
              <w:rPr>
                <w:rFonts w:ascii="Times New Roman" w:hAnsi="Times New Roman" w:cs="Times New Roman"/>
                <w:color w:val="000000" w:themeColor="text1"/>
                <w:sz w:val="21"/>
                <w:szCs w:val="21"/>
                <w14:textFill>
                  <w14:solidFill>
                    <w14:schemeClr w14:val="tx1"/>
                  </w14:solidFill>
                </w14:textFill>
              </w:rPr>
            </w:pPr>
          </w:p>
        </w:tc>
      </w:tr>
      <w:tr w14:paraId="4846F7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1" w:hRule="atLeast"/>
          <w:jc w:val="center"/>
        </w:trPr>
        <w:tc>
          <w:tcPr>
            <w:tcW w:w="314" w:type="pct"/>
            <w:vAlign w:val="center"/>
          </w:tcPr>
          <w:p w14:paraId="00B645E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D9</w:t>
            </w:r>
          </w:p>
        </w:tc>
        <w:tc>
          <w:tcPr>
            <w:tcW w:w="609" w:type="pct"/>
            <w:vAlign w:val="center"/>
          </w:tcPr>
          <w:p w14:paraId="6BA4AEB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草杨家</w:t>
            </w:r>
          </w:p>
        </w:tc>
        <w:tc>
          <w:tcPr>
            <w:tcW w:w="463" w:type="pct"/>
            <w:vAlign w:val="center"/>
          </w:tcPr>
          <w:p w14:paraId="27D0AA9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东北侧</w:t>
            </w:r>
          </w:p>
        </w:tc>
        <w:tc>
          <w:tcPr>
            <w:tcW w:w="462" w:type="pct"/>
            <w:vAlign w:val="center"/>
          </w:tcPr>
          <w:p w14:paraId="0B2CE96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2.0</w:t>
            </w:r>
          </w:p>
        </w:tc>
        <w:tc>
          <w:tcPr>
            <w:tcW w:w="384" w:type="pct"/>
            <w:vMerge w:val="continue"/>
            <w:vAlign w:val="center"/>
          </w:tcPr>
          <w:p w14:paraId="5501DA2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c>
          <w:tcPr>
            <w:tcW w:w="692" w:type="pct"/>
            <w:vMerge w:val="continue"/>
            <w:vAlign w:val="center"/>
          </w:tcPr>
          <w:p w14:paraId="431AA83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c>
          <w:tcPr>
            <w:tcW w:w="2077" w:type="pct"/>
            <w:vMerge w:val="continue"/>
            <w:vAlign w:val="center"/>
          </w:tcPr>
          <w:p w14:paraId="70B41999">
            <w:pPr>
              <w:pStyle w:val="82"/>
              <w:spacing w:line="240" w:lineRule="auto"/>
              <w:ind w:firstLine="0" w:firstLineChars="0"/>
              <w:jc w:val="both"/>
              <w:rPr>
                <w:rFonts w:ascii="Times New Roman" w:hAnsi="Times New Roman" w:cs="Times New Roman"/>
                <w:color w:val="000000" w:themeColor="text1"/>
                <w:sz w:val="21"/>
                <w:szCs w:val="21"/>
                <w14:textFill>
                  <w14:solidFill>
                    <w14:schemeClr w14:val="tx1"/>
                  </w14:solidFill>
                </w14:textFill>
              </w:rPr>
            </w:pPr>
          </w:p>
        </w:tc>
      </w:tr>
      <w:tr w14:paraId="3F8F59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314" w:type="pct"/>
            <w:vAlign w:val="center"/>
          </w:tcPr>
          <w:p w14:paraId="65993DE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D10</w:t>
            </w:r>
          </w:p>
        </w:tc>
        <w:tc>
          <w:tcPr>
            <w:tcW w:w="609" w:type="pct"/>
            <w:vAlign w:val="center"/>
          </w:tcPr>
          <w:p w14:paraId="42E8C9B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皖东树脂厂区</w:t>
            </w:r>
          </w:p>
        </w:tc>
        <w:tc>
          <w:tcPr>
            <w:tcW w:w="463" w:type="pct"/>
            <w:vAlign w:val="center"/>
          </w:tcPr>
          <w:p w14:paraId="77905D6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南侧</w:t>
            </w:r>
          </w:p>
        </w:tc>
        <w:tc>
          <w:tcPr>
            <w:tcW w:w="462" w:type="pct"/>
            <w:vAlign w:val="center"/>
          </w:tcPr>
          <w:p w14:paraId="785C416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0.8</w:t>
            </w:r>
          </w:p>
        </w:tc>
        <w:tc>
          <w:tcPr>
            <w:tcW w:w="384" w:type="pct"/>
            <w:vMerge w:val="continue"/>
            <w:vAlign w:val="center"/>
          </w:tcPr>
          <w:p w14:paraId="06454E4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c>
          <w:tcPr>
            <w:tcW w:w="692" w:type="pct"/>
            <w:vAlign w:val="center"/>
          </w:tcPr>
          <w:p w14:paraId="2BD9C9F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2025.11.5</w:t>
            </w:r>
          </w:p>
        </w:tc>
        <w:tc>
          <w:tcPr>
            <w:tcW w:w="2077" w:type="pct"/>
            <w:vAlign w:val="center"/>
          </w:tcPr>
          <w:p w14:paraId="5D27164C">
            <w:pPr>
              <w:pStyle w:val="82"/>
              <w:spacing w:line="240" w:lineRule="auto"/>
              <w:ind w:firstLine="0" w:firstLineChars="0"/>
              <w:jc w:val="both"/>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《安徽皖东树脂科技有限公司五河分公司年产三万吨七水硫酸镁和3000立方米混床树脂精制项目环境影响报告书》</w:t>
            </w:r>
          </w:p>
        </w:tc>
      </w:tr>
    </w:tbl>
    <w:p w14:paraId="796C0875">
      <w:pPr>
        <w:pStyle w:val="82"/>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w:t>
      </w:r>
      <w:r>
        <w:rPr>
          <w:rFonts w:hint="eastAsia" w:ascii="Times New Roman" w:hAnsi="Times New Roman" w:cs="Times New Roman"/>
          <w:color w:val="000000" w:themeColor="text1"/>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监测因子</w:t>
      </w:r>
    </w:p>
    <w:p w14:paraId="408D6937">
      <w:pPr>
        <w:pStyle w:val="82"/>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K</w:t>
      </w:r>
      <w:r>
        <w:rPr>
          <w:rFonts w:ascii="Times New Roman" w:hAnsi="Times New Roman" w:cs="Times New Roman"/>
          <w:color w:val="000000" w:themeColor="text1"/>
          <w:vertAlign w:val="superscript"/>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、Na</w:t>
      </w:r>
      <w:r>
        <w:rPr>
          <w:rFonts w:ascii="Times New Roman" w:hAnsi="Times New Roman" w:cs="Times New Roman"/>
          <w:color w:val="000000" w:themeColor="text1"/>
          <w:vertAlign w:val="superscript"/>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、Ca</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、Mg</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、CO</w:t>
      </w:r>
      <w:r>
        <w:rPr>
          <w:rFonts w:ascii="Times New Roman" w:hAnsi="Times New Roman" w:cs="Times New Roman"/>
          <w:color w:val="000000" w:themeColor="text1"/>
          <w:vertAlign w:val="subscript"/>
          <w14:textFill>
            <w14:solidFill>
              <w14:schemeClr w14:val="tx1"/>
            </w14:solidFill>
          </w14:textFill>
        </w:rPr>
        <w:t>3</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、HCO</w:t>
      </w:r>
      <w:r>
        <w:rPr>
          <w:rFonts w:ascii="Times New Roman" w:hAnsi="Times New Roman" w:cs="Times New Roman"/>
          <w:color w:val="000000" w:themeColor="text1"/>
          <w:vertAlign w:val="subscript"/>
          <w14:textFill>
            <w14:solidFill>
              <w14:schemeClr w14:val="tx1"/>
            </w14:solidFill>
          </w14:textFill>
        </w:rPr>
        <w:t>3</w:t>
      </w:r>
      <w:r>
        <w:rPr>
          <w:rFonts w:ascii="Times New Roman" w:hAnsi="Times New Roman" w:cs="Times New Roman"/>
          <w:color w:val="000000" w:themeColor="text1"/>
          <w:vertAlign w:val="superscript"/>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、Cl</w:t>
      </w:r>
      <w:r>
        <w:rPr>
          <w:rFonts w:ascii="Times New Roman" w:hAnsi="Times New Roman" w:cs="Times New Roman"/>
          <w:color w:val="000000" w:themeColor="text1"/>
          <w:vertAlign w:val="superscript"/>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、SO</w:t>
      </w:r>
      <w:r>
        <w:rPr>
          <w:rFonts w:ascii="Times New Roman" w:hAnsi="Times New Roman" w:cs="Times New Roman"/>
          <w:color w:val="000000" w:themeColor="text1"/>
          <w:vertAlign w:val="subscript"/>
          <w14:textFill>
            <w14:solidFill>
              <w14:schemeClr w14:val="tx1"/>
            </w14:solidFill>
          </w14:textFill>
        </w:rPr>
        <w:t>4</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、pH、氨氮、硝酸盐、亚硝酸盐、挥发性酚类、氰化物、砷、汞、铬(六价)、铅、氟、镉、铁、锰、溶解性总固体、高锰酸盐指数(耗氧量)、硫酸盐、氯化物</w:t>
      </w:r>
      <w:r>
        <w:rPr>
          <w:rFonts w:hint="eastAsia" w:ascii="Times New Roman" w:hAnsi="Times New Roman" w:cs="Times New Roman"/>
          <w:color w:val="000000" w:themeColor="text1"/>
          <w14:textFill>
            <w14:solidFill>
              <w14:schemeClr w14:val="tx1"/>
            </w14:solidFill>
          </w14:textFill>
        </w:rPr>
        <w:t>等</w:t>
      </w:r>
      <w:r>
        <w:rPr>
          <w:rFonts w:ascii="Times New Roman" w:hAnsi="Times New Roman" w:cs="Times New Roman"/>
          <w:color w:val="000000" w:themeColor="text1"/>
          <w14:textFill>
            <w14:solidFill>
              <w14:schemeClr w14:val="tx1"/>
            </w14:solidFill>
          </w14:textFill>
        </w:rPr>
        <w:t>。</w:t>
      </w:r>
    </w:p>
    <w:p w14:paraId="0C0A2E70">
      <w:pPr>
        <w:ind w:firstLine="480" w:firstLineChars="200"/>
      </w:pPr>
      <w:r>
        <w:rPr>
          <w:rFonts w:hint="eastAsia"/>
        </w:rPr>
        <w:t>(3)监测时间与频次</w:t>
      </w:r>
    </w:p>
    <w:p w14:paraId="7DA42ECA">
      <w:pPr>
        <w:ind w:firstLine="480" w:firstLineChars="200"/>
      </w:pPr>
      <w:r>
        <w:rPr>
          <w:rFonts w:hint="eastAsia"/>
        </w:rPr>
        <w:t>水质监测于2024年4月8日~4月9日连续采样两天；2024年8月20日~8月21日连续采样两天。</w:t>
      </w:r>
    </w:p>
    <w:p w14:paraId="1EA3ECC0">
      <w:pPr>
        <w:ind w:firstLine="480" w:firstLineChars="200"/>
      </w:pPr>
      <w:r>
        <w:rPr>
          <w:rFonts w:hint="eastAsia"/>
        </w:rPr>
        <w:t>(4)监测结果与分析</w:t>
      </w:r>
    </w:p>
    <w:p w14:paraId="11BE54D9">
      <w:pPr>
        <w:ind w:firstLine="480" w:firstLineChars="200"/>
      </w:pPr>
      <w:r>
        <w:rPr>
          <w:rFonts w:hint="eastAsia"/>
        </w:rPr>
        <w:t>地下水水质现状评</w:t>
      </w:r>
      <w:r>
        <w:rPr>
          <w:rFonts w:cs="Times New Roman"/>
        </w:rPr>
        <w:t>价采用标准指数法进行评价。标准指数＞1，表明该因子已超过了规定的水质标准，指数值越大，超标越严重。标准指数计算公式分为以下两种</w:t>
      </w:r>
      <w:r>
        <w:rPr>
          <w:rFonts w:hint="eastAsia"/>
        </w:rPr>
        <w:t>情况：</w:t>
      </w:r>
    </w:p>
    <w:p w14:paraId="4DC9CD2B">
      <w:pPr>
        <w:ind w:firstLine="480" w:firstLineChars="200"/>
      </w:pPr>
      <w:r>
        <w:fldChar w:fldCharType="begin"/>
      </w:r>
      <w:r>
        <w:instrText xml:space="preserve"> </w:instrText>
      </w:r>
      <w:r>
        <w:rPr>
          <w:rFonts w:hint="eastAsia"/>
        </w:rPr>
        <w:instrText xml:space="preserve">= 1 \* GB3</w:instrText>
      </w:r>
      <w:r>
        <w:instrText xml:space="preserve"> </w:instrText>
      </w:r>
      <w:r>
        <w:fldChar w:fldCharType="separate"/>
      </w:r>
      <w:r>
        <w:rPr>
          <w:rFonts w:hint="eastAsia"/>
        </w:rPr>
        <w:t>①</w:t>
      </w:r>
      <w:r>
        <w:fldChar w:fldCharType="end"/>
      </w:r>
      <w:r>
        <w:rPr>
          <w:rFonts w:hint="eastAsia"/>
        </w:rPr>
        <w:t>对于评价标准为定值的水质因子，其标准指数计算公式：</w:t>
      </w:r>
    </w:p>
    <w:p w14:paraId="51D0B746">
      <w:pPr>
        <w:spacing w:line="240" w:lineRule="auto"/>
        <w:jc w:val="center"/>
      </w:pPr>
      <w:r>
        <w:drawing>
          <wp:inline distT="0" distB="0" distL="0" distR="0">
            <wp:extent cx="1252220" cy="459105"/>
            <wp:effectExtent l="0" t="0" r="5080" b="0"/>
            <wp:docPr id="73" name="图片 6" descr="_$GBBZZ}8WF`632{(33`U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6" descr="_$GBBZZ}8WF`632{(33`U45"/>
                    <pic:cNvPicPr>
                      <a:picLocks noChangeAspect="1" noChangeArrowheads="1"/>
                    </pic:cNvPicPr>
                  </pic:nvPicPr>
                  <pic:blipFill>
                    <a:blip r:embed="rId23" cstate="print"/>
                    <a:srcRect t="15480"/>
                    <a:stretch>
                      <a:fillRect/>
                    </a:stretch>
                  </pic:blipFill>
                  <pic:spPr>
                    <a:xfrm>
                      <a:off x="0" y="0"/>
                      <a:ext cx="1276308" cy="468130"/>
                    </a:xfrm>
                    <a:prstGeom prst="rect">
                      <a:avLst/>
                    </a:prstGeom>
                    <a:noFill/>
                    <a:ln>
                      <a:noFill/>
                    </a:ln>
                  </pic:spPr>
                </pic:pic>
              </a:graphicData>
            </a:graphic>
          </wp:inline>
        </w:drawing>
      </w:r>
    </w:p>
    <w:p w14:paraId="4F13CB4D">
      <w:pPr>
        <w:adjustRightInd w:val="0"/>
        <w:spacing w:line="360" w:lineRule="auto"/>
        <w:ind w:firstLine="480" w:firstLineChars="200"/>
      </w:pPr>
      <w:r>
        <w:t>式中：P</w:t>
      </w:r>
      <w:r>
        <w:rPr>
          <w:vertAlign w:val="subscript"/>
        </w:rPr>
        <w:t>i</w:t>
      </w:r>
      <w:r>
        <w:t>—第i个水质因子的标准指数，无量纲；</w:t>
      </w:r>
    </w:p>
    <w:p w14:paraId="456B1EC4">
      <w:pPr>
        <w:adjustRightInd w:val="0"/>
        <w:spacing w:line="360" w:lineRule="auto"/>
        <w:ind w:firstLine="1200" w:firstLineChars="500"/>
      </w:pPr>
      <w:r>
        <w:t>C</w:t>
      </w:r>
      <w:r>
        <w:rPr>
          <w:vertAlign w:val="subscript"/>
        </w:rPr>
        <w:t>i</w:t>
      </w:r>
      <w:r>
        <w:t>—第i个水质因子的监测浓度值，mg/l；</w:t>
      </w:r>
    </w:p>
    <w:p w14:paraId="39881E38">
      <w:pPr>
        <w:adjustRightInd w:val="0"/>
        <w:spacing w:line="360" w:lineRule="auto"/>
        <w:ind w:firstLine="1200" w:firstLineChars="500"/>
      </w:pPr>
      <w:r>
        <w:t>C</w:t>
      </w:r>
      <w:r>
        <w:rPr>
          <w:vertAlign w:val="subscript"/>
        </w:rPr>
        <w:t>si</w:t>
      </w:r>
      <w:r>
        <w:t>—第i个水质因子的标准浓度值，mg/l；</w:t>
      </w:r>
    </w:p>
    <w:p w14:paraId="35FC1C17">
      <w:pPr>
        <w:adjustRightInd w:val="0"/>
        <w:spacing w:line="360" w:lineRule="auto"/>
        <w:ind w:firstLine="480" w:firstLineChars="200"/>
      </w:pPr>
      <w:r>
        <w:rPr>
          <w:rFonts w:ascii="宋体" w:hAnsi="宋体"/>
        </w:rPr>
        <w:t>②对</w:t>
      </w:r>
      <w:r>
        <w:t>于评价标准为区间值的水质因子(如</w:t>
      </w:r>
      <w:r>
        <w:rPr>
          <w:rFonts w:hint="eastAsia"/>
        </w:rPr>
        <w:t>p</w:t>
      </w:r>
      <w:r>
        <w:t>H值)，其标准指数计算公式：</w:t>
      </w:r>
    </w:p>
    <w:p w14:paraId="23CE7EB7">
      <w:pPr>
        <w:spacing w:line="240" w:lineRule="auto"/>
        <w:jc w:val="center"/>
      </w:pPr>
      <w:r>
        <w:drawing>
          <wp:inline distT="0" distB="0" distL="0" distR="0">
            <wp:extent cx="3355340" cy="913130"/>
            <wp:effectExtent l="0" t="0" r="0" b="1270"/>
            <wp:docPr id="74" name="图片 1458" descr="../../../../../../Documents%20and%20Settings/Administrator/Application%20Data/Tencent/Users/112768905/QQ/WinTemp/RichOle/_VHJZS4F%7dP4CPO9SD)(L$%7d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1458" descr="../../../../../../Documents%20and%20Settings/Administrator/Application%20Data/Tencent/Users/112768905/QQ/WinTemp/RichOle/_VHJZS4F%7dP4CPO9SD)(L$%7d5.jpg"/>
                    <pic:cNvPicPr>
                      <a:picLocks noChangeAspect="1" noChangeArrowheads="1"/>
                    </pic:cNvPicPr>
                  </pic:nvPicPr>
                  <pic:blipFill>
                    <a:blip r:embed="rId24" r:link="rId25" cstate="print">
                      <a:extLst>
                        <a:ext uri="{28A0092B-C50C-407E-A947-70E740481C1C}">
                          <a14:useLocalDpi xmlns:a14="http://schemas.microsoft.com/office/drawing/2010/main" val="0"/>
                        </a:ext>
                      </a:extLst>
                    </a:blip>
                    <a:srcRect/>
                    <a:stretch>
                      <a:fillRect/>
                    </a:stretch>
                  </pic:blipFill>
                  <pic:spPr>
                    <a:xfrm>
                      <a:off x="0" y="0"/>
                      <a:ext cx="3421153" cy="931567"/>
                    </a:xfrm>
                    <a:prstGeom prst="rect">
                      <a:avLst/>
                    </a:prstGeom>
                    <a:noFill/>
                    <a:ln w="9525">
                      <a:noFill/>
                      <a:miter lim="800000"/>
                      <a:headEnd/>
                      <a:tailEnd/>
                    </a:ln>
                  </pic:spPr>
                </pic:pic>
              </a:graphicData>
            </a:graphic>
          </wp:inline>
        </w:drawing>
      </w:r>
    </w:p>
    <w:p w14:paraId="43DFFC96">
      <w:pPr>
        <w:adjustRightInd w:val="0"/>
        <w:spacing w:line="360" w:lineRule="auto"/>
        <w:ind w:firstLine="480" w:firstLineChars="200"/>
      </w:pPr>
      <w:r>
        <w:t>式中：P</w:t>
      </w:r>
      <w:r>
        <w:rPr>
          <w:vertAlign w:val="subscript"/>
        </w:rPr>
        <w:t>pH</w:t>
      </w:r>
      <w:r>
        <w:t>—pH的标准指数，无量纲；pH—pH的监测值；pH</w:t>
      </w:r>
      <w:r>
        <w:rPr>
          <w:vertAlign w:val="subscript"/>
        </w:rPr>
        <w:t>su</w:t>
      </w:r>
      <w:r>
        <w:t>—标准中pH的上限值；pH</w:t>
      </w:r>
      <w:r>
        <w:rPr>
          <w:vertAlign w:val="subscript"/>
        </w:rPr>
        <w:t>sd</w:t>
      </w:r>
      <w:r>
        <w:t>—标准中pH的下限值；</w:t>
      </w:r>
    </w:p>
    <w:p w14:paraId="02E9D2A0">
      <w:pPr>
        <w:pStyle w:val="28"/>
        <w:rPr>
          <w:rFonts w:hint="eastAsia"/>
        </w:rPr>
      </w:pPr>
      <w:r>
        <w:rPr>
          <w:rFonts w:hint="eastAsia"/>
        </w:rPr>
        <w:t>表5.2-10  地下水水位监测结果表</w:t>
      </w:r>
    </w:p>
    <w:tbl>
      <w:tblPr>
        <w:tblStyle w:val="3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21"/>
        <w:gridCol w:w="2321"/>
        <w:gridCol w:w="2322"/>
        <w:gridCol w:w="2322"/>
      </w:tblGrid>
      <w:tr w14:paraId="5CBC38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5F41E63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监测点位</w:t>
            </w:r>
          </w:p>
        </w:tc>
        <w:tc>
          <w:tcPr>
            <w:tcW w:w="1250" w:type="pct"/>
            <w:vAlign w:val="center"/>
          </w:tcPr>
          <w:p w14:paraId="7E29BE9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水位埋深(m)</w:t>
            </w:r>
          </w:p>
        </w:tc>
        <w:tc>
          <w:tcPr>
            <w:tcW w:w="1250" w:type="pct"/>
            <w:vAlign w:val="center"/>
          </w:tcPr>
          <w:p w14:paraId="2282C72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监测点位</w:t>
            </w:r>
          </w:p>
        </w:tc>
        <w:tc>
          <w:tcPr>
            <w:tcW w:w="1250" w:type="pct"/>
            <w:vAlign w:val="center"/>
          </w:tcPr>
          <w:p w14:paraId="0E1F2AD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水位埋深(m)</w:t>
            </w:r>
          </w:p>
        </w:tc>
      </w:tr>
      <w:tr w14:paraId="0210BB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3BC6D28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D</w:t>
            </w:r>
            <w:r>
              <w:rPr>
                <w:rFonts w:hint="eastAsia" w:ascii="Times New Roman" w:hAnsi="Times New Roman" w:cs="Times New Roman"/>
                <w:color w:val="000000" w:themeColor="text1"/>
                <w:sz w:val="21"/>
                <w:szCs w:val="21"/>
                <w14:textFill>
                  <w14:solidFill>
                    <w14:schemeClr w14:val="tx1"/>
                  </w14:solidFill>
                </w14:textFill>
              </w:rPr>
              <w:t>1</w:t>
            </w:r>
          </w:p>
        </w:tc>
        <w:tc>
          <w:tcPr>
            <w:tcW w:w="1250" w:type="pct"/>
            <w:vAlign w:val="center"/>
          </w:tcPr>
          <w:p w14:paraId="558778B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1.8</w:t>
            </w:r>
          </w:p>
        </w:tc>
        <w:tc>
          <w:tcPr>
            <w:tcW w:w="1250" w:type="pct"/>
            <w:vAlign w:val="center"/>
          </w:tcPr>
          <w:p w14:paraId="492F892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D</w:t>
            </w:r>
            <w:r>
              <w:rPr>
                <w:rFonts w:hint="eastAsia" w:ascii="Times New Roman" w:hAnsi="Times New Roman" w:cs="Times New Roman"/>
                <w:color w:val="000000" w:themeColor="text1"/>
                <w:sz w:val="21"/>
                <w:szCs w:val="21"/>
                <w14:textFill>
                  <w14:solidFill>
                    <w14:schemeClr w14:val="tx1"/>
                  </w14:solidFill>
                </w14:textFill>
              </w:rPr>
              <w:t>6</w:t>
            </w:r>
          </w:p>
        </w:tc>
        <w:tc>
          <w:tcPr>
            <w:tcW w:w="1250" w:type="pct"/>
            <w:vAlign w:val="center"/>
          </w:tcPr>
          <w:p w14:paraId="3FAD9A9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4.5</w:t>
            </w:r>
          </w:p>
        </w:tc>
      </w:tr>
      <w:tr w14:paraId="5E70CD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5707F18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D</w:t>
            </w:r>
            <w:r>
              <w:rPr>
                <w:rFonts w:hint="eastAsia" w:ascii="Times New Roman" w:hAnsi="Times New Roman" w:cs="Times New Roman"/>
                <w:color w:val="000000" w:themeColor="text1"/>
                <w:sz w:val="21"/>
                <w:szCs w:val="21"/>
                <w14:textFill>
                  <w14:solidFill>
                    <w14:schemeClr w14:val="tx1"/>
                  </w14:solidFill>
                </w14:textFill>
              </w:rPr>
              <w:t>2</w:t>
            </w:r>
          </w:p>
        </w:tc>
        <w:tc>
          <w:tcPr>
            <w:tcW w:w="1250" w:type="pct"/>
            <w:vAlign w:val="center"/>
          </w:tcPr>
          <w:p w14:paraId="66C8EEF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2.0</w:t>
            </w:r>
          </w:p>
        </w:tc>
        <w:tc>
          <w:tcPr>
            <w:tcW w:w="1250" w:type="pct"/>
            <w:vAlign w:val="center"/>
          </w:tcPr>
          <w:p w14:paraId="4583F89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D</w:t>
            </w:r>
            <w:r>
              <w:rPr>
                <w:rFonts w:hint="eastAsia" w:ascii="Times New Roman" w:hAnsi="Times New Roman" w:cs="Times New Roman"/>
                <w:color w:val="000000" w:themeColor="text1"/>
                <w:sz w:val="21"/>
                <w:szCs w:val="21"/>
                <w14:textFill>
                  <w14:solidFill>
                    <w14:schemeClr w14:val="tx1"/>
                  </w14:solidFill>
                </w14:textFill>
              </w:rPr>
              <w:t>7</w:t>
            </w:r>
          </w:p>
        </w:tc>
        <w:tc>
          <w:tcPr>
            <w:tcW w:w="1250" w:type="pct"/>
            <w:vAlign w:val="center"/>
          </w:tcPr>
          <w:p w14:paraId="72E536B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1.7</w:t>
            </w:r>
          </w:p>
        </w:tc>
      </w:tr>
      <w:tr w14:paraId="20DFE5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287E975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D</w:t>
            </w:r>
            <w:r>
              <w:rPr>
                <w:rFonts w:hint="eastAsia" w:ascii="Times New Roman" w:hAnsi="Times New Roman" w:cs="Times New Roman"/>
                <w:color w:val="000000" w:themeColor="text1"/>
                <w:sz w:val="21"/>
                <w:szCs w:val="21"/>
                <w14:textFill>
                  <w14:solidFill>
                    <w14:schemeClr w14:val="tx1"/>
                  </w14:solidFill>
                </w14:textFill>
              </w:rPr>
              <w:t>3</w:t>
            </w:r>
          </w:p>
        </w:tc>
        <w:tc>
          <w:tcPr>
            <w:tcW w:w="1250" w:type="pct"/>
            <w:vAlign w:val="center"/>
          </w:tcPr>
          <w:p w14:paraId="1B81D4C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2.7</w:t>
            </w:r>
          </w:p>
        </w:tc>
        <w:tc>
          <w:tcPr>
            <w:tcW w:w="1250" w:type="pct"/>
            <w:vAlign w:val="center"/>
          </w:tcPr>
          <w:p w14:paraId="5ECDACA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D</w:t>
            </w:r>
            <w:r>
              <w:rPr>
                <w:rFonts w:hint="eastAsia" w:ascii="Times New Roman" w:hAnsi="Times New Roman" w:cs="Times New Roman"/>
                <w:color w:val="000000" w:themeColor="text1"/>
                <w:sz w:val="21"/>
                <w:szCs w:val="21"/>
                <w14:textFill>
                  <w14:solidFill>
                    <w14:schemeClr w14:val="tx1"/>
                  </w14:solidFill>
                </w14:textFill>
              </w:rPr>
              <w:t>8</w:t>
            </w:r>
          </w:p>
        </w:tc>
        <w:tc>
          <w:tcPr>
            <w:tcW w:w="1250" w:type="pct"/>
            <w:vAlign w:val="center"/>
          </w:tcPr>
          <w:p w14:paraId="1364E63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1.1</w:t>
            </w:r>
          </w:p>
        </w:tc>
      </w:tr>
      <w:tr w14:paraId="6A6F7D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0" w:type="pct"/>
            <w:tcBorders>
              <w:bottom w:val="single" w:color="auto" w:sz="4" w:space="0"/>
            </w:tcBorders>
            <w:vAlign w:val="center"/>
          </w:tcPr>
          <w:p w14:paraId="4865079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D</w:t>
            </w:r>
            <w:r>
              <w:rPr>
                <w:rFonts w:hint="eastAsia" w:ascii="Times New Roman" w:hAnsi="Times New Roman" w:cs="Times New Roman"/>
                <w:color w:val="000000" w:themeColor="text1"/>
                <w:sz w:val="21"/>
                <w:szCs w:val="21"/>
                <w14:textFill>
                  <w14:solidFill>
                    <w14:schemeClr w14:val="tx1"/>
                  </w14:solidFill>
                </w14:textFill>
              </w:rPr>
              <w:t>4</w:t>
            </w:r>
          </w:p>
        </w:tc>
        <w:tc>
          <w:tcPr>
            <w:tcW w:w="1250" w:type="pct"/>
            <w:tcBorders>
              <w:bottom w:val="single" w:color="auto" w:sz="4" w:space="0"/>
            </w:tcBorders>
            <w:vAlign w:val="center"/>
          </w:tcPr>
          <w:p w14:paraId="66E0E9F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1.8</w:t>
            </w:r>
          </w:p>
        </w:tc>
        <w:tc>
          <w:tcPr>
            <w:tcW w:w="1250" w:type="pct"/>
            <w:tcBorders>
              <w:bottom w:val="single" w:color="auto" w:sz="4" w:space="0"/>
            </w:tcBorders>
            <w:vAlign w:val="center"/>
          </w:tcPr>
          <w:p w14:paraId="5D7CBF2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D</w:t>
            </w:r>
            <w:r>
              <w:rPr>
                <w:rFonts w:hint="eastAsia" w:ascii="Times New Roman" w:hAnsi="Times New Roman" w:cs="Times New Roman"/>
                <w:color w:val="000000" w:themeColor="text1"/>
                <w:sz w:val="21"/>
                <w:szCs w:val="21"/>
                <w14:textFill>
                  <w14:solidFill>
                    <w14:schemeClr w14:val="tx1"/>
                  </w14:solidFill>
                </w14:textFill>
              </w:rPr>
              <w:t>9</w:t>
            </w:r>
          </w:p>
        </w:tc>
        <w:tc>
          <w:tcPr>
            <w:tcW w:w="1250" w:type="pct"/>
            <w:tcBorders>
              <w:bottom w:val="single" w:color="auto" w:sz="4" w:space="0"/>
            </w:tcBorders>
            <w:vAlign w:val="center"/>
          </w:tcPr>
          <w:p w14:paraId="15BF641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2.8</w:t>
            </w:r>
          </w:p>
        </w:tc>
      </w:tr>
      <w:tr w14:paraId="50FB68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0" w:type="pct"/>
            <w:tcBorders>
              <w:top w:val="single" w:color="auto" w:sz="4" w:space="0"/>
              <w:left w:val="single" w:color="auto" w:sz="4" w:space="0"/>
              <w:bottom w:val="single" w:color="auto" w:sz="4" w:space="0"/>
              <w:right w:val="single" w:color="auto" w:sz="4" w:space="0"/>
            </w:tcBorders>
            <w:vAlign w:val="center"/>
          </w:tcPr>
          <w:p w14:paraId="521D4C7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D</w:t>
            </w:r>
            <w:r>
              <w:rPr>
                <w:rFonts w:hint="eastAsia" w:ascii="Times New Roman" w:hAnsi="Times New Roman" w:cs="Times New Roman"/>
                <w:color w:val="000000" w:themeColor="text1"/>
                <w:sz w:val="21"/>
                <w:szCs w:val="21"/>
                <w14:textFill>
                  <w14:solidFill>
                    <w14:schemeClr w14:val="tx1"/>
                  </w14:solidFill>
                </w14:textFill>
              </w:rPr>
              <w:t>5</w:t>
            </w:r>
          </w:p>
        </w:tc>
        <w:tc>
          <w:tcPr>
            <w:tcW w:w="1250" w:type="pct"/>
            <w:tcBorders>
              <w:top w:val="single" w:color="auto" w:sz="4" w:space="0"/>
              <w:left w:val="single" w:color="auto" w:sz="4" w:space="0"/>
              <w:bottom w:val="single" w:color="auto" w:sz="4" w:space="0"/>
              <w:right w:val="single" w:color="auto" w:sz="4" w:space="0"/>
            </w:tcBorders>
            <w:vAlign w:val="center"/>
          </w:tcPr>
          <w:p w14:paraId="490C3F6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1.9</w:t>
            </w:r>
          </w:p>
        </w:tc>
        <w:tc>
          <w:tcPr>
            <w:tcW w:w="1250" w:type="pct"/>
            <w:tcBorders>
              <w:top w:val="single" w:color="auto" w:sz="4" w:space="0"/>
              <w:left w:val="single" w:color="auto" w:sz="4" w:space="0"/>
              <w:bottom w:val="single" w:color="auto" w:sz="4" w:space="0"/>
              <w:right w:val="single" w:color="auto" w:sz="4" w:space="0"/>
            </w:tcBorders>
            <w:vAlign w:val="center"/>
          </w:tcPr>
          <w:p w14:paraId="75E97D7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D1</w:t>
            </w:r>
            <w:r>
              <w:rPr>
                <w:rFonts w:hint="eastAsia" w:ascii="Times New Roman" w:hAnsi="Times New Roman" w:cs="Times New Roman"/>
                <w:color w:val="000000" w:themeColor="text1"/>
                <w:sz w:val="21"/>
                <w:szCs w:val="21"/>
                <w14:textFill>
                  <w14:solidFill>
                    <w14:schemeClr w14:val="tx1"/>
                  </w14:solidFill>
                </w14:textFill>
              </w:rPr>
              <w:t>0</w:t>
            </w:r>
          </w:p>
        </w:tc>
        <w:tc>
          <w:tcPr>
            <w:tcW w:w="1250" w:type="pct"/>
            <w:tcBorders>
              <w:top w:val="single" w:color="auto" w:sz="4" w:space="0"/>
              <w:left w:val="single" w:color="auto" w:sz="4" w:space="0"/>
              <w:bottom w:val="single" w:color="auto" w:sz="4" w:space="0"/>
              <w:right w:val="single" w:color="auto" w:sz="4" w:space="0"/>
            </w:tcBorders>
            <w:vAlign w:val="center"/>
          </w:tcPr>
          <w:p w14:paraId="197FA57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3.8</w:t>
            </w:r>
          </w:p>
        </w:tc>
      </w:tr>
    </w:tbl>
    <w:p w14:paraId="57DE046E">
      <w:pPr>
        <w:ind w:firstLine="480" w:firstLineChars="200"/>
        <w:sectPr>
          <w:pgSz w:w="11906" w:h="16838"/>
          <w:pgMar w:top="1418" w:right="1418" w:bottom="1418" w:left="1418" w:header="851" w:footer="992" w:gutter="0"/>
          <w:cols w:space="425" w:num="1"/>
          <w:docGrid w:type="lines" w:linePitch="326" w:charSpace="0"/>
        </w:sectPr>
      </w:pPr>
    </w:p>
    <w:p w14:paraId="7B5CC65A">
      <w:pPr>
        <w:pStyle w:val="28"/>
        <w:rPr>
          <w:rFonts w:hint="eastAsia"/>
        </w:rPr>
      </w:pPr>
      <w:r>
        <w:rPr>
          <w:rFonts w:hint="eastAsia"/>
        </w:rPr>
        <w:t>表5.2-11  地下水水质、水位监测结果表</w:t>
      </w:r>
    </w:p>
    <w:tbl>
      <w:tblPr>
        <w:tblStyle w:val="3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53"/>
        <w:gridCol w:w="1436"/>
        <w:gridCol w:w="893"/>
        <w:gridCol w:w="2104"/>
        <w:gridCol w:w="2025"/>
        <w:gridCol w:w="2104"/>
        <w:gridCol w:w="2104"/>
        <w:gridCol w:w="2099"/>
      </w:tblGrid>
      <w:tr w14:paraId="537FD7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1" w:type="pct"/>
            <w:vMerge w:val="restart"/>
            <w:vAlign w:val="center"/>
          </w:tcPr>
          <w:p w14:paraId="31325518">
            <w:pPr>
              <w:pStyle w:val="64"/>
              <w:wordWrap w:val="0"/>
              <w:rPr>
                <w:rFonts w:cs="Times New Roman"/>
              </w:rPr>
            </w:pPr>
            <w:r>
              <w:rPr>
                <w:rFonts w:cs="Times New Roman"/>
              </w:rPr>
              <w:t>项目名称</w:t>
            </w:r>
          </w:p>
        </w:tc>
        <w:tc>
          <w:tcPr>
            <w:tcW w:w="819" w:type="pct"/>
            <w:gridSpan w:val="2"/>
            <w:vMerge w:val="restart"/>
            <w:vAlign w:val="center"/>
          </w:tcPr>
          <w:p w14:paraId="72F750DC">
            <w:pPr>
              <w:pStyle w:val="64"/>
              <w:wordWrap w:val="0"/>
              <w:rPr>
                <w:rFonts w:cs="Times New Roman"/>
              </w:rPr>
            </w:pPr>
            <w:r>
              <w:rPr>
                <w:rFonts w:cs="Times New Roman"/>
              </w:rPr>
              <w:t>采样日期</w:t>
            </w:r>
          </w:p>
        </w:tc>
        <w:tc>
          <w:tcPr>
            <w:tcW w:w="3670" w:type="pct"/>
            <w:gridSpan w:val="5"/>
          </w:tcPr>
          <w:p w14:paraId="14E5EB48">
            <w:pPr>
              <w:pStyle w:val="64"/>
              <w:wordWrap w:val="0"/>
              <w:rPr>
                <w:rFonts w:cs="Times New Roman"/>
              </w:rPr>
            </w:pPr>
            <w:r>
              <w:rPr>
                <w:rFonts w:cs="Times New Roman"/>
              </w:rPr>
              <w:t>水质水位</w:t>
            </w:r>
            <w:r>
              <w:rPr>
                <w:rFonts w:hint="eastAsia" w:cs="Times New Roman"/>
              </w:rPr>
              <w:t>监</w:t>
            </w:r>
            <w:r>
              <w:rPr>
                <w:rFonts w:cs="Times New Roman"/>
              </w:rPr>
              <w:t>测结果</w:t>
            </w:r>
          </w:p>
        </w:tc>
      </w:tr>
      <w:tr w14:paraId="285B68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1" w:type="pct"/>
            <w:vMerge w:val="continue"/>
            <w:vAlign w:val="center"/>
          </w:tcPr>
          <w:p w14:paraId="6A710DD5">
            <w:pPr>
              <w:pStyle w:val="64"/>
              <w:wordWrap w:val="0"/>
              <w:rPr>
                <w:rFonts w:cs="Times New Roman"/>
              </w:rPr>
            </w:pPr>
          </w:p>
        </w:tc>
        <w:tc>
          <w:tcPr>
            <w:tcW w:w="819" w:type="pct"/>
            <w:gridSpan w:val="2"/>
            <w:vMerge w:val="continue"/>
            <w:vAlign w:val="center"/>
          </w:tcPr>
          <w:p w14:paraId="0E2C99F2">
            <w:pPr>
              <w:pStyle w:val="64"/>
              <w:wordWrap w:val="0"/>
              <w:rPr>
                <w:rFonts w:cs="Times New Roman"/>
              </w:rPr>
            </w:pPr>
          </w:p>
        </w:tc>
        <w:tc>
          <w:tcPr>
            <w:tcW w:w="740" w:type="pct"/>
            <w:vAlign w:val="center"/>
          </w:tcPr>
          <w:p w14:paraId="601A8C2A">
            <w:pPr>
              <w:pStyle w:val="64"/>
              <w:wordWrap w:val="0"/>
              <w:rPr>
                <w:rFonts w:cs="Times New Roman"/>
              </w:rPr>
            </w:pPr>
            <w:r>
              <w:rPr>
                <w:rFonts w:hint="eastAsia" w:cs="Times New Roman"/>
              </w:rPr>
              <w:t>D1</w:t>
            </w:r>
            <w:r>
              <w:rPr>
                <w:rFonts w:cs="Times New Roman"/>
              </w:rPr>
              <w:t>三铺村</w:t>
            </w:r>
          </w:p>
        </w:tc>
        <w:tc>
          <w:tcPr>
            <w:tcW w:w="712" w:type="pct"/>
          </w:tcPr>
          <w:p w14:paraId="75800A63">
            <w:pPr>
              <w:pStyle w:val="64"/>
              <w:wordWrap w:val="0"/>
              <w:rPr>
                <w:rFonts w:cs="Times New Roman"/>
              </w:rPr>
            </w:pPr>
            <w:r>
              <w:rPr>
                <w:rFonts w:hint="eastAsia" w:cs="Times New Roman"/>
              </w:rPr>
              <w:t>D2海华科技厂区</w:t>
            </w:r>
          </w:p>
        </w:tc>
        <w:tc>
          <w:tcPr>
            <w:tcW w:w="740" w:type="pct"/>
            <w:vAlign w:val="center"/>
          </w:tcPr>
          <w:p w14:paraId="4C1B5DB8">
            <w:pPr>
              <w:pStyle w:val="64"/>
              <w:wordWrap w:val="0"/>
              <w:rPr>
                <w:rFonts w:cs="Times New Roman"/>
              </w:rPr>
            </w:pPr>
            <w:r>
              <w:rPr>
                <w:rFonts w:hint="eastAsia" w:cs="Times New Roman"/>
              </w:rPr>
              <w:t>D3</w:t>
            </w:r>
            <w:r>
              <w:rPr>
                <w:rFonts w:cs="Times New Roman"/>
              </w:rPr>
              <w:t>二铺</w:t>
            </w:r>
          </w:p>
        </w:tc>
        <w:tc>
          <w:tcPr>
            <w:tcW w:w="740" w:type="pct"/>
            <w:vAlign w:val="center"/>
          </w:tcPr>
          <w:p w14:paraId="50E72918">
            <w:pPr>
              <w:pStyle w:val="64"/>
              <w:wordWrap w:val="0"/>
              <w:rPr>
                <w:rFonts w:cs="Times New Roman"/>
              </w:rPr>
            </w:pPr>
            <w:r>
              <w:rPr>
                <w:rFonts w:hint="eastAsia" w:cs="Times New Roman"/>
              </w:rPr>
              <w:t>D6雪郎生物厂区</w:t>
            </w:r>
          </w:p>
        </w:tc>
        <w:tc>
          <w:tcPr>
            <w:tcW w:w="738" w:type="pct"/>
            <w:vAlign w:val="center"/>
          </w:tcPr>
          <w:p w14:paraId="4F2061F9">
            <w:pPr>
              <w:pStyle w:val="64"/>
              <w:wordWrap w:val="0"/>
              <w:rPr>
                <w:rFonts w:cs="Times New Roman"/>
              </w:rPr>
            </w:pPr>
            <w:r>
              <w:rPr>
                <w:rFonts w:hint="eastAsia" w:cs="Times New Roman"/>
              </w:rPr>
              <w:t>D5夏家湖</w:t>
            </w:r>
          </w:p>
        </w:tc>
      </w:tr>
      <w:tr w14:paraId="3E3D87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1" w:type="pct"/>
            <w:vMerge w:val="restart"/>
            <w:vAlign w:val="center"/>
          </w:tcPr>
          <w:p w14:paraId="55CA5DF4">
            <w:pPr>
              <w:pStyle w:val="64"/>
              <w:wordWrap w:val="0"/>
              <w:rPr>
                <w:rFonts w:cs="Times New Roman"/>
              </w:rPr>
            </w:pPr>
            <w:r>
              <w:rPr>
                <w:rFonts w:cs="Times New Roman"/>
              </w:rPr>
              <w:t>pH</w:t>
            </w:r>
          </w:p>
        </w:tc>
        <w:tc>
          <w:tcPr>
            <w:tcW w:w="505" w:type="pct"/>
            <w:vMerge w:val="restart"/>
            <w:vAlign w:val="center"/>
          </w:tcPr>
          <w:p w14:paraId="4F833594">
            <w:pPr>
              <w:pStyle w:val="64"/>
              <w:wordWrap w:val="0"/>
              <w:rPr>
                <w:rFonts w:cs="Times New Roman"/>
              </w:rPr>
            </w:pPr>
            <w:r>
              <w:rPr>
                <w:rFonts w:cs="Times New Roman"/>
              </w:rPr>
              <w:t>2024.04.08</w:t>
            </w:r>
          </w:p>
        </w:tc>
        <w:tc>
          <w:tcPr>
            <w:tcW w:w="314" w:type="pct"/>
            <w:vAlign w:val="center"/>
          </w:tcPr>
          <w:p w14:paraId="77AB43BB">
            <w:pPr>
              <w:pStyle w:val="64"/>
              <w:wordWrap w:val="0"/>
              <w:rPr>
                <w:rFonts w:cs="Times New Roman"/>
              </w:rPr>
            </w:pPr>
            <w:r>
              <w:rPr>
                <w:rFonts w:cs="Times New Roman"/>
              </w:rPr>
              <w:t>Ci</w:t>
            </w:r>
          </w:p>
        </w:tc>
        <w:tc>
          <w:tcPr>
            <w:tcW w:w="740" w:type="pct"/>
            <w:vAlign w:val="center"/>
          </w:tcPr>
          <w:p w14:paraId="00525C64">
            <w:pPr>
              <w:pStyle w:val="64"/>
              <w:wordWrap w:val="0"/>
              <w:rPr>
                <w:rFonts w:cs="Times New Roman"/>
              </w:rPr>
            </w:pPr>
            <w:r>
              <w:rPr>
                <w:rFonts w:cs="Times New Roman"/>
              </w:rPr>
              <w:t>7.5(水温10.8℃)</w:t>
            </w:r>
          </w:p>
        </w:tc>
        <w:tc>
          <w:tcPr>
            <w:tcW w:w="712" w:type="pct"/>
            <w:vAlign w:val="center"/>
          </w:tcPr>
          <w:p w14:paraId="72AF1AC1">
            <w:pPr>
              <w:pStyle w:val="64"/>
              <w:wordWrap w:val="0"/>
              <w:rPr>
                <w:rFonts w:cs="Times New Roman"/>
              </w:rPr>
            </w:pPr>
            <w:r>
              <w:rPr>
                <w:rFonts w:cs="Times New Roman"/>
              </w:rPr>
              <w:t>7.7(水温11.1℃)</w:t>
            </w:r>
          </w:p>
        </w:tc>
        <w:tc>
          <w:tcPr>
            <w:tcW w:w="740" w:type="pct"/>
            <w:vAlign w:val="center"/>
          </w:tcPr>
          <w:p w14:paraId="42A24152">
            <w:pPr>
              <w:pStyle w:val="64"/>
              <w:wordWrap w:val="0"/>
              <w:rPr>
                <w:rFonts w:cs="Times New Roman"/>
              </w:rPr>
            </w:pPr>
            <w:r>
              <w:rPr>
                <w:rFonts w:cs="Times New Roman"/>
              </w:rPr>
              <w:t>7.8(水温11.2℃)</w:t>
            </w:r>
          </w:p>
        </w:tc>
        <w:tc>
          <w:tcPr>
            <w:tcW w:w="740" w:type="pct"/>
            <w:vAlign w:val="center"/>
          </w:tcPr>
          <w:p w14:paraId="65B0BB88">
            <w:pPr>
              <w:pStyle w:val="64"/>
              <w:wordWrap w:val="0"/>
              <w:rPr>
                <w:rFonts w:cs="Times New Roman"/>
              </w:rPr>
            </w:pPr>
            <w:r>
              <w:rPr>
                <w:rFonts w:cs="Times New Roman"/>
              </w:rPr>
              <w:t>7.8(水温11.3℃)</w:t>
            </w:r>
          </w:p>
        </w:tc>
        <w:tc>
          <w:tcPr>
            <w:tcW w:w="738" w:type="pct"/>
            <w:vAlign w:val="center"/>
          </w:tcPr>
          <w:p w14:paraId="48173AF4">
            <w:pPr>
              <w:pStyle w:val="64"/>
              <w:wordWrap w:val="0"/>
              <w:rPr>
                <w:rFonts w:cs="Times New Roman"/>
              </w:rPr>
            </w:pPr>
            <w:r>
              <w:rPr>
                <w:rFonts w:cs="Times New Roman"/>
              </w:rPr>
              <w:t>7.6(水温11.0℃)</w:t>
            </w:r>
          </w:p>
        </w:tc>
      </w:tr>
      <w:tr w14:paraId="402C79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1" w:type="pct"/>
            <w:vMerge w:val="continue"/>
            <w:vAlign w:val="center"/>
          </w:tcPr>
          <w:p w14:paraId="598C78F5">
            <w:pPr>
              <w:pStyle w:val="64"/>
              <w:wordWrap w:val="0"/>
              <w:rPr>
                <w:rFonts w:cs="Times New Roman"/>
              </w:rPr>
            </w:pPr>
          </w:p>
        </w:tc>
        <w:tc>
          <w:tcPr>
            <w:tcW w:w="505" w:type="pct"/>
            <w:vMerge w:val="continue"/>
            <w:vAlign w:val="center"/>
          </w:tcPr>
          <w:p w14:paraId="7D09240B">
            <w:pPr>
              <w:pStyle w:val="64"/>
              <w:wordWrap w:val="0"/>
              <w:rPr>
                <w:rFonts w:cs="Times New Roman"/>
              </w:rPr>
            </w:pPr>
          </w:p>
        </w:tc>
        <w:tc>
          <w:tcPr>
            <w:tcW w:w="314" w:type="pct"/>
            <w:vAlign w:val="center"/>
          </w:tcPr>
          <w:p w14:paraId="62B8C06A">
            <w:pPr>
              <w:pStyle w:val="64"/>
              <w:wordWrap w:val="0"/>
              <w:rPr>
                <w:rFonts w:cs="Times New Roman"/>
              </w:rPr>
            </w:pPr>
            <w:r>
              <w:rPr>
                <w:rFonts w:cs="Times New Roman"/>
              </w:rPr>
              <w:t>Si</w:t>
            </w:r>
          </w:p>
        </w:tc>
        <w:tc>
          <w:tcPr>
            <w:tcW w:w="740" w:type="pct"/>
            <w:vAlign w:val="center"/>
          </w:tcPr>
          <w:p w14:paraId="64BA9D9D">
            <w:pPr>
              <w:pStyle w:val="64"/>
              <w:wordWrap w:val="0"/>
              <w:rPr>
                <w:rFonts w:cs="Times New Roman"/>
              </w:rPr>
            </w:pPr>
            <w:r>
              <w:rPr>
                <w:rFonts w:cs="Times New Roman"/>
              </w:rPr>
              <w:t>0.25</w:t>
            </w:r>
          </w:p>
        </w:tc>
        <w:tc>
          <w:tcPr>
            <w:tcW w:w="712" w:type="pct"/>
            <w:vAlign w:val="center"/>
          </w:tcPr>
          <w:p w14:paraId="663D7A95">
            <w:pPr>
              <w:pStyle w:val="64"/>
              <w:wordWrap w:val="0"/>
              <w:rPr>
                <w:rFonts w:cs="Times New Roman"/>
              </w:rPr>
            </w:pPr>
            <w:r>
              <w:rPr>
                <w:rFonts w:cs="Times New Roman"/>
              </w:rPr>
              <w:t>0.35</w:t>
            </w:r>
          </w:p>
        </w:tc>
        <w:tc>
          <w:tcPr>
            <w:tcW w:w="740" w:type="pct"/>
            <w:vAlign w:val="center"/>
          </w:tcPr>
          <w:p w14:paraId="5F948B35">
            <w:pPr>
              <w:pStyle w:val="64"/>
              <w:wordWrap w:val="0"/>
              <w:rPr>
                <w:rFonts w:cs="Times New Roman"/>
              </w:rPr>
            </w:pPr>
            <w:r>
              <w:rPr>
                <w:rFonts w:cs="Times New Roman"/>
              </w:rPr>
              <w:t>0.4</w:t>
            </w:r>
          </w:p>
        </w:tc>
        <w:tc>
          <w:tcPr>
            <w:tcW w:w="740" w:type="pct"/>
            <w:vAlign w:val="center"/>
          </w:tcPr>
          <w:p w14:paraId="60AD4B5D">
            <w:pPr>
              <w:pStyle w:val="64"/>
              <w:wordWrap w:val="0"/>
              <w:rPr>
                <w:rFonts w:cs="Times New Roman"/>
              </w:rPr>
            </w:pPr>
            <w:r>
              <w:rPr>
                <w:rFonts w:cs="Times New Roman"/>
              </w:rPr>
              <w:t>0</w:t>
            </w:r>
          </w:p>
        </w:tc>
        <w:tc>
          <w:tcPr>
            <w:tcW w:w="738" w:type="pct"/>
            <w:vAlign w:val="center"/>
          </w:tcPr>
          <w:p w14:paraId="73312A30">
            <w:pPr>
              <w:pStyle w:val="64"/>
              <w:wordWrap w:val="0"/>
              <w:rPr>
                <w:rFonts w:cs="Times New Roman"/>
              </w:rPr>
            </w:pPr>
            <w:r>
              <w:rPr>
                <w:rFonts w:cs="Times New Roman"/>
              </w:rPr>
              <w:t>0.3</w:t>
            </w:r>
          </w:p>
        </w:tc>
      </w:tr>
      <w:tr w14:paraId="708542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1" w:type="pct"/>
            <w:vMerge w:val="continue"/>
            <w:vAlign w:val="center"/>
          </w:tcPr>
          <w:p w14:paraId="054BC1AB">
            <w:pPr>
              <w:pStyle w:val="64"/>
              <w:wordWrap w:val="0"/>
              <w:rPr>
                <w:rFonts w:cs="Times New Roman"/>
              </w:rPr>
            </w:pPr>
          </w:p>
        </w:tc>
        <w:tc>
          <w:tcPr>
            <w:tcW w:w="505" w:type="pct"/>
            <w:vMerge w:val="restart"/>
            <w:vAlign w:val="center"/>
          </w:tcPr>
          <w:p w14:paraId="4651814E">
            <w:pPr>
              <w:pStyle w:val="64"/>
              <w:wordWrap w:val="0"/>
              <w:rPr>
                <w:rFonts w:cs="Times New Roman"/>
              </w:rPr>
            </w:pPr>
            <w:r>
              <w:rPr>
                <w:rFonts w:cs="Times New Roman"/>
              </w:rPr>
              <w:t>2024.04.09</w:t>
            </w:r>
          </w:p>
        </w:tc>
        <w:tc>
          <w:tcPr>
            <w:tcW w:w="314" w:type="pct"/>
            <w:vAlign w:val="center"/>
          </w:tcPr>
          <w:p w14:paraId="3FDA726A">
            <w:pPr>
              <w:pStyle w:val="64"/>
              <w:wordWrap w:val="0"/>
              <w:rPr>
                <w:rFonts w:cs="Times New Roman"/>
              </w:rPr>
            </w:pPr>
            <w:r>
              <w:rPr>
                <w:rFonts w:cs="Times New Roman"/>
              </w:rPr>
              <w:t>Ci</w:t>
            </w:r>
          </w:p>
        </w:tc>
        <w:tc>
          <w:tcPr>
            <w:tcW w:w="740" w:type="pct"/>
            <w:vAlign w:val="center"/>
          </w:tcPr>
          <w:p w14:paraId="3A64279F">
            <w:pPr>
              <w:pStyle w:val="64"/>
              <w:wordWrap w:val="0"/>
              <w:rPr>
                <w:rFonts w:cs="Times New Roman"/>
              </w:rPr>
            </w:pPr>
            <w:r>
              <w:rPr>
                <w:rFonts w:cs="Times New Roman"/>
              </w:rPr>
              <w:t>7.6(水温11.0℃)</w:t>
            </w:r>
          </w:p>
        </w:tc>
        <w:tc>
          <w:tcPr>
            <w:tcW w:w="712" w:type="pct"/>
            <w:vAlign w:val="center"/>
          </w:tcPr>
          <w:p w14:paraId="2F50D3CF">
            <w:pPr>
              <w:pStyle w:val="64"/>
              <w:wordWrap w:val="0"/>
              <w:rPr>
                <w:rFonts w:cs="Times New Roman"/>
              </w:rPr>
            </w:pPr>
            <w:r>
              <w:rPr>
                <w:rFonts w:cs="Times New Roman"/>
              </w:rPr>
              <w:t>7.8(水温11.1℃)</w:t>
            </w:r>
          </w:p>
        </w:tc>
        <w:tc>
          <w:tcPr>
            <w:tcW w:w="740" w:type="pct"/>
            <w:vAlign w:val="center"/>
          </w:tcPr>
          <w:p w14:paraId="4ADA65E5">
            <w:pPr>
              <w:pStyle w:val="64"/>
              <w:wordWrap w:val="0"/>
              <w:rPr>
                <w:rFonts w:cs="Times New Roman"/>
              </w:rPr>
            </w:pPr>
            <w:r>
              <w:rPr>
                <w:rFonts w:cs="Times New Roman"/>
              </w:rPr>
              <w:t>7.9(水温11.2℃)</w:t>
            </w:r>
          </w:p>
        </w:tc>
        <w:tc>
          <w:tcPr>
            <w:tcW w:w="740" w:type="pct"/>
            <w:vAlign w:val="center"/>
          </w:tcPr>
          <w:p w14:paraId="3783D6C9">
            <w:pPr>
              <w:pStyle w:val="64"/>
              <w:wordWrap w:val="0"/>
              <w:rPr>
                <w:rFonts w:cs="Times New Roman"/>
              </w:rPr>
            </w:pPr>
            <w:r>
              <w:rPr>
                <w:rFonts w:cs="Times New Roman"/>
              </w:rPr>
              <w:t>7.6(水温11.0℃)</w:t>
            </w:r>
          </w:p>
        </w:tc>
        <w:tc>
          <w:tcPr>
            <w:tcW w:w="738" w:type="pct"/>
            <w:vAlign w:val="center"/>
          </w:tcPr>
          <w:p w14:paraId="57D3B9A1">
            <w:pPr>
              <w:pStyle w:val="64"/>
              <w:wordWrap w:val="0"/>
              <w:rPr>
                <w:rFonts w:cs="Times New Roman"/>
              </w:rPr>
            </w:pPr>
            <w:r>
              <w:rPr>
                <w:rFonts w:cs="Times New Roman"/>
              </w:rPr>
              <w:t>7.7(水温10.8℃)</w:t>
            </w:r>
          </w:p>
        </w:tc>
      </w:tr>
      <w:tr w14:paraId="0103DB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1" w:type="pct"/>
            <w:vMerge w:val="continue"/>
            <w:vAlign w:val="center"/>
          </w:tcPr>
          <w:p w14:paraId="4360D990">
            <w:pPr>
              <w:pStyle w:val="64"/>
              <w:wordWrap w:val="0"/>
              <w:rPr>
                <w:rFonts w:cs="Times New Roman"/>
              </w:rPr>
            </w:pPr>
          </w:p>
        </w:tc>
        <w:tc>
          <w:tcPr>
            <w:tcW w:w="505" w:type="pct"/>
            <w:vMerge w:val="continue"/>
            <w:vAlign w:val="center"/>
          </w:tcPr>
          <w:p w14:paraId="7587458C">
            <w:pPr>
              <w:pStyle w:val="64"/>
              <w:wordWrap w:val="0"/>
              <w:rPr>
                <w:rFonts w:cs="Times New Roman"/>
              </w:rPr>
            </w:pPr>
          </w:p>
        </w:tc>
        <w:tc>
          <w:tcPr>
            <w:tcW w:w="314" w:type="pct"/>
            <w:vAlign w:val="center"/>
          </w:tcPr>
          <w:p w14:paraId="6183FCB3">
            <w:pPr>
              <w:pStyle w:val="64"/>
              <w:wordWrap w:val="0"/>
              <w:rPr>
                <w:rFonts w:cs="Times New Roman"/>
              </w:rPr>
            </w:pPr>
            <w:r>
              <w:rPr>
                <w:rFonts w:cs="Times New Roman"/>
              </w:rPr>
              <w:t>Si</w:t>
            </w:r>
          </w:p>
        </w:tc>
        <w:tc>
          <w:tcPr>
            <w:tcW w:w="740" w:type="pct"/>
            <w:vAlign w:val="center"/>
          </w:tcPr>
          <w:p w14:paraId="1F824E26">
            <w:pPr>
              <w:pStyle w:val="64"/>
              <w:wordWrap w:val="0"/>
              <w:rPr>
                <w:rFonts w:cs="Times New Roman"/>
              </w:rPr>
            </w:pPr>
            <w:r>
              <w:rPr>
                <w:rFonts w:cs="Times New Roman"/>
              </w:rPr>
              <w:t>0.3</w:t>
            </w:r>
          </w:p>
        </w:tc>
        <w:tc>
          <w:tcPr>
            <w:tcW w:w="712" w:type="pct"/>
            <w:vAlign w:val="center"/>
          </w:tcPr>
          <w:p w14:paraId="64FCC997">
            <w:pPr>
              <w:pStyle w:val="64"/>
              <w:wordWrap w:val="0"/>
              <w:rPr>
                <w:rFonts w:cs="Times New Roman"/>
              </w:rPr>
            </w:pPr>
            <w:r>
              <w:rPr>
                <w:rFonts w:cs="Times New Roman"/>
              </w:rPr>
              <w:t>0.4</w:t>
            </w:r>
          </w:p>
        </w:tc>
        <w:tc>
          <w:tcPr>
            <w:tcW w:w="740" w:type="pct"/>
            <w:vAlign w:val="center"/>
          </w:tcPr>
          <w:p w14:paraId="50CE9220">
            <w:pPr>
              <w:pStyle w:val="64"/>
              <w:wordWrap w:val="0"/>
              <w:rPr>
                <w:rFonts w:cs="Times New Roman"/>
              </w:rPr>
            </w:pPr>
            <w:r>
              <w:rPr>
                <w:rFonts w:cs="Times New Roman"/>
              </w:rPr>
              <w:t>0.45</w:t>
            </w:r>
          </w:p>
        </w:tc>
        <w:tc>
          <w:tcPr>
            <w:tcW w:w="740" w:type="pct"/>
            <w:vAlign w:val="center"/>
          </w:tcPr>
          <w:p w14:paraId="1FC8C186">
            <w:pPr>
              <w:pStyle w:val="64"/>
              <w:wordWrap w:val="0"/>
              <w:rPr>
                <w:rFonts w:cs="Times New Roman"/>
              </w:rPr>
            </w:pPr>
            <w:r>
              <w:rPr>
                <w:rFonts w:cs="Times New Roman"/>
              </w:rPr>
              <w:t>0.3</w:t>
            </w:r>
          </w:p>
        </w:tc>
        <w:tc>
          <w:tcPr>
            <w:tcW w:w="738" w:type="pct"/>
            <w:vAlign w:val="center"/>
          </w:tcPr>
          <w:p w14:paraId="73B4FABB">
            <w:pPr>
              <w:pStyle w:val="64"/>
              <w:wordWrap w:val="0"/>
              <w:rPr>
                <w:rFonts w:cs="Times New Roman"/>
              </w:rPr>
            </w:pPr>
            <w:r>
              <w:rPr>
                <w:rFonts w:cs="Times New Roman"/>
              </w:rPr>
              <w:t>0.35</w:t>
            </w:r>
          </w:p>
        </w:tc>
      </w:tr>
      <w:tr w14:paraId="6ABC86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1" w:type="pct"/>
            <w:vMerge w:val="restart"/>
            <w:vAlign w:val="center"/>
          </w:tcPr>
          <w:p w14:paraId="0C1A21F2">
            <w:pPr>
              <w:pStyle w:val="64"/>
              <w:wordWrap w:val="0"/>
              <w:rPr>
                <w:rFonts w:cs="Times New Roman"/>
              </w:rPr>
            </w:pPr>
            <w:r>
              <w:rPr>
                <w:rFonts w:cs="Times New Roman"/>
              </w:rPr>
              <w:t>氨氮</w:t>
            </w:r>
          </w:p>
        </w:tc>
        <w:tc>
          <w:tcPr>
            <w:tcW w:w="505" w:type="pct"/>
            <w:vMerge w:val="restart"/>
            <w:vAlign w:val="center"/>
          </w:tcPr>
          <w:p w14:paraId="6194EF85">
            <w:pPr>
              <w:pStyle w:val="64"/>
              <w:wordWrap w:val="0"/>
              <w:rPr>
                <w:rFonts w:cs="Times New Roman"/>
              </w:rPr>
            </w:pPr>
            <w:r>
              <w:rPr>
                <w:rFonts w:cs="Times New Roman"/>
              </w:rPr>
              <w:t>2024.04.08</w:t>
            </w:r>
          </w:p>
        </w:tc>
        <w:tc>
          <w:tcPr>
            <w:tcW w:w="314" w:type="pct"/>
            <w:vAlign w:val="center"/>
          </w:tcPr>
          <w:p w14:paraId="29B5A5E9">
            <w:pPr>
              <w:pStyle w:val="64"/>
              <w:wordWrap w:val="0"/>
              <w:rPr>
                <w:rFonts w:cs="Times New Roman"/>
              </w:rPr>
            </w:pPr>
            <w:r>
              <w:rPr>
                <w:rFonts w:cs="Times New Roman"/>
              </w:rPr>
              <w:t>Ci</w:t>
            </w:r>
          </w:p>
        </w:tc>
        <w:tc>
          <w:tcPr>
            <w:tcW w:w="740" w:type="pct"/>
            <w:vAlign w:val="center"/>
          </w:tcPr>
          <w:p w14:paraId="38AA9CAF">
            <w:pPr>
              <w:pStyle w:val="64"/>
              <w:wordWrap w:val="0"/>
              <w:rPr>
                <w:rFonts w:cs="Times New Roman"/>
              </w:rPr>
            </w:pPr>
            <w:r>
              <w:rPr>
                <w:rFonts w:cs="Times New Roman"/>
              </w:rPr>
              <w:t>0.18</w:t>
            </w:r>
          </w:p>
        </w:tc>
        <w:tc>
          <w:tcPr>
            <w:tcW w:w="712" w:type="pct"/>
            <w:vAlign w:val="center"/>
          </w:tcPr>
          <w:p w14:paraId="0449B288">
            <w:pPr>
              <w:pStyle w:val="64"/>
              <w:wordWrap w:val="0"/>
              <w:rPr>
                <w:rFonts w:cs="Times New Roman"/>
              </w:rPr>
            </w:pPr>
            <w:r>
              <w:rPr>
                <w:rFonts w:cs="Times New Roman"/>
              </w:rPr>
              <w:t>0.214</w:t>
            </w:r>
          </w:p>
        </w:tc>
        <w:tc>
          <w:tcPr>
            <w:tcW w:w="740" w:type="pct"/>
            <w:vAlign w:val="center"/>
          </w:tcPr>
          <w:p w14:paraId="1A52AD6D">
            <w:pPr>
              <w:pStyle w:val="64"/>
              <w:wordWrap w:val="0"/>
              <w:rPr>
                <w:rFonts w:cs="Times New Roman"/>
              </w:rPr>
            </w:pPr>
            <w:r>
              <w:rPr>
                <w:rFonts w:cs="Times New Roman"/>
              </w:rPr>
              <w:t>0.148</w:t>
            </w:r>
          </w:p>
        </w:tc>
        <w:tc>
          <w:tcPr>
            <w:tcW w:w="740" w:type="pct"/>
            <w:vAlign w:val="center"/>
          </w:tcPr>
          <w:p w14:paraId="70D3F3E7">
            <w:pPr>
              <w:pStyle w:val="64"/>
              <w:wordWrap w:val="0"/>
              <w:rPr>
                <w:rFonts w:cs="Times New Roman"/>
              </w:rPr>
            </w:pPr>
            <w:r>
              <w:rPr>
                <w:rFonts w:cs="Times New Roman"/>
              </w:rPr>
              <w:t>0.374</w:t>
            </w:r>
          </w:p>
        </w:tc>
        <w:tc>
          <w:tcPr>
            <w:tcW w:w="738" w:type="pct"/>
            <w:vAlign w:val="center"/>
          </w:tcPr>
          <w:p w14:paraId="0E40E5CC">
            <w:pPr>
              <w:pStyle w:val="64"/>
              <w:wordWrap w:val="0"/>
              <w:rPr>
                <w:rFonts w:cs="Times New Roman"/>
              </w:rPr>
            </w:pPr>
            <w:r>
              <w:rPr>
                <w:rFonts w:cs="Times New Roman"/>
              </w:rPr>
              <w:t>0.254</w:t>
            </w:r>
          </w:p>
        </w:tc>
      </w:tr>
      <w:tr w14:paraId="62F3D2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1" w:type="pct"/>
            <w:vMerge w:val="continue"/>
            <w:vAlign w:val="center"/>
          </w:tcPr>
          <w:p w14:paraId="5D8B0E3A">
            <w:pPr>
              <w:pStyle w:val="64"/>
              <w:wordWrap w:val="0"/>
              <w:rPr>
                <w:rFonts w:cs="Times New Roman"/>
              </w:rPr>
            </w:pPr>
          </w:p>
        </w:tc>
        <w:tc>
          <w:tcPr>
            <w:tcW w:w="505" w:type="pct"/>
            <w:vMerge w:val="continue"/>
            <w:vAlign w:val="center"/>
          </w:tcPr>
          <w:p w14:paraId="3AADBF08">
            <w:pPr>
              <w:pStyle w:val="64"/>
              <w:wordWrap w:val="0"/>
              <w:rPr>
                <w:rFonts w:cs="Times New Roman"/>
              </w:rPr>
            </w:pPr>
          </w:p>
        </w:tc>
        <w:tc>
          <w:tcPr>
            <w:tcW w:w="314" w:type="pct"/>
            <w:vAlign w:val="center"/>
          </w:tcPr>
          <w:p w14:paraId="36866854">
            <w:pPr>
              <w:pStyle w:val="64"/>
              <w:wordWrap w:val="0"/>
              <w:rPr>
                <w:rFonts w:cs="Times New Roman"/>
              </w:rPr>
            </w:pPr>
            <w:r>
              <w:rPr>
                <w:rFonts w:cs="Times New Roman"/>
              </w:rPr>
              <w:t>Si</w:t>
            </w:r>
          </w:p>
        </w:tc>
        <w:tc>
          <w:tcPr>
            <w:tcW w:w="740" w:type="pct"/>
            <w:vAlign w:val="center"/>
          </w:tcPr>
          <w:p w14:paraId="5D5D30DC">
            <w:pPr>
              <w:pStyle w:val="64"/>
              <w:wordWrap w:val="0"/>
              <w:rPr>
                <w:rFonts w:cs="Times New Roman"/>
              </w:rPr>
            </w:pPr>
            <w:r>
              <w:rPr>
                <w:rFonts w:cs="Times New Roman"/>
              </w:rPr>
              <w:t>0.36</w:t>
            </w:r>
          </w:p>
        </w:tc>
        <w:tc>
          <w:tcPr>
            <w:tcW w:w="712" w:type="pct"/>
            <w:vAlign w:val="center"/>
          </w:tcPr>
          <w:p w14:paraId="5B2859A9">
            <w:pPr>
              <w:pStyle w:val="64"/>
              <w:wordWrap w:val="0"/>
              <w:rPr>
                <w:rFonts w:cs="Times New Roman"/>
              </w:rPr>
            </w:pPr>
            <w:r>
              <w:rPr>
                <w:rFonts w:cs="Times New Roman"/>
              </w:rPr>
              <w:t>0.428</w:t>
            </w:r>
          </w:p>
        </w:tc>
        <w:tc>
          <w:tcPr>
            <w:tcW w:w="740" w:type="pct"/>
            <w:vAlign w:val="center"/>
          </w:tcPr>
          <w:p w14:paraId="36049E42">
            <w:pPr>
              <w:pStyle w:val="64"/>
              <w:wordWrap w:val="0"/>
              <w:rPr>
                <w:rFonts w:cs="Times New Roman"/>
              </w:rPr>
            </w:pPr>
            <w:r>
              <w:rPr>
                <w:rFonts w:cs="Times New Roman"/>
              </w:rPr>
              <w:t>0.296</w:t>
            </w:r>
          </w:p>
        </w:tc>
        <w:tc>
          <w:tcPr>
            <w:tcW w:w="740" w:type="pct"/>
            <w:vAlign w:val="center"/>
          </w:tcPr>
          <w:p w14:paraId="6A381919">
            <w:pPr>
              <w:pStyle w:val="64"/>
              <w:wordWrap w:val="0"/>
              <w:rPr>
                <w:rFonts w:cs="Times New Roman"/>
              </w:rPr>
            </w:pPr>
            <w:r>
              <w:rPr>
                <w:rFonts w:cs="Times New Roman"/>
              </w:rPr>
              <w:t>0.748</w:t>
            </w:r>
          </w:p>
        </w:tc>
        <w:tc>
          <w:tcPr>
            <w:tcW w:w="738" w:type="pct"/>
            <w:vAlign w:val="center"/>
          </w:tcPr>
          <w:p w14:paraId="0527CD18">
            <w:pPr>
              <w:pStyle w:val="64"/>
              <w:wordWrap w:val="0"/>
              <w:rPr>
                <w:rFonts w:cs="Times New Roman"/>
              </w:rPr>
            </w:pPr>
            <w:r>
              <w:rPr>
                <w:rFonts w:cs="Times New Roman"/>
              </w:rPr>
              <w:t>0.508</w:t>
            </w:r>
          </w:p>
        </w:tc>
      </w:tr>
      <w:tr w14:paraId="4F9147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1" w:type="pct"/>
            <w:vMerge w:val="continue"/>
            <w:vAlign w:val="center"/>
          </w:tcPr>
          <w:p w14:paraId="3EE369B0">
            <w:pPr>
              <w:pStyle w:val="64"/>
              <w:wordWrap w:val="0"/>
              <w:rPr>
                <w:rFonts w:cs="Times New Roman"/>
              </w:rPr>
            </w:pPr>
          </w:p>
        </w:tc>
        <w:tc>
          <w:tcPr>
            <w:tcW w:w="505" w:type="pct"/>
            <w:vMerge w:val="restart"/>
            <w:vAlign w:val="center"/>
          </w:tcPr>
          <w:p w14:paraId="355A5590">
            <w:pPr>
              <w:pStyle w:val="64"/>
              <w:wordWrap w:val="0"/>
              <w:rPr>
                <w:rFonts w:cs="Times New Roman"/>
              </w:rPr>
            </w:pPr>
            <w:r>
              <w:rPr>
                <w:rFonts w:cs="Times New Roman"/>
              </w:rPr>
              <w:t>2024.04.09</w:t>
            </w:r>
          </w:p>
        </w:tc>
        <w:tc>
          <w:tcPr>
            <w:tcW w:w="314" w:type="pct"/>
            <w:vAlign w:val="center"/>
          </w:tcPr>
          <w:p w14:paraId="659139DF">
            <w:pPr>
              <w:pStyle w:val="64"/>
              <w:wordWrap w:val="0"/>
              <w:rPr>
                <w:rFonts w:cs="Times New Roman"/>
              </w:rPr>
            </w:pPr>
            <w:r>
              <w:rPr>
                <w:rFonts w:cs="Times New Roman"/>
              </w:rPr>
              <w:t>Ci</w:t>
            </w:r>
          </w:p>
        </w:tc>
        <w:tc>
          <w:tcPr>
            <w:tcW w:w="740" w:type="pct"/>
            <w:vAlign w:val="center"/>
          </w:tcPr>
          <w:p w14:paraId="0F660192">
            <w:pPr>
              <w:pStyle w:val="64"/>
              <w:wordWrap w:val="0"/>
              <w:rPr>
                <w:rFonts w:cs="Times New Roman"/>
              </w:rPr>
            </w:pPr>
            <w:r>
              <w:rPr>
                <w:rFonts w:cs="Times New Roman"/>
              </w:rPr>
              <w:t>0.186</w:t>
            </w:r>
          </w:p>
        </w:tc>
        <w:tc>
          <w:tcPr>
            <w:tcW w:w="712" w:type="pct"/>
            <w:vAlign w:val="center"/>
          </w:tcPr>
          <w:p w14:paraId="5757048C">
            <w:pPr>
              <w:pStyle w:val="64"/>
              <w:wordWrap w:val="0"/>
              <w:rPr>
                <w:rFonts w:cs="Times New Roman"/>
              </w:rPr>
            </w:pPr>
            <w:r>
              <w:rPr>
                <w:rFonts w:cs="Times New Roman"/>
              </w:rPr>
              <w:t>0.22</w:t>
            </w:r>
          </w:p>
        </w:tc>
        <w:tc>
          <w:tcPr>
            <w:tcW w:w="740" w:type="pct"/>
            <w:vAlign w:val="center"/>
          </w:tcPr>
          <w:p w14:paraId="405645C7">
            <w:pPr>
              <w:pStyle w:val="64"/>
              <w:wordWrap w:val="0"/>
              <w:rPr>
                <w:rFonts w:cs="Times New Roman"/>
              </w:rPr>
            </w:pPr>
            <w:r>
              <w:rPr>
                <w:rFonts w:cs="Times New Roman"/>
              </w:rPr>
              <w:t>0.151</w:t>
            </w:r>
          </w:p>
        </w:tc>
        <w:tc>
          <w:tcPr>
            <w:tcW w:w="740" w:type="pct"/>
            <w:vAlign w:val="center"/>
          </w:tcPr>
          <w:p w14:paraId="48BFB1BE">
            <w:pPr>
              <w:pStyle w:val="64"/>
              <w:wordWrap w:val="0"/>
              <w:rPr>
                <w:rFonts w:cs="Times New Roman"/>
              </w:rPr>
            </w:pPr>
            <w:r>
              <w:rPr>
                <w:rFonts w:cs="Times New Roman"/>
              </w:rPr>
              <w:t>0.38</w:t>
            </w:r>
          </w:p>
        </w:tc>
        <w:tc>
          <w:tcPr>
            <w:tcW w:w="738" w:type="pct"/>
            <w:vAlign w:val="center"/>
          </w:tcPr>
          <w:p w14:paraId="7D12A6AD">
            <w:pPr>
              <w:pStyle w:val="64"/>
              <w:wordWrap w:val="0"/>
              <w:rPr>
                <w:rFonts w:cs="Times New Roman"/>
              </w:rPr>
            </w:pPr>
            <w:r>
              <w:rPr>
                <w:rFonts w:cs="Times New Roman"/>
              </w:rPr>
              <w:t>0.249</w:t>
            </w:r>
          </w:p>
        </w:tc>
      </w:tr>
      <w:tr w14:paraId="44DB2C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1" w:type="pct"/>
            <w:vMerge w:val="continue"/>
            <w:vAlign w:val="center"/>
          </w:tcPr>
          <w:p w14:paraId="1364DE86">
            <w:pPr>
              <w:pStyle w:val="64"/>
              <w:wordWrap w:val="0"/>
              <w:rPr>
                <w:rFonts w:cs="Times New Roman"/>
              </w:rPr>
            </w:pPr>
          </w:p>
        </w:tc>
        <w:tc>
          <w:tcPr>
            <w:tcW w:w="505" w:type="pct"/>
            <w:vMerge w:val="continue"/>
            <w:vAlign w:val="center"/>
          </w:tcPr>
          <w:p w14:paraId="1FB9653E">
            <w:pPr>
              <w:pStyle w:val="64"/>
              <w:wordWrap w:val="0"/>
              <w:rPr>
                <w:rFonts w:cs="Times New Roman"/>
              </w:rPr>
            </w:pPr>
          </w:p>
        </w:tc>
        <w:tc>
          <w:tcPr>
            <w:tcW w:w="314" w:type="pct"/>
            <w:vAlign w:val="center"/>
          </w:tcPr>
          <w:p w14:paraId="266DB598">
            <w:pPr>
              <w:pStyle w:val="64"/>
              <w:wordWrap w:val="0"/>
              <w:rPr>
                <w:rFonts w:cs="Times New Roman"/>
              </w:rPr>
            </w:pPr>
            <w:r>
              <w:rPr>
                <w:rFonts w:cs="Times New Roman"/>
              </w:rPr>
              <w:t>Si</w:t>
            </w:r>
          </w:p>
        </w:tc>
        <w:tc>
          <w:tcPr>
            <w:tcW w:w="740" w:type="pct"/>
            <w:vAlign w:val="center"/>
          </w:tcPr>
          <w:p w14:paraId="59DC594A">
            <w:pPr>
              <w:pStyle w:val="64"/>
              <w:wordWrap w:val="0"/>
              <w:rPr>
                <w:rFonts w:cs="Times New Roman"/>
              </w:rPr>
            </w:pPr>
            <w:r>
              <w:rPr>
                <w:rFonts w:cs="Times New Roman"/>
              </w:rPr>
              <w:t>0.372</w:t>
            </w:r>
          </w:p>
        </w:tc>
        <w:tc>
          <w:tcPr>
            <w:tcW w:w="712" w:type="pct"/>
            <w:vAlign w:val="center"/>
          </w:tcPr>
          <w:p w14:paraId="755A5A40">
            <w:pPr>
              <w:pStyle w:val="64"/>
              <w:wordWrap w:val="0"/>
              <w:rPr>
                <w:rFonts w:cs="Times New Roman"/>
              </w:rPr>
            </w:pPr>
            <w:r>
              <w:rPr>
                <w:rFonts w:cs="Times New Roman"/>
              </w:rPr>
              <w:t>0.44</w:t>
            </w:r>
          </w:p>
        </w:tc>
        <w:tc>
          <w:tcPr>
            <w:tcW w:w="740" w:type="pct"/>
            <w:vAlign w:val="center"/>
          </w:tcPr>
          <w:p w14:paraId="26453872">
            <w:pPr>
              <w:pStyle w:val="64"/>
              <w:wordWrap w:val="0"/>
              <w:rPr>
                <w:rFonts w:cs="Times New Roman"/>
              </w:rPr>
            </w:pPr>
            <w:r>
              <w:rPr>
                <w:rFonts w:cs="Times New Roman"/>
              </w:rPr>
              <w:t>0.302</w:t>
            </w:r>
          </w:p>
        </w:tc>
        <w:tc>
          <w:tcPr>
            <w:tcW w:w="740" w:type="pct"/>
            <w:vAlign w:val="center"/>
          </w:tcPr>
          <w:p w14:paraId="4893362B">
            <w:pPr>
              <w:pStyle w:val="64"/>
              <w:wordWrap w:val="0"/>
              <w:rPr>
                <w:rFonts w:cs="Times New Roman"/>
              </w:rPr>
            </w:pPr>
            <w:r>
              <w:rPr>
                <w:rFonts w:cs="Times New Roman"/>
              </w:rPr>
              <w:t>0.76</w:t>
            </w:r>
          </w:p>
        </w:tc>
        <w:tc>
          <w:tcPr>
            <w:tcW w:w="738" w:type="pct"/>
            <w:vAlign w:val="center"/>
          </w:tcPr>
          <w:p w14:paraId="5291F7C5">
            <w:pPr>
              <w:pStyle w:val="64"/>
              <w:wordWrap w:val="0"/>
              <w:rPr>
                <w:rFonts w:cs="Times New Roman"/>
              </w:rPr>
            </w:pPr>
            <w:r>
              <w:rPr>
                <w:rFonts w:cs="Times New Roman"/>
              </w:rPr>
              <w:t>0.498</w:t>
            </w:r>
          </w:p>
        </w:tc>
      </w:tr>
      <w:tr w14:paraId="60BCE0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1" w:type="pct"/>
            <w:vMerge w:val="restart"/>
            <w:vAlign w:val="center"/>
          </w:tcPr>
          <w:p w14:paraId="2753F9A4">
            <w:pPr>
              <w:pStyle w:val="64"/>
              <w:wordWrap w:val="0"/>
              <w:rPr>
                <w:rFonts w:cs="Times New Roman"/>
              </w:rPr>
            </w:pPr>
            <w:r>
              <w:rPr>
                <w:rFonts w:cs="Times New Roman"/>
              </w:rPr>
              <w:t>硫化物</w:t>
            </w:r>
          </w:p>
        </w:tc>
        <w:tc>
          <w:tcPr>
            <w:tcW w:w="505" w:type="pct"/>
            <w:vMerge w:val="restart"/>
            <w:vAlign w:val="center"/>
          </w:tcPr>
          <w:p w14:paraId="5B9CD1A2">
            <w:pPr>
              <w:pStyle w:val="64"/>
              <w:wordWrap w:val="0"/>
              <w:rPr>
                <w:rFonts w:cs="Times New Roman"/>
              </w:rPr>
            </w:pPr>
            <w:r>
              <w:rPr>
                <w:rFonts w:cs="Times New Roman"/>
              </w:rPr>
              <w:t>2024.04.08</w:t>
            </w:r>
          </w:p>
        </w:tc>
        <w:tc>
          <w:tcPr>
            <w:tcW w:w="314" w:type="pct"/>
            <w:vAlign w:val="center"/>
          </w:tcPr>
          <w:p w14:paraId="2A231183">
            <w:pPr>
              <w:pStyle w:val="64"/>
              <w:wordWrap w:val="0"/>
              <w:rPr>
                <w:rFonts w:cs="Times New Roman"/>
              </w:rPr>
            </w:pPr>
            <w:r>
              <w:rPr>
                <w:rFonts w:cs="Times New Roman"/>
              </w:rPr>
              <w:t>Ci</w:t>
            </w:r>
          </w:p>
        </w:tc>
        <w:tc>
          <w:tcPr>
            <w:tcW w:w="740" w:type="pct"/>
            <w:vAlign w:val="center"/>
          </w:tcPr>
          <w:p w14:paraId="1E63AA61">
            <w:pPr>
              <w:pStyle w:val="64"/>
              <w:wordWrap w:val="0"/>
              <w:rPr>
                <w:rFonts w:cs="Times New Roman"/>
              </w:rPr>
            </w:pPr>
            <w:r>
              <w:rPr>
                <w:rFonts w:cs="Times New Roman"/>
              </w:rPr>
              <w:t>0.003</w:t>
            </w:r>
          </w:p>
        </w:tc>
        <w:tc>
          <w:tcPr>
            <w:tcW w:w="712" w:type="pct"/>
            <w:vAlign w:val="center"/>
          </w:tcPr>
          <w:p w14:paraId="708C1245">
            <w:pPr>
              <w:pStyle w:val="64"/>
              <w:wordWrap w:val="0"/>
              <w:rPr>
                <w:rFonts w:cs="Times New Roman"/>
              </w:rPr>
            </w:pPr>
            <w:r>
              <w:rPr>
                <w:rFonts w:cs="Times New Roman"/>
              </w:rPr>
              <w:t>0.008</w:t>
            </w:r>
          </w:p>
        </w:tc>
        <w:tc>
          <w:tcPr>
            <w:tcW w:w="740" w:type="pct"/>
            <w:vAlign w:val="center"/>
          </w:tcPr>
          <w:p w14:paraId="48A5C266">
            <w:pPr>
              <w:pStyle w:val="64"/>
              <w:wordWrap w:val="0"/>
              <w:rPr>
                <w:rFonts w:cs="Times New Roman"/>
              </w:rPr>
            </w:pPr>
            <w:r>
              <w:rPr>
                <w:rFonts w:cs="Times New Roman"/>
              </w:rPr>
              <w:t>0.004</w:t>
            </w:r>
          </w:p>
        </w:tc>
        <w:tc>
          <w:tcPr>
            <w:tcW w:w="740" w:type="pct"/>
            <w:vAlign w:val="center"/>
          </w:tcPr>
          <w:p w14:paraId="1A1F9B19">
            <w:pPr>
              <w:pStyle w:val="64"/>
              <w:wordWrap w:val="0"/>
              <w:rPr>
                <w:rFonts w:cs="Times New Roman"/>
              </w:rPr>
            </w:pPr>
            <w:r>
              <w:rPr>
                <w:rFonts w:cs="Times New Roman"/>
              </w:rPr>
              <w:t>0.007</w:t>
            </w:r>
          </w:p>
        </w:tc>
        <w:tc>
          <w:tcPr>
            <w:tcW w:w="738" w:type="pct"/>
            <w:vAlign w:val="center"/>
          </w:tcPr>
          <w:p w14:paraId="498DD1F8">
            <w:pPr>
              <w:pStyle w:val="64"/>
              <w:wordWrap w:val="0"/>
              <w:rPr>
                <w:rFonts w:cs="Times New Roman"/>
              </w:rPr>
            </w:pPr>
            <w:r>
              <w:rPr>
                <w:rFonts w:cs="Times New Roman"/>
              </w:rPr>
              <w:t>0.004</w:t>
            </w:r>
          </w:p>
        </w:tc>
      </w:tr>
      <w:tr w14:paraId="45578F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1" w:type="pct"/>
            <w:vMerge w:val="continue"/>
            <w:vAlign w:val="center"/>
          </w:tcPr>
          <w:p w14:paraId="48F5AF35">
            <w:pPr>
              <w:pStyle w:val="64"/>
              <w:wordWrap w:val="0"/>
              <w:rPr>
                <w:rFonts w:cs="Times New Roman"/>
              </w:rPr>
            </w:pPr>
          </w:p>
        </w:tc>
        <w:tc>
          <w:tcPr>
            <w:tcW w:w="505" w:type="pct"/>
            <w:vMerge w:val="continue"/>
            <w:vAlign w:val="center"/>
          </w:tcPr>
          <w:p w14:paraId="144F57CD">
            <w:pPr>
              <w:pStyle w:val="64"/>
              <w:wordWrap w:val="0"/>
              <w:rPr>
                <w:rFonts w:cs="Times New Roman"/>
              </w:rPr>
            </w:pPr>
          </w:p>
        </w:tc>
        <w:tc>
          <w:tcPr>
            <w:tcW w:w="314" w:type="pct"/>
            <w:vAlign w:val="center"/>
          </w:tcPr>
          <w:p w14:paraId="42E81B41">
            <w:pPr>
              <w:pStyle w:val="64"/>
              <w:wordWrap w:val="0"/>
              <w:rPr>
                <w:rFonts w:cs="Times New Roman"/>
              </w:rPr>
            </w:pPr>
            <w:r>
              <w:rPr>
                <w:rFonts w:cs="Times New Roman"/>
              </w:rPr>
              <w:t>Si</w:t>
            </w:r>
          </w:p>
        </w:tc>
        <w:tc>
          <w:tcPr>
            <w:tcW w:w="740" w:type="pct"/>
            <w:vAlign w:val="center"/>
          </w:tcPr>
          <w:p w14:paraId="5D6A66E7">
            <w:pPr>
              <w:pStyle w:val="64"/>
              <w:wordWrap w:val="0"/>
              <w:rPr>
                <w:rFonts w:cs="Times New Roman"/>
              </w:rPr>
            </w:pPr>
            <w:r>
              <w:rPr>
                <w:rFonts w:cs="Times New Roman"/>
              </w:rPr>
              <w:t>0.15</w:t>
            </w:r>
          </w:p>
        </w:tc>
        <w:tc>
          <w:tcPr>
            <w:tcW w:w="712" w:type="pct"/>
            <w:vAlign w:val="center"/>
          </w:tcPr>
          <w:p w14:paraId="55FA8109">
            <w:pPr>
              <w:pStyle w:val="64"/>
              <w:wordWrap w:val="0"/>
              <w:rPr>
                <w:rFonts w:cs="Times New Roman"/>
              </w:rPr>
            </w:pPr>
            <w:r>
              <w:rPr>
                <w:rFonts w:cs="Times New Roman"/>
              </w:rPr>
              <w:t>0.4</w:t>
            </w:r>
          </w:p>
        </w:tc>
        <w:tc>
          <w:tcPr>
            <w:tcW w:w="740" w:type="pct"/>
            <w:vAlign w:val="center"/>
          </w:tcPr>
          <w:p w14:paraId="06351D4D">
            <w:pPr>
              <w:pStyle w:val="64"/>
              <w:wordWrap w:val="0"/>
              <w:rPr>
                <w:rFonts w:cs="Times New Roman"/>
              </w:rPr>
            </w:pPr>
            <w:r>
              <w:rPr>
                <w:rFonts w:cs="Times New Roman"/>
              </w:rPr>
              <w:t>0.2</w:t>
            </w:r>
          </w:p>
        </w:tc>
        <w:tc>
          <w:tcPr>
            <w:tcW w:w="740" w:type="pct"/>
            <w:vAlign w:val="center"/>
          </w:tcPr>
          <w:p w14:paraId="3EB1BD15">
            <w:pPr>
              <w:pStyle w:val="64"/>
              <w:wordWrap w:val="0"/>
              <w:rPr>
                <w:rFonts w:cs="Times New Roman"/>
              </w:rPr>
            </w:pPr>
            <w:r>
              <w:rPr>
                <w:rFonts w:cs="Times New Roman"/>
              </w:rPr>
              <w:t>0.35</w:t>
            </w:r>
          </w:p>
        </w:tc>
        <w:tc>
          <w:tcPr>
            <w:tcW w:w="738" w:type="pct"/>
            <w:vAlign w:val="center"/>
          </w:tcPr>
          <w:p w14:paraId="43AFAB9D">
            <w:pPr>
              <w:pStyle w:val="64"/>
              <w:wordWrap w:val="0"/>
              <w:rPr>
                <w:rFonts w:cs="Times New Roman"/>
              </w:rPr>
            </w:pPr>
            <w:r>
              <w:rPr>
                <w:rFonts w:cs="Times New Roman"/>
              </w:rPr>
              <w:t>0.2</w:t>
            </w:r>
          </w:p>
        </w:tc>
      </w:tr>
      <w:tr w14:paraId="1A45E6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1" w:type="pct"/>
            <w:vMerge w:val="continue"/>
            <w:vAlign w:val="center"/>
          </w:tcPr>
          <w:p w14:paraId="4B35CA80">
            <w:pPr>
              <w:pStyle w:val="64"/>
              <w:wordWrap w:val="0"/>
              <w:rPr>
                <w:rFonts w:cs="Times New Roman"/>
              </w:rPr>
            </w:pPr>
          </w:p>
        </w:tc>
        <w:tc>
          <w:tcPr>
            <w:tcW w:w="505" w:type="pct"/>
            <w:vMerge w:val="restart"/>
            <w:vAlign w:val="center"/>
          </w:tcPr>
          <w:p w14:paraId="69A66E75">
            <w:pPr>
              <w:pStyle w:val="64"/>
              <w:wordWrap w:val="0"/>
              <w:rPr>
                <w:rFonts w:cs="Times New Roman"/>
              </w:rPr>
            </w:pPr>
            <w:r>
              <w:rPr>
                <w:rFonts w:cs="Times New Roman"/>
              </w:rPr>
              <w:t>2024.04.09</w:t>
            </w:r>
          </w:p>
        </w:tc>
        <w:tc>
          <w:tcPr>
            <w:tcW w:w="314" w:type="pct"/>
            <w:vAlign w:val="center"/>
          </w:tcPr>
          <w:p w14:paraId="30E8762A">
            <w:pPr>
              <w:pStyle w:val="64"/>
              <w:wordWrap w:val="0"/>
              <w:rPr>
                <w:rFonts w:cs="Times New Roman"/>
              </w:rPr>
            </w:pPr>
            <w:r>
              <w:rPr>
                <w:rFonts w:cs="Times New Roman"/>
              </w:rPr>
              <w:t>Ci</w:t>
            </w:r>
          </w:p>
        </w:tc>
        <w:tc>
          <w:tcPr>
            <w:tcW w:w="740" w:type="pct"/>
            <w:vAlign w:val="center"/>
          </w:tcPr>
          <w:p w14:paraId="610A062B">
            <w:pPr>
              <w:pStyle w:val="64"/>
              <w:wordWrap w:val="0"/>
              <w:rPr>
                <w:rFonts w:cs="Times New Roman"/>
              </w:rPr>
            </w:pPr>
            <w:r>
              <w:rPr>
                <w:rFonts w:cs="Times New Roman"/>
              </w:rPr>
              <w:t>0.004</w:t>
            </w:r>
          </w:p>
        </w:tc>
        <w:tc>
          <w:tcPr>
            <w:tcW w:w="712" w:type="pct"/>
            <w:vAlign w:val="center"/>
          </w:tcPr>
          <w:p w14:paraId="589B8273">
            <w:pPr>
              <w:pStyle w:val="64"/>
              <w:wordWrap w:val="0"/>
              <w:rPr>
                <w:rFonts w:cs="Times New Roman"/>
              </w:rPr>
            </w:pPr>
            <w:r>
              <w:rPr>
                <w:rFonts w:cs="Times New Roman"/>
              </w:rPr>
              <w:t>0.01</w:t>
            </w:r>
          </w:p>
        </w:tc>
        <w:tc>
          <w:tcPr>
            <w:tcW w:w="740" w:type="pct"/>
            <w:vAlign w:val="center"/>
          </w:tcPr>
          <w:p w14:paraId="60E86605">
            <w:pPr>
              <w:pStyle w:val="64"/>
              <w:wordWrap w:val="0"/>
              <w:rPr>
                <w:rFonts w:cs="Times New Roman"/>
              </w:rPr>
            </w:pPr>
            <w:r>
              <w:rPr>
                <w:rFonts w:cs="Times New Roman"/>
              </w:rPr>
              <w:t>0.005</w:t>
            </w:r>
          </w:p>
        </w:tc>
        <w:tc>
          <w:tcPr>
            <w:tcW w:w="740" w:type="pct"/>
            <w:vAlign w:val="center"/>
          </w:tcPr>
          <w:p w14:paraId="4E9EAB67">
            <w:pPr>
              <w:pStyle w:val="64"/>
              <w:wordWrap w:val="0"/>
              <w:rPr>
                <w:rFonts w:cs="Times New Roman"/>
              </w:rPr>
            </w:pPr>
            <w:r>
              <w:rPr>
                <w:rFonts w:cs="Times New Roman"/>
              </w:rPr>
              <w:t>0.008</w:t>
            </w:r>
          </w:p>
        </w:tc>
        <w:tc>
          <w:tcPr>
            <w:tcW w:w="738" w:type="pct"/>
            <w:vAlign w:val="center"/>
          </w:tcPr>
          <w:p w14:paraId="3822633D">
            <w:pPr>
              <w:pStyle w:val="64"/>
              <w:wordWrap w:val="0"/>
              <w:rPr>
                <w:rFonts w:cs="Times New Roman"/>
              </w:rPr>
            </w:pPr>
            <w:r>
              <w:rPr>
                <w:rFonts w:cs="Times New Roman"/>
              </w:rPr>
              <w:t>0.005</w:t>
            </w:r>
          </w:p>
        </w:tc>
      </w:tr>
      <w:tr w14:paraId="5E7668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1" w:type="pct"/>
            <w:vMerge w:val="continue"/>
            <w:vAlign w:val="center"/>
          </w:tcPr>
          <w:p w14:paraId="06A16C06">
            <w:pPr>
              <w:pStyle w:val="64"/>
              <w:wordWrap w:val="0"/>
              <w:rPr>
                <w:rFonts w:cs="Times New Roman"/>
              </w:rPr>
            </w:pPr>
          </w:p>
        </w:tc>
        <w:tc>
          <w:tcPr>
            <w:tcW w:w="505" w:type="pct"/>
            <w:vMerge w:val="continue"/>
            <w:vAlign w:val="center"/>
          </w:tcPr>
          <w:p w14:paraId="79B9D74D">
            <w:pPr>
              <w:pStyle w:val="64"/>
              <w:wordWrap w:val="0"/>
              <w:rPr>
                <w:rFonts w:cs="Times New Roman"/>
              </w:rPr>
            </w:pPr>
          </w:p>
        </w:tc>
        <w:tc>
          <w:tcPr>
            <w:tcW w:w="314" w:type="pct"/>
            <w:vAlign w:val="center"/>
          </w:tcPr>
          <w:p w14:paraId="69859CDB">
            <w:pPr>
              <w:pStyle w:val="64"/>
              <w:wordWrap w:val="0"/>
              <w:rPr>
                <w:rFonts w:cs="Times New Roman"/>
              </w:rPr>
            </w:pPr>
            <w:r>
              <w:rPr>
                <w:rFonts w:cs="Times New Roman"/>
              </w:rPr>
              <w:t>Si</w:t>
            </w:r>
          </w:p>
        </w:tc>
        <w:tc>
          <w:tcPr>
            <w:tcW w:w="740" w:type="pct"/>
            <w:vAlign w:val="center"/>
          </w:tcPr>
          <w:p w14:paraId="45DF6F60">
            <w:pPr>
              <w:pStyle w:val="64"/>
              <w:wordWrap w:val="0"/>
              <w:rPr>
                <w:rFonts w:cs="Times New Roman"/>
              </w:rPr>
            </w:pPr>
            <w:r>
              <w:rPr>
                <w:rFonts w:cs="Times New Roman"/>
              </w:rPr>
              <w:t>0.2</w:t>
            </w:r>
          </w:p>
        </w:tc>
        <w:tc>
          <w:tcPr>
            <w:tcW w:w="712" w:type="pct"/>
            <w:vAlign w:val="center"/>
          </w:tcPr>
          <w:p w14:paraId="27C08C58">
            <w:pPr>
              <w:pStyle w:val="64"/>
              <w:wordWrap w:val="0"/>
              <w:rPr>
                <w:rFonts w:cs="Times New Roman"/>
              </w:rPr>
            </w:pPr>
            <w:r>
              <w:rPr>
                <w:rFonts w:cs="Times New Roman"/>
              </w:rPr>
              <w:t>0.5</w:t>
            </w:r>
          </w:p>
        </w:tc>
        <w:tc>
          <w:tcPr>
            <w:tcW w:w="740" w:type="pct"/>
            <w:vAlign w:val="center"/>
          </w:tcPr>
          <w:p w14:paraId="20D4D6F9">
            <w:pPr>
              <w:pStyle w:val="64"/>
              <w:wordWrap w:val="0"/>
              <w:rPr>
                <w:rFonts w:cs="Times New Roman"/>
              </w:rPr>
            </w:pPr>
            <w:r>
              <w:rPr>
                <w:rFonts w:cs="Times New Roman"/>
              </w:rPr>
              <w:t>0.25</w:t>
            </w:r>
          </w:p>
        </w:tc>
        <w:tc>
          <w:tcPr>
            <w:tcW w:w="740" w:type="pct"/>
            <w:vAlign w:val="center"/>
          </w:tcPr>
          <w:p w14:paraId="2047E17B">
            <w:pPr>
              <w:pStyle w:val="64"/>
              <w:wordWrap w:val="0"/>
              <w:rPr>
                <w:rFonts w:cs="Times New Roman"/>
              </w:rPr>
            </w:pPr>
            <w:r>
              <w:rPr>
                <w:rFonts w:cs="Times New Roman"/>
              </w:rPr>
              <w:t>0.4</w:t>
            </w:r>
          </w:p>
        </w:tc>
        <w:tc>
          <w:tcPr>
            <w:tcW w:w="738" w:type="pct"/>
            <w:vAlign w:val="center"/>
          </w:tcPr>
          <w:p w14:paraId="00A1E90E">
            <w:pPr>
              <w:pStyle w:val="64"/>
              <w:wordWrap w:val="0"/>
              <w:rPr>
                <w:rFonts w:cs="Times New Roman"/>
              </w:rPr>
            </w:pPr>
            <w:r>
              <w:rPr>
                <w:rFonts w:cs="Times New Roman"/>
              </w:rPr>
              <w:t>0.25</w:t>
            </w:r>
          </w:p>
        </w:tc>
      </w:tr>
      <w:tr w14:paraId="2320BB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1" w:type="pct"/>
            <w:vMerge w:val="restart"/>
            <w:vAlign w:val="center"/>
          </w:tcPr>
          <w:p w14:paraId="7F93A2A1">
            <w:pPr>
              <w:pStyle w:val="64"/>
              <w:wordWrap w:val="0"/>
              <w:rPr>
                <w:rFonts w:cs="Times New Roman"/>
              </w:rPr>
            </w:pPr>
            <w:r>
              <w:rPr>
                <w:rFonts w:cs="Times New Roman"/>
              </w:rPr>
              <w:t>阴离子表面活性剂</w:t>
            </w:r>
          </w:p>
        </w:tc>
        <w:tc>
          <w:tcPr>
            <w:tcW w:w="505" w:type="pct"/>
            <w:vMerge w:val="restart"/>
            <w:vAlign w:val="center"/>
          </w:tcPr>
          <w:p w14:paraId="5DD305A1">
            <w:pPr>
              <w:pStyle w:val="64"/>
              <w:wordWrap w:val="0"/>
              <w:rPr>
                <w:rFonts w:cs="Times New Roman"/>
              </w:rPr>
            </w:pPr>
            <w:r>
              <w:rPr>
                <w:rFonts w:cs="Times New Roman"/>
              </w:rPr>
              <w:t>2024.04.08</w:t>
            </w:r>
          </w:p>
        </w:tc>
        <w:tc>
          <w:tcPr>
            <w:tcW w:w="314" w:type="pct"/>
            <w:vAlign w:val="center"/>
          </w:tcPr>
          <w:p w14:paraId="038BD72C">
            <w:pPr>
              <w:pStyle w:val="64"/>
              <w:wordWrap w:val="0"/>
              <w:rPr>
                <w:rFonts w:cs="Times New Roman"/>
              </w:rPr>
            </w:pPr>
            <w:r>
              <w:rPr>
                <w:rFonts w:cs="Times New Roman"/>
              </w:rPr>
              <w:t>Ci</w:t>
            </w:r>
          </w:p>
        </w:tc>
        <w:tc>
          <w:tcPr>
            <w:tcW w:w="740" w:type="pct"/>
            <w:vAlign w:val="center"/>
          </w:tcPr>
          <w:p w14:paraId="26CA52C1">
            <w:pPr>
              <w:pStyle w:val="64"/>
              <w:wordWrap w:val="0"/>
              <w:rPr>
                <w:rFonts w:cs="Times New Roman"/>
              </w:rPr>
            </w:pPr>
            <w:r>
              <w:rPr>
                <w:rFonts w:cs="Times New Roman"/>
              </w:rPr>
              <w:t>&lt;0.05</w:t>
            </w:r>
          </w:p>
        </w:tc>
        <w:tc>
          <w:tcPr>
            <w:tcW w:w="712" w:type="pct"/>
            <w:vAlign w:val="center"/>
          </w:tcPr>
          <w:p w14:paraId="3AD5908D">
            <w:pPr>
              <w:pStyle w:val="64"/>
              <w:wordWrap w:val="0"/>
              <w:rPr>
                <w:rFonts w:cs="Times New Roman"/>
              </w:rPr>
            </w:pPr>
            <w:r>
              <w:rPr>
                <w:rFonts w:cs="Times New Roman"/>
              </w:rPr>
              <w:t>&lt;0.05</w:t>
            </w:r>
          </w:p>
        </w:tc>
        <w:tc>
          <w:tcPr>
            <w:tcW w:w="740" w:type="pct"/>
            <w:vAlign w:val="center"/>
          </w:tcPr>
          <w:p w14:paraId="2E175447">
            <w:pPr>
              <w:pStyle w:val="64"/>
              <w:wordWrap w:val="0"/>
              <w:rPr>
                <w:rFonts w:cs="Times New Roman"/>
              </w:rPr>
            </w:pPr>
            <w:r>
              <w:rPr>
                <w:rFonts w:cs="Times New Roman"/>
              </w:rPr>
              <w:t>&lt;0.05</w:t>
            </w:r>
          </w:p>
        </w:tc>
        <w:tc>
          <w:tcPr>
            <w:tcW w:w="740" w:type="pct"/>
            <w:vAlign w:val="center"/>
          </w:tcPr>
          <w:p w14:paraId="50090694">
            <w:pPr>
              <w:pStyle w:val="64"/>
              <w:wordWrap w:val="0"/>
              <w:rPr>
                <w:rFonts w:cs="Times New Roman"/>
              </w:rPr>
            </w:pPr>
            <w:r>
              <w:rPr>
                <w:rFonts w:cs="Times New Roman"/>
              </w:rPr>
              <w:t>&lt;0.05</w:t>
            </w:r>
          </w:p>
        </w:tc>
        <w:tc>
          <w:tcPr>
            <w:tcW w:w="738" w:type="pct"/>
            <w:vAlign w:val="center"/>
          </w:tcPr>
          <w:p w14:paraId="054E2CFE">
            <w:pPr>
              <w:pStyle w:val="64"/>
              <w:wordWrap w:val="0"/>
              <w:rPr>
                <w:rFonts w:cs="Times New Roman"/>
              </w:rPr>
            </w:pPr>
            <w:r>
              <w:rPr>
                <w:rFonts w:cs="Times New Roman"/>
              </w:rPr>
              <w:t>&lt;0.05</w:t>
            </w:r>
          </w:p>
        </w:tc>
      </w:tr>
      <w:tr w14:paraId="41BF03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1" w:type="pct"/>
            <w:vMerge w:val="continue"/>
            <w:vAlign w:val="center"/>
          </w:tcPr>
          <w:p w14:paraId="39D38126">
            <w:pPr>
              <w:pStyle w:val="64"/>
              <w:wordWrap w:val="0"/>
              <w:rPr>
                <w:rFonts w:cs="Times New Roman"/>
              </w:rPr>
            </w:pPr>
          </w:p>
        </w:tc>
        <w:tc>
          <w:tcPr>
            <w:tcW w:w="505" w:type="pct"/>
            <w:vMerge w:val="continue"/>
            <w:vAlign w:val="center"/>
          </w:tcPr>
          <w:p w14:paraId="020E5850">
            <w:pPr>
              <w:pStyle w:val="64"/>
              <w:wordWrap w:val="0"/>
              <w:rPr>
                <w:rFonts w:cs="Times New Roman"/>
              </w:rPr>
            </w:pPr>
          </w:p>
        </w:tc>
        <w:tc>
          <w:tcPr>
            <w:tcW w:w="314" w:type="pct"/>
            <w:vAlign w:val="center"/>
          </w:tcPr>
          <w:p w14:paraId="7B5EAFCE">
            <w:pPr>
              <w:pStyle w:val="64"/>
              <w:wordWrap w:val="0"/>
              <w:rPr>
                <w:rFonts w:cs="Times New Roman"/>
              </w:rPr>
            </w:pPr>
            <w:r>
              <w:rPr>
                <w:rFonts w:cs="Times New Roman"/>
              </w:rPr>
              <w:t>Si</w:t>
            </w:r>
          </w:p>
        </w:tc>
        <w:tc>
          <w:tcPr>
            <w:tcW w:w="740" w:type="pct"/>
            <w:vAlign w:val="center"/>
          </w:tcPr>
          <w:p w14:paraId="7A8B5B42">
            <w:pPr>
              <w:pStyle w:val="64"/>
              <w:wordWrap w:val="0"/>
              <w:rPr>
                <w:rFonts w:cs="Times New Roman"/>
              </w:rPr>
            </w:pPr>
            <w:r>
              <w:rPr>
                <w:rFonts w:cs="Times New Roman"/>
              </w:rPr>
              <w:t>&lt;0.17</w:t>
            </w:r>
          </w:p>
        </w:tc>
        <w:tc>
          <w:tcPr>
            <w:tcW w:w="712" w:type="pct"/>
            <w:vAlign w:val="center"/>
          </w:tcPr>
          <w:p w14:paraId="4F38F99F">
            <w:pPr>
              <w:pStyle w:val="64"/>
              <w:wordWrap w:val="0"/>
              <w:rPr>
                <w:rFonts w:cs="Times New Roman"/>
              </w:rPr>
            </w:pPr>
            <w:r>
              <w:rPr>
                <w:rFonts w:cs="Times New Roman"/>
              </w:rPr>
              <w:t>&lt;0.17</w:t>
            </w:r>
          </w:p>
        </w:tc>
        <w:tc>
          <w:tcPr>
            <w:tcW w:w="740" w:type="pct"/>
            <w:vAlign w:val="center"/>
          </w:tcPr>
          <w:p w14:paraId="57CD3256">
            <w:pPr>
              <w:pStyle w:val="64"/>
              <w:wordWrap w:val="0"/>
              <w:rPr>
                <w:rFonts w:cs="Times New Roman"/>
              </w:rPr>
            </w:pPr>
            <w:r>
              <w:rPr>
                <w:rFonts w:cs="Times New Roman"/>
              </w:rPr>
              <w:t>&lt;0.17</w:t>
            </w:r>
          </w:p>
        </w:tc>
        <w:tc>
          <w:tcPr>
            <w:tcW w:w="740" w:type="pct"/>
            <w:vAlign w:val="center"/>
          </w:tcPr>
          <w:p w14:paraId="7610E475">
            <w:pPr>
              <w:pStyle w:val="64"/>
              <w:wordWrap w:val="0"/>
              <w:rPr>
                <w:rFonts w:cs="Times New Roman"/>
              </w:rPr>
            </w:pPr>
            <w:r>
              <w:rPr>
                <w:rFonts w:cs="Times New Roman"/>
              </w:rPr>
              <w:t>&lt;0.17</w:t>
            </w:r>
          </w:p>
        </w:tc>
        <w:tc>
          <w:tcPr>
            <w:tcW w:w="738" w:type="pct"/>
            <w:vAlign w:val="center"/>
          </w:tcPr>
          <w:p w14:paraId="011946D5">
            <w:pPr>
              <w:pStyle w:val="64"/>
              <w:wordWrap w:val="0"/>
              <w:rPr>
                <w:rFonts w:cs="Times New Roman"/>
              </w:rPr>
            </w:pPr>
            <w:r>
              <w:rPr>
                <w:rFonts w:cs="Times New Roman"/>
              </w:rPr>
              <w:t>&lt;0.17</w:t>
            </w:r>
          </w:p>
        </w:tc>
      </w:tr>
      <w:tr w14:paraId="1B2D9F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1" w:type="pct"/>
            <w:vMerge w:val="continue"/>
            <w:vAlign w:val="center"/>
          </w:tcPr>
          <w:p w14:paraId="57ED0FC9">
            <w:pPr>
              <w:pStyle w:val="64"/>
              <w:wordWrap w:val="0"/>
              <w:rPr>
                <w:rFonts w:cs="Times New Roman"/>
              </w:rPr>
            </w:pPr>
          </w:p>
        </w:tc>
        <w:tc>
          <w:tcPr>
            <w:tcW w:w="505" w:type="pct"/>
            <w:vMerge w:val="restart"/>
            <w:vAlign w:val="center"/>
          </w:tcPr>
          <w:p w14:paraId="3C836D48">
            <w:pPr>
              <w:pStyle w:val="64"/>
              <w:wordWrap w:val="0"/>
              <w:rPr>
                <w:rFonts w:cs="Times New Roman"/>
              </w:rPr>
            </w:pPr>
            <w:r>
              <w:rPr>
                <w:rFonts w:cs="Times New Roman"/>
              </w:rPr>
              <w:t>2024.04.09</w:t>
            </w:r>
          </w:p>
        </w:tc>
        <w:tc>
          <w:tcPr>
            <w:tcW w:w="314" w:type="pct"/>
            <w:vAlign w:val="center"/>
          </w:tcPr>
          <w:p w14:paraId="19044624">
            <w:pPr>
              <w:pStyle w:val="64"/>
              <w:wordWrap w:val="0"/>
              <w:rPr>
                <w:rFonts w:cs="Times New Roman"/>
              </w:rPr>
            </w:pPr>
            <w:r>
              <w:rPr>
                <w:rFonts w:cs="Times New Roman"/>
              </w:rPr>
              <w:t>Ci</w:t>
            </w:r>
          </w:p>
        </w:tc>
        <w:tc>
          <w:tcPr>
            <w:tcW w:w="740" w:type="pct"/>
            <w:vAlign w:val="center"/>
          </w:tcPr>
          <w:p w14:paraId="54038488">
            <w:pPr>
              <w:pStyle w:val="64"/>
              <w:wordWrap w:val="0"/>
              <w:rPr>
                <w:rFonts w:cs="Times New Roman"/>
              </w:rPr>
            </w:pPr>
            <w:r>
              <w:rPr>
                <w:rFonts w:cs="Times New Roman"/>
              </w:rPr>
              <w:t>&lt;0.05</w:t>
            </w:r>
          </w:p>
        </w:tc>
        <w:tc>
          <w:tcPr>
            <w:tcW w:w="712" w:type="pct"/>
            <w:vAlign w:val="center"/>
          </w:tcPr>
          <w:p w14:paraId="26002AC0">
            <w:pPr>
              <w:pStyle w:val="64"/>
              <w:wordWrap w:val="0"/>
              <w:rPr>
                <w:rFonts w:cs="Times New Roman"/>
              </w:rPr>
            </w:pPr>
            <w:r>
              <w:rPr>
                <w:rFonts w:cs="Times New Roman"/>
              </w:rPr>
              <w:t>&lt;0.05</w:t>
            </w:r>
          </w:p>
        </w:tc>
        <w:tc>
          <w:tcPr>
            <w:tcW w:w="740" w:type="pct"/>
            <w:vAlign w:val="center"/>
          </w:tcPr>
          <w:p w14:paraId="6F74DD51">
            <w:pPr>
              <w:pStyle w:val="64"/>
              <w:wordWrap w:val="0"/>
              <w:rPr>
                <w:rFonts w:cs="Times New Roman"/>
              </w:rPr>
            </w:pPr>
            <w:r>
              <w:rPr>
                <w:rFonts w:cs="Times New Roman"/>
              </w:rPr>
              <w:t>&lt;0.05</w:t>
            </w:r>
          </w:p>
        </w:tc>
        <w:tc>
          <w:tcPr>
            <w:tcW w:w="740" w:type="pct"/>
            <w:vAlign w:val="center"/>
          </w:tcPr>
          <w:p w14:paraId="715B56E5">
            <w:pPr>
              <w:pStyle w:val="64"/>
              <w:wordWrap w:val="0"/>
              <w:rPr>
                <w:rFonts w:cs="Times New Roman"/>
              </w:rPr>
            </w:pPr>
            <w:r>
              <w:rPr>
                <w:rFonts w:cs="Times New Roman"/>
              </w:rPr>
              <w:t>&lt;0.05</w:t>
            </w:r>
          </w:p>
        </w:tc>
        <w:tc>
          <w:tcPr>
            <w:tcW w:w="738" w:type="pct"/>
            <w:vAlign w:val="center"/>
          </w:tcPr>
          <w:p w14:paraId="582193BD">
            <w:pPr>
              <w:pStyle w:val="64"/>
              <w:wordWrap w:val="0"/>
              <w:rPr>
                <w:rFonts w:cs="Times New Roman"/>
              </w:rPr>
            </w:pPr>
            <w:r>
              <w:rPr>
                <w:rFonts w:cs="Times New Roman"/>
              </w:rPr>
              <w:t>&lt;0.05</w:t>
            </w:r>
          </w:p>
        </w:tc>
      </w:tr>
      <w:tr w14:paraId="39F9F1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1" w:type="pct"/>
            <w:vMerge w:val="continue"/>
            <w:vAlign w:val="center"/>
          </w:tcPr>
          <w:p w14:paraId="405D91B4">
            <w:pPr>
              <w:pStyle w:val="64"/>
              <w:wordWrap w:val="0"/>
              <w:rPr>
                <w:rFonts w:cs="Times New Roman"/>
              </w:rPr>
            </w:pPr>
          </w:p>
        </w:tc>
        <w:tc>
          <w:tcPr>
            <w:tcW w:w="505" w:type="pct"/>
            <w:vMerge w:val="continue"/>
            <w:vAlign w:val="center"/>
          </w:tcPr>
          <w:p w14:paraId="60AB8639">
            <w:pPr>
              <w:pStyle w:val="64"/>
              <w:wordWrap w:val="0"/>
              <w:rPr>
                <w:rFonts w:cs="Times New Roman"/>
              </w:rPr>
            </w:pPr>
          </w:p>
        </w:tc>
        <w:tc>
          <w:tcPr>
            <w:tcW w:w="314" w:type="pct"/>
            <w:vAlign w:val="center"/>
          </w:tcPr>
          <w:p w14:paraId="2F491EC3">
            <w:pPr>
              <w:pStyle w:val="64"/>
              <w:wordWrap w:val="0"/>
              <w:rPr>
                <w:rFonts w:cs="Times New Roman"/>
              </w:rPr>
            </w:pPr>
            <w:r>
              <w:rPr>
                <w:rFonts w:cs="Times New Roman"/>
              </w:rPr>
              <w:t>Si</w:t>
            </w:r>
          </w:p>
        </w:tc>
        <w:tc>
          <w:tcPr>
            <w:tcW w:w="740" w:type="pct"/>
            <w:vAlign w:val="center"/>
          </w:tcPr>
          <w:p w14:paraId="232DE174">
            <w:pPr>
              <w:pStyle w:val="64"/>
              <w:wordWrap w:val="0"/>
              <w:rPr>
                <w:rFonts w:cs="Times New Roman"/>
              </w:rPr>
            </w:pPr>
            <w:r>
              <w:rPr>
                <w:rFonts w:cs="Times New Roman"/>
              </w:rPr>
              <w:t>&lt;0.17</w:t>
            </w:r>
          </w:p>
        </w:tc>
        <w:tc>
          <w:tcPr>
            <w:tcW w:w="712" w:type="pct"/>
            <w:vAlign w:val="center"/>
          </w:tcPr>
          <w:p w14:paraId="322EE4FA">
            <w:pPr>
              <w:pStyle w:val="64"/>
              <w:wordWrap w:val="0"/>
              <w:rPr>
                <w:rFonts w:cs="Times New Roman"/>
              </w:rPr>
            </w:pPr>
            <w:r>
              <w:rPr>
                <w:rFonts w:cs="Times New Roman"/>
              </w:rPr>
              <w:t>&lt;0.17</w:t>
            </w:r>
          </w:p>
        </w:tc>
        <w:tc>
          <w:tcPr>
            <w:tcW w:w="740" w:type="pct"/>
            <w:vAlign w:val="center"/>
          </w:tcPr>
          <w:p w14:paraId="4C130963">
            <w:pPr>
              <w:pStyle w:val="64"/>
              <w:wordWrap w:val="0"/>
              <w:rPr>
                <w:rFonts w:cs="Times New Roman"/>
              </w:rPr>
            </w:pPr>
            <w:r>
              <w:rPr>
                <w:rFonts w:cs="Times New Roman"/>
              </w:rPr>
              <w:t>&lt;0.17</w:t>
            </w:r>
          </w:p>
        </w:tc>
        <w:tc>
          <w:tcPr>
            <w:tcW w:w="740" w:type="pct"/>
            <w:vAlign w:val="center"/>
          </w:tcPr>
          <w:p w14:paraId="115BE825">
            <w:pPr>
              <w:pStyle w:val="64"/>
              <w:wordWrap w:val="0"/>
              <w:rPr>
                <w:rFonts w:cs="Times New Roman"/>
              </w:rPr>
            </w:pPr>
            <w:r>
              <w:rPr>
                <w:rFonts w:cs="Times New Roman"/>
              </w:rPr>
              <w:t>&lt;0.17</w:t>
            </w:r>
          </w:p>
        </w:tc>
        <w:tc>
          <w:tcPr>
            <w:tcW w:w="738" w:type="pct"/>
            <w:vAlign w:val="center"/>
          </w:tcPr>
          <w:p w14:paraId="0DE58A5E">
            <w:pPr>
              <w:pStyle w:val="64"/>
              <w:wordWrap w:val="0"/>
              <w:rPr>
                <w:rFonts w:cs="Times New Roman"/>
              </w:rPr>
            </w:pPr>
            <w:r>
              <w:rPr>
                <w:rFonts w:cs="Times New Roman"/>
              </w:rPr>
              <w:t>&lt;0.17</w:t>
            </w:r>
          </w:p>
        </w:tc>
      </w:tr>
      <w:tr w14:paraId="6F2784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1" w:type="pct"/>
            <w:vMerge w:val="restart"/>
            <w:vAlign w:val="center"/>
          </w:tcPr>
          <w:p w14:paraId="44A3015B">
            <w:pPr>
              <w:pStyle w:val="64"/>
              <w:wordWrap w:val="0"/>
              <w:rPr>
                <w:rFonts w:cs="Times New Roman"/>
              </w:rPr>
            </w:pPr>
            <w:r>
              <w:rPr>
                <w:rFonts w:cs="Times New Roman"/>
              </w:rPr>
              <w:t>亚硝酸盐</w:t>
            </w:r>
          </w:p>
        </w:tc>
        <w:tc>
          <w:tcPr>
            <w:tcW w:w="505" w:type="pct"/>
            <w:vMerge w:val="restart"/>
            <w:vAlign w:val="center"/>
          </w:tcPr>
          <w:p w14:paraId="3C77DF85">
            <w:pPr>
              <w:pStyle w:val="64"/>
              <w:wordWrap w:val="0"/>
              <w:rPr>
                <w:rFonts w:cs="Times New Roman"/>
              </w:rPr>
            </w:pPr>
            <w:r>
              <w:rPr>
                <w:rFonts w:cs="Times New Roman"/>
              </w:rPr>
              <w:t>2024.04.08</w:t>
            </w:r>
          </w:p>
        </w:tc>
        <w:tc>
          <w:tcPr>
            <w:tcW w:w="314" w:type="pct"/>
            <w:vAlign w:val="center"/>
          </w:tcPr>
          <w:p w14:paraId="5DC6B487">
            <w:pPr>
              <w:pStyle w:val="64"/>
              <w:wordWrap w:val="0"/>
              <w:rPr>
                <w:rFonts w:cs="Times New Roman"/>
              </w:rPr>
            </w:pPr>
            <w:r>
              <w:rPr>
                <w:rFonts w:cs="Times New Roman"/>
              </w:rPr>
              <w:t>Ci</w:t>
            </w:r>
          </w:p>
        </w:tc>
        <w:tc>
          <w:tcPr>
            <w:tcW w:w="740" w:type="pct"/>
            <w:vAlign w:val="center"/>
          </w:tcPr>
          <w:p w14:paraId="2B087643">
            <w:pPr>
              <w:pStyle w:val="64"/>
              <w:wordWrap w:val="0"/>
              <w:rPr>
                <w:rFonts w:cs="Times New Roman"/>
              </w:rPr>
            </w:pPr>
            <w:r>
              <w:rPr>
                <w:rFonts w:cs="Times New Roman"/>
              </w:rPr>
              <w:t>0.012</w:t>
            </w:r>
          </w:p>
        </w:tc>
        <w:tc>
          <w:tcPr>
            <w:tcW w:w="712" w:type="pct"/>
            <w:vAlign w:val="center"/>
          </w:tcPr>
          <w:p w14:paraId="7EADAC4C">
            <w:pPr>
              <w:pStyle w:val="64"/>
              <w:wordWrap w:val="0"/>
              <w:rPr>
                <w:rFonts w:cs="Times New Roman"/>
              </w:rPr>
            </w:pPr>
            <w:r>
              <w:rPr>
                <w:rFonts w:cs="Times New Roman"/>
              </w:rPr>
              <w:t>0.006</w:t>
            </w:r>
          </w:p>
        </w:tc>
        <w:tc>
          <w:tcPr>
            <w:tcW w:w="740" w:type="pct"/>
            <w:vAlign w:val="center"/>
          </w:tcPr>
          <w:p w14:paraId="67B7D625">
            <w:pPr>
              <w:pStyle w:val="64"/>
              <w:wordWrap w:val="0"/>
              <w:rPr>
                <w:rFonts w:cs="Times New Roman"/>
              </w:rPr>
            </w:pPr>
            <w:r>
              <w:rPr>
                <w:rFonts w:cs="Times New Roman"/>
              </w:rPr>
              <w:t>0.006</w:t>
            </w:r>
          </w:p>
        </w:tc>
        <w:tc>
          <w:tcPr>
            <w:tcW w:w="740" w:type="pct"/>
            <w:vAlign w:val="center"/>
          </w:tcPr>
          <w:p w14:paraId="129F3112">
            <w:pPr>
              <w:pStyle w:val="64"/>
              <w:wordWrap w:val="0"/>
              <w:rPr>
                <w:rFonts w:cs="Times New Roman"/>
              </w:rPr>
            </w:pPr>
            <w:r>
              <w:rPr>
                <w:rFonts w:cs="Times New Roman"/>
              </w:rPr>
              <w:t>0.004</w:t>
            </w:r>
          </w:p>
        </w:tc>
        <w:tc>
          <w:tcPr>
            <w:tcW w:w="738" w:type="pct"/>
            <w:vAlign w:val="center"/>
          </w:tcPr>
          <w:p w14:paraId="002A3B09">
            <w:pPr>
              <w:pStyle w:val="64"/>
              <w:wordWrap w:val="0"/>
              <w:rPr>
                <w:rFonts w:cs="Times New Roman"/>
              </w:rPr>
            </w:pPr>
            <w:r>
              <w:rPr>
                <w:rFonts w:cs="Times New Roman"/>
              </w:rPr>
              <w:t>0.011</w:t>
            </w:r>
          </w:p>
        </w:tc>
      </w:tr>
      <w:tr w14:paraId="61C36E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1" w:type="pct"/>
            <w:vMerge w:val="continue"/>
            <w:vAlign w:val="center"/>
          </w:tcPr>
          <w:p w14:paraId="5A0AD151">
            <w:pPr>
              <w:pStyle w:val="64"/>
              <w:wordWrap w:val="0"/>
              <w:rPr>
                <w:rFonts w:cs="Times New Roman"/>
              </w:rPr>
            </w:pPr>
          </w:p>
        </w:tc>
        <w:tc>
          <w:tcPr>
            <w:tcW w:w="505" w:type="pct"/>
            <w:vMerge w:val="continue"/>
            <w:vAlign w:val="center"/>
          </w:tcPr>
          <w:p w14:paraId="6C0CEEC2">
            <w:pPr>
              <w:pStyle w:val="64"/>
              <w:wordWrap w:val="0"/>
              <w:rPr>
                <w:rFonts w:cs="Times New Roman"/>
              </w:rPr>
            </w:pPr>
          </w:p>
        </w:tc>
        <w:tc>
          <w:tcPr>
            <w:tcW w:w="314" w:type="pct"/>
            <w:vAlign w:val="center"/>
          </w:tcPr>
          <w:p w14:paraId="47307C9E">
            <w:pPr>
              <w:pStyle w:val="64"/>
              <w:wordWrap w:val="0"/>
              <w:rPr>
                <w:rFonts w:cs="Times New Roman"/>
              </w:rPr>
            </w:pPr>
            <w:r>
              <w:rPr>
                <w:rFonts w:cs="Times New Roman"/>
              </w:rPr>
              <w:t>Si</w:t>
            </w:r>
          </w:p>
        </w:tc>
        <w:tc>
          <w:tcPr>
            <w:tcW w:w="740" w:type="pct"/>
            <w:vAlign w:val="center"/>
          </w:tcPr>
          <w:p w14:paraId="2A2981DB">
            <w:pPr>
              <w:pStyle w:val="64"/>
              <w:wordWrap w:val="0"/>
              <w:rPr>
                <w:rFonts w:cs="Times New Roman"/>
              </w:rPr>
            </w:pPr>
            <w:r>
              <w:rPr>
                <w:rFonts w:cs="Times New Roman"/>
              </w:rPr>
              <w:t>0.012</w:t>
            </w:r>
          </w:p>
        </w:tc>
        <w:tc>
          <w:tcPr>
            <w:tcW w:w="712" w:type="pct"/>
            <w:vAlign w:val="center"/>
          </w:tcPr>
          <w:p w14:paraId="15677AD7">
            <w:pPr>
              <w:pStyle w:val="64"/>
              <w:wordWrap w:val="0"/>
              <w:rPr>
                <w:rFonts w:cs="Times New Roman"/>
              </w:rPr>
            </w:pPr>
            <w:r>
              <w:rPr>
                <w:rFonts w:cs="Times New Roman"/>
              </w:rPr>
              <w:t>0.006</w:t>
            </w:r>
          </w:p>
        </w:tc>
        <w:tc>
          <w:tcPr>
            <w:tcW w:w="740" w:type="pct"/>
            <w:vAlign w:val="center"/>
          </w:tcPr>
          <w:p w14:paraId="3DE03A23">
            <w:pPr>
              <w:pStyle w:val="64"/>
              <w:wordWrap w:val="0"/>
              <w:rPr>
                <w:rFonts w:cs="Times New Roman"/>
              </w:rPr>
            </w:pPr>
            <w:r>
              <w:rPr>
                <w:rFonts w:cs="Times New Roman"/>
              </w:rPr>
              <w:t>0.006</w:t>
            </w:r>
          </w:p>
        </w:tc>
        <w:tc>
          <w:tcPr>
            <w:tcW w:w="740" w:type="pct"/>
            <w:vAlign w:val="center"/>
          </w:tcPr>
          <w:p w14:paraId="5E2314C0">
            <w:pPr>
              <w:pStyle w:val="64"/>
              <w:wordWrap w:val="0"/>
              <w:rPr>
                <w:rFonts w:cs="Times New Roman"/>
              </w:rPr>
            </w:pPr>
            <w:r>
              <w:rPr>
                <w:rFonts w:cs="Times New Roman"/>
              </w:rPr>
              <w:t>0.004</w:t>
            </w:r>
          </w:p>
        </w:tc>
        <w:tc>
          <w:tcPr>
            <w:tcW w:w="738" w:type="pct"/>
            <w:vAlign w:val="center"/>
          </w:tcPr>
          <w:p w14:paraId="02DFE0E5">
            <w:pPr>
              <w:pStyle w:val="64"/>
              <w:wordWrap w:val="0"/>
              <w:rPr>
                <w:rFonts w:cs="Times New Roman"/>
              </w:rPr>
            </w:pPr>
            <w:r>
              <w:rPr>
                <w:rFonts w:cs="Times New Roman"/>
              </w:rPr>
              <w:t>0.011</w:t>
            </w:r>
          </w:p>
        </w:tc>
      </w:tr>
      <w:tr w14:paraId="1C2CF7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1" w:type="pct"/>
            <w:vMerge w:val="continue"/>
            <w:vAlign w:val="center"/>
          </w:tcPr>
          <w:p w14:paraId="2166D560">
            <w:pPr>
              <w:pStyle w:val="64"/>
              <w:wordWrap w:val="0"/>
              <w:rPr>
                <w:rFonts w:cs="Times New Roman"/>
              </w:rPr>
            </w:pPr>
          </w:p>
        </w:tc>
        <w:tc>
          <w:tcPr>
            <w:tcW w:w="505" w:type="pct"/>
            <w:vMerge w:val="restart"/>
            <w:vAlign w:val="center"/>
          </w:tcPr>
          <w:p w14:paraId="01147542">
            <w:pPr>
              <w:pStyle w:val="64"/>
              <w:wordWrap w:val="0"/>
              <w:rPr>
                <w:rFonts w:cs="Times New Roman"/>
              </w:rPr>
            </w:pPr>
            <w:r>
              <w:rPr>
                <w:rFonts w:cs="Times New Roman"/>
              </w:rPr>
              <w:t>2024.04.09</w:t>
            </w:r>
          </w:p>
        </w:tc>
        <w:tc>
          <w:tcPr>
            <w:tcW w:w="314" w:type="pct"/>
            <w:vAlign w:val="center"/>
          </w:tcPr>
          <w:p w14:paraId="08E30CFE">
            <w:pPr>
              <w:pStyle w:val="64"/>
              <w:wordWrap w:val="0"/>
              <w:rPr>
                <w:rFonts w:cs="Times New Roman"/>
              </w:rPr>
            </w:pPr>
            <w:r>
              <w:rPr>
                <w:rFonts w:cs="Times New Roman"/>
              </w:rPr>
              <w:t>Ci</w:t>
            </w:r>
          </w:p>
        </w:tc>
        <w:tc>
          <w:tcPr>
            <w:tcW w:w="740" w:type="pct"/>
            <w:vAlign w:val="center"/>
          </w:tcPr>
          <w:p w14:paraId="09761F9B">
            <w:pPr>
              <w:pStyle w:val="64"/>
              <w:wordWrap w:val="0"/>
              <w:rPr>
                <w:rFonts w:cs="Times New Roman"/>
              </w:rPr>
            </w:pPr>
            <w:r>
              <w:rPr>
                <w:rFonts w:cs="Times New Roman"/>
              </w:rPr>
              <w:t>0.005</w:t>
            </w:r>
          </w:p>
        </w:tc>
        <w:tc>
          <w:tcPr>
            <w:tcW w:w="712" w:type="pct"/>
            <w:vAlign w:val="center"/>
          </w:tcPr>
          <w:p w14:paraId="13A7262F">
            <w:pPr>
              <w:pStyle w:val="64"/>
              <w:wordWrap w:val="0"/>
              <w:rPr>
                <w:rFonts w:cs="Times New Roman"/>
              </w:rPr>
            </w:pPr>
            <w:r>
              <w:rPr>
                <w:rFonts w:cs="Times New Roman"/>
              </w:rPr>
              <w:t>0.036</w:t>
            </w:r>
          </w:p>
        </w:tc>
        <w:tc>
          <w:tcPr>
            <w:tcW w:w="740" w:type="pct"/>
            <w:vAlign w:val="center"/>
          </w:tcPr>
          <w:p w14:paraId="0E70A2FF">
            <w:pPr>
              <w:pStyle w:val="64"/>
              <w:wordWrap w:val="0"/>
              <w:rPr>
                <w:rFonts w:cs="Times New Roman"/>
              </w:rPr>
            </w:pPr>
            <w:r>
              <w:rPr>
                <w:rFonts w:cs="Times New Roman"/>
              </w:rPr>
              <w:t>0.005</w:t>
            </w:r>
          </w:p>
        </w:tc>
        <w:tc>
          <w:tcPr>
            <w:tcW w:w="740" w:type="pct"/>
            <w:vAlign w:val="center"/>
          </w:tcPr>
          <w:p w14:paraId="1229B82A">
            <w:pPr>
              <w:pStyle w:val="64"/>
              <w:wordWrap w:val="0"/>
              <w:rPr>
                <w:rFonts w:cs="Times New Roman"/>
              </w:rPr>
            </w:pPr>
            <w:r>
              <w:rPr>
                <w:rFonts w:cs="Times New Roman"/>
              </w:rPr>
              <w:t>0.005</w:t>
            </w:r>
          </w:p>
        </w:tc>
        <w:tc>
          <w:tcPr>
            <w:tcW w:w="738" w:type="pct"/>
            <w:vAlign w:val="center"/>
          </w:tcPr>
          <w:p w14:paraId="658AE2D5">
            <w:pPr>
              <w:pStyle w:val="64"/>
              <w:wordWrap w:val="0"/>
              <w:rPr>
                <w:rFonts w:cs="Times New Roman"/>
              </w:rPr>
            </w:pPr>
            <w:r>
              <w:rPr>
                <w:rFonts w:cs="Times New Roman"/>
              </w:rPr>
              <w:t>0.026</w:t>
            </w:r>
          </w:p>
        </w:tc>
      </w:tr>
      <w:tr w14:paraId="655E65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1" w:type="pct"/>
            <w:vMerge w:val="continue"/>
            <w:vAlign w:val="center"/>
          </w:tcPr>
          <w:p w14:paraId="040FBFCB">
            <w:pPr>
              <w:pStyle w:val="64"/>
              <w:wordWrap w:val="0"/>
              <w:rPr>
                <w:rFonts w:cs="Times New Roman"/>
              </w:rPr>
            </w:pPr>
          </w:p>
        </w:tc>
        <w:tc>
          <w:tcPr>
            <w:tcW w:w="505" w:type="pct"/>
            <w:vMerge w:val="continue"/>
            <w:vAlign w:val="center"/>
          </w:tcPr>
          <w:p w14:paraId="6B3D7615">
            <w:pPr>
              <w:pStyle w:val="64"/>
              <w:wordWrap w:val="0"/>
              <w:rPr>
                <w:rFonts w:cs="Times New Roman"/>
              </w:rPr>
            </w:pPr>
          </w:p>
        </w:tc>
        <w:tc>
          <w:tcPr>
            <w:tcW w:w="314" w:type="pct"/>
            <w:vAlign w:val="center"/>
          </w:tcPr>
          <w:p w14:paraId="2FE7EB55">
            <w:pPr>
              <w:pStyle w:val="64"/>
              <w:wordWrap w:val="0"/>
              <w:rPr>
                <w:rFonts w:cs="Times New Roman"/>
              </w:rPr>
            </w:pPr>
            <w:r>
              <w:rPr>
                <w:rFonts w:cs="Times New Roman"/>
              </w:rPr>
              <w:t>Si</w:t>
            </w:r>
          </w:p>
        </w:tc>
        <w:tc>
          <w:tcPr>
            <w:tcW w:w="740" w:type="pct"/>
            <w:vAlign w:val="center"/>
          </w:tcPr>
          <w:p w14:paraId="6F3BDE56">
            <w:pPr>
              <w:pStyle w:val="64"/>
              <w:wordWrap w:val="0"/>
              <w:rPr>
                <w:rFonts w:cs="Times New Roman"/>
              </w:rPr>
            </w:pPr>
            <w:r>
              <w:rPr>
                <w:rFonts w:cs="Times New Roman"/>
              </w:rPr>
              <w:t>0.005</w:t>
            </w:r>
          </w:p>
        </w:tc>
        <w:tc>
          <w:tcPr>
            <w:tcW w:w="712" w:type="pct"/>
            <w:vAlign w:val="center"/>
          </w:tcPr>
          <w:p w14:paraId="66CD8DDD">
            <w:pPr>
              <w:pStyle w:val="64"/>
              <w:wordWrap w:val="0"/>
              <w:rPr>
                <w:rFonts w:cs="Times New Roman"/>
              </w:rPr>
            </w:pPr>
            <w:r>
              <w:rPr>
                <w:rFonts w:cs="Times New Roman"/>
              </w:rPr>
              <w:t>0.036</w:t>
            </w:r>
          </w:p>
        </w:tc>
        <w:tc>
          <w:tcPr>
            <w:tcW w:w="740" w:type="pct"/>
            <w:vAlign w:val="center"/>
          </w:tcPr>
          <w:p w14:paraId="76C8449A">
            <w:pPr>
              <w:pStyle w:val="64"/>
              <w:wordWrap w:val="0"/>
              <w:rPr>
                <w:rFonts w:cs="Times New Roman"/>
              </w:rPr>
            </w:pPr>
            <w:r>
              <w:rPr>
                <w:rFonts w:cs="Times New Roman"/>
              </w:rPr>
              <w:t>0.005</w:t>
            </w:r>
          </w:p>
        </w:tc>
        <w:tc>
          <w:tcPr>
            <w:tcW w:w="740" w:type="pct"/>
            <w:vAlign w:val="center"/>
          </w:tcPr>
          <w:p w14:paraId="7BFCC8AB">
            <w:pPr>
              <w:pStyle w:val="64"/>
              <w:wordWrap w:val="0"/>
              <w:rPr>
                <w:rFonts w:cs="Times New Roman"/>
              </w:rPr>
            </w:pPr>
            <w:r>
              <w:rPr>
                <w:rFonts w:cs="Times New Roman"/>
              </w:rPr>
              <w:t>0.005</w:t>
            </w:r>
          </w:p>
        </w:tc>
        <w:tc>
          <w:tcPr>
            <w:tcW w:w="738" w:type="pct"/>
            <w:vAlign w:val="center"/>
          </w:tcPr>
          <w:p w14:paraId="2BAB4AB9">
            <w:pPr>
              <w:pStyle w:val="64"/>
              <w:wordWrap w:val="0"/>
              <w:rPr>
                <w:rFonts w:cs="Times New Roman"/>
              </w:rPr>
            </w:pPr>
            <w:r>
              <w:rPr>
                <w:rFonts w:cs="Times New Roman"/>
              </w:rPr>
              <w:t>0.026</w:t>
            </w:r>
          </w:p>
        </w:tc>
      </w:tr>
      <w:tr w14:paraId="272E6A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1" w:type="pct"/>
            <w:vMerge w:val="restart"/>
            <w:vAlign w:val="center"/>
          </w:tcPr>
          <w:p w14:paraId="7172B969">
            <w:pPr>
              <w:pStyle w:val="64"/>
              <w:wordWrap w:val="0"/>
              <w:rPr>
                <w:rFonts w:cs="Times New Roman"/>
              </w:rPr>
            </w:pPr>
            <w:r>
              <w:rPr>
                <w:rFonts w:cs="Times New Roman"/>
              </w:rPr>
              <w:t>碳酸盐</w:t>
            </w:r>
          </w:p>
        </w:tc>
        <w:tc>
          <w:tcPr>
            <w:tcW w:w="505" w:type="pct"/>
            <w:vMerge w:val="restart"/>
            <w:vAlign w:val="center"/>
          </w:tcPr>
          <w:p w14:paraId="593FED99">
            <w:pPr>
              <w:pStyle w:val="64"/>
              <w:wordWrap w:val="0"/>
              <w:rPr>
                <w:rFonts w:cs="Times New Roman"/>
              </w:rPr>
            </w:pPr>
            <w:r>
              <w:rPr>
                <w:rFonts w:cs="Times New Roman"/>
              </w:rPr>
              <w:t>2024.04.08</w:t>
            </w:r>
          </w:p>
        </w:tc>
        <w:tc>
          <w:tcPr>
            <w:tcW w:w="314" w:type="pct"/>
            <w:vAlign w:val="center"/>
          </w:tcPr>
          <w:p w14:paraId="048AFB8D">
            <w:pPr>
              <w:pStyle w:val="64"/>
              <w:wordWrap w:val="0"/>
              <w:rPr>
                <w:rFonts w:cs="Times New Roman"/>
              </w:rPr>
            </w:pPr>
            <w:r>
              <w:rPr>
                <w:rFonts w:cs="Times New Roman"/>
              </w:rPr>
              <w:t>Ci</w:t>
            </w:r>
          </w:p>
        </w:tc>
        <w:tc>
          <w:tcPr>
            <w:tcW w:w="740" w:type="pct"/>
            <w:vAlign w:val="center"/>
          </w:tcPr>
          <w:p w14:paraId="62E0F217">
            <w:pPr>
              <w:pStyle w:val="64"/>
              <w:wordWrap w:val="0"/>
              <w:rPr>
                <w:rFonts w:cs="Times New Roman"/>
              </w:rPr>
            </w:pPr>
            <w:r>
              <w:rPr>
                <w:rFonts w:cs="Times New Roman"/>
              </w:rPr>
              <w:t>0.28</w:t>
            </w:r>
          </w:p>
        </w:tc>
        <w:tc>
          <w:tcPr>
            <w:tcW w:w="712" w:type="pct"/>
            <w:vAlign w:val="center"/>
          </w:tcPr>
          <w:p w14:paraId="6AB43A17">
            <w:pPr>
              <w:pStyle w:val="64"/>
              <w:wordWrap w:val="0"/>
              <w:rPr>
                <w:rFonts w:cs="Times New Roman"/>
              </w:rPr>
            </w:pPr>
            <w:r>
              <w:rPr>
                <w:rFonts w:cs="Times New Roman"/>
              </w:rPr>
              <w:t>0.42</w:t>
            </w:r>
          </w:p>
        </w:tc>
        <w:tc>
          <w:tcPr>
            <w:tcW w:w="740" w:type="pct"/>
            <w:vAlign w:val="center"/>
          </w:tcPr>
          <w:p w14:paraId="1F25671D">
            <w:pPr>
              <w:pStyle w:val="64"/>
              <w:wordWrap w:val="0"/>
              <w:rPr>
                <w:rFonts w:cs="Times New Roman"/>
              </w:rPr>
            </w:pPr>
            <w:r>
              <w:rPr>
                <w:rFonts w:cs="Times New Roman"/>
              </w:rPr>
              <w:t>0.26</w:t>
            </w:r>
          </w:p>
        </w:tc>
        <w:tc>
          <w:tcPr>
            <w:tcW w:w="740" w:type="pct"/>
            <w:vAlign w:val="center"/>
          </w:tcPr>
          <w:p w14:paraId="78F18671">
            <w:pPr>
              <w:pStyle w:val="64"/>
              <w:wordWrap w:val="0"/>
              <w:rPr>
                <w:rFonts w:cs="Times New Roman"/>
              </w:rPr>
            </w:pPr>
            <w:r>
              <w:rPr>
                <w:rFonts w:cs="Times New Roman"/>
              </w:rPr>
              <w:t>0.32</w:t>
            </w:r>
          </w:p>
        </w:tc>
        <w:tc>
          <w:tcPr>
            <w:tcW w:w="738" w:type="pct"/>
            <w:vAlign w:val="center"/>
          </w:tcPr>
          <w:p w14:paraId="64BFA51E">
            <w:pPr>
              <w:pStyle w:val="64"/>
              <w:wordWrap w:val="0"/>
              <w:rPr>
                <w:rFonts w:cs="Times New Roman"/>
              </w:rPr>
            </w:pPr>
            <w:r>
              <w:rPr>
                <w:rFonts w:cs="Times New Roman"/>
              </w:rPr>
              <w:t>0.36</w:t>
            </w:r>
          </w:p>
        </w:tc>
      </w:tr>
      <w:tr w14:paraId="01BF9F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1" w:type="pct"/>
            <w:vMerge w:val="continue"/>
            <w:vAlign w:val="center"/>
          </w:tcPr>
          <w:p w14:paraId="3AC0706E">
            <w:pPr>
              <w:pStyle w:val="64"/>
              <w:wordWrap w:val="0"/>
              <w:rPr>
                <w:rFonts w:cs="Times New Roman"/>
              </w:rPr>
            </w:pPr>
          </w:p>
        </w:tc>
        <w:tc>
          <w:tcPr>
            <w:tcW w:w="505" w:type="pct"/>
            <w:vMerge w:val="continue"/>
            <w:vAlign w:val="center"/>
          </w:tcPr>
          <w:p w14:paraId="03A5FB2A">
            <w:pPr>
              <w:pStyle w:val="64"/>
              <w:wordWrap w:val="0"/>
              <w:rPr>
                <w:rFonts w:cs="Times New Roman"/>
              </w:rPr>
            </w:pPr>
          </w:p>
        </w:tc>
        <w:tc>
          <w:tcPr>
            <w:tcW w:w="314" w:type="pct"/>
            <w:vAlign w:val="center"/>
          </w:tcPr>
          <w:p w14:paraId="11A12D83">
            <w:pPr>
              <w:pStyle w:val="64"/>
              <w:wordWrap w:val="0"/>
              <w:rPr>
                <w:rFonts w:cs="Times New Roman"/>
              </w:rPr>
            </w:pPr>
            <w:r>
              <w:rPr>
                <w:rFonts w:cs="Times New Roman"/>
              </w:rPr>
              <w:t>Si</w:t>
            </w:r>
          </w:p>
        </w:tc>
        <w:tc>
          <w:tcPr>
            <w:tcW w:w="740" w:type="pct"/>
            <w:vAlign w:val="center"/>
          </w:tcPr>
          <w:p w14:paraId="6F5BB75B">
            <w:pPr>
              <w:pStyle w:val="64"/>
              <w:wordWrap w:val="0"/>
              <w:rPr>
                <w:rFonts w:cs="Times New Roman"/>
              </w:rPr>
            </w:pPr>
            <w:r>
              <w:rPr>
                <w:rFonts w:cs="Times New Roman"/>
              </w:rPr>
              <w:t>/</w:t>
            </w:r>
          </w:p>
        </w:tc>
        <w:tc>
          <w:tcPr>
            <w:tcW w:w="712" w:type="pct"/>
            <w:vAlign w:val="center"/>
          </w:tcPr>
          <w:p w14:paraId="2C9603D0">
            <w:pPr>
              <w:pStyle w:val="64"/>
              <w:wordWrap w:val="0"/>
              <w:rPr>
                <w:rFonts w:cs="Times New Roman"/>
              </w:rPr>
            </w:pPr>
            <w:r>
              <w:rPr>
                <w:rFonts w:cs="Times New Roman"/>
              </w:rPr>
              <w:t>/</w:t>
            </w:r>
          </w:p>
        </w:tc>
        <w:tc>
          <w:tcPr>
            <w:tcW w:w="740" w:type="pct"/>
            <w:vAlign w:val="center"/>
          </w:tcPr>
          <w:p w14:paraId="121D0FD1">
            <w:pPr>
              <w:pStyle w:val="64"/>
              <w:wordWrap w:val="0"/>
              <w:rPr>
                <w:rFonts w:cs="Times New Roman"/>
              </w:rPr>
            </w:pPr>
            <w:r>
              <w:rPr>
                <w:rFonts w:cs="Times New Roman"/>
              </w:rPr>
              <w:t>/</w:t>
            </w:r>
          </w:p>
        </w:tc>
        <w:tc>
          <w:tcPr>
            <w:tcW w:w="740" w:type="pct"/>
            <w:vAlign w:val="center"/>
          </w:tcPr>
          <w:p w14:paraId="7FF482D0">
            <w:pPr>
              <w:pStyle w:val="64"/>
              <w:wordWrap w:val="0"/>
              <w:rPr>
                <w:rFonts w:cs="Times New Roman"/>
              </w:rPr>
            </w:pPr>
            <w:r>
              <w:rPr>
                <w:rFonts w:cs="Times New Roman"/>
              </w:rPr>
              <w:t>/</w:t>
            </w:r>
          </w:p>
        </w:tc>
        <w:tc>
          <w:tcPr>
            <w:tcW w:w="738" w:type="pct"/>
            <w:vAlign w:val="center"/>
          </w:tcPr>
          <w:p w14:paraId="624B671D">
            <w:pPr>
              <w:pStyle w:val="64"/>
              <w:wordWrap w:val="0"/>
              <w:rPr>
                <w:rFonts w:cs="Times New Roman"/>
              </w:rPr>
            </w:pPr>
            <w:r>
              <w:rPr>
                <w:rFonts w:cs="Times New Roman"/>
              </w:rPr>
              <w:t>/</w:t>
            </w:r>
          </w:p>
        </w:tc>
      </w:tr>
      <w:tr w14:paraId="46E392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1" w:type="pct"/>
            <w:vMerge w:val="continue"/>
            <w:vAlign w:val="center"/>
          </w:tcPr>
          <w:p w14:paraId="2F5B79AB">
            <w:pPr>
              <w:pStyle w:val="64"/>
              <w:wordWrap w:val="0"/>
              <w:rPr>
                <w:rFonts w:cs="Times New Roman"/>
              </w:rPr>
            </w:pPr>
          </w:p>
        </w:tc>
        <w:tc>
          <w:tcPr>
            <w:tcW w:w="505" w:type="pct"/>
            <w:vMerge w:val="restart"/>
            <w:vAlign w:val="center"/>
          </w:tcPr>
          <w:p w14:paraId="635765F8">
            <w:pPr>
              <w:pStyle w:val="64"/>
              <w:wordWrap w:val="0"/>
              <w:rPr>
                <w:rFonts w:cs="Times New Roman"/>
              </w:rPr>
            </w:pPr>
            <w:r>
              <w:rPr>
                <w:rFonts w:cs="Times New Roman"/>
              </w:rPr>
              <w:t>2024.04.09</w:t>
            </w:r>
          </w:p>
        </w:tc>
        <w:tc>
          <w:tcPr>
            <w:tcW w:w="314" w:type="pct"/>
            <w:vAlign w:val="center"/>
          </w:tcPr>
          <w:p w14:paraId="2AEFCB90">
            <w:pPr>
              <w:pStyle w:val="64"/>
              <w:wordWrap w:val="0"/>
              <w:rPr>
                <w:rFonts w:cs="Times New Roman"/>
              </w:rPr>
            </w:pPr>
            <w:r>
              <w:rPr>
                <w:rFonts w:cs="Times New Roman"/>
              </w:rPr>
              <w:t>Ci</w:t>
            </w:r>
          </w:p>
        </w:tc>
        <w:tc>
          <w:tcPr>
            <w:tcW w:w="740" w:type="pct"/>
            <w:vAlign w:val="center"/>
          </w:tcPr>
          <w:p w14:paraId="4C611F70">
            <w:pPr>
              <w:pStyle w:val="64"/>
              <w:wordWrap w:val="0"/>
              <w:rPr>
                <w:rFonts w:cs="Times New Roman"/>
              </w:rPr>
            </w:pPr>
            <w:r>
              <w:rPr>
                <w:rFonts w:cs="Times New Roman"/>
              </w:rPr>
              <w:t>0.25</w:t>
            </w:r>
          </w:p>
        </w:tc>
        <w:tc>
          <w:tcPr>
            <w:tcW w:w="712" w:type="pct"/>
            <w:vAlign w:val="center"/>
          </w:tcPr>
          <w:p w14:paraId="44FFFA82">
            <w:pPr>
              <w:pStyle w:val="64"/>
              <w:wordWrap w:val="0"/>
              <w:rPr>
                <w:rFonts w:cs="Times New Roman"/>
              </w:rPr>
            </w:pPr>
            <w:r>
              <w:rPr>
                <w:rFonts w:cs="Times New Roman"/>
              </w:rPr>
              <w:t>0.36</w:t>
            </w:r>
          </w:p>
        </w:tc>
        <w:tc>
          <w:tcPr>
            <w:tcW w:w="740" w:type="pct"/>
            <w:vAlign w:val="center"/>
          </w:tcPr>
          <w:p w14:paraId="2B3A1981">
            <w:pPr>
              <w:pStyle w:val="64"/>
              <w:wordWrap w:val="0"/>
              <w:rPr>
                <w:rFonts w:cs="Times New Roman"/>
              </w:rPr>
            </w:pPr>
            <w:r>
              <w:rPr>
                <w:rFonts w:cs="Times New Roman"/>
              </w:rPr>
              <w:t>0.34</w:t>
            </w:r>
          </w:p>
        </w:tc>
        <w:tc>
          <w:tcPr>
            <w:tcW w:w="740" w:type="pct"/>
            <w:vAlign w:val="center"/>
          </w:tcPr>
          <w:p w14:paraId="6EF14041">
            <w:pPr>
              <w:pStyle w:val="64"/>
              <w:wordWrap w:val="0"/>
              <w:rPr>
                <w:rFonts w:cs="Times New Roman"/>
              </w:rPr>
            </w:pPr>
            <w:r>
              <w:rPr>
                <w:rFonts w:cs="Times New Roman"/>
              </w:rPr>
              <w:t>0.33</w:t>
            </w:r>
          </w:p>
        </w:tc>
        <w:tc>
          <w:tcPr>
            <w:tcW w:w="738" w:type="pct"/>
            <w:vAlign w:val="center"/>
          </w:tcPr>
          <w:p w14:paraId="383AE803">
            <w:pPr>
              <w:pStyle w:val="64"/>
              <w:wordWrap w:val="0"/>
              <w:rPr>
                <w:rFonts w:cs="Times New Roman"/>
              </w:rPr>
            </w:pPr>
            <w:r>
              <w:rPr>
                <w:rFonts w:cs="Times New Roman"/>
              </w:rPr>
              <w:t>0.4</w:t>
            </w:r>
          </w:p>
        </w:tc>
      </w:tr>
      <w:tr w14:paraId="7E1D73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1" w:type="pct"/>
            <w:vMerge w:val="continue"/>
            <w:vAlign w:val="center"/>
          </w:tcPr>
          <w:p w14:paraId="236DC4CA">
            <w:pPr>
              <w:pStyle w:val="64"/>
              <w:wordWrap w:val="0"/>
              <w:rPr>
                <w:rFonts w:cs="Times New Roman"/>
              </w:rPr>
            </w:pPr>
          </w:p>
        </w:tc>
        <w:tc>
          <w:tcPr>
            <w:tcW w:w="505" w:type="pct"/>
            <w:vMerge w:val="continue"/>
            <w:vAlign w:val="center"/>
          </w:tcPr>
          <w:p w14:paraId="45234DAD">
            <w:pPr>
              <w:pStyle w:val="64"/>
              <w:wordWrap w:val="0"/>
              <w:rPr>
                <w:rFonts w:cs="Times New Roman"/>
              </w:rPr>
            </w:pPr>
          </w:p>
        </w:tc>
        <w:tc>
          <w:tcPr>
            <w:tcW w:w="314" w:type="pct"/>
            <w:vAlign w:val="center"/>
          </w:tcPr>
          <w:p w14:paraId="7667CCF2">
            <w:pPr>
              <w:pStyle w:val="64"/>
              <w:wordWrap w:val="0"/>
              <w:rPr>
                <w:rFonts w:cs="Times New Roman"/>
              </w:rPr>
            </w:pPr>
            <w:r>
              <w:rPr>
                <w:rFonts w:cs="Times New Roman"/>
              </w:rPr>
              <w:t>Si</w:t>
            </w:r>
          </w:p>
        </w:tc>
        <w:tc>
          <w:tcPr>
            <w:tcW w:w="740" w:type="pct"/>
            <w:vAlign w:val="center"/>
          </w:tcPr>
          <w:p w14:paraId="072E5DB9">
            <w:pPr>
              <w:pStyle w:val="64"/>
              <w:wordWrap w:val="0"/>
              <w:rPr>
                <w:rFonts w:cs="Times New Roman"/>
              </w:rPr>
            </w:pPr>
            <w:r>
              <w:rPr>
                <w:rFonts w:cs="Times New Roman"/>
              </w:rPr>
              <w:t>/</w:t>
            </w:r>
          </w:p>
        </w:tc>
        <w:tc>
          <w:tcPr>
            <w:tcW w:w="712" w:type="pct"/>
            <w:vAlign w:val="center"/>
          </w:tcPr>
          <w:p w14:paraId="18CE34C9">
            <w:pPr>
              <w:pStyle w:val="64"/>
              <w:wordWrap w:val="0"/>
              <w:rPr>
                <w:rFonts w:cs="Times New Roman"/>
              </w:rPr>
            </w:pPr>
            <w:r>
              <w:rPr>
                <w:rFonts w:cs="Times New Roman"/>
              </w:rPr>
              <w:t>/</w:t>
            </w:r>
          </w:p>
        </w:tc>
        <w:tc>
          <w:tcPr>
            <w:tcW w:w="740" w:type="pct"/>
            <w:vAlign w:val="center"/>
          </w:tcPr>
          <w:p w14:paraId="39CBCDCC">
            <w:pPr>
              <w:pStyle w:val="64"/>
              <w:wordWrap w:val="0"/>
              <w:rPr>
                <w:rFonts w:cs="Times New Roman"/>
              </w:rPr>
            </w:pPr>
            <w:r>
              <w:rPr>
                <w:rFonts w:cs="Times New Roman"/>
              </w:rPr>
              <w:t>/</w:t>
            </w:r>
          </w:p>
        </w:tc>
        <w:tc>
          <w:tcPr>
            <w:tcW w:w="740" w:type="pct"/>
            <w:vAlign w:val="center"/>
          </w:tcPr>
          <w:p w14:paraId="5AA2EF96">
            <w:pPr>
              <w:pStyle w:val="64"/>
              <w:wordWrap w:val="0"/>
              <w:rPr>
                <w:rFonts w:cs="Times New Roman"/>
              </w:rPr>
            </w:pPr>
            <w:r>
              <w:rPr>
                <w:rFonts w:cs="Times New Roman"/>
              </w:rPr>
              <w:t>/</w:t>
            </w:r>
          </w:p>
        </w:tc>
        <w:tc>
          <w:tcPr>
            <w:tcW w:w="738" w:type="pct"/>
            <w:vAlign w:val="center"/>
          </w:tcPr>
          <w:p w14:paraId="37CE3D96">
            <w:pPr>
              <w:pStyle w:val="64"/>
              <w:wordWrap w:val="0"/>
              <w:rPr>
                <w:rFonts w:cs="Times New Roman"/>
              </w:rPr>
            </w:pPr>
            <w:r>
              <w:rPr>
                <w:rFonts w:cs="Times New Roman"/>
              </w:rPr>
              <w:t>/</w:t>
            </w:r>
          </w:p>
        </w:tc>
      </w:tr>
      <w:tr w14:paraId="1DB678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1" w:type="pct"/>
            <w:vMerge w:val="restart"/>
            <w:vAlign w:val="center"/>
          </w:tcPr>
          <w:p w14:paraId="4AD70924">
            <w:pPr>
              <w:pStyle w:val="64"/>
              <w:wordWrap w:val="0"/>
              <w:rPr>
                <w:rFonts w:cs="Times New Roman"/>
              </w:rPr>
            </w:pPr>
            <w:r>
              <w:rPr>
                <w:rFonts w:cs="Times New Roman"/>
              </w:rPr>
              <w:t>重碳酸盐</w:t>
            </w:r>
          </w:p>
        </w:tc>
        <w:tc>
          <w:tcPr>
            <w:tcW w:w="505" w:type="pct"/>
            <w:vMerge w:val="restart"/>
            <w:vAlign w:val="center"/>
          </w:tcPr>
          <w:p w14:paraId="368674A2">
            <w:pPr>
              <w:pStyle w:val="64"/>
              <w:wordWrap w:val="0"/>
              <w:rPr>
                <w:rFonts w:cs="Times New Roman"/>
              </w:rPr>
            </w:pPr>
            <w:r>
              <w:rPr>
                <w:rFonts w:cs="Times New Roman"/>
              </w:rPr>
              <w:t>2024.04.08</w:t>
            </w:r>
          </w:p>
        </w:tc>
        <w:tc>
          <w:tcPr>
            <w:tcW w:w="314" w:type="pct"/>
            <w:vAlign w:val="center"/>
          </w:tcPr>
          <w:p w14:paraId="5F353A6D">
            <w:pPr>
              <w:pStyle w:val="64"/>
              <w:wordWrap w:val="0"/>
              <w:rPr>
                <w:rFonts w:cs="Times New Roman"/>
              </w:rPr>
            </w:pPr>
            <w:r>
              <w:rPr>
                <w:rFonts w:cs="Times New Roman"/>
              </w:rPr>
              <w:t>Ci</w:t>
            </w:r>
          </w:p>
        </w:tc>
        <w:tc>
          <w:tcPr>
            <w:tcW w:w="740" w:type="pct"/>
            <w:vAlign w:val="center"/>
          </w:tcPr>
          <w:p w14:paraId="180F3DB1">
            <w:pPr>
              <w:pStyle w:val="64"/>
              <w:wordWrap w:val="0"/>
              <w:rPr>
                <w:rFonts w:cs="Times New Roman"/>
              </w:rPr>
            </w:pPr>
            <w:r>
              <w:rPr>
                <w:rFonts w:cs="Times New Roman"/>
              </w:rPr>
              <w:t>5.08</w:t>
            </w:r>
          </w:p>
        </w:tc>
        <w:tc>
          <w:tcPr>
            <w:tcW w:w="712" w:type="pct"/>
            <w:vAlign w:val="center"/>
          </w:tcPr>
          <w:p w14:paraId="1BBE7DD4">
            <w:pPr>
              <w:pStyle w:val="64"/>
              <w:wordWrap w:val="0"/>
              <w:rPr>
                <w:rFonts w:cs="Times New Roman"/>
              </w:rPr>
            </w:pPr>
            <w:r>
              <w:rPr>
                <w:rFonts w:cs="Times New Roman"/>
              </w:rPr>
              <w:t>7.19</w:t>
            </w:r>
          </w:p>
        </w:tc>
        <w:tc>
          <w:tcPr>
            <w:tcW w:w="740" w:type="pct"/>
            <w:vAlign w:val="center"/>
          </w:tcPr>
          <w:p w14:paraId="75EDEF46">
            <w:pPr>
              <w:pStyle w:val="64"/>
              <w:wordWrap w:val="0"/>
              <w:rPr>
                <w:rFonts w:cs="Times New Roman"/>
              </w:rPr>
            </w:pPr>
            <w:r>
              <w:rPr>
                <w:rFonts w:cs="Times New Roman"/>
              </w:rPr>
              <w:t>5.1</w:t>
            </w:r>
          </w:p>
        </w:tc>
        <w:tc>
          <w:tcPr>
            <w:tcW w:w="740" w:type="pct"/>
            <w:vAlign w:val="center"/>
          </w:tcPr>
          <w:p w14:paraId="440158A6">
            <w:pPr>
              <w:pStyle w:val="64"/>
              <w:wordWrap w:val="0"/>
              <w:rPr>
                <w:rFonts w:cs="Times New Roman"/>
              </w:rPr>
            </w:pPr>
            <w:r>
              <w:rPr>
                <w:rFonts w:cs="Times New Roman"/>
              </w:rPr>
              <w:t>5.3</w:t>
            </w:r>
          </w:p>
        </w:tc>
        <w:tc>
          <w:tcPr>
            <w:tcW w:w="738" w:type="pct"/>
            <w:vAlign w:val="center"/>
          </w:tcPr>
          <w:p w14:paraId="02B2BAD7">
            <w:pPr>
              <w:pStyle w:val="64"/>
              <w:wordWrap w:val="0"/>
              <w:rPr>
                <w:rFonts w:cs="Times New Roman"/>
              </w:rPr>
            </w:pPr>
            <w:r>
              <w:rPr>
                <w:rFonts w:cs="Times New Roman"/>
              </w:rPr>
              <w:t>6.73</w:t>
            </w:r>
          </w:p>
        </w:tc>
      </w:tr>
      <w:tr w14:paraId="1224EF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1" w:type="pct"/>
            <w:vMerge w:val="continue"/>
            <w:vAlign w:val="center"/>
          </w:tcPr>
          <w:p w14:paraId="7C2AB83E">
            <w:pPr>
              <w:pStyle w:val="64"/>
              <w:wordWrap w:val="0"/>
              <w:rPr>
                <w:rFonts w:cs="Times New Roman"/>
              </w:rPr>
            </w:pPr>
          </w:p>
        </w:tc>
        <w:tc>
          <w:tcPr>
            <w:tcW w:w="505" w:type="pct"/>
            <w:vMerge w:val="continue"/>
            <w:vAlign w:val="center"/>
          </w:tcPr>
          <w:p w14:paraId="0DEB0CDA">
            <w:pPr>
              <w:pStyle w:val="64"/>
              <w:wordWrap w:val="0"/>
              <w:rPr>
                <w:rFonts w:cs="Times New Roman"/>
              </w:rPr>
            </w:pPr>
          </w:p>
        </w:tc>
        <w:tc>
          <w:tcPr>
            <w:tcW w:w="314" w:type="pct"/>
            <w:vAlign w:val="center"/>
          </w:tcPr>
          <w:p w14:paraId="0D58B115">
            <w:pPr>
              <w:pStyle w:val="64"/>
              <w:wordWrap w:val="0"/>
              <w:rPr>
                <w:rFonts w:cs="Times New Roman"/>
              </w:rPr>
            </w:pPr>
            <w:r>
              <w:rPr>
                <w:rFonts w:cs="Times New Roman"/>
              </w:rPr>
              <w:t>Si</w:t>
            </w:r>
          </w:p>
        </w:tc>
        <w:tc>
          <w:tcPr>
            <w:tcW w:w="740" w:type="pct"/>
            <w:vAlign w:val="center"/>
          </w:tcPr>
          <w:p w14:paraId="1E8E3AB6">
            <w:pPr>
              <w:pStyle w:val="64"/>
              <w:wordWrap w:val="0"/>
              <w:rPr>
                <w:rFonts w:cs="Times New Roman"/>
              </w:rPr>
            </w:pPr>
            <w:r>
              <w:rPr>
                <w:rFonts w:cs="Times New Roman"/>
              </w:rPr>
              <w:t>/</w:t>
            </w:r>
          </w:p>
        </w:tc>
        <w:tc>
          <w:tcPr>
            <w:tcW w:w="712" w:type="pct"/>
            <w:vAlign w:val="center"/>
          </w:tcPr>
          <w:p w14:paraId="516F27EA">
            <w:pPr>
              <w:pStyle w:val="64"/>
              <w:wordWrap w:val="0"/>
              <w:rPr>
                <w:rFonts w:cs="Times New Roman"/>
              </w:rPr>
            </w:pPr>
            <w:r>
              <w:rPr>
                <w:rFonts w:cs="Times New Roman"/>
              </w:rPr>
              <w:t>/</w:t>
            </w:r>
          </w:p>
        </w:tc>
        <w:tc>
          <w:tcPr>
            <w:tcW w:w="740" w:type="pct"/>
            <w:vAlign w:val="center"/>
          </w:tcPr>
          <w:p w14:paraId="305B2702">
            <w:pPr>
              <w:pStyle w:val="64"/>
              <w:wordWrap w:val="0"/>
              <w:rPr>
                <w:rFonts w:cs="Times New Roman"/>
              </w:rPr>
            </w:pPr>
            <w:r>
              <w:rPr>
                <w:rFonts w:cs="Times New Roman"/>
              </w:rPr>
              <w:t>/</w:t>
            </w:r>
          </w:p>
        </w:tc>
        <w:tc>
          <w:tcPr>
            <w:tcW w:w="740" w:type="pct"/>
            <w:vAlign w:val="center"/>
          </w:tcPr>
          <w:p w14:paraId="33F439E4">
            <w:pPr>
              <w:pStyle w:val="64"/>
              <w:wordWrap w:val="0"/>
              <w:rPr>
                <w:rFonts w:cs="Times New Roman"/>
              </w:rPr>
            </w:pPr>
            <w:r>
              <w:rPr>
                <w:rFonts w:cs="Times New Roman"/>
              </w:rPr>
              <w:t>/</w:t>
            </w:r>
          </w:p>
        </w:tc>
        <w:tc>
          <w:tcPr>
            <w:tcW w:w="738" w:type="pct"/>
            <w:vAlign w:val="center"/>
          </w:tcPr>
          <w:p w14:paraId="3B5DA237">
            <w:pPr>
              <w:pStyle w:val="64"/>
              <w:wordWrap w:val="0"/>
              <w:rPr>
                <w:rFonts w:cs="Times New Roman"/>
              </w:rPr>
            </w:pPr>
            <w:r>
              <w:rPr>
                <w:rFonts w:cs="Times New Roman"/>
              </w:rPr>
              <w:t>/</w:t>
            </w:r>
          </w:p>
        </w:tc>
      </w:tr>
      <w:tr w14:paraId="3A11F0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1" w:type="pct"/>
            <w:vMerge w:val="continue"/>
            <w:vAlign w:val="center"/>
          </w:tcPr>
          <w:p w14:paraId="2DFC1B5C">
            <w:pPr>
              <w:pStyle w:val="64"/>
              <w:wordWrap w:val="0"/>
              <w:rPr>
                <w:rFonts w:cs="Times New Roman"/>
              </w:rPr>
            </w:pPr>
          </w:p>
        </w:tc>
        <w:tc>
          <w:tcPr>
            <w:tcW w:w="505" w:type="pct"/>
            <w:vMerge w:val="restart"/>
            <w:vAlign w:val="center"/>
          </w:tcPr>
          <w:p w14:paraId="3BB2647A">
            <w:pPr>
              <w:pStyle w:val="64"/>
              <w:wordWrap w:val="0"/>
              <w:rPr>
                <w:rFonts w:cs="Times New Roman"/>
              </w:rPr>
            </w:pPr>
            <w:r>
              <w:rPr>
                <w:rFonts w:cs="Times New Roman"/>
              </w:rPr>
              <w:t>2024.04.09</w:t>
            </w:r>
          </w:p>
        </w:tc>
        <w:tc>
          <w:tcPr>
            <w:tcW w:w="314" w:type="pct"/>
            <w:vAlign w:val="center"/>
          </w:tcPr>
          <w:p w14:paraId="45C55DCF">
            <w:pPr>
              <w:pStyle w:val="64"/>
              <w:wordWrap w:val="0"/>
              <w:rPr>
                <w:rFonts w:cs="Times New Roman"/>
              </w:rPr>
            </w:pPr>
            <w:r>
              <w:rPr>
                <w:rFonts w:cs="Times New Roman"/>
              </w:rPr>
              <w:t>Ci</w:t>
            </w:r>
          </w:p>
        </w:tc>
        <w:tc>
          <w:tcPr>
            <w:tcW w:w="740" w:type="pct"/>
            <w:vAlign w:val="center"/>
          </w:tcPr>
          <w:p w14:paraId="3FAC9E99">
            <w:pPr>
              <w:pStyle w:val="64"/>
              <w:wordWrap w:val="0"/>
              <w:rPr>
                <w:rFonts w:cs="Times New Roman"/>
              </w:rPr>
            </w:pPr>
            <w:r>
              <w:rPr>
                <w:rFonts w:cs="Times New Roman"/>
              </w:rPr>
              <w:t>5.08</w:t>
            </w:r>
          </w:p>
        </w:tc>
        <w:tc>
          <w:tcPr>
            <w:tcW w:w="712" w:type="pct"/>
            <w:vAlign w:val="center"/>
          </w:tcPr>
          <w:p w14:paraId="5C4D2999">
            <w:pPr>
              <w:pStyle w:val="64"/>
              <w:wordWrap w:val="0"/>
              <w:rPr>
                <w:rFonts w:cs="Times New Roman"/>
              </w:rPr>
            </w:pPr>
            <w:r>
              <w:rPr>
                <w:rFonts w:cs="Times New Roman"/>
              </w:rPr>
              <w:t>7.18</w:t>
            </w:r>
          </w:p>
        </w:tc>
        <w:tc>
          <w:tcPr>
            <w:tcW w:w="740" w:type="pct"/>
            <w:vAlign w:val="center"/>
          </w:tcPr>
          <w:p w14:paraId="1741C081">
            <w:pPr>
              <w:pStyle w:val="64"/>
              <w:wordWrap w:val="0"/>
              <w:rPr>
                <w:rFonts w:cs="Times New Roman"/>
              </w:rPr>
            </w:pPr>
            <w:r>
              <w:rPr>
                <w:rFonts w:cs="Times New Roman"/>
              </w:rPr>
              <w:t>4.96</w:t>
            </w:r>
          </w:p>
        </w:tc>
        <w:tc>
          <w:tcPr>
            <w:tcW w:w="740" w:type="pct"/>
            <w:vAlign w:val="center"/>
          </w:tcPr>
          <w:p w14:paraId="5082DA3F">
            <w:pPr>
              <w:pStyle w:val="64"/>
              <w:wordWrap w:val="0"/>
              <w:rPr>
                <w:rFonts w:cs="Times New Roman"/>
              </w:rPr>
            </w:pPr>
            <w:r>
              <w:rPr>
                <w:rFonts w:cs="Times New Roman"/>
              </w:rPr>
              <w:t>5.34</w:t>
            </w:r>
          </w:p>
        </w:tc>
        <w:tc>
          <w:tcPr>
            <w:tcW w:w="738" w:type="pct"/>
            <w:vAlign w:val="center"/>
          </w:tcPr>
          <w:p w14:paraId="46FB845E">
            <w:pPr>
              <w:pStyle w:val="64"/>
              <w:wordWrap w:val="0"/>
              <w:rPr>
                <w:rFonts w:cs="Times New Roman"/>
              </w:rPr>
            </w:pPr>
            <w:r>
              <w:rPr>
                <w:rFonts w:cs="Times New Roman"/>
              </w:rPr>
              <w:t>6.7</w:t>
            </w:r>
          </w:p>
        </w:tc>
      </w:tr>
      <w:tr w14:paraId="30A04B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1" w:type="pct"/>
            <w:vMerge w:val="continue"/>
            <w:vAlign w:val="center"/>
          </w:tcPr>
          <w:p w14:paraId="5D32FDC2">
            <w:pPr>
              <w:pStyle w:val="64"/>
              <w:wordWrap w:val="0"/>
              <w:rPr>
                <w:rFonts w:cs="Times New Roman"/>
              </w:rPr>
            </w:pPr>
          </w:p>
        </w:tc>
        <w:tc>
          <w:tcPr>
            <w:tcW w:w="505" w:type="pct"/>
            <w:vMerge w:val="continue"/>
            <w:vAlign w:val="center"/>
          </w:tcPr>
          <w:p w14:paraId="083DEFEB">
            <w:pPr>
              <w:pStyle w:val="64"/>
              <w:wordWrap w:val="0"/>
              <w:rPr>
                <w:rFonts w:cs="Times New Roman"/>
              </w:rPr>
            </w:pPr>
          </w:p>
        </w:tc>
        <w:tc>
          <w:tcPr>
            <w:tcW w:w="314" w:type="pct"/>
            <w:vAlign w:val="center"/>
          </w:tcPr>
          <w:p w14:paraId="4B29C830">
            <w:pPr>
              <w:pStyle w:val="64"/>
              <w:wordWrap w:val="0"/>
              <w:rPr>
                <w:rFonts w:cs="Times New Roman"/>
              </w:rPr>
            </w:pPr>
            <w:r>
              <w:rPr>
                <w:rFonts w:cs="Times New Roman"/>
              </w:rPr>
              <w:t>Si</w:t>
            </w:r>
          </w:p>
        </w:tc>
        <w:tc>
          <w:tcPr>
            <w:tcW w:w="740" w:type="pct"/>
            <w:vAlign w:val="center"/>
          </w:tcPr>
          <w:p w14:paraId="1CF1ADA9">
            <w:pPr>
              <w:pStyle w:val="64"/>
              <w:wordWrap w:val="0"/>
              <w:rPr>
                <w:rFonts w:cs="Times New Roman"/>
              </w:rPr>
            </w:pPr>
            <w:r>
              <w:rPr>
                <w:rFonts w:cs="Times New Roman"/>
              </w:rPr>
              <w:t>I</w:t>
            </w:r>
          </w:p>
        </w:tc>
        <w:tc>
          <w:tcPr>
            <w:tcW w:w="712" w:type="pct"/>
            <w:vAlign w:val="center"/>
          </w:tcPr>
          <w:p w14:paraId="7E9FE629">
            <w:pPr>
              <w:pStyle w:val="64"/>
              <w:wordWrap w:val="0"/>
              <w:rPr>
                <w:rFonts w:cs="Times New Roman"/>
              </w:rPr>
            </w:pPr>
            <w:r>
              <w:rPr>
                <w:rFonts w:cs="Times New Roman"/>
              </w:rPr>
              <w:t>/</w:t>
            </w:r>
          </w:p>
        </w:tc>
        <w:tc>
          <w:tcPr>
            <w:tcW w:w="740" w:type="pct"/>
            <w:vAlign w:val="center"/>
          </w:tcPr>
          <w:p w14:paraId="574DB4D2">
            <w:pPr>
              <w:pStyle w:val="64"/>
              <w:wordWrap w:val="0"/>
              <w:rPr>
                <w:rFonts w:cs="Times New Roman"/>
              </w:rPr>
            </w:pPr>
            <w:r>
              <w:rPr>
                <w:rFonts w:cs="Times New Roman"/>
              </w:rPr>
              <w:t>/</w:t>
            </w:r>
          </w:p>
        </w:tc>
        <w:tc>
          <w:tcPr>
            <w:tcW w:w="740" w:type="pct"/>
            <w:vAlign w:val="center"/>
          </w:tcPr>
          <w:p w14:paraId="5B1EB4EE">
            <w:pPr>
              <w:pStyle w:val="64"/>
              <w:wordWrap w:val="0"/>
              <w:rPr>
                <w:rFonts w:cs="Times New Roman"/>
              </w:rPr>
            </w:pPr>
            <w:r>
              <w:rPr>
                <w:rFonts w:cs="Times New Roman"/>
              </w:rPr>
              <w:t>/</w:t>
            </w:r>
          </w:p>
        </w:tc>
        <w:tc>
          <w:tcPr>
            <w:tcW w:w="738" w:type="pct"/>
            <w:vAlign w:val="center"/>
          </w:tcPr>
          <w:p w14:paraId="440FE3BB">
            <w:pPr>
              <w:pStyle w:val="64"/>
              <w:wordWrap w:val="0"/>
              <w:rPr>
                <w:rFonts w:cs="Times New Roman"/>
              </w:rPr>
            </w:pPr>
            <w:r>
              <w:rPr>
                <w:rFonts w:cs="Times New Roman"/>
              </w:rPr>
              <w:t>/</w:t>
            </w:r>
          </w:p>
        </w:tc>
      </w:tr>
      <w:tr w14:paraId="08CA2B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1" w:type="pct"/>
            <w:vMerge w:val="restart"/>
            <w:vAlign w:val="center"/>
          </w:tcPr>
          <w:p w14:paraId="107E8F01">
            <w:pPr>
              <w:pStyle w:val="64"/>
              <w:wordWrap w:val="0"/>
              <w:rPr>
                <w:rFonts w:cs="Times New Roman"/>
              </w:rPr>
            </w:pPr>
            <w:r>
              <w:rPr>
                <w:rFonts w:cs="Times New Roman"/>
              </w:rPr>
              <w:t>总硬度</w:t>
            </w:r>
          </w:p>
        </w:tc>
        <w:tc>
          <w:tcPr>
            <w:tcW w:w="505" w:type="pct"/>
            <w:vMerge w:val="restart"/>
            <w:vAlign w:val="center"/>
          </w:tcPr>
          <w:p w14:paraId="6240D0BC">
            <w:pPr>
              <w:pStyle w:val="64"/>
              <w:wordWrap w:val="0"/>
              <w:rPr>
                <w:rFonts w:cs="Times New Roman"/>
              </w:rPr>
            </w:pPr>
            <w:r>
              <w:rPr>
                <w:rFonts w:cs="Times New Roman"/>
              </w:rPr>
              <w:t>2024.04.08</w:t>
            </w:r>
          </w:p>
        </w:tc>
        <w:tc>
          <w:tcPr>
            <w:tcW w:w="314" w:type="pct"/>
            <w:vAlign w:val="center"/>
          </w:tcPr>
          <w:p w14:paraId="6B949F0D">
            <w:pPr>
              <w:pStyle w:val="64"/>
              <w:wordWrap w:val="0"/>
              <w:rPr>
                <w:rFonts w:cs="Times New Roman"/>
              </w:rPr>
            </w:pPr>
            <w:r>
              <w:rPr>
                <w:rFonts w:cs="Times New Roman"/>
              </w:rPr>
              <w:t>Ci</w:t>
            </w:r>
          </w:p>
        </w:tc>
        <w:tc>
          <w:tcPr>
            <w:tcW w:w="740" w:type="pct"/>
            <w:vAlign w:val="center"/>
          </w:tcPr>
          <w:p w14:paraId="3FA69EFF">
            <w:pPr>
              <w:pStyle w:val="64"/>
              <w:wordWrap w:val="0"/>
              <w:rPr>
                <w:rFonts w:cs="Times New Roman"/>
              </w:rPr>
            </w:pPr>
            <w:r>
              <w:rPr>
                <w:rFonts w:cs="Times New Roman"/>
              </w:rPr>
              <w:t>310</w:t>
            </w:r>
          </w:p>
        </w:tc>
        <w:tc>
          <w:tcPr>
            <w:tcW w:w="712" w:type="pct"/>
            <w:vAlign w:val="center"/>
          </w:tcPr>
          <w:p w14:paraId="762E7E6A">
            <w:pPr>
              <w:pStyle w:val="64"/>
              <w:wordWrap w:val="0"/>
              <w:rPr>
                <w:rFonts w:cs="Times New Roman"/>
              </w:rPr>
            </w:pPr>
            <w:r>
              <w:rPr>
                <w:rFonts w:cs="Times New Roman"/>
              </w:rPr>
              <w:t>316</w:t>
            </w:r>
          </w:p>
        </w:tc>
        <w:tc>
          <w:tcPr>
            <w:tcW w:w="740" w:type="pct"/>
            <w:vAlign w:val="center"/>
          </w:tcPr>
          <w:p w14:paraId="70B4AA48">
            <w:pPr>
              <w:pStyle w:val="64"/>
              <w:wordWrap w:val="0"/>
              <w:rPr>
                <w:rFonts w:cs="Times New Roman"/>
              </w:rPr>
            </w:pPr>
            <w:r>
              <w:rPr>
                <w:rFonts w:cs="Times New Roman"/>
              </w:rPr>
              <w:t>327</w:t>
            </w:r>
          </w:p>
        </w:tc>
        <w:tc>
          <w:tcPr>
            <w:tcW w:w="740" w:type="pct"/>
            <w:vAlign w:val="center"/>
          </w:tcPr>
          <w:p w14:paraId="5DF57D12">
            <w:pPr>
              <w:pStyle w:val="64"/>
              <w:wordWrap w:val="0"/>
              <w:rPr>
                <w:rFonts w:cs="Times New Roman"/>
              </w:rPr>
            </w:pPr>
            <w:r>
              <w:rPr>
                <w:rFonts w:cs="Times New Roman"/>
              </w:rPr>
              <w:t>313</w:t>
            </w:r>
          </w:p>
        </w:tc>
        <w:tc>
          <w:tcPr>
            <w:tcW w:w="738" w:type="pct"/>
            <w:vAlign w:val="center"/>
          </w:tcPr>
          <w:p w14:paraId="2DCC118D">
            <w:pPr>
              <w:pStyle w:val="64"/>
              <w:wordWrap w:val="0"/>
              <w:rPr>
                <w:rFonts w:cs="Times New Roman"/>
              </w:rPr>
            </w:pPr>
            <w:r>
              <w:rPr>
                <w:rFonts w:cs="Times New Roman"/>
              </w:rPr>
              <w:t>323</w:t>
            </w:r>
          </w:p>
        </w:tc>
      </w:tr>
      <w:tr w14:paraId="5B38BC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1" w:type="pct"/>
            <w:vMerge w:val="continue"/>
            <w:vAlign w:val="center"/>
          </w:tcPr>
          <w:p w14:paraId="4EEB59EC">
            <w:pPr>
              <w:pStyle w:val="64"/>
              <w:wordWrap w:val="0"/>
              <w:rPr>
                <w:rFonts w:cs="Times New Roman"/>
              </w:rPr>
            </w:pPr>
          </w:p>
        </w:tc>
        <w:tc>
          <w:tcPr>
            <w:tcW w:w="505" w:type="pct"/>
            <w:vMerge w:val="continue"/>
            <w:vAlign w:val="center"/>
          </w:tcPr>
          <w:p w14:paraId="35E59ABC">
            <w:pPr>
              <w:pStyle w:val="64"/>
              <w:wordWrap w:val="0"/>
              <w:rPr>
                <w:rFonts w:cs="Times New Roman"/>
              </w:rPr>
            </w:pPr>
          </w:p>
        </w:tc>
        <w:tc>
          <w:tcPr>
            <w:tcW w:w="314" w:type="pct"/>
            <w:vAlign w:val="center"/>
          </w:tcPr>
          <w:p w14:paraId="446DFCA2">
            <w:pPr>
              <w:pStyle w:val="64"/>
              <w:wordWrap w:val="0"/>
              <w:rPr>
                <w:rFonts w:cs="Times New Roman"/>
              </w:rPr>
            </w:pPr>
            <w:r>
              <w:rPr>
                <w:rFonts w:cs="Times New Roman"/>
              </w:rPr>
              <w:t>Si</w:t>
            </w:r>
          </w:p>
        </w:tc>
        <w:tc>
          <w:tcPr>
            <w:tcW w:w="740" w:type="pct"/>
            <w:vAlign w:val="center"/>
          </w:tcPr>
          <w:p w14:paraId="4A81A0A0">
            <w:pPr>
              <w:pStyle w:val="64"/>
              <w:wordWrap w:val="0"/>
              <w:rPr>
                <w:rFonts w:cs="Times New Roman"/>
              </w:rPr>
            </w:pPr>
            <w:r>
              <w:rPr>
                <w:rFonts w:cs="Times New Roman"/>
              </w:rPr>
              <w:t>0.69</w:t>
            </w:r>
          </w:p>
        </w:tc>
        <w:tc>
          <w:tcPr>
            <w:tcW w:w="712" w:type="pct"/>
            <w:vAlign w:val="center"/>
          </w:tcPr>
          <w:p w14:paraId="69FC08CB">
            <w:pPr>
              <w:pStyle w:val="64"/>
              <w:wordWrap w:val="0"/>
              <w:rPr>
                <w:rFonts w:cs="Times New Roman"/>
              </w:rPr>
            </w:pPr>
            <w:r>
              <w:rPr>
                <w:rFonts w:cs="Times New Roman"/>
              </w:rPr>
              <w:t>0.70</w:t>
            </w:r>
          </w:p>
        </w:tc>
        <w:tc>
          <w:tcPr>
            <w:tcW w:w="740" w:type="pct"/>
            <w:vAlign w:val="center"/>
          </w:tcPr>
          <w:p w14:paraId="04EA3874">
            <w:pPr>
              <w:pStyle w:val="64"/>
              <w:wordWrap w:val="0"/>
              <w:rPr>
                <w:rFonts w:cs="Times New Roman"/>
              </w:rPr>
            </w:pPr>
            <w:r>
              <w:rPr>
                <w:rFonts w:cs="Times New Roman"/>
              </w:rPr>
              <w:t>0.73</w:t>
            </w:r>
          </w:p>
        </w:tc>
        <w:tc>
          <w:tcPr>
            <w:tcW w:w="740" w:type="pct"/>
            <w:vAlign w:val="center"/>
          </w:tcPr>
          <w:p w14:paraId="2884726A">
            <w:pPr>
              <w:pStyle w:val="64"/>
              <w:wordWrap w:val="0"/>
              <w:rPr>
                <w:rFonts w:cs="Times New Roman"/>
              </w:rPr>
            </w:pPr>
            <w:r>
              <w:rPr>
                <w:rFonts w:cs="Times New Roman"/>
              </w:rPr>
              <w:t>0.70</w:t>
            </w:r>
          </w:p>
        </w:tc>
        <w:tc>
          <w:tcPr>
            <w:tcW w:w="738" w:type="pct"/>
            <w:vAlign w:val="center"/>
          </w:tcPr>
          <w:p w14:paraId="7C260FCA">
            <w:pPr>
              <w:pStyle w:val="64"/>
              <w:wordWrap w:val="0"/>
              <w:rPr>
                <w:rFonts w:cs="Times New Roman"/>
              </w:rPr>
            </w:pPr>
            <w:r>
              <w:rPr>
                <w:rFonts w:cs="Times New Roman"/>
              </w:rPr>
              <w:t>0.72</w:t>
            </w:r>
          </w:p>
        </w:tc>
      </w:tr>
      <w:tr w14:paraId="1A316C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1" w:type="pct"/>
            <w:vMerge w:val="continue"/>
            <w:vAlign w:val="center"/>
          </w:tcPr>
          <w:p w14:paraId="2AB4DCBD">
            <w:pPr>
              <w:pStyle w:val="64"/>
              <w:wordWrap w:val="0"/>
              <w:rPr>
                <w:rFonts w:cs="Times New Roman"/>
              </w:rPr>
            </w:pPr>
          </w:p>
        </w:tc>
        <w:tc>
          <w:tcPr>
            <w:tcW w:w="505" w:type="pct"/>
            <w:vMerge w:val="restart"/>
            <w:vAlign w:val="center"/>
          </w:tcPr>
          <w:p w14:paraId="7785162C">
            <w:pPr>
              <w:pStyle w:val="64"/>
              <w:wordWrap w:val="0"/>
              <w:rPr>
                <w:rFonts w:cs="Times New Roman"/>
              </w:rPr>
            </w:pPr>
            <w:r>
              <w:rPr>
                <w:rFonts w:cs="Times New Roman"/>
              </w:rPr>
              <w:t>2024.04.09</w:t>
            </w:r>
          </w:p>
        </w:tc>
        <w:tc>
          <w:tcPr>
            <w:tcW w:w="314" w:type="pct"/>
            <w:vAlign w:val="center"/>
          </w:tcPr>
          <w:p w14:paraId="47B09C2E">
            <w:pPr>
              <w:pStyle w:val="64"/>
              <w:wordWrap w:val="0"/>
              <w:rPr>
                <w:rFonts w:cs="Times New Roman"/>
              </w:rPr>
            </w:pPr>
            <w:r>
              <w:rPr>
                <w:rFonts w:cs="Times New Roman"/>
              </w:rPr>
              <w:t>Ci</w:t>
            </w:r>
          </w:p>
        </w:tc>
        <w:tc>
          <w:tcPr>
            <w:tcW w:w="740" w:type="pct"/>
            <w:vAlign w:val="center"/>
          </w:tcPr>
          <w:p w14:paraId="5D6476D6">
            <w:pPr>
              <w:pStyle w:val="64"/>
              <w:wordWrap w:val="0"/>
              <w:rPr>
                <w:rFonts w:cs="Times New Roman"/>
              </w:rPr>
            </w:pPr>
            <w:r>
              <w:rPr>
                <w:rFonts w:cs="Times New Roman"/>
              </w:rPr>
              <w:t>323</w:t>
            </w:r>
          </w:p>
        </w:tc>
        <w:tc>
          <w:tcPr>
            <w:tcW w:w="712" w:type="pct"/>
            <w:vAlign w:val="center"/>
          </w:tcPr>
          <w:p w14:paraId="722FDFAF">
            <w:pPr>
              <w:pStyle w:val="64"/>
              <w:wordWrap w:val="0"/>
              <w:rPr>
                <w:rFonts w:cs="Times New Roman"/>
              </w:rPr>
            </w:pPr>
            <w:r>
              <w:rPr>
                <w:rFonts w:cs="Times New Roman"/>
              </w:rPr>
              <w:t>341</w:t>
            </w:r>
          </w:p>
        </w:tc>
        <w:tc>
          <w:tcPr>
            <w:tcW w:w="740" w:type="pct"/>
            <w:vAlign w:val="center"/>
          </w:tcPr>
          <w:p w14:paraId="31A524A7">
            <w:pPr>
              <w:pStyle w:val="64"/>
              <w:wordWrap w:val="0"/>
              <w:rPr>
                <w:rFonts w:cs="Times New Roman"/>
              </w:rPr>
            </w:pPr>
            <w:r>
              <w:rPr>
                <w:rFonts w:cs="Times New Roman"/>
              </w:rPr>
              <w:t>339</w:t>
            </w:r>
          </w:p>
        </w:tc>
        <w:tc>
          <w:tcPr>
            <w:tcW w:w="740" w:type="pct"/>
            <w:vAlign w:val="center"/>
          </w:tcPr>
          <w:p w14:paraId="277BD9AF">
            <w:pPr>
              <w:pStyle w:val="64"/>
              <w:wordWrap w:val="0"/>
              <w:rPr>
                <w:rFonts w:cs="Times New Roman"/>
              </w:rPr>
            </w:pPr>
            <w:r>
              <w:rPr>
                <w:rFonts w:cs="Times New Roman"/>
              </w:rPr>
              <w:t>327</w:t>
            </w:r>
          </w:p>
        </w:tc>
        <w:tc>
          <w:tcPr>
            <w:tcW w:w="738" w:type="pct"/>
            <w:vAlign w:val="center"/>
          </w:tcPr>
          <w:p w14:paraId="555ADF32">
            <w:pPr>
              <w:pStyle w:val="64"/>
              <w:wordWrap w:val="0"/>
              <w:rPr>
                <w:rFonts w:cs="Times New Roman"/>
              </w:rPr>
            </w:pPr>
            <w:r>
              <w:rPr>
                <w:rFonts w:cs="Times New Roman"/>
              </w:rPr>
              <w:t>329</w:t>
            </w:r>
          </w:p>
        </w:tc>
      </w:tr>
      <w:tr w14:paraId="5C4E3B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1" w:type="pct"/>
            <w:vMerge w:val="continue"/>
            <w:vAlign w:val="center"/>
          </w:tcPr>
          <w:p w14:paraId="750C698C">
            <w:pPr>
              <w:pStyle w:val="64"/>
              <w:wordWrap w:val="0"/>
              <w:rPr>
                <w:rFonts w:cs="Times New Roman"/>
              </w:rPr>
            </w:pPr>
          </w:p>
        </w:tc>
        <w:tc>
          <w:tcPr>
            <w:tcW w:w="505" w:type="pct"/>
            <w:vMerge w:val="continue"/>
            <w:vAlign w:val="center"/>
          </w:tcPr>
          <w:p w14:paraId="783A0CBA">
            <w:pPr>
              <w:pStyle w:val="64"/>
              <w:wordWrap w:val="0"/>
              <w:rPr>
                <w:rFonts w:cs="Times New Roman"/>
              </w:rPr>
            </w:pPr>
          </w:p>
        </w:tc>
        <w:tc>
          <w:tcPr>
            <w:tcW w:w="314" w:type="pct"/>
            <w:vAlign w:val="center"/>
          </w:tcPr>
          <w:p w14:paraId="660738EC">
            <w:pPr>
              <w:pStyle w:val="64"/>
              <w:wordWrap w:val="0"/>
              <w:rPr>
                <w:rFonts w:cs="Times New Roman"/>
              </w:rPr>
            </w:pPr>
            <w:r>
              <w:rPr>
                <w:rFonts w:cs="Times New Roman"/>
              </w:rPr>
              <w:t>Si</w:t>
            </w:r>
          </w:p>
        </w:tc>
        <w:tc>
          <w:tcPr>
            <w:tcW w:w="740" w:type="pct"/>
            <w:vAlign w:val="center"/>
          </w:tcPr>
          <w:p w14:paraId="3E1FB197">
            <w:pPr>
              <w:pStyle w:val="64"/>
              <w:wordWrap w:val="0"/>
              <w:rPr>
                <w:rFonts w:cs="Times New Roman"/>
              </w:rPr>
            </w:pPr>
            <w:r>
              <w:rPr>
                <w:rFonts w:cs="Times New Roman"/>
              </w:rPr>
              <w:t>0.72</w:t>
            </w:r>
          </w:p>
        </w:tc>
        <w:tc>
          <w:tcPr>
            <w:tcW w:w="712" w:type="pct"/>
            <w:vAlign w:val="center"/>
          </w:tcPr>
          <w:p w14:paraId="60ECD15C">
            <w:pPr>
              <w:pStyle w:val="64"/>
              <w:wordWrap w:val="0"/>
              <w:rPr>
                <w:rFonts w:cs="Times New Roman"/>
              </w:rPr>
            </w:pPr>
            <w:r>
              <w:rPr>
                <w:rFonts w:cs="Times New Roman"/>
              </w:rPr>
              <w:t>0.76</w:t>
            </w:r>
          </w:p>
        </w:tc>
        <w:tc>
          <w:tcPr>
            <w:tcW w:w="740" w:type="pct"/>
            <w:vAlign w:val="center"/>
          </w:tcPr>
          <w:p w14:paraId="782898A6">
            <w:pPr>
              <w:pStyle w:val="64"/>
              <w:wordWrap w:val="0"/>
              <w:rPr>
                <w:rFonts w:cs="Times New Roman"/>
              </w:rPr>
            </w:pPr>
            <w:r>
              <w:rPr>
                <w:rFonts w:cs="Times New Roman"/>
              </w:rPr>
              <w:t>0.75</w:t>
            </w:r>
          </w:p>
        </w:tc>
        <w:tc>
          <w:tcPr>
            <w:tcW w:w="740" w:type="pct"/>
            <w:vAlign w:val="center"/>
          </w:tcPr>
          <w:p w14:paraId="48751D87">
            <w:pPr>
              <w:pStyle w:val="64"/>
              <w:wordWrap w:val="0"/>
              <w:rPr>
                <w:rFonts w:cs="Times New Roman"/>
              </w:rPr>
            </w:pPr>
            <w:r>
              <w:rPr>
                <w:rFonts w:cs="Times New Roman"/>
              </w:rPr>
              <w:t>0.73</w:t>
            </w:r>
          </w:p>
        </w:tc>
        <w:tc>
          <w:tcPr>
            <w:tcW w:w="738" w:type="pct"/>
            <w:vAlign w:val="center"/>
          </w:tcPr>
          <w:p w14:paraId="4FFA9C62">
            <w:pPr>
              <w:pStyle w:val="64"/>
              <w:wordWrap w:val="0"/>
              <w:rPr>
                <w:rFonts w:cs="Times New Roman"/>
              </w:rPr>
            </w:pPr>
            <w:r>
              <w:rPr>
                <w:rFonts w:cs="Times New Roman"/>
              </w:rPr>
              <w:t>0.73</w:t>
            </w:r>
          </w:p>
        </w:tc>
      </w:tr>
      <w:tr w14:paraId="4DC4EE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1" w:type="pct"/>
            <w:vMerge w:val="restart"/>
            <w:vAlign w:val="center"/>
          </w:tcPr>
          <w:p w14:paraId="40481782">
            <w:pPr>
              <w:pStyle w:val="64"/>
              <w:wordWrap w:val="0"/>
              <w:rPr>
                <w:rFonts w:cs="Times New Roman"/>
              </w:rPr>
            </w:pPr>
            <w:r>
              <w:rPr>
                <w:rFonts w:cs="Times New Roman"/>
              </w:rPr>
              <w:t>氟化物</w:t>
            </w:r>
          </w:p>
        </w:tc>
        <w:tc>
          <w:tcPr>
            <w:tcW w:w="505" w:type="pct"/>
            <w:vMerge w:val="restart"/>
            <w:vAlign w:val="center"/>
          </w:tcPr>
          <w:p w14:paraId="28BA9CF6">
            <w:pPr>
              <w:pStyle w:val="64"/>
              <w:wordWrap w:val="0"/>
              <w:rPr>
                <w:rFonts w:cs="Times New Roman"/>
              </w:rPr>
            </w:pPr>
            <w:r>
              <w:rPr>
                <w:rFonts w:cs="Times New Roman"/>
              </w:rPr>
              <w:t>2024.04.08</w:t>
            </w:r>
          </w:p>
        </w:tc>
        <w:tc>
          <w:tcPr>
            <w:tcW w:w="314" w:type="pct"/>
            <w:vAlign w:val="center"/>
          </w:tcPr>
          <w:p w14:paraId="1A244ED4">
            <w:pPr>
              <w:pStyle w:val="64"/>
              <w:wordWrap w:val="0"/>
              <w:rPr>
                <w:rFonts w:cs="Times New Roman"/>
              </w:rPr>
            </w:pPr>
            <w:r>
              <w:rPr>
                <w:rFonts w:cs="Times New Roman"/>
              </w:rPr>
              <w:t>Ci</w:t>
            </w:r>
          </w:p>
        </w:tc>
        <w:tc>
          <w:tcPr>
            <w:tcW w:w="740" w:type="pct"/>
            <w:vAlign w:val="center"/>
          </w:tcPr>
          <w:p w14:paraId="7DF0DD19">
            <w:pPr>
              <w:pStyle w:val="64"/>
              <w:wordWrap w:val="0"/>
              <w:rPr>
                <w:rFonts w:cs="Times New Roman"/>
              </w:rPr>
            </w:pPr>
            <w:r>
              <w:rPr>
                <w:rFonts w:cs="Times New Roman"/>
              </w:rPr>
              <w:t>0.044</w:t>
            </w:r>
          </w:p>
        </w:tc>
        <w:tc>
          <w:tcPr>
            <w:tcW w:w="712" w:type="pct"/>
            <w:vAlign w:val="center"/>
          </w:tcPr>
          <w:p w14:paraId="1C5F103B">
            <w:pPr>
              <w:pStyle w:val="64"/>
              <w:wordWrap w:val="0"/>
              <w:rPr>
                <w:rFonts w:cs="Times New Roman"/>
              </w:rPr>
            </w:pPr>
            <w:r>
              <w:rPr>
                <w:rFonts w:cs="Times New Roman"/>
              </w:rPr>
              <w:t>0.675</w:t>
            </w:r>
          </w:p>
        </w:tc>
        <w:tc>
          <w:tcPr>
            <w:tcW w:w="740" w:type="pct"/>
            <w:vAlign w:val="center"/>
          </w:tcPr>
          <w:p w14:paraId="05FE5C90">
            <w:pPr>
              <w:pStyle w:val="64"/>
              <w:wordWrap w:val="0"/>
              <w:rPr>
                <w:rFonts w:cs="Times New Roman"/>
              </w:rPr>
            </w:pPr>
            <w:r>
              <w:rPr>
                <w:rFonts w:cs="Times New Roman"/>
              </w:rPr>
              <w:t>0.677</w:t>
            </w:r>
          </w:p>
        </w:tc>
        <w:tc>
          <w:tcPr>
            <w:tcW w:w="740" w:type="pct"/>
            <w:vAlign w:val="center"/>
          </w:tcPr>
          <w:p w14:paraId="0A31AB7A">
            <w:pPr>
              <w:pStyle w:val="64"/>
              <w:wordWrap w:val="0"/>
              <w:rPr>
                <w:rFonts w:cs="Times New Roman"/>
              </w:rPr>
            </w:pPr>
            <w:r>
              <w:rPr>
                <w:rFonts w:cs="Times New Roman"/>
              </w:rPr>
              <w:t>0.378</w:t>
            </w:r>
          </w:p>
        </w:tc>
        <w:tc>
          <w:tcPr>
            <w:tcW w:w="738" w:type="pct"/>
            <w:vAlign w:val="center"/>
          </w:tcPr>
          <w:p w14:paraId="2E8C0C69">
            <w:pPr>
              <w:pStyle w:val="64"/>
              <w:wordWrap w:val="0"/>
              <w:rPr>
                <w:rFonts w:cs="Times New Roman"/>
              </w:rPr>
            </w:pPr>
            <w:r>
              <w:rPr>
                <w:rFonts w:cs="Times New Roman"/>
              </w:rPr>
              <w:t>0.775</w:t>
            </w:r>
          </w:p>
        </w:tc>
      </w:tr>
      <w:tr w14:paraId="48272B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1" w:type="pct"/>
            <w:vMerge w:val="continue"/>
            <w:vAlign w:val="center"/>
          </w:tcPr>
          <w:p w14:paraId="1702C80B">
            <w:pPr>
              <w:pStyle w:val="64"/>
              <w:wordWrap w:val="0"/>
              <w:rPr>
                <w:rFonts w:cs="Times New Roman"/>
              </w:rPr>
            </w:pPr>
          </w:p>
        </w:tc>
        <w:tc>
          <w:tcPr>
            <w:tcW w:w="505" w:type="pct"/>
            <w:vMerge w:val="continue"/>
            <w:vAlign w:val="center"/>
          </w:tcPr>
          <w:p w14:paraId="60C0FAA7">
            <w:pPr>
              <w:pStyle w:val="64"/>
              <w:wordWrap w:val="0"/>
              <w:rPr>
                <w:rFonts w:cs="Times New Roman"/>
              </w:rPr>
            </w:pPr>
          </w:p>
        </w:tc>
        <w:tc>
          <w:tcPr>
            <w:tcW w:w="314" w:type="pct"/>
            <w:vAlign w:val="center"/>
          </w:tcPr>
          <w:p w14:paraId="665CBC65">
            <w:pPr>
              <w:pStyle w:val="64"/>
              <w:wordWrap w:val="0"/>
              <w:rPr>
                <w:rFonts w:cs="Times New Roman"/>
              </w:rPr>
            </w:pPr>
            <w:r>
              <w:rPr>
                <w:rFonts w:cs="Times New Roman"/>
              </w:rPr>
              <w:t>Si</w:t>
            </w:r>
          </w:p>
        </w:tc>
        <w:tc>
          <w:tcPr>
            <w:tcW w:w="740" w:type="pct"/>
            <w:vAlign w:val="center"/>
          </w:tcPr>
          <w:p w14:paraId="0EB465D5">
            <w:pPr>
              <w:pStyle w:val="64"/>
              <w:wordWrap w:val="0"/>
              <w:rPr>
                <w:rFonts w:cs="Times New Roman"/>
              </w:rPr>
            </w:pPr>
            <w:r>
              <w:rPr>
                <w:rFonts w:cs="Times New Roman"/>
              </w:rPr>
              <w:t>0.297</w:t>
            </w:r>
          </w:p>
        </w:tc>
        <w:tc>
          <w:tcPr>
            <w:tcW w:w="712" w:type="pct"/>
            <w:vAlign w:val="center"/>
          </w:tcPr>
          <w:p w14:paraId="39B34883">
            <w:pPr>
              <w:pStyle w:val="64"/>
              <w:wordWrap w:val="0"/>
              <w:rPr>
                <w:rFonts w:cs="Times New Roman"/>
              </w:rPr>
            </w:pPr>
            <w:r>
              <w:rPr>
                <w:rFonts w:cs="Times New Roman"/>
              </w:rPr>
              <w:t>0.297</w:t>
            </w:r>
          </w:p>
        </w:tc>
        <w:tc>
          <w:tcPr>
            <w:tcW w:w="740" w:type="pct"/>
            <w:vAlign w:val="center"/>
          </w:tcPr>
          <w:p w14:paraId="2DF1A2E8">
            <w:pPr>
              <w:pStyle w:val="64"/>
              <w:wordWrap w:val="0"/>
              <w:rPr>
                <w:rFonts w:cs="Times New Roman"/>
              </w:rPr>
            </w:pPr>
            <w:r>
              <w:rPr>
                <w:rFonts w:cs="Times New Roman"/>
              </w:rPr>
              <w:t>0.297</w:t>
            </w:r>
          </w:p>
        </w:tc>
        <w:tc>
          <w:tcPr>
            <w:tcW w:w="740" w:type="pct"/>
            <w:vAlign w:val="center"/>
          </w:tcPr>
          <w:p w14:paraId="2A03658A">
            <w:pPr>
              <w:pStyle w:val="64"/>
              <w:wordWrap w:val="0"/>
              <w:rPr>
                <w:rFonts w:cs="Times New Roman"/>
              </w:rPr>
            </w:pPr>
            <w:r>
              <w:rPr>
                <w:rFonts w:cs="Times New Roman"/>
              </w:rPr>
              <w:t>0.297</w:t>
            </w:r>
          </w:p>
        </w:tc>
        <w:tc>
          <w:tcPr>
            <w:tcW w:w="738" w:type="pct"/>
            <w:vAlign w:val="center"/>
          </w:tcPr>
          <w:p w14:paraId="5F5B2F01">
            <w:pPr>
              <w:pStyle w:val="64"/>
              <w:wordWrap w:val="0"/>
              <w:rPr>
                <w:rFonts w:cs="Times New Roman"/>
              </w:rPr>
            </w:pPr>
            <w:r>
              <w:rPr>
                <w:rFonts w:cs="Times New Roman"/>
              </w:rPr>
              <w:t>0.297</w:t>
            </w:r>
          </w:p>
        </w:tc>
      </w:tr>
      <w:tr w14:paraId="054CC6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1" w:type="pct"/>
            <w:vMerge w:val="continue"/>
            <w:vAlign w:val="center"/>
          </w:tcPr>
          <w:p w14:paraId="21B619EC">
            <w:pPr>
              <w:pStyle w:val="64"/>
              <w:wordWrap w:val="0"/>
              <w:rPr>
                <w:rFonts w:cs="Times New Roman"/>
              </w:rPr>
            </w:pPr>
          </w:p>
        </w:tc>
        <w:tc>
          <w:tcPr>
            <w:tcW w:w="505" w:type="pct"/>
            <w:vMerge w:val="restart"/>
            <w:vAlign w:val="center"/>
          </w:tcPr>
          <w:p w14:paraId="620D357E">
            <w:pPr>
              <w:pStyle w:val="64"/>
              <w:wordWrap w:val="0"/>
              <w:rPr>
                <w:rFonts w:cs="Times New Roman"/>
              </w:rPr>
            </w:pPr>
            <w:r>
              <w:rPr>
                <w:rFonts w:cs="Times New Roman"/>
              </w:rPr>
              <w:t>2024.04.09</w:t>
            </w:r>
          </w:p>
        </w:tc>
        <w:tc>
          <w:tcPr>
            <w:tcW w:w="314" w:type="pct"/>
            <w:vAlign w:val="center"/>
          </w:tcPr>
          <w:p w14:paraId="2FCA1CE8">
            <w:pPr>
              <w:pStyle w:val="64"/>
              <w:wordWrap w:val="0"/>
              <w:rPr>
                <w:rFonts w:cs="Times New Roman"/>
              </w:rPr>
            </w:pPr>
            <w:r>
              <w:rPr>
                <w:rFonts w:cs="Times New Roman"/>
              </w:rPr>
              <w:t>Ci</w:t>
            </w:r>
          </w:p>
        </w:tc>
        <w:tc>
          <w:tcPr>
            <w:tcW w:w="740" w:type="pct"/>
            <w:vAlign w:val="center"/>
          </w:tcPr>
          <w:p w14:paraId="77C3CCF7">
            <w:pPr>
              <w:pStyle w:val="64"/>
              <w:wordWrap w:val="0"/>
              <w:rPr>
                <w:rFonts w:cs="Times New Roman"/>
              </w:rPr>
            </w:pPr>
            <w:r>
              <w:rPr>
                <w:rFonts w:cs="Times New Roman"/>
              </w:rPr>
              <w:t>0.31</w:t>
            </w:r>
          </w:p>
        </w:tc>
        <w:tc>
          <w:tcPr>
            <w:tcW w:w="712" w:type="pct"/>
            <w:vAlign w:val="center"/>
          </w:tcPr>
          <w:p w14:paraId="2D9B1405">
            <w:pPr>
              <w:pStyle w:val="64"/>
              <w:wordWrap w:val="0"/>
              <w:rPr>
                <w:rFonts w:cs="Times New Roman"/>
              </w:rPr>
            </w:pPr>
            <w:r>
              <w:rPr>
                <w:rFonts w:cs="Times New Roman"/>
              </w:rPr>
              <w:t>0.803</w:t>
            </w:r>
          </w:p>
        </w:tc>
        <w:tc>
          <w:tcPr>
            <w:tcW w:w="740" w:type="pct"/>
            <w:vAlign w:val="center"/>
          </w:tcPr>
          <w:p w14:paraId="315BDA0F">
            <w:pPr>
              <w:pStyle w:val="64"/>
              <w:wordWrap w:val="0"/>
              <w:rPr>
                <w:rFonts w:cs="Times New Roman"/>
              </w:rPr>
            </w:pPr>
            <w:r>
              <w:rPr>
                <w:rFonts w:cs="Times New Roman"/>
              </w:rPr>
              <w:t>0.304</w:t>
            </w:r>
          </w:p>
        </w:tc>
        <w:tc>
          <w:tcPr>
            <w:tcW w:w="740" w:type="pct"/>
            <w:vAlign w:val="center"/>
          </w:tcPr>
          <w:p w14:paraId="2BC94DEA">
            <w:pPr>
              <w:pStyle w:val="64"/>
              <w:wordWrap w:val="0"/>
              <w:rPr>
                <w:rFonts w:cs="Times New Roman"/>
              </w:rPr>
            </w:pPr>
            <w:r>
              <w:rPr>
                <w:rFonts w:cs="Times New Roman"/>
              </w:rPr>
              <w:t>0.353</w:t>
            </w:r>
          </w:p>
        </w:tc>
        <w:tc>
          <w:tcPr>
            <w:tcW w:w="738" w:type="pct"/>
            <w:vAlign w:val="center"/>
          </w:tcPr>
          <w:p w14:paraId="64BEC307">
            <w:pPr>
              <w:pStyle w:val="64"/>
              <w:wordWrap w:val="0"/>
              <w:rPr>
                <w:rFonts w:cs="Times New Roman"/>
              </w:rPr>
            </w:pPr>
            <w:r>
              <w:rPr>
                <w:rFonts w:cs="Times New Roman"/>
              </w:rPr>
              <w:t>0.827</w:t>
            </w:r>
          </w:p>
        </w:tc>
      </w:tr>
      <w:tr w14:paraId="2D5CF1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1" w:type="pct"/>
            <w:vMerge w:val="continue"/>
            <w:vAlign w:val="center"/>
          </w:tcPr>
          <w:p w14:paraId="6D5A7B24">
            <w:pPr>
              <w:pStyle w:val="64"/>
              <w:wordWrap w:val="0"/>
              <w:rPr>
                <w:rFonts w:cs="Times New Roman"/>
              </w:rPr>
            </w:pPr>
          </w:p>
        </w:tc>
        <w:tc>
          <w:tcPr>
            <w:tcW w:w="505" w:type="pct"/>
            <w:vMerge w:val="continue"/>
            <w:vAlign w:val="center"/>
          </w:tcPr>
          <w:p w14:paraId="4332FE07">
            <w:pPr>
              <w:pStyle w:val="64"/>
              <w:wordWrap w:val="0"/>
              <w:rPr>
                <w:rFonts w:cs="Times New Roman"/>
              </w:rPr>
            </w:pPr>
          </w:p>
        </w:tc>
        <w:tc>
          <w:tcPr>
            <w:tcW w:w="314" w:type="pct"/>
            <w:vAlign w:val="center"/>
          </w:tcPr>
          <w:p w14:paraId="16482664">
            <w:pPr>
              <w:pStyle w:val="64"/>
              <w:wordWrap w:val="0"/>
              <w:rPr>
                <w:rFonts w:cs="Times New Roman"/>
              </w:rPr>
            </w:pPr>
            <w:r>
              <w:rPr>
                <w:rFonts w:cs="Times New Roman"/>
              </w:rPr>
              <w:t>Si</w:t>
            </w:r>
          </w:p>
        </w:tc>
        <w:tc>
          <w:tcPr>
            <w:tcW w:w="740" w:type="pct"/>
            <w:vAlign w:val="center"/>
          </w:tcPr>
          <w:p w14:paraId="68F5879E">
            <w:pPr>
              <w:pStyle w:val="64"/>
              <w:wordWrap w:val="0"/>
              <w:rPr>
                <w:rFonts w:cs="Times New Roman"/>
              </w:rPr>
            </w:pPr>
            <w:r>
              <w:rPr>
                <w:rFonts w:cs="Times New Roman"/>
              </w:rPr>
              <w:t>0.297</w:t>
            </w:r>
          </w:p>
        </w:tc>
        <w:tc>
          <w:tcPr>
            <w:tcW w:w="712" w:type="pct"/>
            <w:vAlign w:val="center"/>
          </w:tcPr>
          <w:p w14:paraId="2E60A891">
            <w:pPr>
              <w:pStyle w:val="64"/>
              <w:wordWrap w:val="0"/>
              <w:rPr>
                <w:rFonts w:cs="Times New Roman"/>
              </w:rPr>
            </w:pPr>
            <w:r>
              <w:rPr>
                <w:rFonts w:cs="Times New Roman"/>
              </w:rPr>
              <w:t>0.297</w:t>
            </w:r>
          </w:p>
        </w:tc>
        <w:tc>
          <w:tcPr>
            <w:tcW w:w="740" w:type="pct"/>
            <w:vAlign w:val="center"/>
          </w:tcPr>
          <w:p w14:paraId="4D2F994B">
            <w:pPr>
              <w:pStyle w:val="64"/>
              <w:wordWrap w:val="0"/>
              <w:rPr>
                <w:rFonts w:cs="Times New Roman"/>
              </w:rPr>
            </w:pPr>
            <w:r>
              <w:rPr>
                <w:rFonts w:cs="Times New Roman"/>
              </w:rPr>
              <w:t>0.297</w:t>
            </w:r>
          </w:p>
        </w:tc>
        <w:tc>
          <w:tcPr>
            <w:tcW w:w="740" w:type="pct"/>
            <w:vAlign w:val="center"/>
          </w:tcPr>
          <w:p w14:paraId="3618AB30">
            <w:pPr>
              <w:pStyle w:val="64"/>
              <w:wordWrap w:val="0"/>
              <w:rPr>
                <w:rFonts w:cs="Times New Roman"/>
              </w:rPr>
            </w:pPr>
            <w:r>
              <w:rPr>
                <w:rFonts w:cs="Times New Roman"/>
              </w:rPr>
              <w:t>0.297</w:t>
            </w:r>
          </w:p>
        </w:tc>
        <w:tc>
          <w:tcPr>
            <w:tcW w:w="738" w:type="pct"/>
            <w:vAlign w:val="center"/>
          </w:tcPr>
          <w:p w14:paraId="6B6C1B37">
            <w:pPr>
              <w:pStyle w:val="64"/>
              <w:wordWrap w:val="0"/>
              <w:rPr>
                <w:rFonts w:cs="Times New Roman"/>
              </w:rPr>
            </w:pPr>
            <w:r>
              <w:rPr>
                <w:rFonts w:cs="Times New Roman"/>
              </w:rPr>
              <w:t>0.297</w:t>
            </w:r>
          </w:p>
        </w:tc>
      </w:tr>
      <w:tr w14:paraId="44560A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1" w:type="pct"/>
            <w:vMerge w:val="restart"/>
            <w:vAlign w:val="center"/>
          </w:tcPr>
          <w:p w14:paraId="61A805AB">
            <w:pPr>
              <w:pStyle w:val="64"/>
              <w:wordWrap w:val="0"/>
              <w:rPr>
                <w:rFonts w:cs="Times New Roman"/>
              </w:rPr>
            </w:pPr>
            <w:r>
              <w:rPr>
                <w:rFonts w:cs="Times New Roman"/>
              </w:rPr>
              <w:t>硫酸盐</w:t>
            </w:r>
          </w:p>
        </w:tc>
        <w:tc>
          <w:tcPr>
            <w:tcW w:w="505" w:type="pct"/>
            <w:vMerge w:val="restart"/>
            <w:vAlign w:val="center"/>
          </w:tcPr>
          <w:p w14:paraId="05EE6E1B">
            <w:pPr>
              <w:pStyle w:val="64"/>
              <w:wordWrap w:val="0"/>
              <w:rPr>
                <w:rFonts w:cs="Times New Roman"/>
              </w:rPr>
            </w:pPr>
            <w:r>
              <w:rPr>
                <w:rFonts w:cs="Times New Roman"/>
              </w:rPr>
              <w:t>2024.04.08</w:t>
            </w:r>
          </w:p>
        </w:tc>
        <w:tc>
          <w:tcPr>
            <w:tcW w:w="314" w:type="pct"/>
            <w:vAlign w:val="center"/>
          </w:tcPr>
          <w:p w14:paraId="2702B463">
            <w:pPr>
              <w:pStyle w:val="64"/>
              <w:wordWrap w:val="0"/>
              <w:rPr>
                <w:rFonts w:cs="Times New Roman"/>
              </w:rPr>
            </w:pPr>
            <w:r>
              <w:rPr>
                <w:rFonts w:cs="Times New Roman"/>
              </w:rPr>
              <w:t>Ci</w:t>
            </w:r>
          </w:p>
        </w:tc>
        <w:tc>
          <w:tcPr>
            <w:tcW w:w="740" w:type="pct"/>
            <w:vAlign w:val="center"/>
          </w:tcPr>
          <w:p w14:paraId="2DCF04BF">
            <w:pPr>
              <w:pStyle w:val="64"/>
              <w:wordWrap w:val="0"/>
              <w:rPr>
                <w:rFonts w:cs="Times New Roman"/>
              </w:rPr>
            </w:pPr>
            <w:r>
              <w:rPr>
                <w:rFonts w:cs="Times New Roman"/>
              </w:rPr>
              <w:t>13.1</w:t>
            </w:r>
          </w:p>
        </w:tc>
        <w:tc>
          <w:tcPr>
            <w:tcW w:w="712" w:type="pct"/>
            <w:vAlign w:val="center"/>
          </w:tcPr>
          <w:p w14:paraId="79F5D180">
            <w:pPr>
              <w:pStyle w:val="64"/>
              <w:wordWrap w:val="0"/>
              <w:rPr>
                <w:rFonts w:cs="Times New Roman"/>
              </w:rPr>
            </w:pPr>
            <w:r>
              <w:rPr>
                <w:rFonts w:cs="Times New Roman"/>
              </w:rPr>
              <w:t>0.73</w:t>
            </w:r>
          </w:p>
        </w:tc>
        <w:tc>
          <w:tcPr>
            <w:tcW w:w="740" w:type="pct"/>
            <w:vAlign w:val="center"/>
          </w:tcPr>
          <w:p w14:paraId="66730B97">
            <w:pPr>
              <w:pStyle w:val="64"/>
              <w:wordWrap w:val="0"/>
              <w:rPr>
                <w:rFonts w:cs="Times New Roman"/>
              </w:rPr>
            </w:pPr>
            <w:r>
              <w:rPr>
                <w:rFonts w:cs="Times New Roman"/>
              </w:rPr>
              <w:t>1.32</w:t>
            </w:r>
          </w:p>
        </w:tc>
        <w:tc>
          <w:tcPr>
            <w:tcW w:w="740" w:type="pct"/>
            <w:vAlign w:val="center"/>
          </w:tcPr>
          <w:p w14:paraId="669095DE">
            <w:pPr>
              <w:pStyle w:val="64"/>
              <w:wordWrap w:val="0"/>
              <w:rPr>
                <w:rFonts w:cs="Times New Roman"/>
              </w:rPr>
            </w:pPr>
            <w:r>
              <w:rPr>
                <w:rFonts w:cs="Times New Roman"/>
              </w:rPr>
              <w:t>2.17</w:t>
            </w:r>
          </w:p>
        </w:tc>
        <w:tc>
          <w:tcPr>
            <w:tcW w:w="738" w:type="pct"/>
            <w:vAlign w:val="center"/>
          </w:tcPr>
          <w:p w14:paraId="53D242B5">
            <w:pPr>
              <w:pStyle w:val="64"/>
              <w:wordWrap w:val="0"/>
              <w:rPr>
                <w:rFonts w:cs="Times New Roman"/>
              </w:rPr>
            </w:pPr>
            <w:r>
              <w:rPr>
                <w:rFonts w:cs="Times New Roman"/>
              </w:rPr>
              <w:t>7.03</w:t>
            </w:r>
          </w:p>
        </w:tc>
      </w:tr>
      <w:tr w14:paraId="720DDF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1" w:type="pct"/>
            <w:vMerge w:val="continue"/>
            <w:vAlign w:val="center"/>
          </w:tcPr>
          <w:p w14:paraId="33DE7851">
            <w:pPr>
              <w:pStyle w:val="64"/>
              <w:wordWrap w:val="0"/>
              <w:rPr>
                <w:rFonts w:cs="Times New Roman"/>
              </w:rPr>
            </w:pPr>
          </w:p>
        </w:tc>
        <w:tc>
          <w:tcPr>
            <w:tcW w:w="505" w:type="pct"/>
            <w:vMerge w:val="continue"/>
            <w:vAlign w:val="center"/>
          </w:tcPr>
          <w:p w14:paraId="78BA99C2">
            <w:pPr>
              <w:pStyle w:val="64"/>
              <w:wordWrap w:val="0"/>
              <w:rPr>
                <w:rFonts w:cs="Times New Roman"/>
              </w:rPr>
            </w:pPr>
          </w:p>
        </w:tc>
        <w:tc>
          <w:tcPr>
            <w:tcW w:w="314" w:type="pct"/>
            <w:vAlign w:val="center"/>
          </w:tcPr>
          <w:p w14:paraId="29A99B9E">
            <w:pPr>
              <w:pStyle w:val="64"/>
              <w:wordWrap w:val="0"/>
              <w:rPr>
                <w:rFonts w:cs="Times New Roman"/>
              </w:rPr>
            </w:pPr>
            <w:r>
              <w:rPr>
                <w:rFonts w:cs="Times New Roman"/>
              </w:rPr>
              <w:t>Si</w:t>
            </w:r>
          </w:p>
        </w:tc>
        <w:tc>
          <w:tcPr>
            <w:tcW w:w="740" w:type="pct"/>
            <w:vAlign w:val="center"/>
          </w:tcPr>
          <w:p w14:paraId="6AC3C4DA">
            <w:pPr>
              <w:pStyle w:val="64"/>
              <w:wordWrap w:val="0"/>
              <w:rPr>
                <w:rFonts w:cs="Times New Roman"/>
              </w:rPr>
            </w:pPr>
            <w:r>
              <w:rPr>
                <w:rFonts w:cs="Times New Roman"/>
              </w:rPr>
              <w:t>0.052</w:t>
            </w:r>
          </w:p>
        </w:tc>
        <w:tc>
          <w:tcPr>
            <w:tcW w:w="712" w:type="pct"/>
            <w:vAlign w:val="center"/>
          </w:tcPr>
          <w:p w14:paraId="7363D1D5">
            <w:pPr>
              <w:pStyle w:val="64"/>
              <w:wordWrap w:val="0"/>
              <w:rPr>
                <w:rFonts w:cs="Times New Roman"/>
              </w:rPr>
            </w:pPr>
            <w:r>
              <w:rPr>
                <w:rFonts w:cs="Times New Roman"/>
              </w:rPr>
              <w:t>0.0029</w:t>
            </w:r>
          </w:p>
        </w:tc>
        <w:tc>
          <w:tcPr>
            <w:tcW w:w="740" w:type="pct"/>
            <w:vAlign w:val="center"/>
          </w:tcPr>
          <w:p w14:paraId="5775D522">
            <w:pPr>
              <w:pStyle w:val="64"/>
              <w:wordWrap w:val="0"/>
              <w:rPr>
                <w:rFonts w:cs="Times New Roman"/>
              </w:rPr>
            </w:pPr>
            <w:r>
              <w:rPr>
                <w:rFonts w:cs="Times New Roman"/>
              </w:rPr>
              <w:t>0.0053</w:t>
            </w:r>
          </w:p>
        </w:tc>
        <w:tc>
          <w:tcPr>
            <w:tcW w:w="740" w:type="pct"/>
            <w:vAlign w:val="center"/>
          </w:tcPr>
          <w:p w14:paraId="5E7E63D3">
            <w:pPr>
              <w:pStyle w:val="64"/>
              <w:wordWrap w:val="0"/>
              <w:rPr>
                <w:rFonts w:cs="Times New Roman"/>
              </w:rPr>
            </w:pPr>
            <w:r>
              <w:rPr>
                <w:rFonts w:cs="Times New Roman"/>
              </w:rPr>
              <w:t>0.0087</w:t>
            </w:r>
          </w:p>
        </w:tc>
        <w:tc>
          <w:tcPr>
            <w:tcW w:w="738" w:type="pct"/>
            <w:vAlign w:val="center"/>
          </w:tcPr>
          <w:p w14:paraId="31C873C3">
            <w:pPr>
              <w:pStyle w:val="64"/>
              <w:wordWrap w:val="0"/>
              <w:rPr>
                <w:rFonts w:cs="Times New Roman"/>
              </w:rPr>
            </w:pPr>
            <w:r>
              <w:rPr>
                <w:rFonts w:cs="Times New Roman"/>
              </w:rPr>
              <w:t>0.028</w:t>
            </w:r>
          </w:p>
        </w:tc>
      </w:tr>
      <w:tr w14:paraId="2FD850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1" w:type="pct"/>
            <w:vMerge w:val="continue"/>
            <w:vAlign w:val="center"/>
          </w:tcPr>
          <w:p w14:paraId="1933B093">
            <w:pPr>
              <w:pStyle w:val="64"/>
              <w:wordWrap w:val="0"/>
              <w:rPr>
                <w:rFonts w:cs="Times New Roman"/>
              </w:rPr>
            </w:pPr>
          </w:p>
        </w:tc>
        <w:tc>
          <w:tcPr>
            <w:tcW w:w="505" w:type="pct"/>
            <w:vMerge w:val="restart"/>
            <w:vAlign w:val="center"/>
          </w:tcPr>
          <w:p w14:paraId="6F09B4C4">
            <w:pPr>
              <w:pStyle w:val="64"/>
              <w:wordWrap w:val="0"/>
              <w:rPr>
                <w:rFonts w:cs="Times New Roman"/>
              </w:rPr>
            </w:pPr>
            <w:r>
              <w:rPr>
                <w:rFonts w:cs="Times New Roman"/>
              </w:rPr>
              <w:t>2024.04.09</w:t>
            </w:r>
          </w:p>
        </w:tc>
        <w:tc>
          <w:tcPr>
            <w:tcW w:w="314" w:type="pct"/>
            <w:vAlign w:val="center"/>
          </w:tcPr>
          <w:p w14:paraId="6268BA56">
            <w:pPr>
              <w:pStyle w:val="64"/>
              <w:wordWrap w:val="0"/>
              <w:rPr>
                <w:rFonts w:cs="Times New Roman"/>
              </w:rPr>
            </w:pPr>
            <w:r>
              <w:rPr>
                <w:rFonts w:cs="Times New Roman"/>
              </w:rPr>
              <w:t>Ci</w:t>
            </w:r>
          </w:p>
        </w:tc>
        <w:tc>
          <w:tcPr>
            <w:tcW w:w="740" w:type="pct"/>
            <w:vAlign w:val="center"/>
          </w:tcPr>
          <w:p w14:paraId="66C16E40">
            <w:pPr>
              <w:pStyle w:val="64"/>
              <w:wordWrap w:val="0"/>
              <w:rPr>
                <w:rFonts w:cs="Times New Roman"/>
              </w:rPr>
            </w:pPr>
            <w:r>
              <w:rPr>
                <w:rFonts w:cs="Times New Roman"/>
              </w:rPr>
              <w:t>2.78</w:t>
            </w:r>
          </w:p>
        </w:tc>
        <w:tc>
          <w:tcPr>
            <w:tcW w:w="712" w:type="pct"/>
            <w:vAlign w:val="center"/>
          </w:tcPr>
          <w:p w14:paraId="25AF7481">
            <w:pPr>
              <w:pStyle w:val="64"/>
              <w:wordWrap w:val="0"/>
              <w:rPr>
                <w:rFonts w:cs="Times New Roman"/>
              </w:rPr>
            </w:pPr>
            <w:r>
              <w:rPr>
                <w:rFonts w:cs="Times New Roman"/>
              </w:rPr>
              <w:t>5.34</w:t>
            </w:r>
          </w:p>
        </w:tc>
        <w:tc>
          <w:tcPr>
            <w:tcW w:w="740" w:type="pct"/>
            <w:vAlign w:val="center"/>
          </w:tcPr>
          <w:p w14:paraId="571537E0">
            <w:pPr>
              <w:pStyle w:val="64"/>
              <w:wordWrap w:val="0"/>
              <w:rPr>
                <w:rFonts w:cs="Times New Roman"/>
              </w:rPr>
            </w:pPr>
            <w:r>
              <w:rPr>
                <w:rFonts w:cs="Times New Roman"/>
              </w:rPr>
              <w:t>3.04</w:t>
            </w:r>
          </w:p>
        </w:tc>
        <w:tc>
          <w:tcPr>
            <w:tcW w:w="740" w:type="pct"/>
            <w:vAlign w:val="center"/>
          </w:tcPr>
          <w:p w14:paraId="640D835C">
            <w:pPr>
              <w:pStyle w:val="64"/>
              <w:wordWrap w:val="0"/>
              <w:rPr>
                <w:rFonts w:cs="Times New Roman"/>
              </w:rPr>
            </w:pPr>
            <w:r>
              <w:rPr>
                <w:rFonts w:cs="Times New Roman"/>
              </w:rPr>
              <w:t>7.84</w:t>
            </w:r>
          </w:p>
        </w:tc>
        <w:tc>
          <w:tcPr>
            <w:tcW w:w="738" w:type="pct"/>
            <w:vAlign w:val="center"/>
          </w:tcPr>
          <w:p w14:paraId="75754B57">
            <w:pPr>
              <w:pStyle w:val="64"/>
              <w:wordWrap w:val="0"/>
              <w:rPr>
                <w:rFonts w:cs="Times New Roman"/>
              </w:rPr>
            </w:pPr>
            <w:r>
              <w:rPr>
                <w:rFonts w:cs="Times New Roman"/>
              </w:rPr>
              <w:t>9.98</w:t>
            </w:r>
          </w:p>
        </w:tc>
      </w:tr>
      <w:tr w14:paraId="6745BA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1" w:type="pct"/>
            <w:vMerge w:val="continue"/>
            <w:vAlign w:val="center"/>
          </w:tcPr>
          <w:p w14:paraId="189611B4">
            <w:pPr>
              <w:pStyle w:val="64"/>
              <w:wordWrap w:val="0"/>
              <w:rPr>
                <w:rFonts w:cs="Times New Roman"/>
              </w:rPr>
            </w:pPr>
          </w:p>
        </w:tc>
        <w:tc>
          <w:tcPr>
            <w:tcW w:w="505" w:type="pct"/>
            <w:vMerge w:val="continue"/>
            <w:vAlign w:val="center"/>
          </w:tcPr>
          <w:p w14:paraId="5031E4E1">
            <w:pPr>
              <w:pStyle w:val="64"/>
              <w:wordWrap w:val="0"/>
              <w:rPr>
                <w:rFonts w:cs="Times New Roman"/>
              </w:rPr>
            </w:pPr>
          </w:p>
        </w:tc>
        <w:tc>
          <w:tcPr>
            <w:tcW w:w="314" w:type="pct"/>
            <w:vAlign w:val="center"/>
          </w:tcPr>
          <w:p w14:paraId="25267850">
            <w:pPr>
              <w:pStyle w:val="64"/>
              <w:wordWrap w:val="0"/>
              <w:rPr>
                <w:rFonts w:cs="Times New Roman"/>
              </w:rPr>
            </w:pPr>
            <w:r>
              <w:rPr>
                <w:rFonts w:cs="Times New Roman"/>
              </w:rPr>
              <w:t>Si</w:t>
            </w:r>
          </w:p>
        </w:tc>
        <w:tc>
          <w:tcPr>
            <w:tcW w:w="740" w:type="pct"/>
            <w:vAlign w:val="center"/>
          </w:tcPr>
          <w:p w14:paraId="4FE2501B">
            <w:pPr>
              <w:pStyle w:val="64"/>
              <w:wordWrap w:val="0"/>
              <w:rPr>
                <w:rFonts w:cs="Times New Roman"/>
              </w:rPr>
            </w:pPr>
            <w:r>
              <w:rPr>
                <w:rFonts w:cs="Times New Roman"/>
              </w:rPr>
              <w:t>0.011</w:t>
            </w:r>
          </w:p>
        </w:tc>
        <w:tc>
          <w:tcPr>
            <w:tcW w:w="712" w:type="pct"/>
            <w:vAlign w:val="center"/>
          </w:tcPr>
          <w:p w14:paraId="3827FABE">
            <w:pPr>
              <w:pStyle w:val="64"/>
              <w:wordWrap w:val="0"/>
              <w:rPr>
                <w:rFonts w:cs="Times New Roman"/>
              </w:rPr>
            </w:pPr>
            <w:r>
              <w:rPr>
                <w:rFonts w:cs="Times New Roman"/>
              </w:rPr>
              <w:t>0.021</w:t>
            </w:r>
          </w:p>
        </w:tc>
        <w:tc>
          <w:tcPr>
            <w:tcW w:w="740" w:type="pct"/>
            <w:vAlign w:val="center"/>
          </w:tcPr>
          <w:p w14:paraId="70CB2A2E">
            <w:pPr>
              <w:pStyle w:val="64"/>
              <w:wordWrap w:val="0"/>
              <w:rPr>
                <w:rFonts w:cs="Times New Roman"/>
              </w:rPr>
            </w:pPr>
            <w:r>
              <w:rPr>
                <w:rFonts w:cs="Times New Roman"/>
              </w:rPr>
              <w:t>0.012</w:t>
            </w:r>
          </w:p>
        </w:tc>
        <w:tc>
          <w:tcPr>
            <w:tcW w:w="740" w:type="pct"/>
            <w:vAlign w:val="center"/>
          </w:tcPr>
          <w:p w14:paraId="3D1E1AC6">
            <w:pPr>
              <w:pStyle w:val="64"/>
              <w:wordWrap w:val="0"/>
              <w:rPr>
                <w:rFonts w:cs="Times New Roman"/>
              </w:rPr>
            </w:pPr>
            <w:r>
              <w:rPr>
                <w:rFonts w:cs="Times New Roman"/>
              </w:rPr>
              <w:t>0.031</w:t>
            </w:r>
          </w:p>
        </w:tc>
        <w:tc>
          <w:tcPr>
            <w:tcW w:w="738" w:type="pct"/>
            <w:vAlign w:val="center"/>
          </w:tcPr>
          <w:p w14:paraId="46F605B5">
            <w:pPr>
              <w:pStyle w:val="64"/>
              <w:wordWrap w:val="0"/>
              <w:rPr>
                <w:rFonts w:cs="Times New Roman"/>
              </w:rPr>
            </w:pPr>
            <w:r>
              <w:rPr>
                <w:rFonts w:cs="Times New Roman"/>
              </w:rPr>
              <w:t>0.040</w:t>
            </w:r>
          </w:p>
        </w:tc>
      </w:tr>
      <w:tr w14:paraId="532615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1" w:type="pct"/>
            <w:vMerge w:val="restart"/>
            <w:vAlign w:val="center"/>
          </w:tcPr>
          <w:p w14:paraId="79047736">
            <w:pPr>
              <w:pStyle w:val="64"/>
              <w:wordWrap w:val="0"/>
              <w:rPr>
                <w:rFonts w:cs="Times New Roman"/>
              </w:rPr>
            </w:pPr>
            <w:r>
              <w:rPr>
                <w:rFonts w:cs="Times New Roman"/>
              </w:rPr>
              <w:t>氯化物</w:t>
            </w:r>
          </w:p>
        </w:tc>
        <w:tc>
          <w:tcPr>
            <w:tcW w:w="505" w:type="pct"/>
            <w:vMerge w:val="restart"/>
            <w:vAlign w:val="center"/>
          </w:tcPr>
          <w:p w14:paraId="3B5E402A">
            <w:pPr>
              <w:pStyle w:val="64"/>
              <w:wordWrap w:val="0"/>
              <w:rPr>
                <w:rFonts w:cs="Times New Roman"/>
              </w:rPr>
            </w:pPr>
            <w:r>
              <w:rPr>
                <w:rFonts w:cs="Times New Roman"/>
              </w:rPr>
              <w:t>2024.04.08</w:t>
            </w:r>
          </w:p>
        </w:tc>
        <w:tc>
          <w:tcPr>
            <w:tcW w:w="314" w:type="pct"/>
            <w:vAlign w:val="center"/>
          </w:tcPr>
          <w:p w14:paraId="29D05451">
            <w:pPr>
              <w:pStyle w:val="64"/>
              <w:wordWrap w:val="0"/>
              <w:rPr>
                <w:rFonts w:cs="Times New Roman"/>
              </w:rPr>
            </w:pPr>
            <w:r>
              <w:rPr>
                <w:rFonts w:cs="Times New Roman"/>
              </w:rPr>
              <w:t>Ci</w:t>
            </w:r>
          </w:p>
        </w:tc>
        <w:tc>
          <w:tcPr>
            <w:tcW w:w="740" w:type="pct"/>
            <w:vAlign w:val="center"/>
          </w:tcPr>
          <w:p w14:paraId="383F5EB9">
            <w:pPr>
              <w:pStyle w:val="64"/>
              <w:wordWrap w:val="0"/>
              <w:rPr>
                <w:rFonts w:cs="Times New Roman"/>
              </w:rPr>
            </w:pPr>
            <w:r>
              <w:rPr>
                <w:rFonts w:cs="Times New Roman"/>
              </w:rPr>
              <w:t>15.1</w:t>
            </w:r>
          </w:p>
        </w:tc>
        <w:tc>
          <w:tcPr>
            <w:tcW w:w="712" w:type="pct"/>
            <w:vAlign w:val="center"/>
          </w:tcPr>
          <w:p w14:paraId="7221BAFE">
            <w:pPr>
              <w:pStyle w:val="64"/>
              <w:wordWrap w:val="0"/>
              <w:rPr>
                <w:rFonts w:cs="Times New Roman"/>
              </w:rPr>
            </w:pPr>
            <w:r>
              <w:rPr>
                <w:rFonts w:cs="Times New Roman"/>
              </w:rPr>
              <w:t>2.84</w:t>
            </w:r>
          </w:p>
        </w:tc>
        <w:tc>
          <w:tcPr>
            <w:tcW w:w="740" w:type="pct"/>
            <w:vAlign w:val="center"/>
          </w:tcPr>
          <w:p w14:paraId="130F8FAC">
            <w:pPr>
              <w:pStyle w:val="64"/>
              <w:wordWrap w:val="0"/>
              <w:rPr>
                <w:rFonts w:cs="Times New Roman"/>
              </w:rPr>
            </w:pPr>
            <w:r>
              <w:rPr>
                <w:rFonts w:cs="Times New Roman"/>
              </w:rPr>
              <w:t>3.52</w:t>
            </w:r>
          </w:p>
        </w:tc>
        <w:tc>
          <w:tcPr>
            <w:tcW w:w="740" w:type="pct"/>
            <w:vAlign w:val="center"/>
          </w:tcPr>
          <w:p w14:paraId="57077474">
            <w:pPr>
              <w:pStyle w:val="64"/>
              <w:wordWrap w:val="0"/>
              <w:rPr>
                <w:rFonts w:cs="Times New Roman"/>
              </w:rPr>
            </w:pPr>
            <w:r>
              <w:rPr>
                <w:rFonts w:cs="Times New Roman"/>
              </w:rPr>
              <w:t>3.45</w:t>
            </w:r>
          </w:p>
        </w:tc>
        <w:tc>
          <w:tcPr>
            <w:tcW w:w="738" w:type="pct"/>
            <w:vAlign w:val="center"/>
          </w:tcPr>
          <w:p w14:paraId="540B5E1B">
            <w:pPr>
              <w:pStyle w:val="64"/>
              <w:wordWrap w:val="0"/>
              <w:rPr>
                <w:rFonts w:cs="Times New Roman"/>
              </w:rPr>
            </w:pPr>
            <w:r>
              <w:rPr>
                <w:rFonts w:cs="Times New Roman"/>
              </w:rPr>
              <w:t>16.3</w:t>
            </w:r>
          </w:p>
        </w:tc>
      </w:tr>
      <w:tr w14:paraId="0180DC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1" w:type="pct"/>
            <w:vMerge w:val="continue"/>
            <w:vAlign w:val="center"/>
          </w:tcPr>
          <w:p w14:paraId="7703E0AE">
            <w:pPr>
              <w:pStyle w:val="64"/>
              <w:wordWrap w:val="0"/>
              <w:rPr>
                <w:rFonts w:cs="Times New Roman"/>
              </w:rPr>
            </w:pPr>
          </w:p>
        </w:tc>
        <w:tc>
          <w:tcPr>
            <w:tcW w:w="505" w:type="pct"/>
            <w:vMerge w:val="continue"/>
            <w:vAlign w:val="center"/>
          </w:tcPr>
          <w:p w14:paraId="6ACF5E6E">
            <w:pPr>
              <w:pStyle w:val="64"/>
              <w:wordWrap w:val="0"/>
              <w:rPr>
                <w:rFonts w:cs="Times New Roman"/>
              </w:rPr>
            </w:pPr>
          </w:p>
        </w:tc>
        <w:tc>
          <w:tcPr>
            <w:tcW w:w="314" w:type="pct"/>
            <w:vAlign w:val="center"/>
          </w:tcPr>
          <w:p w14:paraId="30669F78">
            <w:pPr>
              <w:pStyle w:val="64"/>
              <w:wordWrap w:val="0"/>
              <w:rPr>
                <w:rFonts w:cs="Times New Roman"/>
              </w:rPr>
            </w:pPr>
            <w:r>
              <w:rPr>
                <w:rFonts w:cs="Times New Roman"/>
              </w:rPr>
              <w:t>Si</w:t>
            </w:r>
          </w:p>
        </w:tc>
        <w:tc>
          <w:tcPr>
            <w:tcW w:w="740" w:type="pct"/>
            <w:vAlign w:val="center"/>
          </w:tcPr>
          <w:p w14:paraId="6C007BA8">
            <w:pPr>
              <w:pStyle w:val="64"/>
              <w:wordWrap w:val="0"/>
              <w:rPr>
                <w:rFonts w:cs="Times New Roman"/>
              </w:rPr>
            </w:pPr>
            <w:r>
              <w:rPr>
                <w:rFonts w:cs="Times New Roman"/>
              </w:rPr>
              <w:t>0.060</w:t>
            </w:r>
          </w:p>
        </w:tc>
        <w:tc>
          <w:tcPr>
            <w:tcW w:w="712" w:type="pct"/>
            <w:vAlign w:val="center"/>
          </w:tcPr>
          <w:p w14:paraId="6994DDA8">
            <w:pPr>
              <w:pStyle w:val="64"/>
              <w:wordWrap w:val="0"/>
              <w:rPr>
                <w:rFonts w:cs="Times New Roman"/>
              </w:rPr>
            </w:pPr>
            <w:r>
              <w:rPr>
                <w:rFonts w:cs="Times New Roman"/>
              </w:rPr>
              <w:t>0.011</w:t>
            </w:r>
          </w:p>
        </w:tc>
        <w:tc>
          <w:tcPr>
            <w:tcW w:w="740" w:type="pct"/>
            <w:vAlign w:val="center"/>
          </w:tcPr>
          <w:p w14:paraId="0F08592A">
            <w:pPr>
              <w:pStyle w:val="64"/>
              <w:wordWrap w:val="0"/>
              <w:rPr>
                <w:rFonts w:cs="Times New Roman"/>
              </w:rPr>
            </w:pPr>
            <w:r>
              <w:rPr>
                <w:rFonts w:cs="Times New Roman"/>
              </w:rPr>
              <w:t>0.014</w:t>
            </w:r>
          </w:p>
        </w:tc>
        <w:tc>
          <w:tcPr>
            <w:tcW w:w="740" w:type="pct"/>
            <w:vAlign w:val="center"/>
          </w:tcPr>
          <w:p w14:paraId="4E515FA6">
            <w:pPr>
              <w:pStyle w:val="64"/>
              <w:wordWrap w:val="0"/>
              <w:rPr>
                <w:rFonts w:cs="Times New Roman"/>
              </w:rPr>
            </w:pPr>
            <w:r>
              <w:rPr>
                <w:rFonts w:cs="Times New Roman"/>
              </w:rPr>
              <w:t>0.014</w:t>
            </w:r>
          </w:p>
        </w:tc>
        <w:tc>
          <w:tcPr>
            <w:tcW w:w="738" w:type="pct"/>
            <w:vAlign w:val="center"/>
          </w:tcPr>
          <w:p w14:paraId="22CF3068">
            <w:pPr>
              <w:pStyle w:val="64"/>
              <w:wordWrap w:val="0"/>
              <w:rPr>
                <w:rFonts w:cs="Times New Roman"/>
              </w:rPr>
            </w:pPr>
            <w:r>
              <w:rPr>
                <w:rFonts w:cs="Times New Roman"/>
              </w:rPr>
              <w:t>0.06</w:t>
            </w:r>
          </w:p>
        </w:tc>
      </w:tr>
      <w:tr w14:paraId="22F33A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1" w:type="pct"/>
            <w:vMerge w:val="continue"/>
            <w:vAlign w:val="center"/>
          </w:tcPr>
          <w:p w14:paraId="47888E83">
            <w:pPr>
              <w:pStyle w:val="64"/>
              <w:wordWrap w:val="0"/>
              <w:rPr>
                <w:rFonts w:cs="Times New Roman"/>
              </w:rPr>
            </w:pPr>
          </w:p>
        </w:tc>
        <w:tc>
          <w:tcPr>
            <w:tcW w:w="505" w:type="pct"/>
            <w:vMerge w:val="restart"/>
            <w:vAlign w:val="center"/>
          </w:tcPr>
          <w:p w14:paraId="5CD012DA">
            <w:pPr>
              <w:pStyle w:val="64"/>
              <w:wordWrap w:val="0"/>
              <w:rPr>
                <w:rFonts w:cs="Times New Roman"/>
              </w:rPr>
            </w:pPr>
            <w:r>
              <w:rPr>
                <w:rFonts w:cs="Times New Roman"/>
              </w:rPr>
              <w:t>2024.04.09</w:t>
            </w:r>
          </w:p>
        </w:tc>
        <w:tc>
          <w:tcPr>
            <w:tcW w:w="314" w:type="pct"/>
            <w:vAlign w:val="center"/>
          </w:tcPr>
          <w:p w14:paraId="357023A4">
            <w:pPr>
              <w:pStyle w:val="64"/>
              <w:wordWrap w:val="0"/>
              <w:rPr>
                <w:rFonts w:cs="Times New Roman"/>
              </w:rPr>
            </w:pPr>
            <w:r>
              <w:rPr>
                <w:rFonts w:cs="Times New Roman"/>
              </w:rPr>
              <w:t>Ci</w:t>
            </w:r>
          </w:p>
        </w:tc>
        <w:tc>
          <w:tcPr>
            <w:tcW w:w="740" w:type="pct"/>
            <w:vAlign w:val="center"/>
          </w:tcPr>
          <w:p w14:paraId="2A141A61">
            <w:pPr>
              <w:pStyle w:val="64"/>
              <w:wordWrap w:val="0"/>
              <w:rPr>
                <w:rFonts w:cs="Times New Roman"/>
              </w:rPr>
            </w:pPr>
            <w:r>
              <w:rPr>
                <w:rFonts w:cs="Times New Roman"/>
              </w:rPr>
              <w:t>19.3</w:t>
            </w:r>
          </w:p>
        </w:tc>
        <w:tc>
          <w:tcPr>
            <w:tcW w:w="712" w:type="pct"/>
            <w:vAlign w:val="center"/>
          </w:tcPr>
          <w:p w14:paraId="6044BFDF">
            <w:pPr>
              <w:pStyle w:val="64"/>
              <w:wordWrap w:val="0"/>
              <w:rPr>
                <w:rFonts w:cs="Times New Roman"/>
              </w:rPr>
            </w:pPr>
            <w:r>
              <w:rPr>
                <w:rFonts w:cs="Times New Roman"/>
              </w:rPr>
              <w:t>16.5</w:t>
            </w:r>
          </w:p>
        </w:tc>
        <w:tc>
          <w:tcPr>
            <w:tcW w:w="740" w:type="pct"/>
            <w:vAlign w:val="center"/>
          </w:tcPr>
          <w:p w14:paraId="4881B689">
            <w:pPr>
              <w:pStyle w:val="64"/>
              <w:wordWrap w:val="0"/>
              <w:rPr>
                <w:rFonts w:cs="Times New Roman"/>
              </w:rPr>
            </w:pPr>
            <w:r>
              <w:rPr>
                <w:rFonts w:cs="Times New Roman"/>
              </w:rPr>
              <w:t>24</w:t>
            </w:r>
          </w:p>
        </w:tc>
        <w:tc>
          <w:tcPr>
            <w:tcW w:w="740" w:type="pct"/>
            <w:vAlign w:val="center"/>
          </w:tcPr>
          <w:p w14:paraId="33448E85">
            <w:pPr>
              <w:pStyle w:val="64"/>
              <w:wordWrap w:val="0"/>
              <w:rPr>
                <w:rFonts w:cs="Times New Roman"/>
              </w:rPr>
            </w:pPr>
            <w:r>
              <w:rPr>
                <w:rFonts w:cs="Times New Roman"/>
              </w:rPr>
              <w:t>10</w:t>
            </w:r>
          </w:p>
        </w:tc>
        <w:tc>
          <w:tcPr>
            <w:tcW w:w="738" w:type="pct"/>
            <w:vAlign w:val="center"/>
          </w:tcPr>
          <w:p w14:paraId="681C5B9B">
            <w:pPr>
              <w:pStyle w:val="64"/>
              <w:wordWrap w:val="0"/>
              <w:rPr>
                <w:rFonts w:cs="Times New Roman"/>
              </w:rPr>
            </w:pPr>
            <w:r>
              <w:rPr>
                <w:rFonts w:cs="Times New Roman"/>
              </w:rPr>
              <w:t>17.3</w:t>
            </w:r>
          </w:p>
        </w:tc>
      </w:tr>
      <w:tr w14:paraId="48940F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1" w:type="pct"/>
            <w:vMerge w:val="continue"/>
            <w:vAlign w:val="center"/>
          </w:tcPr>
          <w:p w14:paraId="681BF1FF">
            <w:pPr>
              <w:pStyle w:val="64"/>
              <w:wordWrap w:val="0"/>
              <w:rPr>
                <w:rFonts w:cs="Times New Roman"/>
              </w:rPr>
            </w:pPr>
          </w:p>
        </w:tc>
        <w:tc>
          <w:tcPr>
            <w:tcW w:w="505" w:type="pct"/>
            <w:vMerge w:val="continue"/>
            <w:vAlign w:val="center"/>
          </w:tcPr>
          <w:p w14:paraId="131FAB7E">
            <w:pPr>
              <w:pStyle w:val="64"/>
              <w:wordWrap w:val="0"/>
              <w:rPr>
                <w:rFonts w:cs="Times New Roman"/>
              </w:rPr>
            </w:pPr>
          </w:p>
        </w:tc>
        <w:tc>
          <w:tcPr>
            <w:tcW w:w="314" w:type="pct"/>
            <w:vAlign w:val="center"/>
          </w:tcPr>
          <w:p w14:paraId="4102AACF">
            <w:pPr>
              <w:pStyle w:val="64"/>
              <w:wordWrap w:val="0"/>
              <w:rPr>
                <w:rFonts w:cs="Times New Roman"/>
              </w:rPr>
            </w:pPr>
            <w:r>
              <w:rPr>
                <w:rFonts w:cs="Times New Roman"/>
              </w:rPr>
              <w:t>Si</w:t>
            </w:r>
          </w:p>
        </w:tc>
        <w:tc>
          <w:tcPr>
            <w:tcW w:w="740" w:type="pct"/>
            <w:vAlign w:val="center"/>
          </w:tcPr>
          <w:p w14:paraId="1E5F9D38">
            <w:pPr>
              <w:pStyle w:val="64"/>
              <w:wordWrap w:val="0"/>
              <w:rPr>
                <w:rFonts w:cs="Times New Roman"/>
              </w:rPr>
            </w:pPr>
            <w:r>
              <w:rPr>
                <w:rFonts w:cs="Times New Roman"/>
              </w:rPr>
              <w:t>0.077</w:t>
            </w:r>
          </w:p>
        </w:tc>
        <w:tc>
          <w:tcPr>
            <w:tcW w:w="712" w:type="pct"/>
            <w:vAlign w:val="center"/>
          </w:tcPr>
          <w:p w14:paraId="551F34E6">
            <w:pPr>
              <w:pStyle w:val="64"/>
              <w:wordWrap w:val="0"/>
              <w:rPr>
                <w:rFonts w:cs="Times New Roman"/>
              </w:rPr>
            </w:pPr>
            <w:r>
              <w:rPr>
                <w:rFonts w:cs="Times New Roman"/>
              </w:rPr>
              <w:t>0.066</w:t>
            </w:r>
          </w:p>
        </w:tc>
        <w:tc>
          <w:tcPr>
            <w:tcW w:w="740" w:type="pct"/>
            <w:vAlign w:val="center"/>
          </w:tcPr>
          <w:p w14:paraId="293D474E">
            <w:pPr>
              <w:pStyle w:val="64"/>
              <w:wordWrap w:val="0"/>
              <w:rPr>
                <w:rFonts w:cs="Times New Roman"/>
              </w:rPr>
            </w:pPr>
            <w:r>
              <w:rPr>
                <w:rFonts w:cs="Times New Roman"/>
              </w:rPr>
              <w:t>0.096</w:t>
            </w:r>
          </w:p>
        </w:tc>
        <w:tc>
          <w:tcPr>
            <w:tcW w:w="740" w:type="pct"/>
            <w:vAlign w:val="center"/>
          </w:tcPr>
          <w:p w14:paraId="2EE53675">
            <w:pPr>
              <w:pStyle w:val="64"/>
              <w:wordWrap w:val="0"/>
              <w:rPr>
                <w:rFonts w:cs="Times New Roman"/>
              </w:rPr>
            </w:pPr>
            <w:r>
              <w:rPr>
                <w:rFonts w:cs="Times New Roman"/>
              </w:rPr>
              <w:t>0.04</w:t>
            </w:r>
          </w:p>
        </w:tc>
        <w:tc>
          <w:tcPr>
            <w:tcW w:w="738" w:type="pct"/>
            <w:vAlign w:val="center"/>
          </w:tcPr>
          <w:p w14:paraId="2A66E60B">
            <w:pPr>
              <w:pStyle w:val="64"/>
              <w:wordWrap w:val="0"/>
              <w:rPr>
                <w:rFonts w:cs="Times New Roman"/>
              </w:rPr>
            </w:pPr>
            <w:r>
              <w:rPr>
                <w:rFonts w:cs="Times New Roman"/>
              </w:rPr>
              <w:t>0.069</w:t>
            </w:r>
          </w:p>
        </w:tc>
      </w:tr>
      <w:tr w14:paraId="3AB361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1" w:type="pct"/>
            <w:vMerge w:val="restart"/>
            <w:vAlign w:val="center"/>
          </w:tcPr>
          <w:p w14:paraId="73119A58">
            <w:pPr>
              <w:pStyle w:val="64"/>
              <w:wordWrap w:val="0"/>
              <w:rPr>
                <w:rFonts w:cs="Times New Roman"/>
              </w:rPr>
            </w:pPr>
            <w:r>
              <w:rPr>
                <w:rFonts w:cs="Times New Roman"/>
              </w:rPr>
              <w:t>氰化物</w:t>
            </w:r>
          </w:p>
        </w:tc>
        <w:tc>
          <w:tcPr>
            <w:tcW w:w="505" w:type="pct"/>
            <w:vMerge w:val="restart"/>
            <w:vAlign w:val="center"/>
          </w:tcPr>
          <w:p w14:paraId="055B0627">
            <w:pPr>
              <w:pStyle w:val="64"/>
              <w:wordWrap w:val="0"/>
              <w:rPr>
                <w:rFonts w:cs="Times New Roman"/>
              </w:rPr>
            </w:pPr>
            <w:r>
              <w:rPr>
                <w:rFonts w:cs="Times New Roman"/>
              </w:rPr>
              <w:t>2024.04.08</w:t>
            </w:r>
          </w:p>
        </w:tc>
        <w:tc>
          <w:tcPr>
            <w:tcW w:w="314" w:type="pct"/>
            <w:vAlign w:val="center"/>
          </w:tcPr>
          <w:p w14:paraId="1007B41A">
            <w:pPr>
              <w:pStyle w:val="64"/>
              <w:wordWrap w:val="0"/>
              <w:rPr>
                <w:rFonts w:cs="Times New Roman"/>
              </w:rPr>
            </w:pPr>
            <w:r>
              <w:rPr>
                <w:rFonts w:cs="Times New Roman"/>
              </w:rPr>
              <w:t>Ci</w:t>
            </w:r>
          </w:p>
        </w:tc>
        <w:tc>
          <w:tcPr>
            <w:tcW w:w="740" w:type="pct"/>
            <w:vAlign w:val="center"/>
          </w:tcPr>
          <w:p w14:paraId="12950A30">
            <w:pPr>
              <w:pStyle w:val="64"/>
              <w:wordWrap w:val="0"/>
              <w:rPr>
                <w:rFonts w:cs="Times New Roman"/>
              </w:rPr>
            </w:pPr>
            <w:r>
              <w:rPr>
                <w:rFonts w:cs="Times New Roman"/>
              </w:rPr>
              <w:t>&lt;0.002</w:t>
            </w:r>
          </w:p>
        </w:tc>
        <w:tc>
          <w:tcPr>
            <w:tcW w:w="712" w:type="pct"/>
            <w:vAlign w:val="center"/>
          </w:tcPr>
          <w:p w14:paraId="7AB48483">
            <w:pPr>
              <w:pStyle w:val="64"/>
              <w:wordWrap w:val="0"/>
              <w:rPr>
                <w:rFonts w:cs="Times New Roman"/>
              </w:rPr>
            </w:pPr>
            <w:r>
              <w:rPr>
                <w:rFonts w:cs="Times New Roman"/>
              </w:rPr>
              <w:t>&lt;0.002</w:t>
            </w:r>
          </w:p>
        </w:tc>
        <w:tc>
          <w:tcPr>
            <w:tcW w:w="740" w:type="pct"/>
            <w:vAlign w:val="center"/>
          </w:tcPr>
          <w:p w14:paraId="7A4C94D1">
            <w:pPr>
              <w:pStyle w:val="64"/>
              <w:wordWrap w:val="0"/>
              <w:rPr>
                <w:rFonts w:cs="Times New Roman"/>
              </w:rPr>
            </w:pPr>
            <w:r>
              <w:rPr>
                <w:rFonts w:cs="Times New Roman"/>
              </w:rPr>
              <w:t>&lt;0.002</w:t>
            </w:r>
          </w:p>
        </w:tc>
        <w:tc>
          <w:tcPr>
            <w:tcW w:w="740" w:type="pct"/>
            <w:vAlign w:val="center"/>
          </w:tcPr>
          <w:p w14:paraId="66F6003F">
            <w:pPr>
              <w:pStyle w:val="64"/>
              <w:wordWrap w:val="0"/>
              <w:rPr>
                <w:rFonts w:cs="Times New Roman"/>
              </w:rPr>
            </w:pPr>
            <w:r>
              <w:rPr>
                <w:rFonts w:cs="Times New Roman"/>
              </w:rPr>
              <w:t>&lt;0.002</w:t>
            </w:r>
          </w:p>
        </w:tc>
        <w:tc>
          <w:tcPr>
            <w:tcW w:w="738" w:type="pct"/>
            <w:vAlign w:val="center"/>
          </w:tcPr>
          <w:p w14:paraId="06746781">
            <w:pPr>
              <w:pStyle w:val="64"/>
              <w:wordWrap w:val="0"/>
              <w:rPr>
                <w:rFonts w:cs="Times New Roman"/>
              </w:rPr>
            </w:pPr>
            <w:r>
              <w:rPr>
                <w:rFonts w:cs="Times New Roman"/>
              </w:rPr>
              <w:t>&lt;0.002</w:t>
            </w:r>
          </w:p>
        </w:tc>
      </w:tr>
      <w:tr w14:paraId="06BA18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1" w:type="pct"/>
            <w:vMerge w:val="continue"/>
            <w:vAlign w:val="center"/>
          </w:tcPr>
          <w:p w14:paraId="0EB360EE">
            <w:pPr>
              <w:pStyle w:val="64"/>
              <w:wordWrap w:val="0"/>
              <w:rPr>
                <w:rFonts w:cs="Times New Roman"/>
              </w:rPr>
            </w:pPr>
          </w:p>
        </w:tc>
        <w:tc>
          <w:tcPr>
            <w:tcW w:w="505" w:type="pct"/>
            <w:vMerge w:val="continue"/>
            <w:vAlign w:val="center"/>
          </w:tcPr>
          <w:p w14:paraId="129A4F19">
            <w:pPr>
              <w:pStyle w:val="64"/>
              <w:wordWrap w:val="0"/>
              <w:rPr>
                <w:rFonts w:cs="Times New Roman"/>
              </w:rPr>
            </w:pPr>
          </w:p>
        </w:tc>
        <w:tc>
          <w:tcPr>
            <w:tcW w:w="314" w:type="pct"/>
            <w:vAlign w:val="center"/>
          </w:tcPr>
          <w:p w14:paraId="44D9343E">
            <w:pPr>
              <w:pStyle w:val="64"/>
              <w:wordWrap w:val="0"/>
              <w:rPr>
                <w:rFonts w:cs="Times New Roman"/>
              </w:rPr>
            </w:pPr>
            <w:r>
              <w:rPr>
                <w:rFonts w:cs="Times New Roman"/>
              </w:rPr>
              <w:t>Si</w:t>
            </w:r>
          </w:p>
        </w:tc>
        <w:tc>
          <w:tcPr>
            <w:tcW w:w="740" w:type="pct"/>
            <w:vAlign w:val="center"/>
          </w:tcPr>
          <w:p w14:paraId="5BB61746">
            <w:pPr>
              <w:pStyle w:val="64"/>
              <w:wordWrap w:val="0"/>
              <w:rPr>
                <w:rFonts w:cs="Times New Roman"/>
              </w:rPr>
            </w:pPr>
            <w:r>
              <w:rPr>
                <w:rFonts w:cs="Times New Roman"/>
              </w:rPr>
              <w:t>&lt;0.04</w:t>
            </w:r>
          </w:p>
        </w:tc>
        <w:tc>
          <w:tcPr>
            <w:tcW w:w="712" w:type="pct"/>
            <w:vAlign w:val="center"/>
          </w:tcPr>
          <w:p w14:paraId="73A7AFB8">
            <w:pPr>
              <w:pStyle w:val="64"/>
              <w:wordWrap w:val="0"/>
              <w:rPr>
                <w:rFonts w:cs="Times New Roman"/>
              </w:rPr>
            </w:pPr>
            <w:r>
              <w:rPr>
                <w:rFonts w:cs="Times New Roman"/>
              </w:rPr>
              <w:t>&lt;0.04</w:t>
            </w:r>
          </w:p>
        </w:tc>
        <w:tc>
          <w:tcPr>
            <w:tcW w:w="740" w:type="pct"/>
            <w:vAlign w:val="center"/>
          </w:tcPr>
          <w:p w14:paraId="030D1724">
            <w:pPr>
              <w:pStyle w:val="64"/>
              <w:wordWrap w:val="0"/>
              <w:rPr>
                <w:rFonts w:cs="Times New Roman"/>
              </w:rPr>
            </w:pPr>
            <w:r>
              <w:rPr>
                <w:rFonts w:cs="Times New Roman"/>
              </w:rPr>
              <w:t>&lt;0.04</w:t>
            </w:r>
          </w:p>
        </w:tc>
        <w:tc>
          <w:tcPr>
            <w:tcW w:w="740" w:type="pct"/>
            <w:vAlign w:val="center"/>
          </w:tcPr>
          <w:p w14:paraId="283D65C5">
            <w:pPr>
              <w:pStyle w:val="64"/>
              <w:wordWrap w:val="0"/>
              <w:rPr>
                <w:rFonts w:cs="Times New Roman"/>
              </w:rPr>
            </w:pPr>
            <w:r>
              <w:rPr>
                <w:rFonts w:cs="Times New Roman"/>
              </w:rPr>
              <w:t>&lt;0.04</w:t>
            </w:r>
          </w:p>
        </w:tc>
        <w:tc>
          <w:tcPr>
            <w:tcW w:w="738" w:type="pct"/>
            <w:vAlign w:val="center"/>
          </w:tcPr>
          <w:p w14:paraId="5675F80E">
            <w:pPr>
              <w:pStyle w:val="64"/>
              <w:wordWrap w:val="0"/>
              <w:rPr>
                <w:rFonts w:cs="Times New Roman"/>
              </w:rPr>
            </w:pPr>
            <w:r>
              <w:rPr>
                <w:rFonts w:cs="Times New Roman"/>
              </w:rPr>
              <w:t>&lt;0.04</w:t>
            </w:r>
          </w:p>
        </w:tc>
      </w:tr>
      <w:tr w14:paraId="3A3B10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1" w:type="pct"/>
            <w:vMerge w:val="continue"/>
            <w:vAlign w:val="center"/>
          </w:tcPr>
          <w:p w14:paraId="2C4A405D">
            <w:pPr>
              <w:pStyle w:val="64"/>
              <w:wordWrap w:val="0"/>
              <w:rPr>
                <w:rFonts w:cs="Times New Roman"/>
              </w:rPr>
            </w:pPr>
          </w:p>
        </w:tc>
        <w:tc>
          <w:tcPr>
            <w:tcW w:w="505" w:type="pct"/>
            <w:vMerge w:val="restart"/>
            <w:vAlign w:val="center"/>
          </w:tcPr>
          <w:p w14:paraId="3793F82B">
            <w:pPr>
              <w:pStyle w:val="64"/>
              <w:wordWrap w:val="0"/>
              <w:rPr>
                <w:rFonts w:cs="Times New Roman"/>
              </w:rPr>
            </w:pPr>
            <w:r>
              <w:rPr>
                <w:rFonts w:cs="Times New Roman"/>
              </w:rPr>
              <w:t>2024.04.09</w:t>
            </w:r>
          </w:p>
        </w:tc>
        <w:tc>
          <w:tcPr>
            <w:tcW w:w="314" w:type="pct"/>
            <w:vAlign w:val="center"/>
          </w:tcPr>
          <w:p w14:paraId="42A44EEE">
            <w:pPr>
              <w:pStyle w:val="64"/>
              <w:wordWrap w:val="0"/>
              <w:rPr>
                <w:rFonts w:cs="Times New Roman"/>
              </w:rPr>
            </w:pPr>
            <w:r>
              <w:rPr>
                <w:rFonts w:cs="Times New Roman"/>
              </w:rPr>
              <w:t>Ci</w:t>
            </w:r>
          </w:p>
        </w:tc>
        <w:tc>
          <w:tcPr>
            <w:tcW w:w="740" w:type="pct"/>
            <w:vAlign w:val="center"/>
          </w:tcPr>
          <w:p w14:paraId="3474DAFA">
            <w:pPr>
              <w:pStyle w:val="64"/>
              <w:wordWrap w:val="0"/>
              <w:rPr>
                <w:rFonts w:cs="Times New Roman"/>
              </w:rPr>
            </w:pPr>
            <w:r>
              <w:rPr>
                <w:rFonts w:cs="Times New Roman"/>
              </w:rPr>
              <w:t>&lt;0.002</w:t>
            </w:r>
          </w:p>
        </w:tc>
        <w:tc>
          <w:tcPr>
            <w:tcW w:w="712" w:type="pct"/>
            <w:vAlign w:val="center"/>
          </w:tcPr>
          <w:p w14:paraId="02016C7C">
            <w:pPr>
              <w:pStyle w:val="64"/>
              <w:wordWrap w:val="0"/>
              <w:rPr>
                <w:rFonts w:cs="Times New Roman"/>
              </w:rPr>
            </w:pPr>
            <w:r>
              <w:rPr>
                <w:rFonts w:cs="Times New Roman"/>
              </w:rPr>
              <w:t>&lt;0.002</w:t>
            </w:r>
          </w:p>
        </w:tc>
        <w:tc>
          <w:tcPr>
            <w:tcW w:w="740" w:type="pct"/>
            <w:vAlign w:val="center"/>
          </w:tcPr>
          <w:p w14:paraId="0BAB855A">
            <w:pPr>
              <w:pStyle w:val="64"/>
              <w:wordWrap w:val="0"/>
              <w:rPr>
                <w:rFonts w:cs="Times New Roman"/>
              </w:rPr>
            </w:pPr>
            <w:r>
              <w:rPr>
                <w:rFonts w:cs="Times New Roman"/>
              </w:rPr>
              <w:t>&lt;0.002</w:t>
            </w:r>
          </w:p>
        </w:tc>
        <w:tc>
          <w:tcPr>
            <w:tcW w:w="740" w:type="pct"/>
            <w:vAlign w:val="center"/>
          </w:tcPr>
          <w:p w14:paraId="4E2778EE">
            <w:pPr>
              <w:pStyle w:val="64"/>
              <w:wordWrap w:val="0"/>
              <w:rPr>
                <w:rFonts w:cs="Times New Roman"/>
              </w:rPr>
            </w:pPr>
            <w:r>
              <w:rPr>
                <w:rFonts w:cs="Times New Roman"/>
              </w:rPr>
              <w:t>&lt;0.002</w:t>
            </w:r>
          </w:p>
        </w:tc>
        <w:tc>
          <w:tcPr>
            <w:tcW w:w="738" w:type="pct"/>
            <w:vAlign w:val="center"/>
          </w:tcPr>
          <w:p w14:paraId="5B572BE0">
            <w:pPr>
              <w:pStyle w:val="64"/>
              <w:wordWrap w:val="0"/>
              <w:rPr>
                <w:rFonts w:cs="Times New Roman"/>
              </w:rPr>
            </w:pPr>
            <w:r>
              <w:rPr>
                <w:rFonts w:cs="Times New Roman"/>
              </w:rPr>
              <w:t>&lt;0.002</w:t>
            </w:r>
          </w:p>
        </w:tc>
      </w:tr>
      <w:tr w14:paraId="335276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1" w:type="pct"/>
            <w:vMerge w:val="continue"/>
            <w:vAlign w:val="center"/>
          </w:tcPr>
          <w:p w14:paraId="06FDC668">
            <w:pPr>
              <w:pStyle w:val="64"/>
              <w:wordWrap w:val="0"/>
              <w:rPr>
                <w:rFonts w:cs="Times New Roman"/>
              </w:rPr>
            </w:pPr>
          </w:p>
        </w:tc>
        <w:tc>
          <w:tcPr>
            <w:tcW w:w="505" w:type="pct"/>
            <w:vMerge w:val="continue"/>
            <w:vAlign w:val="center"/>
          </w:tcPr>
          <w:p w14:paraId="50B1298B">
            <w:pPr>
              <w:pStyle w:val="64"/>
              <w:wordWrap w:val="0"/>
              <w:rPr>
                <w:rFonts w:cs="Times New Roman"/>
              </w:rPr>
            </w:pPr>
          </w:p>
        </w:tc>
        <w:tc>
          <w:tcPr>
            <w:tcW w:w="314" w:type="pct"/>
            <w:vAlign w:val="center"/>
          </w:tcPr>
          <w:p w14:paraId="3793A851">
            <w:pPr>
              <w:pStyle w:val="64"/>
              <w:wordWrap w:val="0"/>
              <w:rPr>
                <w:rFonts w:cs="Times New Roman"/>
              </w:rPr>
            </w:pPr>
            <w:r>
              <w:rPr>
                <w:rFonts w:cs="Times New Roman"/>
              </w:rPr>
              <w:t>Si</w:t>
            </w:r>
          </w:p>
        </w:tc>
        <w:tc>
          <w:tcPr>
            <w:tcW w:w="740" w:type="pct"/>
            <w:vAlign w:val="center"/>
          </w:tcPr>
          <w:p w14:paraId="36ACF7B4">
            <w:pPr>
              <w:pStyle w:val="64"/>
              <w:wordWrap w:val="0"/>
              <w:rPr>
                <w:rFonts w:cs="Times New Roman"/>
              </w:rPr>
            </w:pPr>
            <w:r>
              <w:rPr>
                <w:rFonts w:cs="Times New Roman"/>
              </w:rPr>
              <w:t>&lt;0.04</w:t>
            </w:r>
          </w:p>
        </w:tc>
        <w:tc>
          <w:tcPr>
            <w:tcW w:w="712" w:type="pct"/>
            <w:vAlign w:val="center"/>
          </w:tcPr>
          <w:p w14:paraId="24A78AC9">
            <w:pPr>
              <w:pStyle w:val="64"/>
              <w:wordWrap w:val="0"/>
              <w:rPr>
                <w:rFonts w:cs="Times New Roman"/>
              </w:rPr>
            </w:pPr>
            <w:r>
              <w:rPr>
                <w:rFonts w:cs="Times New Roman"/>
              </w:rPr>
              <w:t>&lt;0.04</w:t>
            </w:r>
          </w:p>
        </w:tc>
        <w:tc>
          <w:tcPr>
            <w:tcW w:w="740" w:type="pct"/>
            <w:vAlign w:val="center"/>
          </w:tcPr>
          <w:p w14:paraId="4A84050E">
            <w:pPr>
              <w:pStyle w:val="64"/>
              <w:wordWrap w:val="0"/>
              <w:rPr>
                <w:rFonts w:cs="Times New Roman"/>
              </w:rPr>
            </w:pPr>
            <w:r>
              <w:rPr>
                <w:rFonts w:cs="Times New Roman"/>
              </w:rPr>
              <w:t>&lt;0.04</w:t>
            </w:r>
          </w:p>
        </w:tc>
        <w:tc>
          <w:tcPr>
            <w:tcW w:w="740" w:type="pct"/>
            <w:vAlign w:val="center"/>
          </w:tcPr>
          <w:p w14:paraId="45C2C13A">
            <w:pPr>
              <w:pStyle w:val="64"/>
              <w:wordWrap w:val="0"/>
              <w:rPr>
                <w:rFonts w:cs="Times New Roman"/>
              </w:rPr>
            </w:pPr>
            <w:r>
              <w:rPr>
                <w:rFonts w:cs="Times New Roman"/>
              </w:rPr>
              <w:t>&lt;0.04</w:t>
            </w:r>
          </w:p>
        </w:tc>
        <w:tc>
          <w:tcPr>
            <w:tcW w:w="738" w:type="pct"/>
            <w:vAlign w:val="center"/>
          </w:tcPr>
          <w:p w14:paraId="5B7BB16D">
            <w:pPr>
              <w:pStyle w:val="64"/>
              <w:wordWrap w:val="0"/>
              <w:rPr>
                <w:rFonts w:cs="Times New Roman"/>
              </w:rPr>
            </w:pPr>
            <w:r>
              <w:rPr>
                <w:rFonts w:cs="Times New Roman"/>
              </w:rPr>
              <w:t>&lt;0.04</w:t>
            </w:r>
          </w:p>
        </w:tc>
      </w:tr>
      <w:tr w14:paraId="71A33C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1" w:type="pct"/>
            <w:vMerge w:val="restart"/>
            <w:vAlign w:val="center"/>
          </w:tcPr>
          <w:p w14:paraId="7DA7EFED">
            <w:pPr>
              <w:pStyle w:val="64"/>
              <w:wordWrap w:val="0"/>
              <w:rPr>
                <w:rFonts w:cs="Times New Roman"/>
              </w:rPr>
            </w:pPr>
            <w:r>
              <w:rPr>
                <w:rFonts w:cs="Times New Roman"/>
              </w:rPr>
              <w:t>挥发性酚类</w:t>
            </w:r>
          </w:p>
        </w:tc>
        <w:tc>
          <w:tcPr>
            <w:tcW w:w="505" w:type="pct"/>
            <w:vMerge w:val="restart"/>
            <w:vAlign w:val="center"/>
          </w:tcPr>
          <w:p w14:paraId="2EAC54E7">
            <w:pPr>
              <w:pStyle w:val="64"/>
              <w:wordWrap w:val="0"/>
              <w:rPr>
                <w:rFonts w:cs="Times New Roman"/>
              </w:rPr>
            </w:pPr>
            <w:r>
              <w:rPr>
                <w:rFonts w:cs="Times New Roman"/>
              </w:rPr>
              <w:t>2024.04.08</w:t>
            </w:r>
          </w:p>
        </w:tc>
        <w:tc>
          <w:tcPr>
            <w:tcW w:w="314" w:type="pct"/>
            <w:vAlign w:val="center"/>
          </w:tcPr>
          <w:p w14:paraId="2441FADC">
            <w:pPr>
              <w:pStyle w:val="64"/>
              <w:wordWrap w:val="0"/>
              <w:rPr>
                <w:rFonts w:cs="Times New Roman"/>
              </w:rPr>
            </w:pPr>
            <w:r>
              <w:rPr>
                <w:rFonts w:cs="Times New Roman"/>
              </w:rPr>
              <w:t>Ci</w:t>
            </w:r>
          </w:p>
        </w:tc>
        <w:tc>
          <w:tcPr>
            <w:tcW w:w="740" w:type="pct"/>
            <w:vAlign w:val="center"/>
          </w:tcPr>
          <w:p w14:paraId="124194B4">
            <w:pPr>
              <w:pStyle w:val="64"/>
              <w:wordWrap w:val="0"/>
              <w:rPr>
                <w:rFonts w:cs="Times New Roman"/>
              </w:rPr>
            </w:pPr>
            <w:r>
              <w:rPr>
                <w:rFonts w:cs="Times New Roman"/>
              </w:rPr>
              <w:t>&lt;0.0003</w:t>
            </w:r>
          </w:p>
        </w:tc>
        <w:tc>
          <w:tcPr>
            <w:tcW w:w="712" w:type="pct"/>
            <w:vAlign w:val="center"/>
          </w:tcPr>
          <w:p w14:paraId="78F27B81">
            <w:pPr>
              <w:pStyle w:val="64"/>
              <w:wordWrap w:val="0"/>
              <w:rPr>
                <w:rFonts w:cs="Times New Roman"/>
              </w:rPr>
            </w:pPr>
            <w:r>
              <w:rPr>
                <w:rFonts w:cs="Times New Roman"/>
              </w:rPr>
              <w:t>&lt;0.0003</w:t>
            </w:r>
          </w:p>
        </w:tc>
        <w:tc>
          <w:tcPr>
            <w:tcW w:w="740" w:type="pct"/>
            <w:vAlign w:val="center"/>
          </w:tcPr>
          <w:p w14:paraId="0978F3F6">
            <w:pPr>
              <w:pStyle w:val="64"/>
              <w:wordWrap w:val="0"/>
              <w:rPr>
                <w:rFonts w:cs="Times New Roman"/>
              </w:rPr>
            </w:pPr>
            <w:r>
              <w:rPr>
                <w:rFonts w:cs="Times New Roman"/>
              </w:rPr>
              <w:t>&lt;0.0003</w:t>
            </w:r>
          </w:p>
        </w:tc>
        <w:tc>
          <w:tcPr>
            <w:tcW w:w="740" w:type="pct"/>
            <w:vAlign w:val="center"/>
          </w:tcPr>
          <w:p w14:paraId="0033CDA8">
            <w:pPr>
              <w:pStyle w:val="64"/>
              <w:wordWrap w:val="0"/>
              <w:rPr>
                <w:rFonts w:cs="Times New Roman"/>
              </w:rPr>
            </w:pPr>
            <w:r>
              <w:rPr>
                <w:rFonts w:cs="Times New Roman"/>
              </w:rPr>
              <w:t>&lt;0.0003</w:t>
            </w:r>
          </w:p>
        </w:tc>
        <w:tc>
          <w:tcPr>
            <w:tcW w:w="738" w:type="pct"/>
            <w:vAlign w:val="center"/>
          </w:tcPr>
          <w:p w14:paraId="5E655CBA">
            <w:pPr>
              <w:pStyle w:val="64"/>
              <w:wordWrap w:val="0"/>
              <w:rPr>
                <w:rFonts w:cs="Times New Roman"/>
              </w:rPr>
            </w:pPr>
            <w:r>
              <w:rPr>
                <w:rFonts w:cs="Times New Roman"/>
              </w:rPr>
              <w:t>&lt;0.0003</w:t>
            </w:r>
          </w:p>
        </w:tc>
      </w:tr>
      <w:tr w14:paraId="3D488A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1" w:type="pct"/>
            <w:vMerge w:val="continue"/>
            <w:vAlign w:val="center"/>
          </w:tcPr>
          <w:p w14:paraId="1E4EA5A2">
            <w:pPr>
              <w:pStyle w:val="64"/>
              <w:wordWrap w:val="0"/>
              <w:rPr>
                <w:rFonts w:cs="Times New Roman"/>
              </w:rPr>
            </w:pPr>
          </w:p>
        </w:tc>
        <w:tc>
          <w:tcPr>
            <w:tcW w:w="505" w:type="pct"/>
            <w:vMerge w:val="continue"/>
            <w:vAlign w:val="center"/>
          </w:tcPr>
          <w:p w14:paraId="4A34EB07">
            <w:pPr>
              <w:pStyle w:val="64"/>
              <w:wordWrap w:val="0"/>
              <w:rPr>
                <w:rFonts w:cs="Times New Roman"/>
              </w:rPr>
            </w:pPr>
          </w:p>
        </w:tc>
        <w:tc>
          <w:tcPr>
            <w:tcW w:w="314" w:type="pct"/>
            <w:vAlign w:val="center"/>
          </w:tcPr>
          <w:p w14:paraId="6B2947B4">
            <w:pPr>
              <w:pStyle w:val="64"/>
              <w:wordWrap w:val="0"/>
              <w:rPr>
                <w:rFonts w:cs="Times New Roman"/>
              </w:rPr>
            </w:pPr>
            <w:r>
              <w:rPr>
                <w:rFonts w:cs="Times New Roman"/>
              </w:rPr>
              <w:t>Si</w:t>
            </w:r>
          </w:p>
        </w:tc>
        <w:tc>
          <w:tcPr>
            <w:tcW w:w="740" w:type="pct"/>
            <w:vAlign w:val="center"/>
          </w:tcPr>
          <w:p w14:paraId="29B0AE44">
            <w:pPr>
              <w:pStyle w:val="64"/>
              <w:wordWrap w:val="0"/>
              <w:rPr>
                <w:rFonts w:cs="Times New Roman"/>
              </w:rPr>
            </w:pPr>
            <w:r>
              <w:rPr>
                <w:rFonts w:cs="Times New Roman"/>
              </w:rPr>
              <w:t>&lt;0.15</w:t>
            </w:r>
          </w:p>
        </w:tc>
        <w:tc>
          <w:tcPr>
            <w:tcW w:w="712" w:type="pct"/>
            <w:vAlign w:val="center"/>
          </w:tcPr>
          <w:p w14:paraId="7A1A3380">
            <w:pPr>
              <w:pStyle w:val="64"/>
              <w:wordWrap w:val="0"/>
              <w:rPr>
                <w:rFonts w:cs="Times New Roman"/>
              </w:rPr>
            </w:pPr>
            <w:r>
              <w:rPr>
                <w:rFonts w:cs="Times New Roman"/>
              </w:rPr>
              <w:t>&lt;0.15</w:t>
            </w:r>
          </w:p>
        </w:tc>
        <w:tc>
          <w:tcPr>
            <w:tcW w:w="740" w:type="pct"/>
            <w:vAlign w:val="center"/>
          </w:tcPr>
          <w:p w14:paraId="5A36BCAB">
            <w:pPr>
              <w:pStyle w:val="64"/>
              <w:wordWrap w:val="0"/>
              <w:rPr>
                <w:rFonts w:cs="Times New Roman"/>
              </w:rPr>
            </w:pPr>
            <w:r>
              <w:rPr>
                <w:rFonts w:cs="Times New Roman"/>
              </w:rPr>
              <w:t>&lt;0.15</w:t>
            </w:r>
          </w:p>
        </w:tc>
        <w:tc>
          <w:tcPr>
            <w:tcW w:w="740" w:type="pct"/>
            <w:vAlign w:val="center"/>
          </w:tcPr>
          <w:p w14:paraId="00F0E00A">
            <w:pPr>
              <w:pStyle w:val="64"/>
              <w:wordWrap w:val="0"/>
              <w:rPr>
                <w:rFonts w:cs="Times New Roman"/>
              </w:rPr>
            </w:pPr>
            <w:r>
              <w:rPr>
                <w:rFonts w:cs="Times New Roman"/>
              </w:rPr>
              <w:t>&lt;0.15</w:t>
            </w:r>
          </w:p>
        </w:tc>
        <w:tc>
          <w:tcPr>
            <w:tcW w:w="738" w:type="pct"/>
            <w:vAlign w:val="center"/>
          </w:tcPr>
          <w:p w14:paraId="33CF9309">
            <w:pPr>
              <w:pStyle w:val="64"/>
              <w:wordWrap w:val="0"/>
              <w:rPr>
                <w:rFonts w:cs="Times New Roman"/>
              </w:rPr>
            </w:pPr>
            <w:r>
              <w:rPr>
                <w:rFonts w:cs="Times New Roman"/>
              </w:rPr>
              <w:t>&lt;0.15</w:t>
            </w:r>
          </w:p>
        </w:tc>
      </w:tr>
      <w:tr w14:paraId="1102CF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1" w:type="pct"/>
            <w:vMerge w:val="continue"/>
            <w:vAlign w:val="center"/>
          </w:tcPr>
          <w:p w14:paraId="23085B79">
            <w:pPr>
              <w:pStyle w:val="64"/>
              <w:wordWrap w:val="0"/>
              <w:rPr>
                <w:rFonts w:cs="Times New Roman"/>
              </w:rPr>
            </w:pPr>
          </w:p>
        </w:tc>
        <w:tc>
          <w:tcPr>
            <w:tcW w:w="505" w:type="pct"/>
            <w:vMerge w:val="restart"/>
            <w:vAlign w:val="center"/>
          </w:tcPr>
          <w:p w14:paraId="12A9E70F">
            <w:pPr>
              <w:pStyle w:val="64"/>
              <w:wordWrap w:val="0"/>
              <w:rPr>
                <w:rFonts w:cs="Times New Roman"/>
              </w:rPr>
            </w:pPr>
            <w:r>
              <w:rPr>
                <w:rFonts w:cs="Times New Roman"/>
              </w:rPr>
              <w:t>2024.04.09</w:t>
            </w:r>
          </w:p>
        </w:tc>
        <w:tc>
          <w:tcPr>
            <w:tcW w:w="314" w:type="pct"/>
            <w:vAlign w:val="center"/>
          </w:tcPr>
          <w:p w14:paraId="1B11E379">
            <w:pPr>
              <w:pStyle w:val="64"/>
              <w:wordWrap w:val="0"/>
              <w:rPr>
                <w:rFonts w:cs="Times New Roman"/>
              </w:rPr>
            </w:pPr>
            <w:r>
              <w:rPr>
                <w:rFonts w:cs="Times New Roman"/>
              </w:rPr>
              <w:t>Ci</w:t>
            </w:r>
          </w:p>
        </w:tc>
        <w:tc>
          <w:tcPr>
            <w:tcW w:w="740" w:type="pct"/>
            <w:vAlign w:val="center"/>
          </w:tcPr>
          <w:p w14:paraId="18505534">
            <w:pPr>
              <w:pStyle w:val="64"/>
              <w:wordWrap w:val="0"/>
              <w:rPr>
                <w:rFonts w:cs="Times New Roman"/>
              </w:rPr>
            </w:pPr>
            <w:r>
              <w:rPr>
                <w:rFonts w:cs="Times New Roman"/>
              </w:rPr>
              <w:t>&lt;0.0003</w:t>
            </w:r>
          </w:p>
        </w:tc>
        <w:tc>
          <w:tcPr>
            <w:tcW w:w="712" w:type="pct"/>
            <w:vAlign w:val="center"/>
          </w:tcPr>
          <w:p w14:paraId="5CE160DD">
            <w:pPr>
              <w:pStyle w:val="64"/>
              <w:wordWrap w:val="0"/>
              <w:rPr>
                <w:rFonts w:cs="Times New Roman"/>
              </w:rPr>
            </w:pPr>
            <w:r>
              <w:rPr>
                <w:rFonts w:cs="Times New Roman"/>
              </w:rPr>
              <w:t>&lt;0.0003</w:t>
            </w:r>
          </w:p>
        </w:tc>
        <w:tc>
          <w:tcPr>
            <w:tcW w:w="740" w:type="pct"/>
            <w:vAlign w:val="center"/>
          </w:tcPr>
          <w:p w14:paraId="4D4DE83C">
            <w:pPr>
              <w:pStyle w:val="64"/>
              <w:wordWrap w:val="0"/>
              <w:rPr>
                <w:rFonts w:cs="Times New Roman"/>
              </w:rPr>
            </w:pPr>
            <w:r>
              <w:rPr>
                <w:rFonts w:cs="Times New Roman"/>
              </w:rPr>
              <w:t>&lt;0.0003</w:t>
            </w:r>
          </w:p>
        </w:tc>
        <w:tc>
          <w:tcPr>
            <w:tcW w:w="740" w:type="pct"/>
            <w:vAlign w:val="center"/>
          </w:tcPr>
          <w:p w14:paraId="40D3197E">
            <w:pPr>
              <w:pStyle w:val="64"/>
              <w:wordWrap w:val="0"/>
              <w:rPr>
                <w:rFonts w:cs="Times New Roman"/>
              </w:rPr>
            </w:pPr>
            <w:r>
              <w:rPr>
                <w:rFonts w:cs="Times New Roman"/>
              </w:rPr>
              <w:t>&lt;0.0003</w:t>
            </w:r>
          </w:p>
        </w:tc>
        <w:tc>
          <w:tcPr>
            <w:tcW w:w="738" w:type="pct"/>
            <w:vAlign w:val="center"/>
          </w:tcPr>
          <w:p w14:paraId="7D85CC7D">
            <w:pPr>
              <w:pStyle w:val="64"/>
              <w:wordWrap w:val="0"/>
              <w:rPr>
                <w:rFonts w:cs="Times New Roman"/>
              </w:rPr>
            </w:pPr>
            <w:r>
              <w:rPr>
                <w:rFonts w:cs="Times New Roman"/>
              </w:rPr>
              <w:t>&lt;0.0003</w:t>
            </w:r>
          </w:p>
        </w:tc>
      </w:tr>
      <w:tr w14:paraId="6A83AB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1" w:type="pct"/>
            <w:vMerge w:val="continue"/>
            <w:vAlign w:val="center"/>
          </w:tcPr>
          <w:p w14:paraId="33EB813C">
            <w:pPr>
              <w:pStyle w:val="64"/>
              <w:wordWrap w:val="0"/>
              <w:rPr>
                <w:rFonts w:cs="Times New Roman"/>
              </w:rPr>
            </w:pPr>
          </w:p>
        </w:tc>
        <w:tc>
          <w:tcPr>
            <w:tcW w:w="505" w:type="pct"/>
            <w:vMerge w:val="continue"/>
            <w:vAlign w:val="center"/>
          </w:tcPr>
          <w:p w14:paraId="6CC99B62">
            <w:pPr>
              <w:pStyle w:val="64"/>
              <w:wordWrap w:val="0"/>
              <w:rPr>
                <w:rFonts w:cs="Times New Roman"/>
              </w:rPr>
            </w:pPr>
          </w:p>
        </w:tc>
        <w:tc>
          <w:tcPr>
            <w:tcW w:w="314" w:type="pct"/>
            <w:vAlign w:val="center"/>
          </w:tcPr>
          <w:p w14:paraId="0D5AEE79">
            <w:pPr>
              <w:pStyle w:val="64"/>
              <w:wordWrap w:val="0"/>
              <w:rPr>
                <w:rFonts w:cs="Times New Roman"/>
              </w:rPr>
            </w:pPr>
            <w:r>
              <w:rPr>
                <w:rFonts w:cs="Times New Roman"/>
              </w:rPr>
              <w:t>Si</w:t>
            </w:r>
          </w:p>
        </w:tc>
        <w:tc>
          <w:tcPr>
            <w:tcW w:w="740" w:type="pct"/>
            <w:vAlign w:val="center"/>
          </w:tcPr>
          <w:p w14:paraId="747B52C6">
            <w:pPr>
              <w:pStyle w:val="64"/>
              <w:wordWrap w:val="0"/>
              <w:rPr>
                <w:rFonts w:cs="Times New Roman"/>
              </w:rPr>
            </w:pPr>
            <w:r>
              <w:rPr>
                <w:rFonts w:cs="Times New Roman"/>
              </w:rPr>
              <w:t>&lt;0.15</w:t>
            </w:r>
          </w:p>
        </w:tc>
        <w:tc>
          <w:tcPr>
            <w:tcW w:w="712" w:type="pct"/>
            <w:vAlign w:val="center"/>
          </w:tcPr>
          <w:p w14:paraId="3A236653">
            <w:pPr>
              <w:pStyle w:val="64"/>
              <w:wordWrap w:val="0"/>
              <w:rPr>
                <w:rFonts w:cs="Times New Roman"/>
              </w:rPr>
            </w:pPr>
            <w:r>
              <w:rPr>
                <w:rFonts w:cs="Times New Roman"/>
              </w:rPr>
              <w:t>&lt;0.15</w:t>
            </w:r>
          </w:p>
        </w:tc>
        <w:tc>
          <w:tcPr>
            <w:tcW w:w="740" w:type="pct"/>
            <w:vAlign w:val="center"/>
          </w:tcPr>
          <w:p w14:paraId="7B19434F">
            <w:pPr>
              <w:pStyle w:val="64"/>
              <w:wordWrap w:val="0"/>
              <w:rPr>
                <w:rFonts w:cs="Times New Roman"/>
              </w:rPr>
            </w:pPr>
            <w:r>
              <w:rPr>
                <w:rFonts w:cs="Times New Roman"/>
              </w:rPr>
              <w:t>&lt;0.15</w:t>
            </w:r>
          </w:p>
        </w:tc>
        <w:tc>
          <w:tcPr>
            <w:tcW w:w="740" w:type="pct"/>
            <w:vAlign w:val="center"/>
          </w:tcPr>
          <w:p w14:paraId="133820A4">
            <w:pPr>
              <w:pStyle w:val="64"/>
              <w:wordWrap w:val="0"/>
              <w:rPr>
                <w:rFonts w:cs="Times New Roman"/>
              </w:rPr>
            </w:pPr>
            <w:r>
              <w:rPr>
                <w:rFonts w:cs="Times New Roman"/>
              </w:rPr>
              <w:t>&lt;0.15</w:t>
            </w:r>
          </w:p>
        </w:tc>
        <w:tc>
          <w:tcPr>
            <w:tcW w:w="738" w:type="pct"/>
            <w:vAlign w:val="center"/>
          </w:tcPr>
          <w:p w14:paraId="6B48FFA1">
            <w:pPr>
              <w:pStyle w:val="64"/>
              <w:wordWrap w:val="0"/>
              <w:rPr>
                <w:rFonts w:cs="Times New Roman"/>
              </w:rPr>
            </w:pPr>
            <w:r>
              <w:rPr>
                <w:rFonts w:cs="Times New Roman"/>
              </w:rPr>
              <w:t>&lt;0.15</w:t>
            </w:r>
          </w:p>
        </w:tc>
      </w:tr>
      <w:tr w14:paraId="2DB02F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1" w:type="pct"/>
            <w:vMerge w:val="restart"/>
            <w:vAlign w:val="center"/>
          </w:tcPr>
          <w:p w14:paraId="5850F927">
            <w:pPr>
              <w:pStyle w:val="64"/>
              <w:wordWrap w:val="0"/>
              <w:rPr>
                <w:rFonts w:cs="Times New Roman"/>
              </w:rPr>
            </w:pPr>
            <w:r>
              <w:rPr>
                <w:rFonts w:cs="Times New Roman"/>
              </w:rPr>
              <w:t>苯</w:t>
            </w:r>
          </w:p>
        </w:tc>
        <w:tc>
          <w:tcPr>
            <w:tcW w:w="505" w:type="pct"/>
            <w:vMerge w:val="restart"/>
            <w:vAlign w:val="center"/>
          </w:tcPr>
          <w:p w14:paraId="35733120">
            <w:pPr>
              <w:pStyle w:val="64"/>
              <w:wordWrap w:val="0"/>
              <w:rPr>
                <w:rFonts w:cs="Times New Roman"/>
              </w:rPr>
            </w:pPr>
            <w:r>
              <w:rPr>
                <w:rFonts w:cs="Times New Roman"/>
              </w:rPr>
              <w:t>2024.04.08</w:t>
            </w:r>
          </w:p>
        </w:tc>
        <w:tc>
          <w:tcPr>
            <w:tcW w:w="314" w:type="pct"/>
            <w:vAlign w:val="center"/>
          </w:tcPr>
          <w:p w14:paraId="1F3057F1">
            <w:pPr>
              <w:pStyle w:val="64"/>
              <w:wordWrap w:val="0"/>
              <w:rPr>
                <w:rFonts w:cs="Times New Roman"/>
              </w:rPr>
            </w:pPr>
            <w:r>
              <w:rPr>
                <w:rFonts w:cs="Times New Roman"/>
              </w:rPr>
              <w:t>Ci</w:t>
            </w:r>
          </w:p>
        </w:tc>
        <w:tc>
          <w:tcPr>
            <w:tcW w:w="740" w:type="pct"/>
            <w:vAlign w:val="center"/>
          </w:tcPr>
          <w:p w14:paraId="1CAA7EB0">
            <w:pPr>
              <w:pStyle w:val="64"/>
              <w:wordWrap w:val="0"/>
              <w:rPr>
                <w:rFonts w:cs="Times New Roman"/>
              </w:rPr>
            </w:pPr>
            <w:r>
              <w:rPr>
                <w:rFonts w:cs="Times New Roman"/>
              </w:rPr>
              <w:t>&lt;0.002</w:t>
            </w:r>
          </w:p>
        </w:tc>
        <w:tc>
          <w:tcPr>
            <w:tcW w:w="712" w:type="pct"/>
            <w:vAlign w:val="center"/>
          </w:tcPr>
          <w:p w14:paraId="53CADA03">
            <w:pPr>
              <w:pStyle w:val="64"/>
              <w:wordWrap w:val="0"/>
              <w:rPr>
                <w:rFonts w:cs="Times New Roman"/>
              </w:rPr>
            </w:pPr>
            <w:r>
              <w:rPr>
                <w:rFonts w:cs="Times New Roman"/>
              </w:rPr>
              <w:t>&lt;0.002</w:t>
            </w:r>
          </w:p>
        </w:tc>
        <w:tc>
          <w:tcPr>
            <w:tcW w:w="740" w:type="pct"/>
            <w:vAlign w:val="center"/>
          </w:tcPr>
          <w:p w14:paraId="281A8826">
            <w:pPr>
              <w:pStyle w:val="64"/>
              <w:wordWrap w:val="0"/>
              <w:rPr>
                <w:rFonts w:cs="Times New Roman"/>
              </w:rPr>
            </w:pPr>
            <w:r>
              <w:rPr>
                <w:rFonts w:cs="Times New Roman"/>
              </w:rPr>
              <w:t>&lt;0.002</w:t>
            </w:r>
          </w:p>
        </w:tc>
        <w:tc>
          <w:tcPr>
            <w:tcW w:w="740" w:type="pct"/>
            <w:vAlign w:val="center"/>
          </w:tcPr>
          <w:p w14:paraId="1CE5D23A">
            <w:pPr>
              <w:pStyle w:val="64"/>
              <w:wordWrap w:val="0"/>
              <w:rPr>
                <w:rFonts w:cs="Times New Roman"/>
              </w:rPr>
            </w:pPr>
            <w:r>
              <w:rPr>
                <w:rFonts w:cs="Times New Roman"/>
              </w:rPr>
              <w:t>&lt;0.002</w:t>
            </w:r>
          </w:p>
        </w:tc>
        <w:tc>
          <w:tcPr>
            <w:tcW w:w="738" w:type="pct"/>
            <w:vAlign w:val="center"/>
          </w:tcPr>
          <w:p w14:paraId="37BECC4B">
            <w:pPr>
              <w:pStyle w:val="64"/>
              <w:wordWrap w:val="0"/>
              <w:rPr>
                <w:rFonts w:cs="Times New Roman"/>
              </w:rPr>
            </w:pPr>
            <w:r>
              <w:rPr>
                <w:rFonts w:cs="Times New Roman"/>
              </w:rPr>
              <w:t>&lt;0.002</w:t>
            </w:r>
          </w:p>
        </w:tc>
      </w:tr>
      <w:tr w14:paraId="41E16E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1" w:type="pct"/>
            <w:vMerge w:val="continue"/>
            <w:vAlign w:val="center"/>
          </w:tcPr>
          <w:p w14:paraId="5B0F2B63">
            <w:pPr>
              <w:pStyle w:val="64"/>
              <w:wordWrap w:val="0"/>
              <w:rPr>
                <w:rFonts w:cs="Times New Roman"/>
              </w:rPr>
            </w:pPr>
          </w:p>
        </w:tc>
        <w:tc>
          <w:tcPr>
            <w:tcW w:w="505" w:type="pct"/>
            <w:vMerge w:val="continue"/>
            <w:vAlign w:val="center"/>
          </w:tcPr>
          <w:p w14:paraId="700064D5">
            <w:pPr>
              <w:pStyle w:val="64"/>
              <w:wordWrap w:val="0"/>
              <w:rPr>
                <w:rFonts w:cs="Times New Roman"/>
              </w:rPr>
            </w:pPr>
          </w:p>
        </w:tc>
        <w:tc>
          <w:tcPr>
            <w:tcW w:w="314" w:type="pct"/>
            <w:vAlign w:val="center"/>
          </w:tcPr>
          <w:p w14:paraId="5A29207C">
            <w:pPr>
              <w:pStyle w:val="64"/>
              <w:wordWrap w:val="0"/>
              <w:rPr>
                <w:rFonts w:cs="Times New Roman"/>
              </w:rPr>
            </w:pPr>
            <w:r>
              <w:rPr>
                <w:rFonts w:cs="Times New Roman"/>
              </w:rPr>
              <w:t>Si</w:t>
            </w:r>
          </w:p>
        </w:tc>
        <w:tc>
          <w:tcPr>
            <w:tcW w:w="740" w:type="pct"/>
            <w:vAlign w:val="center"/>
          </w:tcPr>
          <w:p w14:paraId="76D01E78">
            <w:pPr>
              <w:pStyle w:val="64"/>
              <w:wordWrap w:val="0"/>
              <w:rPr>
                <w:rFonts w:cs="Times New Roman"/>
              </w:rPr>
            </w:pPr>
            <w:r>
              <w:rPr>
                <w:rFonts w:cs="Times New Roman"/>
              </w:rPr>
              <w:t>&lt;0.0002</w:t>
            </w:r>
          </w:p>
        </w:tc>
        <w:tc>
          <w:tcPr>
            <w:tcW w:w="712" w:type="pct"/>
            <w:vAlign w:val="center"/>
          </w:tcPr>
          <w:p w14:paraId="292DD13D">
            <w:pPr>
              <w:pStyle w:val="64"/>
              <w:wordWrap w:val="0"/>
              <w:rPr>
                <w:rFonts w:cs="Times New Roman"/>
              </w:rPr>
            </w:pPr>
            <w:r>
              <w:rPr>
                <w:rFonts w:cs="Times New Roman"/>
              </w:rPr>
              <w:t>&lt;0.0002</w:t>
            </w:r>
          </w:p>
        </w:tc>
        <w:tc>
          <w:tcPr>
            <w:tcW w:w="740" w:type="pct"/>
            <w:vAlign w:val="center"/>
          </w:tcPr>
          <w:p w14:paraId="5DC0DD83">
            <w:pPr>
              <w:pStyle w:val="64"/>
              <w:wordWrap w:val="0"/>
              <w:rPr>
                <w:rFonts w:cs="Times New Roman"/>
              </w:rPr>
            </w:pPr>
            <w:r>
              <w:rPr>
                <w:rFonts w:cs="Times New Roman"/>
              </w:rPr>
              <w:t>&lt;0.0002</w:t>
            </w:r>
          </w:p>
        </w:tc>
        <w:tc>
          <w:tcPr>
            <w:tcW w:w="740" w:type="pct"/>
            <w:vAlign w:val="center"/>
          </w:tcPr>
          <w:p w14:paraId="4AFEC7F3">
            <w:pPr>
              <w:pStyle w:val="64"/>
              <w:wordWrap w:val="0"/>
              <w:rPr>
                <w:rFonts w:cs="Times New Roman"/>
              </w:rPr>
            </w:pPr>
            <w:r>
              <w:rPr>
                <w:rFonts w:cs="Times New Roman"/>
              </w:rPr>
              <w:t>&lt;0.0002</w:t>
            </w:r>
          </w:p>
        </w:tc>
        <w:tc>
          <w:tcPr>
            <w:tcW w:w="738" w:type="pct"/>
            <w:vAlign w:val="center"/>
          </w:tcPr>
          <w:p w14:paraId="2B499B8E">
            <w:pPr>
              <w:pStyle w:val="64"/>
              <w:wordWrap w:val="0"/>
              <w:rPr>
                <w:rFonts w:cs="Times New Roman"/>
              </w:rPr>
            </w:pPr>
            <w:r>
              <w:rPr>
                <w:rFonts w:cs="Times New Roman"/>
              </w:rPr>
              <w:t>&lt;0.0002</w:t>
            </w:r>
          </w:p>
        </w:tc>
      </w:tr>
      <w:tr w14:paraId="14765D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1" w:type="pct"/>
            <w:vMerge w:val="continue"/>
            <w:vAlign w:val="center"/>
          </w:tcPr>
          <w:p w14:paraId="0049BB48">
            <w:pPr>
              <w:pStyle w:val="64"/>
              <w:wordWrap w:val="0"/>
              <w:rPr>
                <w:rFonts w:cs="Times New Roman"/>
              </w:rPr>
            </w:pPr>
          </w:p>
        </w:tc>
        <w:tc>
          <w:tcPr>
            <w:tcW w:w="505" w:type="pct"/>
            <w:vMerge w:val="restart"/>
            <w:vAlign w:val="center"/>
          </w:tcPr>
          <w:p w14:paraId="27A278D9">
            <w:pPr>
              <w:pStyle w:val="64"/>
              <w:wordWrap w:val="0"/>
              <w:rPr>
                <w:rFonts w:cs="Times New Roman"/>
              </w:rPr>
            </w:pPr>
            <w:r>
              <w:rPr>
                <w:rFonts w:cs="Times New Roman"/>
              </w:rPr>
              <w:t>2024.04.09</w:t>
            </w:r>
          </w:p>
        </w:tc>
        <w:tc>
          <w:tcPr>
            <w:tcW w:w="314" w:type="pct"/>
            <w:vAlign w:val="center"/>
          </w:tcPr>
          <w:p w14:paraId="1F02DF72">
            <w:pPr>
              <w:pStyle w:val="64"/>
              <w:wordWrap w:val="0"/>
              <w:rPr>
                <w:rFonts w:cs="Times New Roman"/>
              </w:rPr>
            </w:pPr>
            <w:r>
              <w:rPr>
                <w:rFonts w:cs="Times New Roman"/>
              </w:rPr>
              <w:t>Ci</w:t>
            </w:r>
          </w:p>
        </w:tc>
        <w:tc>
          <w:tcPr>
            <w:tcW w:w="740" w:type="pct"/>
            <w:vAlign w:val="center"/>
          </w:tcPr>
          <w:p w14:paraId="4C42ECA2">
            <w:pPr>
              <w:pStyle w:val="64"/>
              <w:wordWrap w:val="0"/>
              <w:rPr>
                <w:rFonts w:cs="Times New Roman"/>
              </w:rPr>
            </w:pPr>
            <w:r>
              <w:rPr>
                <w:rFonts w:cs="Times New Roman"/>
              </w:rPr>
              <w:t>&lt;0.002</w:t>
            </w:r>
          </w:p>
        </w:tc>
        <w:tc>
          <w:tcPr>
            <w:tcW w:w="712" w:type="pct"/>
            <w:vAlign w:val="center"/>
          </w:tcPr>
          <w:p w14:paraId="3E7CE2FC">
            <w:pPr>
              <w:pStyle w:val="64"/>
              <w:wordWrap w:val="0"/>
              <w:rPr>
                <w:rFonts w:cs="Times New Roman"/>
              </w:rPr>
            </w:pPr>
            <w:r>
              <w:rPr>
                <w:rFonts w:cs="Times New Roman"/>
              </w:rPr>
              <w:t>&lt;0.002</w:t>
            </w:r>
          </w:p>
        </w:tc>
        <w:tc>
          <w:tcPr>
            <w:tcW w:w="740" w:type="pct"/>
            <w:vAlign w:val="center"/>
          </w:tcPr>
          <w:p w14:paraId="581CB91C">
            <w:pPr>
              <w:pStyle w:val="64"/>
              <w:wordWrap w:val="0"/>
              <w:rPr>
                <w:rFonts w:cs="Times New Roman"/>
              </w:rPr>
            </w:pPr>
            <w:r>
              <w:rPr>
                <w:rFonts w:cs="Times New Roman"/>
              </w:rPr>
              <w:t>&lt;0.002</w:t>
            </w:r>
          </w:p>
        </w:tc>
        <w:tc>
          <w:tcPr>
            <w:tcW w:w="740" w:type="pct"/>
            <w:vAlign w:val="center"/>
          </w:tcPr>
          <w:p w14:paraId="60F63FA9">
            <w:pPr>
              <w:pStyle w:val="64"/>
              <w:wordWrap w:val="0"/>
              <w:rPr>
                <w:rFonts w:cs="Times New Roman"/>
              </w:rPr>
            </w:pPr>
            <w:r>
              <w:rPr>
                <w:rFonts w:cs="Times New Roman"/>
              </w:rPr>
              <w:t>&lt;0.002</w:t>
            </w:r>
          </w:p>
        </w:tc>
        <w:tc>
          <w:tcPr>
            <w:tcW w:w="738" w:type="pct"/>
            <w:vAlign w:val="center"/>
          </w:tcPr>
          <w:p w14:paraId="61F52416">
            <w:pPr>
              <w:pStyle w:val="64"/>
              <w:wordWrap w:val="0"/>
              <w:rPr>
                <w:rFonts w:cs="Times New Roman"/>
              </w:rPr>
            </w:pPr>
            <w:r>
              <w:rPr>
                <w:rFonts w:cs="Times New Roman"/>
              </w:rPr>
              <w:t>&lt;0.002</w:t>
            </w:r>
          </w:p>
        </w:tc>
      </w:tr>
      <w:tr w14:paraId="4611B6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1" w:type="pct"/>
            <w:vMerge w:val="continue"/>
            <w:vAlign w:val="center"/>
          </w:tcPr>
          <w:p w14:paraId="1BE23503">
            <w:pPr>
              <w:pStyle w:val="64"/>
              <w:wordWrap w:val="0"/>
              <w:rPr>
                <w:rFonts w:cs="Times New Roman"/>
              </w:rPr>
            </w:pPr>
          </w:p>
        </w:tc>
        <w:tc>
          <w:tcPr>
            <w:tcW w:w="505" w:type="pct"/>
            <w:vMerge w:val="continue"/>
            <w:vAlign w:val="center"/>
          </w:tcPr>
          <w:p w14:paraId="50187281">
            <w:pPr>
              <w:pStyle w:val="64"/>
              <w:wordWrap w:val="0"/>
              <w:rPr>
                <w:rFonts w:cs="Times New Roman"/>
              </w:rPr>
            </w:pPr>
          </w:p>
        </w:tc>
        <w:tc>
          <w:tcPr>
            <w:tcW w:w="314" w:type="pct"/>
            <w:vAlign w:val="center"/>
          </w:tcPr>
          <w:p w14:paraId="54EDA477">
            <w:pPr>
              <w:pStyle w:val="64"/>
              <w:wordWrap w:val="0"/>
              <w:rPr>
                <w:rFonts w:cs="Times New Roman"/>
              </w:rPr>
            </w:pPr>
            <w:r>
              <w:rPr>
                <w:rFonts w:cs="Times New Roman"/>
              </w:rPr>
              <w:t>Si</w:t>
            </w:r>
          </w:p>
        </w:tc>
        <w:tc>
          <w:tcPr>
            <w:tcW w:w="740" w:type="pct"/>
            <w:vAlign w:val="center"/>
          </w:tcPr>
          <w:p w14:paraId="3BCB4EC2">
            <w:pPr>
              <w:pStyle w:val="64"/>
              <w:wordWrap w:val="0"/>
              <w:rPr>
                <w:rFonts w:cs="Times New Roman"/>
              </w:rPr>
            </w:pPr>
            <w:r>
              <w:rPr>
                <w:rFonts w:cs="Times New Roman"/>
              </w:rPr>
              <w:t>&lt;0.0002</w:t>
            </w:r>
          </w:p>
        </w:tc>
        <w:tc>
          <w:tcPr>
            <w:tcW w:w="712" w:type="pct"/>
            <w:vAlign w:val="center"/>
          </w:tcPr>
          <w:p w14:paraId="0199470A">
            <w:pPr>
              <w:pStyle w:val="64"/>
              <w:wordWrap w:val="0"/>
              <w:rPr>
                <w:rFonts w:cs="Times New Roman"/>
              </w:rPr>
            </w:pPr>
            <w:r>
              <w:rPr>
                <w:rFonts w:cs="Times New Roman"/>
              </w:rPr>
              <w:t>&lt;0.0002</w:t>
            </w:r>
          </w:p>
        </w:tc>
        <w:tc>
          <w:tcPr>
            <w:tcW w:w="740" w:type="pct"/>
            <w:vAlign w:val="center"/>
          </w:tcPr>
          <w:p w14:paraId="704706F3">
            <w:pPr>
              <w:pStyle w:val="64"/>
              <w:wordWrap w:val="0"/>
              <w:rPr>
                <w:rFonts w:cs="Times New Roman"/>
              </w:rPr>
            </w:pPr>
            <w:r>
              <w:rPr>
                <w:rFonts w:cs="Times New Roman"/>
              </w:rPr>
              <w:t>&lt;0.0002</w:t>
            </w:r>
          </w:p>
        </w:tc>
        <w:tc>
          <w:tcPr>
            <w:tcW w:w="740" w:type="pct"/>
            <w:vAlign w:val="center"/>
          </w:tcPr>
          <w:p w14:paraId="6FE27A95">
            <w:pPr>
              <w:pStyle w:val="64"/>
              <w:wordWrap w:val="0"/>
              <w:rPr>
                <w:rFonts w:cs="Times New Roman"/>
              </w:rPr>
            </w:pPr>
            <w:r>
              <w:rPr>
                <w:rFonts w:cs="Times New Roman"/>
              </w:rPr>
              <w:t>&lt;0.0002</w:t>
            </w:r>
          </w:p>
        </w:tc>
        <w:tc>
          <w:tcPr>
            <w:tcW w:w="738" w:type="pct"/>
            <w:vAlign w:val="center"/>
          </w:tcPr>
          <w:p w14:paraId="5E85977E">
            <w:pPr>
              <w:pStyle w:val="64"/>
              <w:wordWrap w:val="0"/>
              <w:rPr>
                <w:rFonts w:cs="Times New Roman"/>
              </w:rPr>
            </w:pPr>
            <w:r>
              <w:rPr>
                <w:rFonts w:cs="Times New Roman"/>
              </w:rPr>
              <w:t>&lt;0.0002</w:t>
            </w:r>
          </w:p>
        </w:tc>
      </w:tr>
      <w:tr w14:paraId="55F427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1" w:type="pct"/>
            <w:vMerge w:val="restart"/>
            <w:vAlign w:val="center"/>
          </w:tcPr>
          <w:p w14:paraId="3088E022">
            <w:pPr>
              <w:pStyle w:val="64"/>
              <w:wordWrap w:val="0"/>
              <w:rPr>
                <w:rFonts w:cs="Times New Roman"/>
              </w:rPr>
            </w:pPr>
            <w:r>
              <w:rPr>
                <w:rFonts w:cs="Times New Roman"/>
              </w:rPr>
              <w:t>甲苯</w:t>
            </w:r>
          </w:p>
        </w:tc>
        <w:tc>
          <w:tcPr>
            <w:tcW w:w="505" w:type="pct"/>
            <w:vMerge w:val="restart"/>
            <w:vAlign w:val="center"/>
          </w:tcPr>
          <w:p w14:paraId="0E0B4502">
            <w:pPr>
              <w:pStyle w:val="64"/>
              <w:wordWrap w:val="0"/>
              <w:rPr>
                <w:rFonts w:cs="Times New Roman"/>
              </w:rPr>
            </w:pPr>
            <w:r>
              <w:rPr>
                <w:rFonts w:cs="Times New Roman"/>
              </w:rPr>
              <w:t>2024.04.08</w:t>
            </w:r>
          </w:p>
        </w:tc>
        <w:tc>
          <w:tcPr>
            <w:tcW w:w="314" w:type="pct"/>
            <w:vAlign w:val="center"/>
          </w:tcPr>
          <w:p w14:paraId="61630A3B">
            <w:pPr>
              <w:pStyle w:val="64"/>
              <w:wordWrap w:val="0"/>
              <w:rPr>
                <w:rFonts w:cs="Times New Roman"/>
              </w:rPr>
            </w:pPr>
            <w:r>
              <w:rPr>
                <w:rFonts w:cs="Times New Roman"/>
              </w:rPr>
              <w:t>Ci</w:t>
            </w:r>
          </w:p>
        </w:tc>
        <w:tc>
          <w:tcPr>
            <w:tcW w:w="740" w:type="pct"/>
            <w:vAlign w:val="center"/>
          </w:tcPr>
          <w:p w14:paraId="2F8C7597">
            <w:pPr>
              <w:pStyle w:val="64"/>
              <w:wordWrap w:val="0"/>
              <w:rPr>
                <w:rFonts w:cs="Times New Roman"/>
              </w:rPr>
            </w:pPr>
            <w:r>
              <w:rPr>
                <w:rFonts w:cs="Times New Roman"/>
              </w:rPr>
              <w:t>&lt;0.002</w:t>
            </w:r>
          </w:p>
        </w:tc>
        <w:tc>
          <w:tcPr>
            <w:tcW w:w="712" w:type="pct"/>
            <w:vAlign w:val="center"/>
          </w:tcPr>
          <w:p w14:paraId="3A87FADF">
            <w:pPr>
              <w:pStyle w:val="64"/>
              <w:wordWrap w:val="0"/>
              <w:rPr>
                <w:rFonts w:cs="Times New Roman"/>
              </w:rPr>
            </w:pPr>
            <w:r>
              <w:rPr>
                <w:rFonts w:cs="Times New Roman"/>
              </w:rPr>
              <w:t>&lt;0.002</w:t>
            </w:r>
          </w:p>
        </w:tc>
        <w:tc>
          <w:tcPr>
            <w:tcW w:w="740" w:type="pct"/>
            <w:vAlign w:val="center"/>
          </w:tcPr>
          <w:p w14:paraId="0DB00EC3">
            <w:pPr>
              <w:pStyle w:val="64"/>
              <w:wordWrap w:val="0"/>
              <w:rPr>
                <w:rFonts w:cs="Times New Roman"/>
              </w:rPr>
            </w:pPr>
            <w:r>
              <w:rPr>
                <w:rFonts w:cs="Times New Roman"/>
              </w:rPr>
              <w:t>&lt;0.002</w:t>
            </w:r>
          </w:p>
        </w:tc>
        <w:tc>
          <w:tcPr>
            <w:tcW w:w="740" w:type="pct"/>
            <w:vAlign w:val="center"/>
          </w:tcPr>
          <w:p w14:paraId="363308D6">
            <w:pPr>
              <w:pStyle w:val="64"/>
              <w:wordWrap w:val="0"/>
              <w:rPr>
                <w:rFonts w:cs="Times New Roman"/>
              </w:rPr>
            </w:pPr>
            <w:r>
              <w:rPr>
                <w:rFonts w:cs="Times New Roman"/>
              </w:rPr>
              <w:t>&lt;0.002</w:t>
            </w:r>
          </w:p>
        </w:tc>
        <w:tc>
          <w:tcPr>
            <w:tcW w:w="738" w:type="pct"/>
            <w:vAlign w:val="center"/>
          </w:tcPr>
          <w:p w14:paraId="5EE6C3D8">
            <w:pPr>
              <w:pStyle w:val="64"/>
              <w:wordWrap w:val="0"/>
              <w:rPr>
                <w:rFonts w:cs="Times New Roman"/>
              </w:rPr>
            </w:pPr>
            <w:r>
              <w:rPr>
                <w:rFonts w:cs="Times New Roman"/>
              </w:rPr>
              <w:t>&lt;0.002</w:t>
            </w:r>
          </w:p>
        </w:tc>
      </w:tr>
      <w:tr w14:paraId="62D18E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1" w:type="pct"/>
            <w:vMerge w:val="continue"/>
            <w:vAlign w:val="center"/>
          </w:tcPr>
          <w:p w14:paraId="12ADD0D3">
            <w:pPr>
              <w:pStyle w:val="64"/>
              <w:wordWrap w:val="0"/>
              <w:rPr>
                <w:rFonts w:cs="Times New Roman"/>
              </w:rPr>
            </w:pPr>
          </w:p>
        </w:tc>
        <w:tc>
          <w:tcPr>
            <w:tcW w:w="505" w:type="pct"/>
            <w:vMerge w:val="continue"/>
            <w:vAlign w:val="center"/>
          </w:tcPr>
          <w:p w14:paraId="3130FAEE">
            <w:pPr>
              <w:pStyle w:val="64"/>
              <w:wordWrap w:val="0"/>
              <w:rPr>
                <w:rFonts w:cs="Times New Roman"/>
              </w:rPr>
            </w:pPr>
          </w:p>
        </w:tc>
        <w:tc>
          <w:tcPr>
            <w:tcW w:w="314" w:type="pct"/>
            <w:vAlign w:val="center"/>
          </w:tcPr>
          <w:p w14:paraId="3F1752DB">
            <w:pPr>
              <w:pStyle w:val="64"/>
              <w:wordWrap w:val="0"/>
              <w:rPr>
                <w:rFonts w:cs="Times New Roman"/>
              </w:rPr>
            </w:pPr>
            <w:r>
              <w:rPr>
                <w:rFonts w:cs="Times New Roman"/>
              </w:rPr>
              <w:t>Si</w:t>
            </w:r>
          </w:p>
        </w:tc>
        <w:tc>
          <w:tcPr>
            <w:tcW w:w="740" w:type="pct"/>
            <w:vAlign w:val="center"/>
          </w:tcPr>
          <w:p w14:paraId="7CD25F97">
            <w:pPr>
              <w:pStyle w:val="64"/>
              <w:wordWrap w:val="0"/>
              <w:rPr>
                <w:rFonts w:cs="Times New Roman"/>
              </w:rPr>
            </w:pPr>
            <w:r>
              <w:rPr>
                <w:rFonts w:cs="Times New Roman"/>
              </w:rPr>
              <w:t>&lt;0.000003</w:t>
            </w:r>
          </w:p>
        </w:tc>
        <w:tc>
          <w:tcPr>
            <w:tcW w:w="712" w:type="pct"/>
            <w:vAlign w:val="center"/>
          </w:tcPr>
          <w:p w14:paraId="2DAA215D">
            <w:pPr>
              <w:pStyle w:val="64"/>
              <w:wordWrap w:val="0"/>
              <w:rPr>
                <w:rFonts w:cs="Times New Roman"/>
              </w:rPr>
            </w:pPr>
            <w:r>
              <w:rPr>
                <w:rFonts w:cs="Times New Roman"/>
              </w:rPr>
              <w:t>&lt;0.000003</w:t>
            </w:r>
          </w:p>
        </w:tc>
        <w:tc>
          <w:tcPr>
            <w:tcW w:w="740" w:type="pct"/>
            <w:vAlign w:val="center"/>
          </w:tcPr>
          <w:p w14:paraId="72CEA9D9">
            <w:pPr>
              <w:pStyle w:val="64"/>
              <w:wordWrap w:val="0"/>
              <w:rPr>
                <w:rFonts w:cs="Times New Roman"/>
              </w:rPr>
            </w:pPr>
            <w:r>
              <w:rPr>
                <w:rFonts w:cs="Times New Roman"/>
              </w:rPr>
              <w:t>&lt;0.000003</w:t>
            </w:r>
          </w:p>
        </w:tc>
        <w:tc>
          <w:tcPr>
            <w:tcW w:w="740" w:type="pct"/>
            <w:vAlign w:val="center"/>
          </w:tcPr>
          <w:p w14:paraId="7D56EB74">
            <w:pPr>
              <w:pStyle w:val="64"/>
              <w:wordWrap w:val="0"/>
              <w:rPr>
                <w:rFonts w:cs="Times New Roman"/>
              </w:rPr>
            </w:pPr>
            <w:r>
              <w:rPr>
                <w:rFonts w:cs="Times New Roman"/>
              </w:rPr>
              <w:t>&lt;0.000003</w:t>
            </w:r>
          </w:p>
        </w:tc>
        <w:tc>
          <w:tcPr>
            <w:tcW w:w="738" w:type="pct"/>
            <w:vAlign w:val="center"/>
          </w:tcPr>
          <w:p w14:paraId="0A93CAA3">
            <w:pPr>
              <w:pStyle w:val="64"/>
              <w:wordWrap w:val="0"/>
              <w:rPr>
                <w:rFonts w:cs="Times New Roman"/>
              </w:rPr>
            </w:pPr>
            <w:r>
              <w:rPr>
                <w:rFonts w:cs="Times New Roman"/>
              </w:rPr>
              <w:t>&lt;0.000003</w:t>
            </w:r>
          </w:p>
        </w:tc>
      </w:tr>
      <w:tr w14:paraId="48BF09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1" w:type="pct"/>
            <w:vMerge w:val="continue"/>
            <w:vAlign w:val="center"/>
          </w:tcPr>
          <w:p w14:paraId="1C5B7D48">
            <w:pPr>
              <w:pStyle w:val="64"/>
              <w:wordWrap w:val="0"/>
              <w:rPr>
                <w:rFonts w:cs="Times New Roman"/>
              </w:rPr>
            </w:pPr>
          </w:p>
        </w:tc>
        <w:tc>
          <w:tcPr>
            <w:tcW w:w="505" w:type="pct"/>
            <w:vMerge w:val="restart"/>
            <w:vAlign w:val="center"/>
          </w:tcPr>
          <w:p w14:paraId="7CE20559">
            <w:pPr>
              <w:pStyle w:val="64"/>
              <w:wordWrap w:val="0"/>
              <w:rPr>
                <w:rFonts w:cs="Times New Roman"/>
              </w:rPr>
            </w:pPr>
            <w:r>
              <w:rPr>
                <w:rFonts w:cs="Times New Roman"/>
              </w:rPr>
              <w:t>2024.04.09</w:t>
            </w:r>
          </w:p>
        </w:tc>
        <w:tc>
          <w:tcPr>
            <w:tcW w:w="314" w:type="pct"/>
            <w:vAlign w:val="center"/>
          </w:tcPr>
          <w:p w14:paraId="05F43181">
            <w:pPr>
              <w:pStyle w:val="64"/>
              <w:wordWrap w:val="0"/>
              <w:rPr>
                <w:rFonts w:cs="Times New Roman"/>
              </w:rPr>
            </w:pPr>
            <w:r>
              <w:rPr>
                <w:rFonts w:cs="Times New Roman"/>
              </w:rPr>
              <w:t>Ci</w:t>
            </w:r>
          </w:p>
        </w:tc>
        <w:tc>
          <w:tcPr>
            <w:tcW w:w="740" w:type="pct"/>
            <w:vAlign w:val="center"/>
          </w:tcPr>
          <w:p w14:paraId="041BD33F">
            <w:pPr>
              <w:pStyle w:val="64"/>
              <w:wordWrap w:val="0"/>
              <w:rPr>
                <w:rFonts w:cs="Times New Roman"/>
              </w:rPr>
            </w:pPr>
            <w:r>
              <w:rPr>
                <w:rFonts w:cs="Times New Roman"/>
              </w:rPr>
              <w:t>&lt;0.002</w:t>
            </w:r>
          </w:p>
        </w:tc>
        <w:tc>
          <w:tcPr>
            <w:tcW w:w="712" w:type="pct"/>
            <w:vAlign w:val="center"/>
          </w:tcPr>
          <w:p w14:paraId="3A83BFE6">
            <w:pPr>
              <w:pStyle w:val="64"/>
              <w:wordWrap w:val="0"/>
              <w:rPr>
                <w:rFonts w:cs="Times New Roman"/>
              </w:rPr>
            </w:pPr>
            <w:r>
              <w:rPr>
                <w:rFonts w:cs="Times New Roman"/>
              </w:rPr>
              <w:t>&lt;0.002</w:t>
            </w:r>
          </w:p>
        </w:tc>
        <w:tc>
          <w:tcPr>
            <w:tcW w:w="740" w:type="pct"/>
            <w:vAlign w:val="center"/>
          </w:tcPr>
          <w:p w14:paraId="6B65B43E">
            <w:pPr>
              <w:pStyle w:val="64"/>
              <w:wordWrap w:val="0"/>
              <w:rPr>
                <w:rFonts w:cs="Times New Roman"/>
              </w:rPr>
            </w:pPr>
            <w:r>
              <w:rPr>
                <w:rFonts w:cs="Times New Roman"/>
              </w:rPr>
              <w:t>&lt;0.002</w:t>
            </w:r>
          </w:p>
        </w:tc>
        <w:tc>
          <w:tcPr>
            <w:tcW w:w="740" w:type="pct"/>
            <w:vAlign w:val="center"/>
          </w:tcPr>
          <w:p w14:paraId="37C0989F">
            <w:pPr>
              <w:pStyle w:val="64"/>
              <w:wordWrap w:val="0"/>
              <w:rPr>
                <w:rFonts w:cs="Times New Roman"/>
              </w:rPr>
            </w:pPr>
            <w:r>
              <w:rPr>
                <w:rFonts w:cs="Times New Roman"/>
              </w:rPr>
              <w:t>&lt;0.002</w:t>
            </w:r>
          </w:p>
        </w:tc>
        <w:tc>
          <w:tcPr>
            <w:tcW w:w="738" w:type="pct"/>
            <w:vAlign w:val="center"/>
          </w:tcPr>
          <w:p w14:paraId="72ABED64">
            <w:pPr>
              <w:pStyle w:val="64"/>
              <w:wordWrap w:val="0"/>
              <w:rPr>
                <w:rFonts w:cs="Times New Roman"/>
              </w:rPr>
            </w:pPr>
            <w:r>
              <w:rPr>
                <w:rFonts w:cs="Times New Roman"/>
              </w:rPr>
              <w:t>&lt;0.002</w:t>
            </w:r>
          </w:p>
        </w:tc>
      </w:tr>
      <w:tr w14:paraId="171B99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1" w:type="pct"/>
            <w:vMerge w:val="continue"/>
            <w:vAlign w:val="center"/>
          </w:tcPr>
          <w:p w14:paraId="63CF8991">
            <w:pPr>
              <w:pStyle w:val="64"/>
              <w:wordWrap w:val="0"/>
              <w:rPr>
                <w:rFonts w:cs="Times New Roman"/>
              </w:rPr>
            </w:pPr>
          </w:p>
        </w:tc>
        <w:tc>
          <w:tcPr>
            <w:tcW w:w="505" w:type="pct"/>
            <w:vMerge w:val="continue"/>
            <w:vAlign w:val="center"/>
          </w:tcPr>
          <w:p w14:paraId="2BDD5C70">
            <w:pPr>
              <w:pStyle w:val="64"/>
              <w:wordWrap w:val="0"/>
              <w:rPr>
                <w:rFonts w:cs="Times New Roman"/>
              </w:rPr>
            </w:pPr>
          </w:p>
        </w:tc>
        <w:tc>
          <w:tcPr>
            <w:tcW w:w="314" w:type="pct"/>
            <w:vAlign w:val="center"/>
          </w:tcPr>
          <w:p w14:paraId="66300994">
            <w:pPr>
              <w:pStyle w:val="64"/>
              <w:wordWrap w:val="0"/>
              <w:rPr>
                <w:rFonts w:cs="Times New Roman"/>
              </w:rPr>
            </w:pPr>
            <w:r>
              <w:rPr>
                <w:rFonts w:cs="Times New Roman"/>
              </w:rPr>
              <w:t>Si</w:t>
            </w:r>
          </w:p>
        </w:tc>
        <w:tc>
          <w:tcPr>
            <w:tcW w:w="740" w:type="pct"/>
            <w:vAlign w:val="center"/>
          </w:tcPr>
          <w:p w14:paraId="5BEC6B40">
            <w:pPr>
              <w:pStyle w:val="64"/>
              <w:wordWrap w:val="0"/>
              <w:rPr>
                <w:rFonts w:cs="Times New Roman"/>
              </w:rPr>
            </w:pPr>
            <w:r>
              <w:rPr>
                <w:rFonts w:cs="Times New Roman"/>
              </w:rPr>
              <w:t>&lt;0.000003</w:t>
            </w:r>
          </w:p>
        </w:tc>
        <w:tc>
          <w:tcPr>
            <w:tcW w:w="712" w:type="pct"/>
            <w:vAlign w:val="center"/>
          </w:tcPr>
          <w:p w14:paraId="17DB5317">
            <w:pPr>
              <w:pStyle w:val="64"/>
              <w:wordWrap w:val="0"/>
              <w:rPr>
                <w:rFonts w:cs="Times New Roman"/>
              </w:rPr>
            </w:pPr>
            <w:r>
              <w:rPr>
                <w:rFonts w:cs="Times New Roman"/>
              </w:rPr>
              <w:t>&lt;0.000003</w:t>
            </w:r>
          </w:p>
        </w:tc>
        <w:tc>
          <w:tcPr>
            <w:tcW w:w="740" w:type="pct"/>
            <w:vAlign w:val="center"/>
          </w:tcPr>
          <w:p w14:paraId="540F4EDA">
            <w:pPr>
              <w:pStyle w:val="64"/>
              <w:wordWrap w:val="0"/>
              <w:rPr>
                <w:rFonts w:cs="Times New Roman"/>
              </w:rPr>
            </w:pPr>
            <w:r>
              <w:rPr>
                <w:rFonts w:cs="Times New Roman"/>
              </w:rPr>
              <w:t>&lt;0.000003</w:t>
            </w:r>
          </w:p>
        </w:tc>
        <w:tc>
          <w:tcPr>
            <w:tcW w:w="740" w:type="pct"/>
            <w:vAlign w:val="center"/>
          </w:tcPr>
          <w:p w14:paraId="6A50F58F">
            <w:pPr>
              <w:pStyle w:val="64"/>
              <w:wordWrap w:val="0"/>
              <w:rPr>
                <w:rFonts w:cs="Times New Roman"/>
              </w:rPr>
            </w:pPr>
            <w:r>
              <w:rPr>
                <w:rFonts w:cs="Times New Roman"/>
              </w:rPr>
              <w:t>&lt;0.000003</w:t>
            </w:r>
          </w:p>
        </w:tc>
        <w:tc>
          <w:tcPr>
            <w:tcW w:w="738" w:type="pct"/>
            <w:vAlign w:val="center"/>
          </w:tcPr>
          <w:p w14:paraId="3EE94C29">
            <w:pPr>
              <w:pStyle w:val="64"/>
              <w:wordWrap w:val="0"/>
              <w:rPr>
                <w:rFonts w:cs="Times New Roman"/>
              </w:rPr>
            </w:pPr>
            <w:r>
              <w:rPr>
                <w:rFonts w:cs="Times New Roman"/>
              </w:rPr>
              <w:t>&lt;0.000003</w:t>
            </w:r>
          </w:p>
        </w:tc>
      </w:tr>
      <w:tr w14:paraId="230440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1" w:type="pct"/>
            <w:vMerge w:val="restart"/>
            <w:vAlign w:val="center"/>
          </w:tcPr>
          <w:p w14:paraId="18D2728F">
            <w:pPr>
              <w:pStyle w:val="64"/>
              <w:wordWrap w:val="0"/>
              <w:rPr>
                <w:rFonts w:cs="Times New Roman"/>
              </w:rPr>
            </w:pPr>
            <w:r>
              <w:rPr>
                <w:rFonts w:cs="Times New Roman"/>
              </w:rPr>
              <w:t>钾</w:t>
            </w:r>
          </w:p>
        </w:tc>
        <w:tc>
          <w:tcPr>
            <w:tcW w:w="505" w:type="pct"/>
            <w:vMerge w:val="restart"/>
            <w:vAlign w:val="center"/>
          </w:tcPr>
          <w:p w14:paraId="5C8190AB">
            <w:pPr>
              <w:pStyle w:val="64"/>
              <w:wordWrap w:val="0"/>
              <w:rPr>
                <w:rFonts w:cs="Times New Roman"/>
              </w:rPr>
            </w:pPr>
            <w:r>
              <w:rPr>
                <w:rFonts w:cs="Times New Roman"/>
              </w:rPr>
              <w:t>2024.04.08</w:t>
            </w:r>
          </w:p>
        </w:tc>
        <w:tc>
          <w:tcPr>
            <w:tcW w:w="314" w:type="pct"/>
            <w:vAlign w:val="center"/>
          </w:tcPr>
          <w:p w14:paraId="7197DD37">
            <w:pPr>
              <w:pStyle w:val="64"/>
              <w:wordWrap w:val="0"/>
              <w:rPr>
                <w:rFonts w:cs="Times New Roman"/>
              </w:rPr>
            </w:pPr>
            <w:r>
              <w:rPr>
                <w:rFonts w:cs="Times New Roman"/>
              </w:rPr>
              <w:t>Ci</w:t>
            </w:r>
          </w:p>
        </w:tc>
        <w:tc>
          <w:tcPr>
            <w:tcW w:w="740" w:type="pct"/>
            <w:vAlign w:val="center"/>
          </w:tcPr>
          <w:p w14:paraId="6A0E72CD">
            <w:pPr>
              <w:pStyle w:val="64"/>
              <w:wordWrap w:val="0"/>
              <w:rPr>
                <w:rFonts w:cs="Times New Roman"/>
              </w:rPr>
            </w:pPr>
            <w:r>
              <w:rPr>
                <w:rFonts w:cs="Times New Roman"/>
              </w:rPr>
              <w:t>6.28</w:t>
            </w:r>
          </w:p>
        </w:tc>
        <w:tc>
          <w:tcPr>
            <w:tcW w:w="712" w:type="pct"/>
            <w:vAlign w:val="center"/>
          </w:tcPr>
          <w:p w14:paraId="47570AFF">
            <w:pPr>
              <w:pStyle w:val="64"/>
              <w:wordWrap w:val="0"/>
              <w:rPr>
                <w:rFonts w:cs="Times New Roman"/>
              </w:rPr>
            </w:pPr>
            <w:r>
              <w:rPr>
                <w:rFonts w:cs="Times New Roman"/>
              </w:rPr>
              <w:t>4.13</w:t>
            </w:r>
          </w:p>
        </w:tc>
        <w:tc>
          <w:tcPr>
            <w:tcW w:w="740" w:type="pct"/>
            <w:vAlign w:val="center"/>
          </w:tcPr>
          <w:p w14:paraId="714DC162">
            <w:pPr>
              <w:pStyle w:val="64"/>
              <w:wordWrap w:val="0"/>
              <w:rPr>
                <w:rFonts w:cs="Times New Roman"/>
              </w:rPr>
            </w:pPr>
            <w:r>
              <w:rPr>
                <w:rFonts w:cs="Times New Roman"/>
              </w:rPr>
              <w:t>2.33</w:t>
            </w:r>
          </w:p>
        </w:tc>
        <w:tc>
          <w:tcPr>
            <w:tcW w:w="740" w:type="pct"/>
            <w:vAlign w:val="center"/>
          </w:tcPr>
          <w:p w14:paraId="4F00CA41">
            <w:pPr>
              <w:pStyle w:val="64"/>
              <w:wordWrap w:val="0"/>
              <w:rPr>
                <w:rFonts w:cs="Times New Roman"/>
              </w:rPr>
            </w:pPr>
            <w:r>
              <w:rPr>
                <w:rFonts w:cs="Times New Roman"/>
              </w:rPr>
              <w:t>4.85</w:t>
            </w:r>
          </w:p>
        </w:tc>
        <w:tc>
          <w:tcPr>
            <w:tcW w:w="738" w:type="pct"/>
            <w:vAlign w:val="center"/>
          </w:tcPr>
          <w:p w14:paraId="6C5C10FA">
            <w:pPr>
              <w:pStyle w:val="64"/>
              <w:wordWrap w:val="0"/>
              <w:rPr>
                <w:rFonts w:cs="Times New Roman"/>
              </w:rPr>
            </w:pPr>
            <w:r>
              <w:rPr>
                <w:rFonts w:cs="Times New Roman"/>
              </w:rPr>
              <w:t>3.77</w:t>
            </w:r>
          </w:p>
        </w:tc>
      </w:tr>
      <w:tr w14:paraId="2AEAA0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1" w:type="pct"/>
            <w:vMerge w:val="continue"/>
            <w:vAlign w:val="center"/>
          </w:tcPr>
          <w:p w14:paraId="751FEE9E">
            <w:pPr>
              <w:pStyle w:val="64"/>
              <w:wordWrap w:val="0"/>
              <w:rPr>
                <w:rFonts w:cs="Times New Roman"/>
              </w:rPr>
            </w:pPr>
          </w:p>
        </w:tc>
        <w:tc>
          <w:tcPr>
            <w:tcW w:w="505" w:type="pct"/>
            <w:vMerge w:val="continue"/>
            <w:vAlign w:val="center"/>
          </w:tcPr>
          <w:p w14:paraId="65121A88">
            <w:pPr>
              <w:pStyle w:val="64"/>
              <w:wordWrap w:val="0"/>
              <w:rPr>
                <w:rFonts w:cs="Times New Roman"/>
              </w:rPr>
            </w:pPr>
          </w:p>
        </w:tc>
        <w:tc>
          <w:tcPr>
            <w:tcW w:w="314" w:type="pct"/>
            <w:vAlign w:val="center"/>
          </w:tcPr>
          <w:p w14:paraId="0290CC6B">
            <w:pPr>
              <w:pStyle w:val="64"/>
              <w:wordWrap w:val="0"/>
              <w:rPr>
                <w:rFonts w:cs="Times New Roman"/>
              </w:rPr>
            </w:pPr>
            <w:r>
              <w:rPr>
                <w:rFonts w:cs="Times New Roman"/>
              </w:rPr>
              <w:t>Si</w:t>
            </w:r>
          </w:p>
        </w:tc>
        <w:tc>
          <w:tcPr>
            <w:tcW w:w="740" w:type="pct"/>
            <w:vAlign w:val="center"/>
          </w:tcPr>
          <w:p w14:paraId="07FEE5C3">
            <w:pPr>
              <w:pStyle w:val="64"/>
              <w:wordWrap w:val="0"/>
              <w:rPr>
                <w:rFonts w:cs="Times New Roman"/>
              </w:rPr>
            </w:pPr>
            <w:r>
              <w:rPr>
                <w:rFonts w:cs="Times New Roman"/>
              </w:rPr>
              <w:t>/</w:t>
            </w:r>
          </w:p>
        </w:tc>
        <w:tc>
          <w:tcPr>
            <w:tcW w:w="712" w:type="pct"/>
            <w:vAlign w:val="center"/>
          </w:tcPr>
          <w:p w14:paraId="58C128DB">
            <w:pPr>
              <w:pStyle w:val="64"/>
              <w:wordWrap w:val="0"/>
              <w:rPr>
                <w:rFonts w:cs="Times New Roman"/>
              </w:rPr>
            </w:pPr>
            <w:r>
              <w:rPr>
                <w:rFonts w:cs="Times New Roman"/>
              </w:rPr>
              <w:t>/</w:t>
            </w:r>
          </w:p>
        </w:tc>
        <w:tc>
          <w:tcPr>
            <w:tcW w:w="740" w:type="pct"/>
            <w:vAlign w:val="center"/>
          </w:tcPr>
          <w:p w14:paraId="0549412E">
            <w:pPr>
              <w:pStyle w:val="64"/>
              <w:wordWrap w:val="0"/>
              <w:rPr>
                <w:rFonts w:cs="Times New Roman"/>
              </w:rPr>
            </w:pPr>
            <w:r>
              <w:rPr>
                <w:rFonts w:cs="Times New Roman"/>
              </w:rPr>
              <w:t>/</w:t>
            </w:r>
          </w:p>
        </w:tc>
        <w:tc>
          <w:tcPr>
            <w:tcW w:w="740" w:type="pct"/>
            <w:vAlign w:val="center"/>
          </w:tcPr>
          <w:p w14:paraId="66562DEB">
            <w:pPr>
              <w:pStyle w:val="64"/>
              <w:wordWrap w:val="0"/>
              <w:rPr>
                <w:rFonts w:cs="Times New Roman"/>
              </w:rPr>
            </w:pPr>
            <w:r>
              <w:rPr>
                <w:rFonts w:cs="Times New Roman"/>
              </w:rPr>
              <w:t>/</w:t>
            </w:r>
          </w:p>
        </w:tc>
        <w:tc>
          <w:tcPr>
            <w:tcW w:w="738" w:type="pct"/>
            <w:vAlign w:val="center"/>
          </w:tcPr>
          <w:p w14:paraId="132C70A8">
            <w:pPr>
              <w:pStyle w:val="64"/>
              <w:wordWrap w:val="0"/>
              <w:rPr>
                <w:rFonts w:cs="Times New Roman"/>
              </w:rPr>
            </w:pPr>
            <w:r>
              <w:rPr>
                <w:rFonts w:cs="Times New Roman"/>
              </w:rPr>
              <w:t>/</w:t>
            </w:r>
          </w:p>
        </w:tc>
      </w:tr>
      <w:tr w14:paraId="3B4853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1" w:type="pct"/>
            <w:vMerge w:val="continue"/>
            <w:vAlign w:val="center"/>
          </w:tcPr>
          <w:p w14:paraId="060F61E0">
            <w:pPr>
              <w:pStyle w:val="64"/>
              <w:wordWrap w:val="0"/>
              <w:rPr>
                <w:rFonts w:cs="Times New Roman"/>
              </w:rPr>
            </w:pPr>
          </w:p>
        </w:tc>
        <w:tc>
          <w:tcPr>
            <w:tcW w:w="505" w:type="pct"/>
            <w:vMerge w:val="restart"/>
            <w:vAlign w:val="center"/>
          </w:tcPr>
          <w:p w14:paraId="172A7018">
            <w:pPr>
              <w:pStyle w:val="64"/>
              <w:wordWrap w:val="0"/>
              <w:rPr>
                <w:rFonts w:cs="Times New Roman"/>
              </w:rPr>
            </w:pPr>
            <w:r>
              <w:rPr>
                <w:rFonts w:cs="Times New Roman"/>
              </w:rPr>
              <w:t>2024.04.09</w:t>
            </w:r>
          </w:p>
        </w:tc>
        <w:tc>
          <w:tcPr>
            <w:tcW w:w="314" w:type="pct"/>
            <w:vAlign w:val="center"/>
          </w:tcPr>
          <w:p w14:paraId="521B1884">
            <w:pPr>
              <w:pStyle w:val="64"/>
              <w:wordWrap w:val="0"/>
              <w:rPr>
                <w:rFonts w:cs="Times New Roman"/>
              </w:rPr>
            </w:pPr>
            <w:r>
              <w:rPr>
                <w:rFonts w:cs="Times New Roman"/>
              </w:rPr>
              <w:t>Ci</w:t>
            </w:r>
          </w:p>
        </w:tc>
        <w:tc>
          <w:tcPr>
            <w:tcW w:w="740" w:type="pct"/>
            <w:vAlign w:val="center"/>
          </w:tcPr>
          <w:p w14:paraId="74886AF3">
            <w:pPr>
              <w:pStyle w:val="64"/>
              <w:wordWrap w:val="0"/>
              <w:rPr>
                <w:rFonts w:cs="Times New Roman"/>
              </w:rPr>
            </w:pPr>
            <w:r>
              <w:rPr>
                <w:rFonts w:cs="Times New Roman"/>
              </w:rPr>
              <w:t>3.05</w:t>
            </w:r>
          </w:p>
        </w:tc>
        <w:tc>
          <w:tcPr>
            <w:tcW w:w="712" w:type="pct"/>
            <w:vAlign w:val="center"/>
          </w:tcPr>
          <w:p w14:paraId="307BD4CE">
            <w:pPr>
              <w:pStyle w:val="64"/>
              <w:wordWrap w:val="0"/>
              <w:rPr>
                <w:rFonts w:cs="Times New Roman"/>
              </w:rPr>
            </w:pPr>
            <w:r>
              <w:rPr>
                <w:rFonts w:cs="Times New Roman"/>
              </w:rPr>
              <w:t>4.13</w:t>
            </w:r>
          </w:p>
        </w:tc>
        <w:tc>
          <w:tcPr>
            <w:tcW w:w="740" w:type="pct"/>
            <w:vAlign w:val="center"/>
          </w:tcPr>
          <w:p w14:paraId="199FA54D">
            <w:pPr>
              <w:pStyle w:val="64"/>
              <w:wordWrap w:val="0"/>
              <w:rPr>
                <w:rFonts w:cs="Times New Roman"/>
              </w:rPr>
            </w:pPr>
            <w:r>
              <w:rPr>
                <w:rFonts w:cs="Times New Roman"/>
              </w:rPr>
              <w:t>2.33</w:t>
            </w:r>
          </w:p>
        </w:tc>
        <w:tc>
          <w:tcPr>
            <w:tcW w:w="740" w:type="pct"/>
            <w:vAlign w:val="center"/>
          </w:tcPr>
          <w:p w14:paraId="1C9532DF">
            <w:pPr>
              <w:pStyle w:val="64"/>
              <w:wordWrap w:val="0"/>
              <w:rPr>
                <w:rFonts w:cs="Times New Roman"/>
              </w:rPr>
            </w:pPr>
            <w:r>
              <w:rPr>
                <w:rFonts w:cs="Times New Roman"/>
              </w:rPr>
              <w:t>5.56</w:t>
            </w:r>
          </w:p>
        </w:tc>
        <w:tc>
          <w:tcPr>
            <w:tcW w:w="738" w:type="pct"/>
            <w:vAlign w:val="center"/>
          </w:tcPr>
          <w:p w14:paraId="22CD5BD2">
            <w:pPr>
              <w:pStyle w:val="64"/>
              <w:wordWrap w:val="0"/>
              <w:rPr>
                <w:rFonts w:cs="Times New Roman"/>
              </w:rPr>
            </w:pPr>
            <w:r>
              <w:rPr>
                <w:rFonts w:cs="Times New Roman"/>
              </w:rPr>
              <w:t>4.85</w:t>
            </w:r>
          </w:p>
        </w:tc>
      </w:tr>
      <w:tr w14:paraId="659F40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1" w:type="pct"/>
            <w:vMerge w:val="continue"/>
            <w:vAlign w:val="center"/>
          </w:tcPr>
          <w:p w14:paraId="60C077CF">
            <w:pPr>
              <w:pStyle w:val="64"/>
              <w:wordWrap w:val="0"/>
              <w:rPr>
                <w:rFonts w:cs="Times New Roman"/>
              </w:rPr>
            </w:pPr>
          </w:p>
        </w:tc>
        <w:tc>
          <w:tcPr>
            <w:tcW w:w="505" w:type="pct"/>
            <w:vMerge w:val="continue"/>
            <w:vAlign w:val="center"/>
          </w:tcPr>
          <w:p w14:paraId="52C1225B">
            <w:pPr>
              <w:pStyle w:val="64"/>
              <w:wordWrap w:val="0"/>
              <w:rPr>
                <w:rFonts w:cs="Times New Roman"/>
              </w:rPr>
            </w:pPr>
          </w:p>
        </w:tc>
        <w:tc>
          <w:tcPr>
            <w:tcW w:w="314" w:type="pct"/>
            <w:vAlign w:val="center"/>
          </w:tcPr>
          <w:p w14:paraId="564FD4F3">
            <w:pPr>
              <w:pStyle w:val="64"/>
              <w:wordWrap w:val="0"/>
              <w:rPr>
                <w:rFonts w:cs="Times New Roman"/>
              </w:rPr>
            </w:pPr>
            <w:r>
              <w:rPr>
                <w:rFonts w:cs="Times New Roman"/>
              </w:rPr>
              <w:t>Si</w:t>
            </w:r>
          </w:p>
        </w:tc>
        <w:tc>
          <w:tcPr>
            <w:tcW w:w="740" w:type="pct"/>
            <w:vAlign w:val="center"/>
          </w:tcPr>
          <w:p w14:paraId="4FA94A97">
            <w:pPr>
              <w:pStyle w:val="64"/>
              <w:wordWrap w:val="0"/>
              <w:rPr>
                <w:rFonts w:cs="Times New Roman"/>
              </w:rPr>
            </w:pPr>
            <w:r>
              <w:rPr>
                <w:rFonts w:cs="Times New Roman"/>
              </w:rPr>
              <w:t>/</w:t>
            </w:r>
          </w:p>
        </w:tc>
        <w:tc>
          <w:tcPr>
            <w:tcW w:w="712" w:type="pct"/>
            <w:vAlign w:val="center"/>
          </w:tcPr>
          <w:p w14:paraId="2C9F544E">
            <w:pPr>
              <w:pStyle w:val="64"/>
              <w:wordWrap w:val="0"/>
              <w:rPr>
                <w:rFonts w:cs="Times New Roman"/>
              </w:rPr>
            </w:pPr>
            <w:r>
              <w:rPr>
                <w:rFonts w:cs="Times New Roman"/>
              </w:rPr>
              <w:t>/</w:t>
            </w:r>
          </w:p>
        </w:tc>
        <w:tc>
          <w:tcPr>
            <w:tcW w:w="740" w:type="pct"/>
            <w:vAlign w:val="center"/>
          </w:tcPr>
          <w:p w14:paraId="7771F8D1">
            <w:pPr>
              <w:pStyle w:val="64"/>
              <w:wordWrap w:val="0"/>
              <w:rPr>
                <w:rFonts w:cs="Times New Roman"/>
              </w:rPr>
            </w:pPr>
            <w:r>
              <w:rPr>
                <w:rFonts w:cs="Times New Roman"/>
              </w:rPr>
              <w:t>/</w:t>
            </w:r>
          </w:p>
        </w:tc>
        <w:tc>
          <w:tcPr>
            <w:tcW w:w="740" w:type="pct"/>
            <w:vAlign w:val="center"/>
          </w:tcPr>
          <w:p w14:paraId="6A636AE0">
            <w:pPr>
              <w:pStyle w:val="64"/>
              <w:wordWrap w:val="0"/>
              <w:rPr>
                <w:rFonts w:cs="Times New Roman"/>
              </w:rPr>
            </w:pPr>
            <w:r>
              <w:rPr>
                <w:rFonts w:cs="Times New Roman"/>
              </w:rPr>
              <w:t>/</w:t>
            </w:r>
          </w:p>
        </w:tc>
        <w:tc>
          <w:tcPr>
            <w:tcW w:w="738" w:type="pct"/>
            <w:vAlign w:val="center"/>
          </w:tcPr>
          <w:p w14:paraId="03080472">
            <w:pPr>
              <w:pStyle w:val="64"/>
              <w:wordWrap w:val="0"/>
              <w:rPr>
                <w:rFonts w:cs="Times New Roman"/>
              </w:rPr>
            </w:pPr>
            <w:r>
              <w:rPr>
                <w:rFonts w:cs="Times New Roman"/>
              </w:rPr>
              <w:t>/</w:t>
            </w:r>
          </w:p>
        </w:tc>
      </w:tr>
      <w:tr w14:paraId="34F75C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1" w:type="pct"/>
            <w:vMerge w:val="restart"/>
            <w:vAlign w:val="center"/>
          </w:tcPr>
          <w:p w14:paraId="297CA22B">
            <w:pPr>
              <w:pStyle w:val="64"/>
              <w:wordWrap w:val="0"/>
              <w:rPr>
                <w:rFonts w:cs="Times New Roman"/>
              </w:rPr>
            </w:pPr>
            <w:r>
              <w:rPr>
                <w:rFonts w:cs="Times New Roman"/>
              </w:rPr>
              <w:t>钙</w:t>
            </w:r>
          </w:p>
        </w:tc>
        <w:tc>
          <w:tcPr>
            <w:tcW w:w="505" w:type="pct"/>
            <w:vMerge w:val="restart"/>
            <w:vAlign w:val="center"/>
          </w:tcPr>
          <w:p w14:paraId="2D660B89">
            <w:pPr>
              <w:pStyle w:val="64"/>
              <w:wordWrap w:val="0"/>
              <w:rPr>
                <w:rFonts w:cs="Times New Roman"/>
              </w:rPr>
            </w:pPr>
            <w:r>
              <w:rPr>
                <w:rFonts w:cs="Times New Roman"/>
              </w:rPr>
              <w:t>2024.04.08</w:t>
            </w:r>
          </w:p>
        </w:tc>
        <w:tc>
          <w:tcPr>
            <w:tcW w:w="314" w:type="pct"/>
            <w:vAlign w:val="center"/>
          </w:tcPr>
          <w:p w14:paraId="3ED55E49">
            <w:pPr>
              <w:pStyle w:val="64"/>
              <w:wordWrap w:val="0"/>
              <w:rPr>
                <w:rFonts w:cs="Times New Roman"/>
              </w:rPr>
            </w:pPr>
            <w:r>
              <w:rPr>
                <w:rFonts w:cs="Times New Roman"/>
              </w:rPr>
              <w:t>Ci</w:t>
            </w:r>
          </w:p>
        </w:tc>
        <w:tc>
          <w:tcPr>
            <w:tcW w:w="740" w:type="pct"/>
            <w:vAlign w:val="center"/>
          </w:tcPr>
          <w:p w14:paraId="1A8EF65B">
            <w:pPr>
              <w:pStyle w:val="64"/>
              <w:wordWrap w:val="0"/>
              <w:rPr>
                <w:rFonts w:cs="Times New Roman"/>
              </w:rPr>
            </w:pPr>
            <w:r>
              <w:rPr>
                <w:rFonts w:cs="Times New Roman"/>
              </w:rPr>
              <w:t>363</w:t>
            </w:r>
          </w:p>
        </w:tc>
        <w:tc>
          <w:tcPr>
            <w:tcW w:w="712" w:type="pct"/>
            <w:vAlign w:val="center"/>
          </w:tcPr>
          <w:p w14:paraId="798DC0BF">
            <w:pPr>
              <w:pStyle w:val="64"/>
              <w:wordWrap w:val="0"/>
              <w:rPr>
                <w:rFonts w:cs="Times New Roman"/>
              </w:rPr>
            </w:pPr>
            <w:r>
              <w:rPr>
                <w:rFonts w:cs="Times New Roman"/>
              </w:rPr>
              <w:t>75</w:t>
            </w:r>
          </w:p>
        </w:tc>
        <w:tc>
          <w:tcPr>
            <w:tcW w:w="740" w:type="pct"/>
            <w:vAlign w:val="center"/>
          </w:tcPr>
          <w:p w14:paraId="4E28485C">
            <w:pPr>
              <w:pStyle w:val="64"/>
              <w:wordWrap w:val="0"/>
              <w:rPr>
                <w:rFonts w:cs="Times New Roman"/>
              </w:rPr>
            </w:pPr>
            <w:r>
              <w:rPr>
                <w:rFonts w:cs="Times New Roman"/>
              </w:rPr>
              <w:t>69.6</w:t>
            </w:r>
          </w:p>
        </w:tc>
        <w:tc>
          <w:tcPr>
            <w:tcW w:w="740" w:type="pct"/>
            <w:vAlign w:val="center"/>
          </w:tcPr>
          <w:p w14:paraId="7A6CDDB1">
            <w:pPr>
              <w:pStyle w:val="64"/>
              <w:wordWrap w:val="0"/>
              <w:rPr>
                <w:rFonts w:cs="Times New Roman"/>
              </w:rPr>
            </w:pPr>
            <w:r>
              <w:rPr>
                <w:rFonts w:cs="Times New Roman"/>
              </w:rPr>
              <w:t>67.9</w:t>
            </w:r>
          </w:p>
        </w:tc>
        <w:tc>
          <w:tcPr>
            <w:tcW w:w="738" w:type="pct"/>
            <w:vAlign w:val="center"/>
          </w:tcPr>
          <w:p w14:paraId="3D81BB33">
            <w:pPr>
              <w:pStyle w:val="64"/>
              <w:wordWrap w:val="0"/>
              <w:rPr>
                <w:rFonts w:cs="Times New Roman"/>
              </w:rPr>
            </w:pPr>
            <w:r>
              <w:rPr>
                <w:rFonts w:cs="Times New Roman"/>
              </w:rPr>
              <w:t>91.7</w:t>
            </w:r>
          </w:p>
        </w:tc>
      </w:tr>
      <w:tr w14:paraId="295C0A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1" w:type="pct"/>
            <w:vMerge w:val="continue"/>
            <w:vAlign w:val="center"/>
          </w:tcPr>
          <w:p w14:paraId="10A79DCB">
            <w:pPr>
              <w:pStyle w:val="64"/>
              <w:wordWrap w:val="0"/>
              <w:rPr>
                <w:rFonts w:cs="Times New Roman"/>
              </w:rPr>
            </w:pPr>
          </w:p>
        </w:tc>
        <w:tc>
          <w:tcPr>
            <w:tcW w:w="505" w:type="pct"/>
            <w:vMerge w:val="continue"/>
            <w:vAlign w:val="center"/>
          </w:tcPr>
          <w:p w14:paraId="095D2A2C">
            <w:pPr>
              <w:pStyle w:val="64"/>
              <w:wordWrap w:val="0"/>
              <w:rPr>
                <w:rFonts w:cs="Times New Roman"/>
              </w:rPr>
            </w:pPr>
          </w:p>
        </w:tc>
        <w:tc>
          <w:tcPr>
            <w:tcW w:w="314" w:type="pct"/>
            <w:vAlign w:val="center"/>
          </w:tcPr>
          <w:p w14:paraId="5627A104">
            <w:pPr>
              <w:pStyle w:val="64"/>
              <w:wordWrap w:val="0"/>
              <w:rPr>
                <w:rFonts w:cs="Times New Roman"/>
              </w:rPr>
            </w:pPr>
            <w:r>
              <w:rPr>
                <w:rFonts w:cs="Times New Roman"/>
              </w:rPr>
              <w:t>Si</w:t>
            </w:r>
          </w:p>
        </w:tc>
        <w:tc>
          <w:tcPr>
            <w:tcW w:w="740" w:type="pct"/>
            <w:vAlign w:val="center"/>
          </w:tcPr>
          <w:p w14:paraId="4958F7C9">
            <w:pPr>
              <w:pStyle w:val="64"/>
              <w:wordWrap w:val="0"/>
              <w:rPr>
                <w:rFonts w:cs="Times New Roman"/>
              </w:rPr>
            </w:pPr>
            <w:r>
              <w:rPr>
                <w:rFonts w:cs="Times New Roman"/>
              </w:rPr>
              <w:t>/</w:t>
            </w:r>
          </w:p>
        </w:tc>
        <w:tc>
          <w:tcPr>
            <w:tcW w:w="712" w:type="pct"/>
            <w:vAlign w:val="center"/>
          </w:tcPr>
          <w:p w14:paraId="7526B1FC">
            <w:pPr>
              <w:pStyle w:val="64"/>
              <w:wordWrap w:val="0"/>
              <w:rPr>
                <w:rFonts w:cs="Times New Roman"/>
              </w:rPr>
            </w:pPr>
            <w:r>
              <w:rPr>
                <w:rFonts w:cs="Times New Roman"/>
              </w:rPr>
              <w:t>/</w:t>
            </w:r>
          </w:p>
        </w:tc>
        <w:tc>
          <w:tcPr>
            <w:tcW w:w="740" w:type="pct"/>
            <w:vAlign w:val="center"/>
          </w:tcPr>
          <w:p w14:paraId="6886F3D3">
            <w:pPr>
              <w:pStyle w:val="64"/>
              <w:wordWrap w:val="0"/>
              <w:rPr>
                <w:rFonts w:cs="Times New Roman"/>
              </w:rPr>
            </w:pPr>
            <w:r>
              <w:rPr>
                <w:rFonts w:cs="Times New Roman"/>
              </w:rPr>
              <w:t>/</w:t>
            </w:r>
          </w:p>
        </w:tc>
        <w:tc>
          <w:tcPr>
            <w:tcW w:w="740" w:type="pct"/>
            <w:vAlign w:val="center"/>
          </w:tcPr>
          <w:p w14:paraId="1C44D96B">
            <w:pPr>
              <w:pStyle w:val="64"/>
              <w:wordWrap w:val="0"/>
              <w:rPr>
                <w:rFonts w:cs="Times New Roman"/>
              </w:rPr>
            </w:pPr>
            <w:r>
              <w:rPr>
                <w:rFonts w:cs="Times New Roman"/>
              </w:rPr>
              <w:t>/</w:t>
            </w:r>
          </w:p>
        </w:tc>
        <w:tc>
          <w:tcPr>
            <w:tcW w:w="738" w:type="pct"/>
            <w:vAlign w:val="center"/>
          </w:tcPr>
          <w:p w14:paraId="1855A9B4">
            <w:pPr>
              <w:pStyle w:val="64"/>
              <w:wordWrap w:val="0"/>
              <w:rPr>
                <w:rFonts w:cs="Times New Roman"/>
              </w:rPr>
            </w:pPr>
            <w:r>
              <w:rPr>
                <w:rFonts w:cs="Times New Roman"/>
              </w:rPr>
              <w:t>/</w:t>
            </w:r>
          </w:p>
        </w:tc>
      </w:tr>
      <w:tr w14:paraId="40BB62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1" w:type="pct"/>
            <w:vMerge w:val="continue"/>
            <w:vAlign w:val="center"/>
          </w:tcPr>
          <w:p w14:paraId="4B1DCF38">
            <w:pPr>
              <w:pStyle w:val="64"/>
              <w:wordWrap w:val="0"/>
              <w:rPr>
                <w:rFonts w:cs="Times New Roman"/>
              </w:rPr>
            </w:pPr>
          </w:p>
        </w:tc>
        <w:tc>
          <w:tcPr>
            <w:tcW w:w="505" w:type="pct"/>
            <w:vMerge w:val="restart"/>
            <w:vAlign w:val="center"/>
          </w:tcPr>
          <w:p w14:paraId="51A36C3D">
            <w:pPr>
              <w:pStyle w:val="64"/>
              <w:wordWrap w:val="0"/>
              <w:rPr>
                <w:rFonts w:cs="Times New Roman"/>
              </w:rPr>
            </w:pPr>
            <w:r>
              <w:rPr>
                <w:rFonts w:cs="Times New Roman"/>
              </w:rPr>
              <w:t>2024.04.09</w:t>
            </w:r>
          </w:p>
        </w:tc>
        <w:tc>
          <w:tcPr>
            <w:tcW w:w="314" w:type="pct"/>
            <w:vAlign w:val="center"/>
          </w:tcPr>
          <w:p w14:paraId="057C3249">
            <w:pPr>
              <w:pStyle w:val="64"/>
              <w:wordWrap w:val="0"/>
              <w:rPr>
                <w:rFonts w:cs="Times New Roman"/>
              </w:rPr>
            </w:pPr>
            <w:r>
              <w:rPr>
                <w:rFonts w:cs="Times New Roman"/>
              </w:rPr>
              <w:t>Ci</w:t>
            </w:r>
          </w:p>
        </w:tc>
        <w:tc>
          <w:tcPr>
            <w:tcW w:w="740" w:type="pct"/>
            <w:vAlign w:val="center"/>
          </w:tcPr>
          <w:p w14:paraId="08A1D0FF">
            <w:pPr>
              <w:pStyle w:val="64"/>
              <w:wordWrap w:val="0"/>
              <w:rPr>
                <w:rFonts w:cs="Times New Roman"/>
              </w:rPr>
            </w:pPr>
            <w:r>
              <w:rPr>
                <w:rFonts w:cs="Times New Roman"/>
              </w:rPr>
              <w:t>67.9</w:t>
            </w:r>
          </w:p>
        </w:tc>
        <w:tc>
          <w:tcPr>
            <w:tcW w:w="712" w:type="pct"/>
            <w:vAlign w:val="center"/>
          </w:tcPr>
          <w:p w14:paraId="42DB7C23">
            <w:pPr>
              <w:pStyle w:val="64"/>
              <w:wordWrap w:val="0"/>
              <w:rPr>
                <w:rFonts w:cs="Times New Roman"/>
              </w:rPr>
            </w:pPr>
            <w:r>
              <w:rPr>
                <w:rFonts w:cs="Times New Roman"/>
              </w:rPr>
              <w:t>91.7</w:t>
            </w:r>
          </w:p>
        </w:tc>
        <w:tc>
          <w:tcPr>
            <w:tcW w:w="740" w:type="pct"/>
            <w:vAlign w:val="center"/>
          </w:tcPr>
          <w:p w14:paraId="793618B6">
            <w:pPr>
              <w:pStyle w:val="64"/>
              <w:wordWrap w:val="0"/>
              <w:rPr>
                <w:rFonts w:cs="Times New Roman"/>
              </w:rPr>
            </w:pPr>
            <w:r>
              <w:rPr>
                <w:rFonts w:cs="Times New Roman"/>
              </w:rPr>
              <w:t>77.4</w:t>
            </w:r>
          </w:p>
        </w:tc>
        <w:tc>
          <w:tcPr>
            <w:tcW w:w="740" w:type="pct"/>
            <w:vAlign w:val="center"/>
          </w:tcPr>
          <w:p w14:paraId="2B5F01B1">
            <w:pPr>
              <w:pStyle w:val="64"/>
              <w:wordWrap w:val="0"/>
              <w:rPr>
                <w:rFonts w:cs="Times New Roman"/>
              </w:rPr>
            </w:pPr>
            <w:r>
              <w:rPr>
                <w:rFonts w:cs="Times New Roman"/>
              </w:rPr>
              <w:t>65.5</w:t>
            </w:r>
          </w:p>
        </w:tc>
        <w:tc>
          <w:tcPr>
            <w:tcW w:w="738" w:type="pct"/>
            <w:vAlign w:val="center"/>
          </w:tcPr>
          <w:p w14:paraId="76D0BBA3">
            <w:pPr>
              <w:pStyle w:val="64"/>
              <w:wordWrap w:val="0"/>
              <w:rPr>
                <w:rFonts w:cs="Times New Roman"/>
              </w:rPr>
            </w:pPr>
            <w:r>
              <w:rPr>
                <w:rFonts w:cs="Times New Roman"/>
              </w:rPr>
              <w:t>370</w:t>
            </w:r>
          </w:p>
        </w:tc>
      </w:tr>
      <w:tr w14:paraId="5C0A62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1" w:type="pct"/>
            <w:vMerge w:val="continue"/>
            <w:vAlign w:val="center"/>
          </w:tcPr>
          <w:p w14:paraId="6FB85C79">
            <w:pPr>
              <w:pStyle w:val="64"/>
              <w:wordWrap w:val="0"/>
              <w:rPr>
                <w:rFonts w:cs="Times New Roman"/>
              </w:rPr>
            </w:pPr>
          </w:p>
        </w:tc>
        <w:tc>
          <w:tcPr>
            <w:tcW w:w="505" w:type="pct"/>
            <w:vMerge w:val="continue"/>
            <w:vAlign w:val="center"/>
          </w:tcPr>
          <w:p w14:paraId="0EC088FE">
            <w:pPr>
              <w:pStyle w:val="64"/>
              <w:wordWrap w:val="0"/>
              <w:rPr>
                <w:rFonts w:cs="Times New Roman"/>
              </w:rPr>
            </w:pPr>
          </w:p>
        </w:tc>
        <w:tc>
          <w:tcPr>
            <w:tcW w:w="314" w:type="pct"/>
            <w:vAlign w:val="center"/>
          </w:tcPr>
          <w:p w14:paraId="0B5435A5">
            <w:pPr>
              <w:pStyle w:val="64"/>
              <w:wordWrap w:val="0"/>
              <w:rPr>
                <w:rFonts w:cs="Times New Roman"/>
              </w:rPr>
            </w:pPr>
            <w:r>
              <w:rPr>
                <w:rFonts w:cs="Times New Roman"/>
              </w:rPr>
              <w:t>Si</w:t>
            </w:r>
          </w:p>
        </w:tc>
        <w:tc>
          <w:tcPr>
            <w:tcW w:w="740" w:type="pct"/>
            <w:vAlign w:val="center"/>
          </w:tcPr>
          <w:p w14:paraId="389AA55A">
            <w:pPr>
              <w:pStyle w:val="64"/>
              <w:wordWrap w:val="0"/>
              <w:rPr>
                <w:rFonts w:cs="Times New Roman"/>
              </w:rPr>
            </w:pPr>
            <w:r>
              <w:rPr>
                <w:rFonts w:cs="Times New Roman"/>
              </w:rPr>
              <w:t>/</w:t>
            </w:r>
          </w:p>
        </w:tc>
        <w:tc>
          <w:tcPr>
            <w:tcW w:w="712" w:type="pct"/>
            <w:vAlign w:val="center"/>
          </w:tcPr>
          <w:p w14:paraId="1FC64032">
            <w:pPr>
              <w:pStyle w:val="64"/>
              <w:wordWrap w:val="0"/>
              <w:rPr>
                <w:rFonts w:cs="Times New Roman"/>
              </w:rPr>
            </w:pPr>
            <w:r>
              <w:rPr>
                <w:rFonts w:cs="Times New Roman"/>
              </w:rPr>
              <w:t>/</w:t>
            </w:r>
          </w:p>
        </w:tc>
        <w:tc>
          <w:tcPr>
            <w:tcW w:w="740" w:type="pct"/>
            <w:vAlign w:val="center"/>
          </w:tcPr>
          <w:p w14:paraId="1399711E">
            <w:pPr>
              <w:pStyle w:val="64"/>
              <w:wordWrap w:val="0"/>
              <w:rPr>
                <w:rFonts w:cs="Times New Roman"/>
              </w:rPr>
            </w:pPr>
            <w:r>
              <w:rPr>
                <w:rFonts w:cs="Times New Roman"/>
              </w:rPr>
              <w:t>/</w:t>
            </w:r>
          </w:p>
        </w:tc>
        <w:tc>
          <w:tcPr>
            <w:tcW w:w="740" w:type="pct"/>
            <w:vAlign w:val="center"/>
          </w:tcPr>
          <w:p w14:paraId="00955329">
            <w:pPr>
              <w:pStyle w:val="64"/>
              <w:wordWrap w:val="0"/>
              <w:rPr>
                <w:rFonts w:cs="Times New Roman"/>
              </w:rPr>
            </w:pPr>
            <w:r>
              <w:rPr>
                <w:rFonts w:cs="Times New Roman"/>
              </w:rPr>
              <w:t>/</w:t>
            </w:r>
          </w:p>
        </w:tc>
        <w:tc>
          <w:tcPr>
            <w:tcW w:w="738" w:type="pct"/>
            <w:vAlign w:val="center"/>
          </w:tcPr>
          <w:p w14:paraId="7BA3F567">
            <w:pPr>
              <w:pStyle w:val="64"/>
              <w:wordWrap w:val="0"/>
              <w:rPr>
                <w:rFonts w:cs="Times New Roman"/>
              </w:rPr>
            </w:pPr>
            <w:r>
              <w:rPr>
                <w:rFonts w:cs="Times New Roman"/>
              </w:rPr>
              <w:t>/</w:t>
            </w:r>
          </w:p>
        </w:tc>
      </w:tr>
      <w:tr w14:paraId="06D4EE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1" w:type="pct"/>
            <w:vMerge w:val="restart"/>
            <w:vAlign w:val="center"/>
          </w:tcPr>
          <w:p w14:paraId="156D399F">
            <w:pPr>
              <w:pStyle w:val="64"/>
              <w:wordWrap w:val="0"/>
              <w:rPr>
                <w:rFonts w:cs="Times New Roman"/>
              </w:rPr>
            </w:pPr>
            <w:r>
              <w:rPr>
                <w:rFonts w:cs="Times New Roman"/>
              </w:rPr>
              <w:t>铜</w:t>
            </w:r>
          </w:p>
        </w:tc>
        <w:tc>
          <w:tcPr>
            <w:tcW w:w="505" w:type="pct"/>
            <w:vMerge w:val="restart"/>
            <w:vAlign w:val="center"/>
          </w:tcPr>
          <w:p w14:paraId="1A485172">
            <w:pPr>
              <w:pStyle w:val="64"/>
              <w:wordWrap w:val="0"/>
              <w:rPr>
                <w:rFonts w:cs="Times New Roman"/>
              </w:rPr>
            </w:pPr>
            <w:r>
              <w:rPr>
                <w:rFonts w:cs="Times New Roman"/>
              </w:rPr>
              <w:t>2024.04.08</w:t>
            </w:r>
          </w:p>
        </w:tc>
        <w:tc>
          <w:tcPr>
            <w:tcW w:w="314" w:type="pct"/>
            <w:vAlign w:val="center"/>
          </w:tcPr>
          <w:p w14:paraId="63693D3B">
            <w:pPr>
              <w:pStyle w:val="64"/>
              <w:wordWrap w:val="0"/>
              <w:rPr>
                <w:rFonts w:cs="Times New Roman"/>
              </w:rPr>
            </w:pPr>
            <w:r>
              <w:rPr>
                <w:rFonts w:cs="Times New Roman"/>
              </w:rPr>
              <w:t>Ci</w:t>
            </w:r>
          </w:p>
        </w:tc>
        <w:tc>
          <w:tcPr>
            <w:tcW w:w="740" w:type="pct"/>
            <w:vAlign w:val="center"/>
          </w:tcPr>
          <w:p w14:paraId="575EF0D3">
            <w:pPr>
              <w:pStyle w:val="64"/>
              <w:wordWrap w:val="0"/>
              <w:rPr>
                <w:rFonts w:cs="Times New Roman"/>
              </w:rPr>
            </w:pPr>
            <w:r>
              <w:rPr>
                <w:rFonts w:cs="Times New Roman"/>
              </w:rPr>
              <w:t>&lt;0.005</w:t>
            </w:r>
          </w:p>
        </w:tc>
        <w:tc>
          <w:tcPr>
            <w:tcW w:w="712" w:type="pct"/>
            <w:vAlign w:val="center"/>
          </w:tcPr>
          <w:p w14:paraId="7049BA2C">
            <w:pPr>
              <w:pStyle w:val="64"/>
              <w:wordWrap w:val="0"/>
              <w:rPr>
                <w:rFonts w:cs="Times New Roman"/>
              </w:rPr>
            </w:pPr>
            <w:r>
              <w:rPr>
                <w:rFonts w:cs="Times New Roman"/>
              </w:rPr>
              <w:t>&lt;0.005</w:t>
            </w:r>
          </w:p>
        </w:tc>
        <w:tc>
          <w:tcPr>
            <w:tcW w:w="740" w:type="pct"/>
            <w:vAlign w:val="center"/>
          </w:tcPr>
          <w:p w14:paraId="57781CEC">
            <w:pPr>
              <w:pStyle w:val="64"/>
              <w:wordWrap w:val="0"/>
              <w:rPr>
                <w:rFonts w:cs="Times New Roman"/>
              </w:rPr>
            </w:pPr>
            <w:r>
              <w:rPr>
                <w:rFonts w:cs="Times New Roman"/>
              </w:rPr>
              <w:t>&lt;0.005</w:t>
            </w:r>
          </w:p>
        </w:tc>
        <w:tc>
          <w:tcPr>
            <w:tcW w:w="740" w:type="pct"/>
            <w:vAlign w:val="center"/>
          </w:tcPr>
          <w:p w14:paraId="35FA7C27">
            <w:pPr>
              <w:pStyle w:val="64"/>
              <w:wordWrap w:val="0"/>
              <w:rPr>
                <w:rFonts w:cs="Times New Roman"/>
              </w:rPr>
            </w:pPr>
            <w:r>
              <w:rPr>
                <w:rFonts w:cs="Times New Roman"/>
              </w:rPr>
              <w:t>&lt;0.005</w:t>
            </w:r>
          </w:p>
        </w:tc>
        <w:tc>
          <w:tcPr>
            <w:tcW w:w="738" w:type="pct"/>
            <w:vAlign w:val="center"/>
          </w:tcPr>
          <w:p w14:paraId="6579A5A7">
            <w:pPr>
              <w:pStyle w:val="64"/>
              <w:wordWrap w:val="0"/>
              <w:rPr>
                <w:rFonts w:cs="Times New Roman"/>
              </w:rPr>
            </w:pPr>
            <w:r>
              <w:rPr>
                <w:rFonts w:cs="Times New Roman"/>
              </w:rPr>
              <w:t>&lt;0.005</w:t>
            </w:r>
          </w:p>
        </w:tc>
      </w:tr>
      <w:tr w14:paraId="20A7CE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1" w:type="pct"/>
            <w:vMerge w:val="continue"/>
            <w:vAlign w:val="center"/>
          </w:tcPr>
          <w:p w14:paraId="31CBC7FB">
            <w:pPr>
              <w:pStyle w:val="64"/>
              <w:wordWrap w:val="0"/>
              <w:rPr>
                <w:rFonts w:cs="Times New Roman"/>
              </w:rPr>
            </w:pPr>
          </w:p>
        </w:tc>
        <w:tc>
          <w:tcPr>
            <w:tcW w:w="505" w:type="pct"/>
            <w:vMerge w:val="continue"/>
            <w:vAlign w:val="center"/>
          </w:tcPr>
          <w:p w14:paraId="71C3AFBD">
            <w:pPr>
              <w:pStyle w:val="64"/>
              <w:wordWrap w:val="0"/>
              <w:rPr>
                <w:rFonts w:cs="Times New Roman"/>
              </w:rPr>
            </w:pPr>
          </w:p>
        </w:tc>
        <w:tc>
          <w:tcPr>
            <w:tcW w:w="314" w:type="pct"/>
            <w:vAlign w:val="center"/>
          </w:tcPr>
          <w:p w14:paraId="7B39D167">
            <w:pPr>
              <w:pStyle w:val="64"/>
              <w:wordWrap w:val="0"/>
              <w:rPr>
                <w:rFonts w:cs="Times New Roman"/>
              </w:rPr>
            </w:pPr>
            <w:r>
              <w:rPr>
                <w:rFonts w:cs="Times New Roman"/>
              </w:rPr>
              <w:t>Si</w:t>
            </w:r>
          </w:p>
        </w:tc>
        <w:tc>
          <w:tcPr>
            <w:tcW w:w="740" w:type="pct"/>
            <w:vAlign w:val="center"/>
          </w:tcPr>
          <w:p w14:paraId="74236469">
            <w:pPr>
              <w:pStyle w:val="64"/>
              <w:wordWrap w:val="0"/>
              <w:rPr>
                <w:rFonts w:cs="Times New Roman"/>
              </w:rPr>
            </w:pPr>
            <w:r>
              <w:rPr>
                <w:rFonts w:cs="Times New Roman"/>
              </w:rPr>
              <w:t>&lt;0.005</w:t>
            </w:r>
          </w:p>
        </w:tc>
        <w:tc>
          <w:tcPr>
            <w:tcW w:w="712" w:type="pct"/>
            <w:vAlign w:val="center"/>
          </w:tcPr>
          <w:p w14:paraId="0CD00410">
            <w:pPr>
              <w:pStyle w:val="64"/>
              <w:wordWrap w:val="0"/>
              <w:rPr>
                <w:rFonts w:cs="Times New Roman"/>
              </w:rPr>
            </w:pPr>
            <w:r>
              <w:rPr>
                <w:rFonts w:cs="Times New Roman"/>
              </w:rPr>
              <w:t>&lt;0.005</w:t>
            </w:r>
          </w:p>
        </w:tc>
        <w:tc>
          <w:tcPr>
            <w:tcW w:w="740" w:type="pct"/>
            <w:vAlign w:val="center"/>
          </w:tcPr>
          <w:p w14:paraId="23388D4A">
            <w:pPr>
              <w:pStyle w:val="64"/>
              <w:wordWrap w:val="0"/>
              <w:rPr>
                <w:rFonts w:cs="Times New Roman"/>
              </w:rPr>
            </w:pPr>
            <w:r>
              <w:rPr>
                <w:rFonts w:cs="Times New Roman"/>
              </w:rPr>
              <w:t>&lt;0.005</w:t>
            </w:r>
          </w:p>
        </w:tc>
        <w:tc>
          <w:tcPr>
            <w:tcW w:w="740" w:type="pct"/>
            <w:vAlign w:val="center"/>
          </w:tcPr>
          <w:p w14:paraId="4B91218E">
            <w:pPr>
              <w:pStyle w:val="64"/>
              <w:wordWrap w:val="0"/>
              <w:rPr>
                <w:rFonts w:cs="Times New Roman"/>
              </w:rPr>
            </w:pPr>
            <w:r>
              <w:rPr>
                <w:rFonts w:cs="Times New Roman"/>
              </w:rPr>
              <w:t>&lt;0.005</w:t>
            </w:r>
          </w:p>
        </w:tc>
        <w:tc>
          <w:tcPr>
            <w:tcW w:w="738" w:type="pct"/>
            <w:vAlign w:val="center"/>
          </w:tcPr>
          <w:p w14:paraId="19C11DFA">
            <w:pPr>
              <w:pStyle w:val="64"/>
              <w:wordWrap w:val="0"/>
              <w:rPr>
                <w:rFonts w:cs="Times New Roman"/>
              </w:rPr>
            </w:pPr>
            <w:r>
              <w:rPr>
                <w:rFonts w:cs="Times New Roman"/>
              </w:rPr>
              <w:t>&lt;0.005</w:t>
            </w:r>
          </w:p>
        </w:tc>
      </w:tr>
      <w:tr w14:paraId="4D4106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1" w:type="pct"/>
            <w:vMerge w:val="continue"/>
            <w:vAlign w:val="center"/>
          </w:tcPr>
          <w:p w14:paraId="60986E1C">
            <w:pPr>
              <w:pStyle w:val="64"/>
              <w:wordWrap w:val="0"/>
              <w:rPr>
                <w:rFonts w:cs="Times New Roman"/>
              </w:rPr>
            </w:pPr>
          </w:p>
        </w:tc>
        <w:tc>
          <w:tcPr>
            <w:tcW w:w="505" w:type="pct"/>
            <w:vMerge w:val="restart"/>
            <w:vAlign w:val="center"/>
          </w:tcPr>
          <w:p w14:paraId="52C51A83">
            <w:pPr>
              <w:pStyle w:val="64"/>
              <w:wordWrap w:val="0"/>
              <w:rPr>
                <w:rFonts w:cs="Times New Roman"/>
              </w:rPr>
            </w:pPr>
            <w:r>
              <w:rPr>
                <w:rFonts w:cs="Times New Roman"/>
              </w:rPr>
              <w:t>2024.04.09</w:t>
            </w:r>
          </w:p>
        </w:tc>
        <w:tc>
          <w:tcPr>
            <w:tcW w:w="314" w:type="pct"/>
            <w:vAlign w:val="center"/>
          </w:tcPr>
          <w:p w14:paraId="6E96F478">
            <w:pPr>
              <w:pStyle w:val="64"/>
              <w:wordWrap w:val="0"/>
              <w:rPr>
                <w:rFonts w:cs="Times New Roman"/>
              </w:rPr>
            </w:pPr>
            <w:r>
              <w:rPr>
                <w:rFonts w:cs="Times New Roman"/>
              </w:rPr>
              <w:t>Ci</w:t>
            </w:r>
          </w:p>
        </w:tc>
        <w:tc>
          <w:tcPr>
            <w:tcW w:w="740" w:type="pct"/>
            <w:vAlign w:val="center"/>
          </w:tcPr>
          <w:p w14:paraId="302D9A7A">
            <w:pPr>
              <w:pStyle w:val="64"/>
              <w:wordWrap w:val="0"/>
              <w:rPr>
                <w:rFonts w:cs="Times New Roman"/>
              </w:rPr>
            </w:pPr>
            <w:r>
              <w:rPr>
                <w:rFonts w:cs="Times New Roman"/>
              </w:rPr>
              <w:t>&lt;0.005</w:t>
            </w:r>
          </w:p>
        </w:tc>
        <w:tc>
          <w:tcPr>
            <w:tcW w:w="712" w:type="pct"/>
            <w:vAlign w:val="center"/>
          </w:tcPr>
          <w:p w14:paraId="608C0FF6">
            <w:pPr>
              <w:pStyle w:val="64"/>
              <w:wordWrap w:val="0"/>
              <w:rPr>
                <w:rFonts w:cs="Times New Roman"/>
              </w:rPr>
            </w:pPr>
            <w:r>
              <w:rPr>
                <w:rFonts w:cs="Times New Roman"/>
              </w:rPr>
              <w:t>&lt;0.005</w:t>
            </w:r>
          </w:p>
        </w:tc>
        <w:tc>
          <w:tcPr>
            <w:tcW w:w="740" w:type="pct"/>
            <w:vAlign w:val="center"/>
          </w:tcPr>
          <w:p w14:paraId="784D41CE">
            <w:pPr>
              <w:pStyle w:val="64"/>
              <w:wordWrap w:val="0"/>
              <w:rPr>
                <w:rFonts w:cs="Times New Roman"/>
              </w:rPr>
            </w:pPr>
            <w:r>
              <w:rPr>
                <w:rFonts w:cs="Times New Roman"/>
              </w:rPr>
              <w:t>&lt;0.005</w:t>
            </w:r>
          </w:p>
        </w:tc>
        <w:tc>
          <w:tcPr>
            <w:tcW w:w="740" w:type="pct"/>
            <w:vAlign w:val="center"/>
          </w:tcPr>
          <w:p w14:paraId="46E27C30">
            <w:pPr>
              <w:pStyle w:val="64"/>
              <w:wordWrap w:val="0"/>
              <w:rPr>
                <w:rFonts w:cs="Times New Roman"/>
              </w:rPr>
            </w:pPr>
            <w:r>
              <w:rPr>
                <w:rFonts w:cs="Times New Roman"/>
              </w:rPr>
              <w:t>&lt;0.005</w:t>
            </w:r>
          </w:p>
        </w:tc>
        <w:tc>
          <w:tcPr>
            <w:tcW w:w="738" w:type="pct"/>
            <w:vAlign w:val="center"/>
          </w:tcPr>
          <w:p w14:paraId="79C31D1E">
            <w:pPr>
              <w:pStyle w:val="64"/>
              <w:wordWrap w:val="0"/>
              <w:rPr>
                <w:rFonts w:cs="Times New Roman"/>
              </w:rPr>
            </w:pPr>
            <w:r>
              <w:rPr>
                <w:rFonts w:cs="Times New Roman"/>
              </w:rPr>
              <w:t>&lt;0.005</w:t>
            </w:r>
          </w:p>
        </w:tc>
      </w:tr>
      <w:tr w14:paraId="01903A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1" w:type="pct"/>
            <w:vMerge w:val="continue"/>
            <w:vAlign w:val="center"/>
          </w:tcPr>
          <w:p w14:paraId="529E8217">
            <w:pPr>
              <w:pStyle w:val="64"/>
              <w:wordWrap w:val="0"/>
              <w:rPr>
                <w:rFonts w:cs="Times New Roman"/>
              </w:rPr>
            </w:pPr>
          </w:p>
        </w:tc>
        <w:tc>
          <w:tcPr>
            <w:tcW w:w="505" w:type="pct"/>
            <w:vMerge w:val="continue"/>
            <w:vAlign w:val="center"/>
          </w:tcPr>
          <w:p w14:paraId="25F197CE">
            <w:pPr>
              <w:pStyle w:val="64"/>
              <w:wordWrap w:val="0"/>
              <w:rPr>
                <w:rFonts w:cs="Times New Roman"/>
              </w:rPr>
            </w:pPr>
          </w:p>
        </w:tc>
        <w:tc>
          <w:tcPr>
            <w:tcW w:w="314" w:type="pct"/>
            <w:vAlign w:val="center"/>
          </w:tcPr>
          <w:p w14:paraId="40597F72">
            <w:pPr>
              <w:pStyle w:val="64"/>
              <w:wordWrap w:val="0"/>
              <w:rPr>
                <w:rFonts w:cs="Times New Roman"/>
              </w:rPr>
            </w:pPr>
            <w:r>
              <w:rPr>
                <w:rFonts w:cs="Times New Roman"/>
              </w:rPr>
              <w:t>Si</w:t>
            </w:r>
          </w:p>
        </w:tc>
        <w:tc>
          <w:tcPr>
            <w:tcW w:w="740" w:type="pct"/>
            <w:vAlign w:val="center"/>
          </w:tcPr>
          <w:p w14:paraId="447B0870">
            <w:pPr>
              <w:pStyle w:val="64"/>
              <w:wordWrap w:val="0"/>
              <w:rPr>
                <w:rFonts w:cs="Times New Roman"/>
              </w:rPr>
            </w:pPr>
            <w:r>
              <w:rPr>
                <w:rFonts w:cs="Times New Roman"/>
              </w:rPr>
              <w:t>&lt;0.005</w:t>
            </w:r>
          </w:p>
        </w:tc>
        <w:tc>
          <w:tcPr>
            <w:tcW w:w="712" w:type="pct"/>
            <w:vAlign w:val="center"/>
          </w:tcPr>
          <w:p w14:paraId="3EFF8A3A">
            <w:pPr>
              <w:pStyle w:val="64"/>
              <w:wordWrap w:val="0"/>
              <w:rPr>
                <w:rFonts w:cs="Times New Roman"/>
              </w:rPr>
            </w:pPr>
            <w:r>
              <w:rPr>
                <w:rFonts w:cs="Times New Roman"/>
              </w:rPr>
              <w:t>&lt;0.005</w:t>
            </w:r>
          </w:p>
        </w:tc>
        <w:tc>
          <w:tcPr>
            <w:tcW w:w="740" w:type="pct"/>
            <w:vAlign w:val="center"/>
          </w:tcPr>
          <w:p w14:paraId="6C66AF3B">
            <w:pPr>
              <w:pStyle w:val="64"/>
              <w:wordWrap w:val="0"/>
              <w:rPr>
                <w:rFonts w:cs="Times New Roman"/>
              </w:rPr>
            </w:pPr>
            <w:r>
              <w:rPr>
                <w:rFonts w:cs="Times New Roman"/>
              </w:rPr>
              <w:t>&lt;0.005</w:t>
            </w:r>
          </w:p>
        </w:tc>
        <w:tc>
          <w:tcPr>
            <w:tcW w:w="740" w:type="pct"/>
            <w:vAlign w:val="center"/>
          </w:tcPr>
          <w:p w14:paraId="3A5D544F">
            <w:pPr>
              <w:pStyle w:val="64"/>
              <w:wordWrap w:val="0"/>
              <w:rPr>
                <w:rFonts w:cs="Times New Roman"/>
              </w:rPr>
            </w:pPr>
            <w:r>
              <w:rPr>
                <w:rFonts w:cs="Times New Roman"/>
              </w:rPr>
              <w:t>&lt;0.005</w:t>
            </w:r>
          </w:p>
        </w:tc>
        <w:tc>
          <w:tcPr>
            <w:tcW w:w="738" w:type="pct"/>
            <w:vAlign w:val="center"/>
          </w:tcPr>
          <w:p w14:paraId="29782781">
            <w:pPr>
              <w:pStyle w:val="64"/>
              <w:wordWrap w:val="0"/>
              <w:rPr>
                <w:rFonts w:cs="Times New Roman"/>
              </w:rPr>
            </w:pPr>
            <w:r>
              <w:rPr>
                <w:rFonts w:cs="Times New Roman"/>
              </w:rPr>
              <w:t>&lt;0.005</w:t>
            </w:r>
          </w:p>
        </w:tc>
      </w:tr>
      <w:tr w14:paraId="78CEDD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1" w:type="pct"/>
            <w:vMerge w:val="restart"/>
            <w:vAlign w:val="center"/>
          </w:tcPr>
          <w:p w14:paraId="1519B641">
            <w:pPr>
              <w:pStyle w:val="64"/>
              <w:wordWrap w:val="0"/>
              <w:rPr>
                <w:rFonts w:cs="Times New Roman"/>
              </w:rPr>
            </w:pPr>
            <w:r>
              <w:rPr>
                <w:rFonts w:cs="Times New Roman"/>
              </w:rPr>
              <w:t>锌</w:t>
            </w:r>
          </w:p>
        </w:tc>
        <w:tc>
          <w:tcPr>
            <w:tcW w:w="505" w:type="pct"/>
            <w:vMerge w:val="restart"/>
            <w:vAlign w:val="center"/>
          </w:tcPr>
          <w:p w14:paraId="16718F05">
            <w:pPr>
              <w:pStyle w:val="64"/>
              <w:wordWrap w:val="0"/>
              <w:rPr>
                <w:rFonts w:cs="Times New Roman"/>
              </w:rPr>
            </w:pPr>
            <w:r>
              <w:rPr>
                <w:rFonts w:cs="Times New Roman"/>
              </w:rPr>
              <w:t>2024.04.08</w:t>
            </w:r>
          </w:p>
        </w:tc>
        <w:tc>
          <w:tcPr>
            <w:tcW w:w="314" w:type="pct"/>
            <w:vAlign w:val="center"/>
          </w:tcPr>
          <w:p w14:paraId="1D8862A9">
            <w:pPr>
              <w:pStyle w:val="64"/>
              <w:wordWrap w:val="0"/>
              <w:rPr>
                <w:rFonts w:cs="Times New Roman"/>
              </w:rPr>
            </w:pPr>
            <w:r>
              <w:rPr>
                <w:rFonts w:cs="Times New Roman"/>
              </w:rPr>
              <w:t>Ci</w:t>
            </w:r>
          </w:p>
        </w:tc>
        <w:tc>
          <w:tcPr>
            <w:tcW w:w="740" w:type="pct"/>
            <w:vAlign w:val="center"/>
          </w:tcPr>
          <w:p w14:paraId="143DB331">
            <w:pPr>
              <w:pStyle w:val="64"/>
              <w:wordWrap w:val="0"/>
              <w:rPr>
                <w:rFonts w:cs="Times New Roman"/>
              </w:rPr>
            </w:pPr>
            <w:r>
              <w:rPr>
                <w:rFonts w:cs="Times New Roman"/>
              </w:rPr>
              <w:t>0.043</w:t>
            </w:r>
          </w:p>
        </w:tc>
        <w:tc>
          <w:tcPr>
            <w:tcW w:w="712" w:type="pct"/>
            <w:vAlign w:val="center"/>
          </w:tcPr>
          <w:p w14:paraId="1E102D11">
            <w:pPr>
              <w:pStyle w:val="64"/>
              <w:wordWrap w:val="0"/>
              <w:rPr>
                <w:rFonts w:cs="Times New Roman"/>
              </w:rPr>
            </w:pPr>
            <w:r>
              <w:rPr>
                <w:rFonts w:cs="Times New Roman"/>
              </w:rPr>
              <w:t>&lt;0.005</w:t>
            </w:r>
          </w:p>
        </w:tc>
        <w:tc>
          <w:tcPr>
            <w:tcW w:w="740" w:type="pct"/>
            <w:vAlign w:val="center"/>
          </w:tcPr>
          <w:p w14:paraId="6D9DA13A">
            <w:pPr>
              <w:pStyle w:val="64"/>
              <w:wordWrap w:val="0"/>
              <w:rPr>
                <w:rFonts w:cs="Times New Roman"/>
              </w:rPr>
            </w:pPr>
            <w:r>
              <w:rPr>
                <w:rFonts w:cs="Times New Roman"/>
              </w:rPr>
              <w:t>&lt;0.005</w:t>
            </w:r>
          </w:p>
        </w:tc>
        <w:tc>
          <w:tcPr>
            <w:tcW w:w="740" w:type="pct"/>
            <w:vAlign w:val="center"/>
          </w:tcPr>
          <w:p w14:paraId="533F3188">
            <w:pPr>
              <w:pStyle w:val="64"/>
              <w:wordWrap w:val="0"/>
              <w:rPr>
                <w:rFonts w:cs="Times New Roman"/>
              </w:rPr>
            </w:pPr>
            <w:r>
              <w:rPr>
                <w:rFonts w:cs="Times New Roman"/>
              </w:rPr>
              <w:t>&lt;0.005</w:t>
            </w:r>
          </w:p>
        </w:tc>
        <w:tc>
          <w:tcPr>
            <w:tcW w:w="738" w:type="pct"/>
            <w:vAlign w:val="center"/>
          </w:tcPr>
          <w:p w14:paraId="3A5C0F97">
            <w:pPr>
              <w:pStyle w:val="64"/>
              <w:wordWrap w:val="0"/>
              <w:rPr>
                <w:rFonts w:cs="Times New Roman"/>
              </w:rPr>
            </w:pPr>
            <w:r>
              <w:rPr>
                <w:rFonts w:cs="Times New Roman"/>
              </w:rPr>
              <w:t>&lt;0.005</w:t>
            </w:r>
          </w:p>
        </w:tc>
      </w:tr>
      <w:tr w14:paraId="635650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1" w:type="pct"/>
            <w:vMerge w:val="continue"/>
            <w:vAlign w:val="center"/>
          </w:tcPr>
          <w:p w14:paraId="332312A0">
            <w:pPr>
              <w:pStyle w:val="64"/>
              <w:wordWrap w:val="0"/>
              <w:rPr>
                <w:rFonts w:cs="Times New Roman"/>
              </w:rPr>
            </w:pPr>
          </w:p>
        </w:tc>
        <w:tc>
          <w:tcPr>
            <w:tcW w:w="505" w:type="pct"/>
            <w:vMerge w:val="continue"/>
            <w:vAlign w:val="center"/>
          </w:tcPr>
          <w:p w14:paraId="638E50C6">
            <w:pPr>
              <w:pStyle w:val="64"/>
              <w:wordWrap w:val="0"/>
              <w:rPr>
                <w:rFonts w:cs="Times New Roman"/>
              </w:rPr>
            </w:pPr>
          </w:p>
        </w:tc>
        <w:tc>
          <w:tcPr>
            <w:tcW w:w="314" w:type="pct"/>
            <w:vAlign w:val="center"/>
          </w:tcPr>
          <w:p w14:paraId="65BDB529">
            <w:pPr>
              <w:pStyle w:val="64"/>
              <w:wordWrap w:val="0"/>
              <w:rPr>
                <w:rFonts w:cs="Times New Roman"/>
              </w:rPr>
            </w:pPr>
            <w:r>
              <w:rPr>
                <w:rFonts w:cs="Times New Roman"/>
              </w:rPr>
              <w:t>Si</w:t>
            </w:r>
          </w:p>
        </w:tc>
        <w:tc>
          <w:tcPr>
            <w:tcW w:w="740" w:type="pct"/>
            <w:vAlign w:val="center"/>
          </w:tcPr>
          <w:p w14:paraId="39DBE20D">
            <w:pPr>
              <w:pStyle w:val="64"/>
              <w:wordWrap w:val="0"/>
              <w:rPr>
                <w:rFonts w:cs="Times New Roman"/>
              </w:rPr>
            </w:pPr>
            <w:r>
              <w:rPr>
                <w:rFonts w:cs="Times New Roman"/>
              </w:rPr>
              <w:t>&lt;0.005</w:t>
            </w:r>
          </w:p>
        </w:tc>
        <w:tc>
          <w:tcPr>
            <w:tcW w:w="712" w:type="pct"/>
            <w:vAlign w:val="center"/>
          </w:tcPr>
          <w:p w14:paraId="437BE5BD">
            <w:pPr>
              <w:pStyle w:val="64"/>
              <w:wordWrap w:val="0"/>
              <w:rPr>
                <w:rFonts w:cs="Times New Roman"/>
              </w:rPr>
            </w:pPr>
            <w:r>
              <w:rPr>
                <w:rFonts w:cs="Times New Roman"/>
              </w:rPr>
              <w:t>&lt;0.005</w:t>
            </w:r>
          </w:p>
        </w:tc>
        <w:tc>
          <w:tcPr>
            <w:tcW w:w="740" w:type="pct"/>
            <w:vAlign w:val="center"/>
          </w:tcPr>
          <w:p w14:paraId="03295569">
            <w:pPr>
              <w:pStyle w:val="64"/>
              <w:wordWrap w:val="0"/>
              <w:rPr>
                <w:rFonts w:cs="Times New Roman"/>
              </w:rPr>
            </w:pPr>
            <w:r>
              <w:rPr>
                <w:rFonts w:cs="Times New Roman"/>
              </w:rPr>
              <w:t>&lt;0.005</w:t>
            </w:r>
          </w:p>
        </w:tc>
        <w:tc>
          <w:tcPr>
            <w:tcW w:w="740" w:type="pct"/>
            <w:vAlign w:val="center"/>
          </w:tcPr>
          <w:p w14:paraId="63BE5723">
            <w:pPr>
              <w:pStyle w:val="64"/>
              <w:wordWrap w:val="0"/>
              <w:rPr>
                <w:rFonts w:cs="Times New Roman"/>
              </w:rPr>
            </w:pPr>
            <w:r>
              <w:rPr>
                <w:rFonts w:cs="Times New Roman"/>
              </w:rPr>
              <w:t>&lt;0.005</w:t>
            </w:r>
          </w:p>
        </w:tc>
        <w:tc>
          <w:tcPr>
            <w:tcW w:w="738" w:type="pct"/>
            <w:vAlign w:val="center"/>
          </w:tcPr>
          <w:p w14:paraId="1821CA30">
            <w:pPr>
              <w:pStyle w:val="64"/>
              <w:wordWrap w:val="0"/>
              <w:rPr>
                <w:rFonts w:cs="Times New Roman"/>
              </w:rPr>
            </w:pPr>
            <w:r>
              <w:rPr>
                <w:rFonts w:cs="Times New Roman"/>
              </w:rPr>
              <w:t>&lt;0.005</w:t>
            </w:r>
          </w:p>
        </w:tc>
      </w:tr>
      <w:tr w14:paraId="2AE32F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1" w:type="pct"/>
            <w:vMerge w:val="continue"/>
            <w:vAlign w:val="center"/>
          </w:tcPr>
          <w:p w14:paraId="014FC0A6">
            <w:pPr>
              <w:pStyle w:val="64"/>
              <w:wordWrap w:val="0"/>
              <w:rPr>
                <w:rFonts w:cs="Times New Roman"/>
              </w:rPr>
            </w:pPr>
          </w:p>
        </w:tc>
        <w:tc>
          <w:tcPr>
            <w:tcW w:w="505" w:type="pct"/>
            <w:vMerge w:val="restart"/>
            <w:vAlign w:val="center"/>
          </w:tcPr>
          <w:p w14:paraId="6B9E470A">
            <w:pPr>
              <w:pStyle w:val="64"/>
              <w:wordWrap w:val="0"/>
              <w:rPr>
                <w:rFonts w:cs="Times New Roman"/>
              </w:rPr>
            </w:pPr>
            <w:r>
              <w:rPr>
                <w:rFonts w:cs="Times New Roman"/>
              </w:rPr>
              <w:t>2024.04.09</w:t>
            </w:r>
          </w:p>
        </w:tc>
        <w:tc>
          <w:tcPr>
            <w:tcW w:w="314" w:type="pct"/>
            <w:vAlign w:val="center"/>
          </w:tcPr>
          <w:p w14:paraId="32184751">
            <w:pPr>
              <w:pStyle w:val="64"/>
              <w:wordWrap w:val="0"/>
              <w:rPr>
                <w:rFonts w:cs="Times New Roman"/>
              </w:rPr>
            </w:pPr>
            <w:r>
              <w:rPr>
                <w:rFonts w:cs="Times New Roman"/>
              </w:rPr>
              <w:t>Ci</w:t>
            </w:r>
          </w:p>
        </w:tc>
        <w:tc>
          <w:tcPr>
            <w:tcW w:w="740" w:type="pct"/>
            <w:vAlign w:val="center"/>
          </w:tcPr>
          <w:p w14:paraId="6874B707">
            <w:pPr>
              <w:pStyle w:val="64"/>
              <w:wordWrap w:val="0"/>
              <w:rPr>
                <w:rFonts w:cs="Times New Roman"/>
              </w:rPr>
            </w:pPr>
            <w:r>
              <w:rPr>
                <w:rFonts w:cs="Times New Roman"/>
              </w:rPr>
              <w:t>&lt;0.005</w:t>
            </w:r>
          </w:p>
        </w:tc>
        <w:tc>
          <w:tcPr>
            <w:tcW w:w="712" w:type="pct"/>
            <w:vAlign w:val="center"/>
          </w:tcPr>
          <w:p w14:paraId="609E881E">
            <w:pPr>
              <w:pStyle w:val="64"/>
              <w:wordWrap w:val="0"/>
              <w:rPr>
                <w:rFonts w:cs="Times New Roman"/>
              </w:rPr>
            </w:pPr>
            <w:r>
              <w:rPr>
                <w:rFonts w:cs="Times New Roman"/>
              </w:rPr>
              <w:t>&lt;0.005</w:t>
            </w:r>
          </w:p>
        </w:tc>
        <w:tc>
          <w:tcPr>
            <w:tcW w:w="740" w:type="pct"/>
            <w:vAlign w:val="center"/>
          </w:tcPr>
          <w:p w14:paraId="3CD8DB6A">
            <w:pPr>
              <w:pStyle w:val="64"/>
              <w:wordWrap w:val="0"/>
              <w:rPr>
                <w:rFonts w:cs="Times New Roman"/>
              </w:rPr>
            </w:pPr>
            <w:r>
              <w:rPr>
                <w:rFonts w:cs="Times New Roman"/>
              </w:rPr>
              <w:t>&lt;0.005</w:t>
            </w:r>
          </w:p>
        </w:tc>
        <w:tc>
          <w:tcPr>
            <w:tcW w:w="740" w:type="pct"/>
            <w:vAlign w:val="center"/>
          </w:tcPr>
          <w:p w14:paraId="6666364A">
            <w:pPr>
              <w:pStyle w:val="64"/>
              <w:wordWrap w:val="0"/>
              <w:rPr>
                <w:rFonts w:cs="Times New Roman"/>
              </w:rPr>
            </w:pPr>
            <w:r>
              <w:rPr>
                <w:rFonts w:cs="Times New Roman"/>
              </w:rPr>
              <w:t>&lt;0.005</w:t>
            </w:r>
          </w:p>
        </w:tc>
        <w:tc>
          <w:tcPr>
            <w:tcW w:w="738" w:type="pct"/>
            <w:vAlign w:val="center"/>
          </w:tcPr>
          <w:p w14:paraId="7A3DAB57">
            <w:pPr>
              <w:pStyle w:val="64"/>
              <w:wordWrap w:val="0"/>
              <w:rPr>
                <w:rFonts w:cs="Times New Roman"/>
              </w:rPr>
            </w:pPr>
            <w:r>
              <w:rPr>
                <w:rFonts w:cs="Times New Roman"/>
              </w:rPr>
              <w:t>&lt;0.005</w:t>
            </w:r>
          </w:p>
        </w:tc>
      </w:tr>
      <w:tr w14:paraId="69D340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1" w:type="pct"/>
            <w:vMerge w:val="continue"/>
            <w:vAlign w:val="center"/>
          </w:tcPr>
          <w:p w14:paraId="68A1335C">
            <w:pPr>
              <w:pStyle w:val="64"/>
              <w:wordWrap w:val="0"/>
              <w:rPr>
                <w:rFonts w:cs="Times New Roman"/>
              </w:rPr>
            </w:pPr>
          </w:p>
        </w:tc>
        <w:tc>
          <w:tcPr>
            <w:tcW w:w="505" w:type="pct"/>
            <w:vMerge w:val="continue"/>
            <w:vAlign w:val="center"/>
          </w:tcPr>
          <w:p w14:paraId="0B3C3AAC">
            <w:pPr>
              <w:pStyle w:val="64"/>
              <w:wordWrap w:val="0"/>
              <w:rPr>
                <w:rFonts w:cs="Times New Roman"/>
              </w:rPr>
            </w:pPr>
          </w:p>
        </w:tc>
        <w:tc>
          <w:tcPr>
            <w:tcW w:w="314" w:type="pct"/>
            <w:vAlign w:val="center"/>
          </w:tcPr>
          <w:p w14:paraId="20A3A1B1">
            <w:pPr>
              <w:pStyle w:val="64"/>
              <w:wordWrap w:val="0"/>
              <w:rPr>
                <w:rFonts w:cs="Times New Roman"/>
              </w:rPr>
            </w:pPr>
            <w:r>
              <w:rPr>
                <w:rFonts w:cs="Times New Roman"/>
              </w:rPr>
              <w:t>Si</w:t>
            </w:r>
          </w:p>
        </w:tc>
        <w:tc>
          <w:tcPr>
            <w:tcW w:w="740" w:type="pct"/>
            <w:vAlign w:val="center"/>
          </w:tcPr>
          <w:p w14:paraId="407EC889">
            <w:pPr>
              <w:pStyle w:val="64"/>
              <w:wordWrap w:val="0"/>
              <w:rPr>
                <w:rFonts w:cs="Times New Roman"/>
              </w:rPr>
            </w:pPr>
            <w:r>
              <w:rPr>
                <w:rFonts w:cs="Times New Roman"/>
              </w:rPr>
              <w:t>&lt;0.005</w:t>
            </w:r>
          </w:p>
        </w:tc>
        <w:tc>
          <w:tcPr>
            <w:tcW w:w="712" w:type="pct"/>
            <w:vAlign w:val="center"/>
          </w:tcPr>
          <w:p w14:paraId="5AE00350">
            <w:pPr>
              <w:pStyle w:val="64"/>
              <w:wordWrap w:val="0"/>
              <w:rPr>
                <w:rFonts w:cs="Times New Roman"/>
              </w:rPr>
            </w:pPr>
            <w:r>
              <w:rPr>
                <w:rFonts w:cs="Times New Roman"/>
              </w:rPr>
              <w:t>&lt;0.005</w:t>
            </w:r>
          </w:p>
        </w:tc>
        <w:tc>
          <w:tcPr>
            <w:tcW w:w="740" w:type="pct"/>
            <w:vAlign w:val="center"/>
          </w:tcPr>
          <w:p w14:paraId="5EEC0235">
            <w:pPr>
              <w:pStyle w:val="64"/>
              <w:wordWrap w:val="0"/>
              <w:rPr>
                <w:rFonts w:cs="Times New Roman"/>
              </w:rPr>
            </w:pPr>
            <w:r>
              <w:rPr>
                <w:rFonts w:cs="Times New Roman"/>
              </w:rPr>
              <w:t>&lt;0.005</w:t>
            </w:r>
          </w:p>
        </w:tc>
        <w:tc>
          <w:tcPr>
            <w:tcW w:w="740" w:type="pct"/>
            <w:vAlign w:val="center"/>
          </w:tcPr>
          <w:p w14:paraId="1F1D858B">
            <w:pPr>
              <w:pStyle w:val="64"/>
              <w:wordWrap w:val="0"/>
              <w:rPr>
                <w:rFonts w:cs="Times New Roman"/>
              </w:rPr>
            </w:pPr>
            <w:r>
              <w:rPr>
                <w:rFonts w:cs="Times New Roman"/>
              </w:rPr>
              <w:t>&lt;0.005</w:t>
            </w:r>
          </w:p>
        </w:tc>
        <w:tc>
          <w:tcPr>
            <w:tcW w:w="738" w:type="pct"/>
            <w:vAlign w:val="center"/>
          </w:tcPr>
          <w:p w14:paraId="4A98FA9D">
            <w:pPr>
              <w:pStyle w:val="64"/>
              <w:wordWrap w:val="0"/>
              <w:rPr>
                <w:rFonts w:cs="Times New Roman"/>
              </w:rPr>
            </w:pPr>
            <w:r>
              <w:rPr>
                <w:rFonts w:cs="Times New Roman"/>
              </w:rPr>
              <w:t>&lt;0.005</w:t>
            </w:r>
          </w:p>
        </w:tc>
      </w:tr>
      <w:tr w14:paraId="1F2FBF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1" w:type="pct"/>
            <w:vMerge w:val="restart"/>
            <w:vAlign w:val="center"/>
          </w:tcPr>
          <w:p w14:paraId="684D7649">
            <w:pPr>
              <w:pStyle w:val="64"/>
              <w:wordWrap w:val="0"/>
              <w:rPr>
                <w:rFonts w:cs="Times New Roman"/>
              </w:rPr>
            </w:pPr>
            <w:r>
              <w:rPr>
                <w:rFonts w:cs="Times New Roman"/>
              </w:rPr>
              <w:t>镁</w:t>
            </w:r>
          </w:p>
        </w:tc>
        <w:tc>
          <w:tcPr>
            <w:tcW w:w="505" w:type="pct"/>
            <w:vMerge w:val="restart"/>
            <w:vAlign w:val="center"/>
          </w:tcPr>
          <w:p w14:paraId="7EBFAB81">
            <w:pPr>
              <w:pStyle w:val="64"/>
              <w:wordWrap w:val="0"/>
              <w:rPr>
                <w:rFonts w:cs="Times New Roman"/>
              </w:rPr>
            </w:pPr>
            <w:r>
              <w:rPr>
                <w:rFonts w:cs="Times New Roman"/>
              </w:rPr>
              <w:t>2024.04.08</w:t>
            </w:r>
          </w:p>
        </w:tc>
        <w:tc>
          <w:tcPr>
            <w:tcW w:w="314" w:type="pct"/>
            <w:vAlign w:val="center"/>
          </w:tcPr>
          <w:p w14:paraId="1A235DAA">
            <w:pPr>
              <w:pStyle w:val="64"/>
              <w:wordWrap w:val="0"/>
              <w:rPr>
                <w:rFonts w:cs="Times New Roman"/>
              </w:rPr>
            </w:pPr>
            <w:r>
              <w:rPr>
                <w:rFonts w:cs="Times New Roman"/>
              </w:rPr>
              <w:t>Ci</w:t>
            </w:r>
          </w:p>
        </w:tc>
        <w:tc>
          <w:tcPr>
            <w:tcW w:w="740" w:type="pct"/>
            <w:vAlign w:val="center"/>
          </w:tcPr>
          <w:p w14:paraId="59CD0884">
            <w:pPr>
              <w:pStyle w:val="64"/>
              <w:wordWrap w:val="0"/>
              <w:rPr>
                <w:rFonts w:cs="Times New Roman"/>
              </w:rPr>
            </w:pPr>
            <w:r>
              <w:rPr>
                <w:rFonts w:cs="Times New Roman"/>
              </w:rPr>
              <w:t>32.4</w:t>
            </w:r>
          </w:p>
        </w:tc>
        <w:tc>
          <w:tcPr>
            <w:tcW w:w="712" w:type="pct"/>
            <w:vAlign w:val="center"/>
          </w:tcPr>
          <w:p w14:paraId="29CC8DEA">
            <w:pPr>
              <w:pStyle w:val="64"/>
              <w:wordWrap w:val="0"/>
              <w:rPr>
                <w:rFonts w:cs="Times New Roman"/>
              </w:rPr>
            </w:pPr>
            <w:r>
              <w:rPr>
                <w:rFonts w:cs="Times New Roman"/>
              </w:rPr>
              <w:t>19.2</w:t>
            </w:r>
          </w:p>
        </w:tc>
        <w:tc>
          <w:tcPr>
            <w:tcW w:w="740" w:type="pct"/>
            <w:vAlign w:val="center"/>
          </w:tcPr>
          <w:p w14:paraId="276D1B4F">
            <w:pPr>
              <w:pStyle w:val="64"/>
              <w:wordWrap w:val="0"/>
              <w:rPr>
                <w:rFonts w:cs="Times New Roman"/>
              </w:rPr>
            </w:pPr>
            <w:r>
              <w:rPr>
                <w:rFonts w:cs="Times New Roman"/>
              </w:rPr>
              <w:t>18.2</w:t>
            </w:r>
          </w:p>
        </w:tc>
        <w:tc>
          <w:tcPr>
            <w:tcW w:w="740" w:type="pct"/>
            <w:vAlign w:val="center"/>
          </w:tcPr>
          <w:p w14:paraId="1FBD5C40">
            <w:pPr>
              <w:pStyle w:val="64"/>
              <w:wordWrap w:val="0"/>
              <w:rPr>
                <w:rFonts w:cs="Times New Roman"/>
              </w:rPr>
            </w:pPr>
            <w:r>
              <w:rPr>
                <w:rFonts w:cs="Times New Roman"/>
              </w:rPr>
              <w:t>15.6</w:t>
            </w:r>
          </w:p>
        </w:tc>
        <w:tc>
          <w:tcPr>
            <w:tcW w:w="738" w:type="pct"/>
            <w:vAlign w:val="center"/>
          </w:tcPr>
          <w:p w14:paraId="3E88BFB8">
            <w:pPr>
              <w:pStyle w:val="64"/>
              <w:wordWrap w:val="0"/>
              <w:rPr>
                <w:rFonts w:cs="Times New Roman"/>
              </w:rPr>
            </w:pPr>
            <w:r>
              <w:rPr>
                <w:rFonts w:cs="Times New Roman"/>
              </w:rPr>
              <w:t>24.4</w:t>
            </w:r>
          </w:p>
        </w:tc>
      </w:tr>
      <w:tr w14:paraId="29EC49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1" w:type="pct"/>
            <w:vMerge w:val="continue"/>
            <w:vAlign w:val="center"/>
          </w:tcPr>
          <w:p w14:paraId="05DAF9CC">
            <w:pPr>
              <w:pStyle w:val="64"/>
              <w:wordWrap w:val="0"/>
              <w:rPr>
                <w:rFonts w:cs="Times New Roman"/>
              </w:rPr>
            </w:pPr>
          </w:p>
        </w:tc>
        <w:tc>
          <w:tcPr>
            <w:tcW w:w="505" w:type="pct"/>
            <w:vMerge w:val="continue"/>
            <w:vAlign w:val="center"/>
          </w:tcPr>
          <w:p w14:paraId="3CADB591">
            <w:pPr>
              <w:pStyle w:val="64"/>
              <w:wordWrap w:val="0"/>
              <w:rPr>
                <w:rFonts w:cs="Times New Roman"/>
              </w:rPr>
            </w:pPr>
          </w:p>
        </w:tc>
        <w:tc>
          <w:tcPr>
            <w:tcW w:w="314" w:type="pct"/>
            <w:vAlign w:val="center"/>
          </w:tcPr>
          <w:p w14:paraId="6F1B46D4">
            <w:pPr>
              <w:pStyle w:val="64"/>
              <w:wordWrap w:val="0"/>
              <w:rPr>
                <w:rFonts w:cs="Times New Roman"/>
              </w:rPr>
            </w:pPr>
            <w:r>
              <w:rPr>
                <w:rFonts w:cs="Times New Roman"/>
              </w:rPr>
              <w:t>Si</w:t>
            </w:r>
          </w:p>
        </w:tc>
        <w:tc>
          <w:tcPr>
            <w:tcW w:w="740" w:type="pct"/>
            <w:vAlign w:val="center"/>
          </w:tcPr>
          <w:p w14:paraId="047913FA">
            <w:pPr>
              <w:pStyle w:val="64"/>
              <w:wordWrap w:val="0"/>
              <w:rPr>
                <w:rFonts w:cs="Times New Roman"/>
              </w:rPr>
            </w:pPr>
            <w:r>
              <w:rPr>
                <w:rFonts w:cs="Times New Roman"/>
              </w:rPr>
              <w:t>/</w:t>
            </w:r>
          </w:p>
        </w:tc>
        <w:tc>
          <w:tcPr>
            <w:tcW w:w="712" w:type="pct"/>
            <w:vAlign w:val="center"/>
          </w:tcPr>
          <w:p w14:paraId="34001318">
            <w:pPr>
              <w:pStyle w:val="64"/>
              <w:wordWrap w:val="0"/>
              <w:rPr>
                <w:rFonts w:cs="Times New Roman"/>
              </w:rPr>
            </w:pPr>
            <w:r>
              <w:rPr>
                <w:rFonts w:cs="Times New Roman"/>
              </w:rPr>
              <w:t>/</w:t>
            </w:r>
          </w:p>
        </w:tc>
        <w:tc>
          <w:tcPr>
            <w:tcW w:w="740" w:type="pct"/>
            <w:vAlign w:val="center"/>
          </w:tcPr>
          <w:p w14:paraId="01E95F2E">
            <w:pPr>
              <w:pStyle w:val="64"/>
              <w:wordWrap w:val="0"/>
              <w:rPr>
                <w:rFonts w:cs="Times New Roman"/>
              </w:rPr>
            </w:pPr>
            <w:r>
              <w:rPr>
                <w:rFonts w:cs="Times New Roman"/>
              </w:rPr>
              <w:t>/</w:t>
            </w:r>
          </w:p>
        </w:tc>
        <w:tc>
          <w:tcPr>
            <w:tcW w:w="740" w:type="pct"/>
            <w:vAlign w:val="center"/>
          </w:tcPr>
          <w:p w14:paraId="70F52AEB">
            <w:pPr>
              <w:pStyle w:val="64"/>
              <w:wordWrap w:val="0"/>
              <w:rPr>
                <w:rFonts w:cs="Times New Roman"/>
              </w:rPr>
            </w:pPr>
            <w:r>
              <w:rPr>
                <w:rFonts w:cs="Times New Roman"/>
              </w:rPr>
              <w:t>/</w:t>
            </w:r>
          </w:p>
        </w:tc>
        <w:tc>
          <w:tcPr>
            <w:tcW w:w="738" w:type="pct"/>
            <w:vAlign w:val="center"/>
          </w:tcPr>
          <w:p w14:paraId="087C76F5">
            <w:pPr>
              <w:pStyle w:val="64"/>
              <w:wordWrap w:val="0"/>
              <w:rPr>
                <w:rFonts w:cs="Times New Roman"/>
              </w:rPr>
            </w:pPr>
            <w:r>
              <w:rPr>
                <w:rFonts w:cs="Times New Roman"/>
              </w:rPr>
              <w:t>/</w:t>
            </w:r>
          </w:p>
        </w:tc>
      </w:tr>
      <w:tr w14:paraId="126D5F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1" w:type="pct"/>
            <w:vMerge w:val="continue"/>
            <w:vAlign w:val="center"/>
          </w:tcPr>
          <w:p w14:paraId="68D36649">
            <w:pPr>
              <w:pStyle w:val="64"/>
              <w:wordWrap w:val="0"/>
              <w:rPr>
                <w:rFonts w:cs="Times New Roman"/>
              </w:rPr>
            </w:pPr>
          </w:p>
        </w:tc>
        <w:tc>
          <w:tcPr>
            <w:tcW w:w="505" w:type="pct"/>
            <w:vMerge w:val="restart"/>
            <w:vAlign w:val="center"/>
          </w:tcPr>
          <w:p w14:paraId="1107E2B4">
            <w:pPr>
              <w:pStyle w:val="64"/>
              <w:wordWrap w:val="0"/>
              <w:rPr>
                <w:rFonts w:cs="Times New Roman"/>
              </w:rPr>
            </w:pPr>
            <w:r>
              <w:rPr>
                <w:rFonts w:cs="Times New Roman"/>
              </w:rPr>
              <w:t>2024.04.09</w:t>
            </w:r>
          </w:p>
        </w:tc>
        <w:tc>
          <w:tcPr>
            <w:tcW w:w="314" w:type="pct"/>
            <w:vAlign w:val="center"/>
          </w:tcPr>
          <w:p w14:paraId="7690C13E">
            <w:pPr>
              <w:pStyle w:val="64"/>
              <w:wordWrap w:val="0"/>
              <w:rPr>
                <w:rFonts w:cs="Times New Roman"/>
              </w:rPr>
            </w:pPr>
            <w:r>
              <w:rPr>
                <w:rFonts w:cs="Times New Roman"/>
              </w:rPr>
              <w:t>Ci</w:t>
            </w:r>
          </w:p>
        </w:tc>
        <w:tc>
          <w:tcPr>
            <w:tcW w:w="740" w:type="pct"/>
            <w:vAlign w:val="center"/>
          </w:tcPr>
          <w:p w14:paraId="2A526E05">
            <w:pPr>
              <w:pStyle w:val="64"/>
              <w:wordWrap w:val="0"/>
              <w:rPr>
                <w:rFonts w:cs="Times New Roman"/>
              </w:rPr>
            </w:pPr>
            <w:r>
              <w:rPr>
                <w:rFonts w:cs="Times New Roman"/>
              </w:rPr>
              <w:t>20.4</w:t>
            </w:r>
          </w:p>
        </w:tc>
        <w:tc>
          <w:tcPr>
            <w:tcW w:w="712" w:type="pct"/>
            <w:vAlign w:val="center"/>
          </w:tcPr>
          <w:p w14:paraId="37539174">
            <w:pPr>
              <w:pStyle w:val="64"/>
              <w:wordWrap w:val="0"/>
              <w:rPr>
                <w:rFonts w:cs="Times New Roman"/>
              </w:rPr>
            </w:pPr>
            <w:r>
              <w:rPr>
                <w:rFonts w:cs="Times New Roman"/>
              </w:rPr>
              <w:t>20.5</w:t>
            </w:r>
          </w:p>
        </w:tc>
        <w:tc>
          <w:tcPr>
            <w:tcW w:w="740" w:type="pct"/>
            <w:vAlign w:val="center"/>
          </w:tcPr>
          <w:p w14:paraId="1BFFEE9A">
            <w:pPr>
              <w:pStyle w:val="64"/>
              <w:wordWrap w:val="0"/>
              <w:rPr>
                <w:rFonts w:cs="Times New Roman"/>
              </w:rPr>
            </w:pPr>
            <w:r>
              <w:rPr>
                <w:rFonts w:cs="Times New Roman"/>
              </w:rPr>
              <w:t>22.1</w:t>
            </w:r>
          </w:p>
        </w:tc>
        <w:tc>
          <w:tcPr>
            <w:tcW w:w="740" w:type="pct"/>
            <w:vAlign w:val="center"/>
          </w:tcPr>
          <w:p w14:paraId="44714D28">
            <w:pPr>
              <w:pStyle w:val="64"/>
              <w:wordWrap w:val="0"/>
              <w:rPr>
                <w:rFonts w:cs="Times New Roman"/>
              </w:rPr>
            </w:pPr>
            <w:r>
              <w:rPr>
                <w:rFonts w:cs="Times New Roman"/>
              </w:rPr>
              <w:t>17.8</w:t>
            </w:r>
          </w:p>
        </w:tc>
        <w:tc>
          <w:tcPr>
            <w:tcW w:w="738" w:type="pct"/>
            <w:vAlign w:val="center"/>
          </w:tcPr>
          <w:p w14:paraId="49A9CEBF">
            <w:pPr>
              <w:pStyle w:val="64"/>
              <w:wordWrap w:val="0"/>
              <w:rPr>
                <w:rFonts w:cs="Times New Roman"/>
              </w:rPr>
            </w:pPr>
            <w:r>
              <w:rPr>
                <w:rFonts w:cs="Times New Roman"/>
              </w:rPr>
              <w:t>26.2</w:t>
            </w:r>
          </w:p>
        </w:tc>
      </w:tr>
      <w:tr w14:paraId="059AB7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1" w:type="pct"/>
            <w:vMerge w:val="continue"/>
            <w:vAlign w:val="center"/>
          </w:tcPr>
          <w:p w14:paraId="08FD994B">
            <w:pPr>
              <w:pStyle w:val="64"/>
              <w:wordWrap w:val="0"/>
              <w:rPr>
                <w:rFonts w:cs="Times New Roman"/>
              </w:rPr>
            </w:pPr>
          </w:p>
        </w:tc>
        <w:tc>
          <w:tcPr>
            <w:tcW w:w="505" w:type="pct"/>
            <w:vMerge w:val="continue"/>
            <w:vAlign w:val="center"/>
          </w:tcPr>
          <w:p w14:paraId="03EE935D">
            <w:pPr>
              <w:pStyle w:val="64"/>
              <w:wordWrap w:val="0"/>
              <w:rPr>
                <w:rFonts w:cs="Times New Roman"/>
              </w:rPr>
            </w:pPr>
          </w:p>
        </w:tc>
        <w:tc>
          <w:tcPr>
            <w:tcW w:w="314" w:type="pct"/>
            <w:vAlign w:val="center"/>
          </w:tcPr>
          <w:p w14:paraId="72980457">
            <w:pPr>
              <w:pStyle w:val="64"/>
              <w:wordWrap w:val="0"/>
              <w:rPr>
                <w:rFonts w:cs="Times New Roman"/>
              </w:rPr>
            </w:pPr>
            <w:r>
              <w:rPr>
                <w:rFonts w:cs="Times New Roman"/>
              </w:rPr>
              <w:t>Si</w:t>
            </w:r>
          </w:p>
        </w:tc>
        <w:tc>
          <w:tcPr>
            <w:tcW w:w="740" w:type="pct"/>
            <w:vAlign w:val="center"/>
          </w:tcPr>
          <w:p w14:paraId="4CEB683A">
            <w:pPr>
              <w:pStyle w:val="64"/>
              <w:wordWrap w:val="0"/>
              <w:rPr>
                <w:rFonts w:cs="Times New Roman"/>
              </w:rPr>
            </w:pPr>
            <w:r>
              <w:rPr>
                <w:rFonts w:cs="Times New Roman"/>
              </w:rPr>
              <w:t>/</w:t>
            </w:r>
          </w:p>
        </w:tc>
        <w:tc>
          <w:tcPr>
            <w:tcW w:w="712" w:type="pct"/>
            <w:vAlign w:val="center"/>
          </w:tcPr>
          <w:p w14:paraId="7E0A6530">
            <w:pPr>
              <w:pStyle w:val="64"/>
              <w:wordWrap w:val="0"/>
              <w:rPr>
                <w:rFonts w:cs="Times New Roman"/>
              </w:rPr>
            </w:pPr>
            <w:r>
              <w:rPr>
                <w:rFonts w:cs="Times New Roman"/>
              </w:rPr>
              <w:t>/</w:t>
            </w:r>
          </w:p>
        </w:tc>
        <w:tc>
          <w:tcPr>
            <w:tcW w:w="740" w:type="pct"/>
            <w:vAlign w:val="center"/>
          </w:tcPr>
          <w:p w14:paraId="6FD8E6C2">
            <w:pPr>
              <w:pStyle w:val="64"/>
              <w:wordWrap w:val="0"/>
              <w:rPr>
                <w:rFonts w:cs="Times New Roman"/>
              </w:rPr>
            </w:pPr>
            <w:r>
              <w:rPr>
                <w:rFonts w:cs="Times New Roman"/>
              </w:rPr>
              <w:t>/</w:t>
            </w:r>
          </w:p>
        </w:tc>
        <w:tc>
          <w:tcPr>
            <w:tcW w:w="740" w:type="pct"/>
            <w:vAlign w:val="center"/>
          </w:tcPr>
          <w:p w14:paraId="6F199849">
            <w:pPr>
              <w:pStyle w:val="64"/>
              <w:wordWrap w:val="0"/>
              <w:rPr>
                <w:rFonts w:cs="Times New Roman"/>
              </w:rPr>
            </w:pPr>
            <w:r>
              <w:rPr>
                <w:rFonts w:cs="Times New Roman"/>
              </w:rPr>
              <w:t>/</w:t>
            </w:r>
          </w:p>
        </w:tc>
        <w:tc>
          <w:tcPr>
            <w:tcW w:w="738" w:type="pct"/>
            <w:vAlign w:val="center"/>
          </w:tcPr>
          <w:p w14:paraId="43F41371">
            <w:pPr>
              <w:pStyle w:val="64"/>
              <w:wordWrap w:val="0"/>
              <w:rPr>
                <w:rFonts w:cs="Times New Roman"/>
              </w:rPr>
            </w:pPr>
            <w:r>
              <w:rPr>
                <w:rFonts w:cs="Times New Roman"/>
              </w:rPr>
              <w:t>/</w:t>
            </w:r>
          </w:p>
        </w:tc>
      </w:tr>
      <w:tr w14:paraId="1A7FF4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1" w:type="pct"/>
            <w:vMerge w:val="restart"/>
            <w:vAlign w:val="center"/>
          </w:tcPr>
          <w:p w14:paraId="1B85820D">
            <w:pPr>
              <w:pStyle w:val="64"/>
              <w:wordWrap w:val="0"/>
              <w:rPr>
                <w:rFonts w:cs="Times New Roman"/>
              </w:rPr>
            </w:pPr>
            <w:r>
              <w:rPr>
                <w:rFonts w:cs="Times New Roman"/>
              </w:rPr>
              <w:t>钠</w:t>
            </w:r>
          </w:p>
        </w:tc>
        <w:tc>
          <w:tcPr>
            <w:tcW w:w="505" w:type="pct"/>
            <w:vMerge w:val="restart"/>
            <w:vAlign w:val="center"/>
          </w:tcPr>
          <w:p w14:paraId="6BDAFF84">
            <w:pPr>
              <w:pStyle w:val="64"/>
              <w:wordWrap w:val="0"/>
              <w:rPr>
                <w:rFonts w:cs="Times New Roman"/>
              </w:rPr>
            </w:pPr>
            <w:r>
              <w:rPr>
                <w:rFonts w:cs="Times New Roman"/>
              </w:rPr>
              <w:t>2024.04.08</w:t>
            </w:r>
          </w:p>
        </w:tc>
        <w:tc>
          <w:tcPr>
            <w:tcW w:w="314" w:type="pct"/>
            <w:vAlign w:val="center"/>
          </w:tcPr>
          <w:p w14:paraId="4B896024">
            <w:pPr>
              <w:pStyle w:val="64"/>
              <w:wordWrap w:val="0"/>
              <w:rPr>
                <w:rFonts w:cs="Times New Roman"/>
              </w:rPr>
            </w:pPr>
            <w:r>
              <w:rPr>
                <w:rFonts w:cs="Times New Roman"/>
              </w:rPr>
              <w:t>Ci</w:t>
            </w:r>
          </w:p>
        </w:tc>
        <w:tc>
          <w:tcPr>
            <w:tcW w:w="740" w:type="pct"/>
            <w:vAlign w:val="center"/>
          </w:tcPr>
          <w:p w14:paraId="703A2236">
            <w:pPr>
              <w:pStyle w:val="64"/>
              <w:wordWrap w:val="0"/>
              <w:rPr>
                <w:rFonts w:cs="Times New Roman"/>
              </w:rPr>
            </w:pPr>
            <w:r>
              <w:rPr>
                <w:rFonts w:cs="Times New Roman"/>
              </w:rPr>
              <w:t>42.6</w:t>
            </w:r>
          </w:p>
        </w:tc>
        <w:tc>
          <w:tcPr>
            <w:tcW w:w="712" w:type="pct"/>
            <w:vAlign w:val="center"/>
          </w:tcPr>
          <w:p w14:paraId="013F695B">
            <w:pPr>
              <w:pStyle w:val="64"/>
              <w:wordWrap w:val="0"/>
              <w:rPr>
                <w:rFonts w:cs="Times New Roman"/>
              </w:rPr>
            </w:pPr>
            <w:r>
              <w:rPr>
                <w:rFonts w:cs="Times New Roman"/>
              </w:rPr>
              <w:t>43.3</w:t>
            </w:r>
          </w:p>
        </w:tc>
        <w:tc>
          <w:tcPr>
            <w:tcW w:w="740" w:type="pct"/>
            <w:vAlign w:val="center"/>
          </w:tcPr>
          <w:p w14:paraId="78B985B9">
            <w:pPr>
              <w:pStyle w:val="64"/>
              <w:wordWrap w:val="0"/>
              <w:rPr>
                <w:rFonts w:cs="Times New Roman"/>
              </w:rPr>
            </w:pPr>
            <w:r>
              <w:rPr>
                <w:rFonts w:cs="Times New Roman"/>
              </w:rPr>
              <w:t>36.9</w:t>
            </w:r>
          </w:p>
        </w:tc>
        <w:tc>
          <w:tcPr>
            <w:tcW w:w="740" w:type="pct"/>
            <w:vAlign w:val="center"/>
          </w:tcPr>
          <w:p w14:paraId="004BF6DC">
            <w:pPr>
              <w:pStyle w:val="64"/>
              <w:wordWrap w:val="0"/>
              <w:rPr>
                <w:rFonts w:cs="Times New Roman"/>
              </w:rPr>
            </w:pPr>
            <w:r>
              <w:rPr>
                <w:rFonts w:cs="Times New Roman"/>
              </w:rPr>
              <w:t>31.2</w:t>
            </w:r>
          </w:p>
        </w:tc>
        <w:tc>
          <w:tcPr>
            <w:tcW w:w="738" w:type="pct"/>
            <w:vAlign w:val="center"/>
          </w:tcPr>
          <w:p w14:paraId="7D49FD1B">
            <w:pPr>
              <w:pStyle w:val="64"/>
              <w:wordWrap w:val="0"/>
              <w:rPr>
                <w:rFonts w:cs="Times New Roman"/>
              </w:rPr>
            </w:pPr>
            <w:r>
              <w:rPr>
                <w:rFonts w:cs="Times New Roman"/>
              </w:rPr>
              <w:t>35.2</w:t>
            </w:r>
          </w:p>
        </w:tc>
      </w:tr>
      <w:tr w14:paraId="2E444B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1" w:type="pct"/>
            <w:vMerge w:val="continue"/>
            <w:vAlign w:val="center"/>
          </w:tcPr>
          <w:p w14:paraId="39E47447">
            <w:pPr>
              <w:pStyle w:val="64"/>
              <w:wordWrap w:val="0"/>
              <w:rPr>
                <w:rFonts w:cs="Times New Roman"/>
              </w:rPr>
            </w:pPr>
          </w:p>
        </w:tc>
        <w:tc>
          <w:tcPr>
            <w:tcW w:w="505" w:type="pct"/>
            <w:vMerge w:val="continue"/>
            <w:vAlign w:val="center"/>
          </w:tcPr>
          <w:p w14:paraId="0C4DA083">
            <w:pPr>
              <w:pStyle w:val="64"/>
              <w:wordWrap w:val="0"/>
              <w:rPr>
                <w:rFonts w:cs="Times New Roman"/>
              </w:rPr>
            </w:pPr>
          </w:p>
        </w:tc>
        <w:tc>
          <w:tcPr>
            <w:tcW w:w="314" w:type="pct"/>
            <w:vAlign w:val="center"/>
          </w:tcPr>
          <w:p w14:paraId="19137777">
            <w:pPr>
              <w:pStyle w:val="64"/>
              <w:wordWrap w:val="0"/>
              <w:rPr>
                <w:rFonts w:cs="Times New Roman"/>
              </w:rPr>
            </w:pPr>
            <w:r>
              <w:rPr>
                <w:rFonts w:cs="Times New Roman"/>
              </w:rPr>
              <w:t>Si</w:t>
            </w:r>
          </w:p>
        </w:tc>
        <w:tc>
          <w:tcPr>
            <w:tcW w:w="740" w:type="pct"/>
            <w:vAlign w:val="center"/>
          </w:tcPr>
          <w:p w14:paraId="1ADADAB6">
            <w:pPr>
              <w:pStyle w:val="64"/>
              <w:wordWrap w:val="0"/>
              <w:rPr>
                <w:rFonts w:cs="Times New Roman"/>
              </w:rPr>
            </w:pPr>
            <w:r>
              <w:rPr>
                <w:rFonts w:cs="Times New Roman"/>
              </w:rPr>
              <w:t>0.213</w:t>
            </w:r>
          </w:p>
        </w:tc>
        <w:tc>
          <w:tcPr>
            <w:tcW w:w="712" w:type="pct"/>
            <w:vAlign w:val="center"/>
          </w:tcPr>
          <w:p w14:paraId="590540B9">
            <w:pPr>
              <w:pStyle w:val="64"/>
              <w:wordWrap w:val="0"/>
              <w:rPr>
                <w:rFonts w:cs="Times New Roman"/>
              </w:rPr>
            </w:pPr>
            <w:r>
              <w:rPr>
                <w:rFonts w:cs="Times New Roman"/>
              </w:rPr>
              <w:t>0.2165</w:t>
            </w:r>
          </w:p>
        </w:tc>
        <w:tc>
          <w:tcPr>
            <w:tcW w:w="740" w:type="pct"/>
            <w:vAlign w:val="center"/>
          </w:tcPr>
          <w:p w14:paraId="3990D36C">
            <w:pPr>
              <w:pStyle w:val="64"/>
              <w:wordWrap w:val="0"/>
              <w:rPr>
                <w:rFonts w:cs="Times New Roman"/>
              </w:rPr>
            </w:pPr>
            <w:r>
              <w:rPr>
                <w:rFonts w:cs="Times New Roman"/>
              </w:rPr>
              <w:t>0.1845</w:t>
            </w:r>
          </w:p>
        </w:tc>
        <w:tc>
          <w:tcPr>
            <w:tcW w:w="740" w:type="pct"/>
            <w:vAlign w:val="center"/>
          </w:tcPr>
          <w:p w14:paraId="040BA463">
            <w:pPr>
              <w:pStyle w:val="64"/>
              <w:wordWrap w:val="0"/>
              <w:rPr>
                <w:rFonts w:cs="Times New Roman"/>
              </w:rPr>
            </w:pPr>
            <w:r>
              <w:rPr>
                <w:rFonts w:cs="Times New Roman"/>
              </w:rPr>
              <w:t>0.156</w:t>
            </w:r>
          </w:p>
        </w:tc>
        <w:tc>
          <w:tcPr>
            <w:tcW w:w="738" w:type="pct"/>
            <w:vAlign w:val="center"/>
          </w:tcPr>
          <w:p w14:paraId="4DAE2EC0">
            <w:pPr>
              <w:pStyle w:val="64"/>
              <w:wordWrap w:val="0"/>
              <w:rPr>
                <w:rFonts w:cs="Times New Roman"/>
              </w:rPr>
            </w:pPr>
            <w:r>
              <w:rPr>
                <w:rFonts w:cs="Times New Roman"/>
              </w:rPr>
              <w:t>0.176</w:t>
            </w:r>
          </w:p>
        </w:tc>
      </w:tr>
      <w:tr w14:paraId="313977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1" w:type="pct"/>
            <w:vMerge w:val="continue"/>
            <w:vAlign w:val="center"/>
          </w:tcPr>
          <w:p w14:paraId="0D1EA458">
            <w:pPr>
              <w:pStyle w:val="64"/>
              <w:wordWrap w:val="0"/>
              <w:rPr>
                <w:rFonts w:cs="Times New Roman"/>
              </w:rPr>
            </w:pPr>
          </w:p>
        </w:tc>
        <w:tc>
          <w:tcPr>
            <w:tcW w:w="505" w:type="pct"/>
            <w:vMerge w:val="restart"/>
            <w:vAlign w:val="center"/>
          </w:tcPr>
          <w:p w14:paraId="6B9375A5">
            <w:pPr>
              <w:pStyle w:val="64"/>
              <w:wordWrap w:val="0"/>
              <w:rPr>
                <w:rFonts w:cs="Times New Roman"/>
              </w:rPr>
            </w:pPr>
            <w:r>
              <w:rPr>
                <w:rFonts w:cs="Times New Roman"/>
              </w:rPr>
              <w:t>2024.04.09</w:t>
            </w:r>
          </w:p>
        </w:tc>
        <w:tc>
          <w:tcPr>
            <w:tcW w:w="314" w:type="pct"/>
            <w:vAlign w:val="center"/>
          </w:tcPr>
          <w:p w14:paraId="13152531">
            <w:pPr>
              <w:pStyle w:val="64"/>
              <w:wordWrap w:val="0"/>
              <w:rPr>
                <w:rFonts w:cs="Times New Roman"/>
              </w:rPr>
            </w:pPr>
            <w:r>
              <w:rPr>
                <w:rFonts w:cs="Times New Roman"/>
              </w:rPr>
              <w:t>Ci</w:t>
            </w:r>
          </w:p>
        </w:tc>
        <w:tc>
          <w:tcPr>
            <w:tcW w:w="740" w:type="pct"/>
            <w:vAlign w:val="center"/>
          </w:tcPr>
          <w:p w14:paraId="2D409228">
            <w:pPr>
              <w:pStyle w:val="64"/>
              <w:wordWrap w:val="0"/>
              <w:rPr>
                <w:rFonts w:cs="Times New Roman"/>
              </w:rPr>
            </w:pPr>
            <w:r>
              <w:rPr>
                <w:rFonts w:cs="Times New Roman"/>
              </w:rPr>
              <w:t>40.9</w:t>
            </w:r>
          </w:p>
        </w:tc>
        <w:tc>
          <w:tcPr>
            <w:tcW w:w="712" w:type="pct"/>
            <w:vAlign w:val="center"/>
          </w:tcPr>
          <w:p w14:paraId="2133DBB4">
            <w:pPr>
              <w:pStyle w:val="64"/>
              <w:wordWrap w:val="0"/>
              <w:rPr>
                <w:rFonts w:cs="Times New Roman"/>
              </w:rPr>
            </w:pPr>
            <w:r>
              <w:rPr>
                <w:rFonts w:cs="Times New Roman"/>
              </w:rPr>
              <w:t>44.7</w:t>
            </w:r>
          </w:p>
        </w:tc>
        <w:tc>
          <w:tcPr>
            <w:tcW w:w="740" w:type="pct"/>
            <w:vAlign w:val="center"/>
          </w:tcPr>
          <w:p w14:paraId="5D8053B1">
            <w:pPr>
              <w:pStyle w:val="64"/>
              <w:wordWrap w:val="0"/>
              <w:rPr>
                <w:rFonts w:cs="Times New Roman"/>
              </w:rPr>
            </w:pPr>
            <w:r>
              <w:rPr>
                <w:rFonts w:cs="Times New Roman"/>
              </w:rPr>
              <w:t>37.3</w:t>
            </w:r>
          </w:p>
        </w:tc>
        <w:tc>
          <w:tcPr>
            <w:tcW w:w="740" w:type="pct"/>
            <w:vAlign w:val="center"/>
          </w:tcPr>
          <w:p w14:paraId="1F179C32">
            <w:pPr>
              <w:pStyle w:val="64"/>
              <w:wordWrap w:val="0"/>
              <w:rPr>
                <w:rFonts w:cs="Times New Roman"/>
              </w:rPr>
            </w:pPr>
            <w:r>
              <w:rPr>
                <w:rFonts w:cs="Times New Roman"/>
              </w:rPr>
              <w:t>31.6</w:t>
            </w:r>
          </w:p>
        </w:tc>
        <w:tc>
          <w:tcPr>
            <w:tcW w:w="738" w:type="pct"/>
            <w:vAlign w:val="center"/>
          </w:tcPr>
          <w:p w14:paraId="67CFFD68">
            <w:pPr>
              <w:pStyle w:val="64"/>
              <w:wordWrap w:val="0"/>
              <w:rPr>
                <w:rFonts w:cs="Times New Roman"/>
              </w:rPr>
            </w:pPr>
            <w:r>
              <w:rPr>
                <w:rFonts w:cs="Times New Roman"/>
              </w:rPr>
              <w:t>32.6</w:t>
            </w:r>
          </w:p>
        </w:tc>
      </w:tr>
      <w:tr w14:paraId="02B629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1" w:type="pct"/>
            <w:vMerge w:val="continue"/>
            <w:vAlign w:val="center"/>
          </w:tcPr>
          <w:p w14:paraId="04A70849">
            <w:pPr>
              <w:pStyle w:val="64"/>
              <w:wordWrap w:val="0"/>
              <w:rPr>
                <w:rFonts w:cs="Times New Roman"/>
              </w:rPr>
            </w:pPr>
          </w:p>
        </w:tc>
        <w:tc>
          <w:tcPr>
            <w:tcW w:w="505" w:type="pct"/>
            <w:vMerge w:val="continue"/>
            <w:vAlign w:val="center"/>
          </w:tcPr>
          <w:p w14:paraId="16F585C7">
            <w:pPr>
              <w:pStyle w:val="64"/>
              <w:wordWrap w:val="0"/>
              <w:rPr>
                <w:rFonts w:cs="Times New Roman"/>
              </w:rPr>
            </w:pPr>
          </w:p>
        </w:tc>
        <w:tc>
          <w:tcPr>
            <w:tcW w:w="314" w:type="pct"/>
            <w:vAlign w:val="center"/>
          </w:tcPr>
          <w:p w14:paraId="6419F20A">
            <w:pPr>
              <w:pStyle w:val="64"/>
              <w:wordWrap w:val="0"/>
              <w:rPr>
                <w:rFonts w:cs="Times New Roman"/>
              </w:rPr>
            </w:pPr>
            <w:r>
              <w:rPr>
                <w:rFonts w:cs="Times New Roman"/>
              </w:rPr>
              <w:t>Si</w:t>
            </w:r>
          </w:p>
        </w:tc>
        <w:tc>
          <w:tcPr>
            <w:tcW w:w="740" w:type="pct"/>
            <w:vAlign w:val="center"/>
          </w:tcPr>
          <w:p w14:paraId="5267662A">
            <w:pPr>
              <w:pStyle w:val="64"/>
              <w:wordWrap w:val="0"/>
              <w:rPr>
                <w:rFonts w:cs="Times New Roman"/>
              </w:rPr>
            </w:pPr>
            <w:r>
              <w:rPr>
                <w:rFonts w:cs="Times New Roman"/>
              </w:rPr>
              <w:t>0.2045</w:t>
            </w:r>
          </w:p>
        </w:tc>
        <w:tc>
          <w:tcPr>
            <w:tcW w:w="712" w:type="pct"/>
            <w:vAlign w:val="center"/>
          </w:tcPr>
          <w:p w14:paraId="63C72EC0">
            <w:pPr>
              <w:pStyle w:val="64"/>
              <w:wordWrap w:val="0"/>
              <w:rPr>
                <w:rFonts w:cs="Times New Roman"/>
              </w:rPr>
            </w:pPr>
            <w:r>
              <w:rPr>
                <w:rFonts w:cs="Times New Roman"/>
              </w:rPr>
              <w:t>0.2235</w:t>
            </w:r>
          </w:p>
        </w:tc>
        <w:tc>
          <w:tcPr>
            <w:tcW w:w="740" w:type="pct"/>
            <w:vAlign w:val="center"/>
          </w:tcPr>
          <w:p w14:paraId="6B595F41">
            <w:pPr>
              <w:pStyle w:val="64"/>
              <w:wordWrap w:val="0"/>
              <w:rPr>
                <w:rFonts w:cs="Times New Roman"/>
              </w:rPr>
            </w:pPr>
            <w:r>
              <w:rPr>
                <w:rFonts w:cs="Times New Roman"/>
              </w:rPr>
              <w:t>0.1865</w:t>
            </w:r>
          </w:p>
        </w:tc>
        <w:tc>
          <w:tcPr>
            <w:tcW w:w="740" w:type="pct"/>
            <w:vAlign w:val="center"/>
          </w:tcPr>
          <w:p w14:paraId="5EA822D8">
            <w:pPr>
              <w:pStyle w:val="64"/>
              <w:wordWrap w:val="0"/>
              <w:rPr>
                <w:rFonts w:cs="Times New Roman"/>
              </w:rPr>
            </w:pPr>
            <w:r>
              <w:rPr>
                <w:rFonts w:cs="Times New Roman"/>
              </w:rPr>
              <w:t>0.158</w:t>
            </w:r>
          </w:p>
        </w:tc>
        <w:tc>
          <w:tcPr>
            <w:tcW w:w="738" w:type="pct"/>
            <w:vAlign w:val="center"/>
          </w:tcPr>
          <w:p w14:paraId="734D9766">
            <w:pPr>
              <w:pStyle w:val="64"/>
              <w:wordWrap w:val="0"/>
              <w:rPr>
                <w:rFonts w:cs="Times New Roman"/>
              </w:rPr>
            </w:pPr>
            <w:r>
              <w:rPr>
                <w:rFonts w:cs="Times New Roman"/>
              </w:rPr>
              <w:t>0.163</w:t>
            </w:r>
          </w:p>
        </w:tc>
      </w:tr>
      <w:tr w14:paraId="5C1E01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1" w:type="pct"/>
            <w:vMerge w:val="restart"/>
            <w:vAlign w:val="center"/>
          </w:tcPr>
          <w:p w14:paraId="2165E09E">
            <w:pPr>
              <w:pStyle w:val="64"/>
              <w:wordWrap w:val="0"/>
              <w:rPr>
                <w:rFonts w:cs="Times New Roman"/>
              </w:rPr>
            </w:pPr>
            <w:r>
              <w:rPr>
                <w:rFonts w:cs="Times New Roman"/>
              </w:rPr>
              <w:t>铅</w:t>
            </w:r>
          </w:p>
        </w:tc>
        <w:tc>
          <w:tcPr>
            <w:tcW w:w="505" w:type="pct"/>
            <w:vMerge w:val="restart"/>
            <w:vAlign w:val="center"/>
          </w:tcPr>
          <w:p w14:paraId="5C66DCAC">
            <w:pPr>
              <w:pStyle w:val="64"/>
              <w:wordWrap w:val="0"/>
              <w:rPr>
                <w:rFonts w:cs="Times New Roman"/>
              </w:rPr>
            </w:pPr>
            <w:r>
              <w:rPr>
                <w:rFonts w:cs="Times New Roman"/>
              </w:rPr>
              <w:t>2024.04.08</w:t>
            </w:r>
          </w:p>
        </w:tc>
        <w:tc>
          <w:tcPr>
            <w:tcW w:w="314" w:type="pct"/>
            <w:vAlign w:val="center"/>
          </w:tcPr>
          <w:p w14:paraId="712CAA11">
            <w:pPr>
              <w:pStyle w:val="64"/>
              <w:wordWrap w:val="0"/>
              <w:rPr>
                <w:rFonts w:cs="Times New Roman"/>
              </w:rPr>
            </w:pPr>
            <w:r>
              <w:rPr>
                <w:rFonts w:cs="Times New Roman"/>
              </w:rPr>
              <w:t>Ci</w:t>
            </w:r>
          </w:p>
        </w:tc>
        <w:tc>
          <w:tcPr>
            <w:tcW w:w="740" w:type="pct"/>
            <w:vAlign w:val="center"/>
          </w:tcPr>
          <w:p w14:paraId="59854A7B">
            <w:pPr>
              <w:pStyle w:val="64"/>
              <w:wordWrap w:val="0"/>
              <w:rPr>
                <w:rFonts w:cs="Times New Roman"/>
              </w:rPr>
            </w:pPr>
            <w:r>
              <w:rPr>
                <w:rFonts w:cs="Times New Roman"/>
              </w:rPr>
              <w:t>&lt;0.5</w:t>
            </w:r>
          </w:p>
        </w:tc>
        <w:tc>
          <w:tcPr>
            <w:tcW w:w="712" w:type="pct"/>
            <w:vAlign w:val="center"/>
          </w:tcPr>
          <w:p w14:paraId="698737B5">
            <w:pPr>
              <w:pStyle w:val="64"/>
              <w:wordWrap w:val="0"/>
              <w:rPr>
                <w:rFonts w:cs="Times New Roman"/>
              </w:rPr>
            </w:pPr>
            <w:r>
              <w:rPr>
                <w:rFonts w:cs="Times New Roman"/>
              </w:rPr>
              <w:t>&lt;0.5</w:t>
            </w:r>
          </w:p>
        </w:tc>
        <w:tc>
          <w:tcPr>
            <w:tcW w:w="740" w:type="pct"/>
            <w:vAlign w:val="center"/>
          </w:tcPr>
          <w:p w14:paraId="03711198">
            <w:pPr>
              <w:pStyle w:val="64"/>
              <w:wordWrap w:val="0"/>
              <w:rPr>
                <w:rFonts w:cs="Times New Roman"/>
              </w:rPr>
            </w:pPr>
            <w:r>
              <w:rPr>
                <w:rFonts w:cs="Times New Roman"/>
              </w:rPr>
              <w:t>&lt;0.5</w:t>
            </w:r>
          </w:p>
        </w:tc>
        <w:tc>
          <w:tcPr>
            <w:tcW w:w="740" w:type="pct"/>
            <w:vAlign w:val="center"/>
          </w:tcPr>
          <w:p w14:paraId="23BCAAD8">
            <w:pPr>
              <w:pStyle w:val="64"/>
              <w:wordWrap w:val="0"/>
              <w:rPr>
                <w:rFonts w:cs="Times New Roman"/>
              </w:rPr>
            </w:pPr>
            <w:r>
              <w:rPr>
                <w:rFonts w:cs="Times New Roman"/>
              </w:rPr>
              <w:t>&lt;0.5</w:t>
            </w:r>
          </w:p>
        </w:tc>
        <w:tc>
          <w:tcPr>
            <w:tcW w:w="738" w:type="pct"/>
            <w:vAlign w:val="center"/>
          </w:tcPr>
          <w:p w14:paraId="17F2E3E8">
            <w:pPr>
              <w:pStyle w:val="64"/>
              <w:wordWrap w:val="0"/>
              <w:rPr>
                <w:rFonts w:cs="Times New Roman"/>
              </w:rPr>
            </w:pPr>
            <w:r>
              <w:rPr>
                <w:rFonts w:cs="Times New Roman"/>
              </w:rPr>
              <w:t>&lt;0.5</w:t>
            </w:r>
          </w:p>
        </w:tc>
      </w:tr>
      <w:tr w14:paraId="21D3FD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1" w:type="pct"/>
            <w:vMerge w:val="continue"/>
            <w:vAlign w:val="center"/>
          </w:tcPr>
          <w:p w14:paraId="061ABA99">
            <w:pPr>
              <w:pStyle w:val="64"/>
              <w:wordWrap w:val="0"/>
              <w:rPr>
                <w:rFonts w:cs="Times New Roman"/>
              </w:rPr>
            </w:pPr>
          </w:p>
        </w:tc>
        <w:tc>
          <w:tcPr>
            <w:tcW w:w="505" w:type="pct"/>
            <w:vMerge w:val="continue"/>
            <w:vAlign w:val="center"/>
          </w:tcPr>
          <w:p w14:paraId="4A752A84">
            <w:pPr>
              <w:pStyle w:val="64"/>
              <w:wordWrap w:val="0"/>
              <w:rPr>
                <w:rFonts w:cs="Times New Roman"/>
              </w:rPr>
            </w:pPr>
          </w:p>
        </w:tc>
        <w:tc>
          <w:tcPr>
            <w:tcW w:w="314" w:type="pct"/>
            <w:vAlign w:val="center"/>
          </w:tcPr>
          <w:p w14:paraId="0BECE6DE">
            <w:pPr>
              <w:pStyle w:val="64"/>
              <w:wordWrap w:val="0"/>
              <w:rPr>
                <w:rFonts w:cs="Times New Roman"/>
              </w:rPr>
            </w:pPr>
            <w:r>
              <w:rPr>
                <w:rFonts w:cs="Times New Roman"/>
              </w:rPr>
              <w:t>Si</w:t>
            </w:r>
          </w:p>
        </w:tc>
        <w:tc>
          <w:tcPr>
            <w:tcW w:w="740" w:type="pct"/>
            <w:vAlign w:val="center"/>
          </w:tcPr>
          <w:p w14:paraId="1A618F1E">
            <w:pPr>
              <w:pStyle w:val="64"/>
              <w:wordWrap w:val="0"/>
              <w:rPr>
                <w:rFonts w:cs="Times New Roman"/>
              </w:rPr>
            </w:pPr>
            <w:r>
              <w:rPr>
                <w:rFonts w:cs="Times New Roman"/>
              </w:rPr>
              <w:t>/</w:t>
            </w:r>
          </w:p>
        </w:tc>
        <w:tc>
          <w:tcPr>
            <w:tcW w:w="712" w:type="pct"/>
            <w:vAlign w:val="center"/>
          </w:tcPr>
          <w:p w14:paraId="2BBC3BC8">
            <w:pPr>
              <w:pStyle w:val="64"/>
              <w:wordWrap w:val="0"/>
              <w:rPr>
                <w:rFonts w:cs="Times New Roman"/>
              </w:rPr>
            </w:pPr>
            <w:r>
              <w:rPr>
                <w:rFonts w:cs="Times New Roman"/>
              </w:rPr>
              <w:t>/</w:t>
            </w:r>
          </w:p>
        </w:tc>
        <w:tc>
          <w:tcPr>
            <w:tcW w:w="740" w:type="pct"/>
            <w:vAlign w:val="center"/>
          </w:tcPr>
          <w:p w14:paraId="6F4E1EE0">
            <w:pPr>
              <w:pStyle w:val="64"/>
              <w:wordWrap w:val="0"/>
              <w:rPr>
                <w:rFonts w:cs="Times New Roman"/>
              </w:rPr>
            </w:pPr>
            <w:r>
              <w:rPr>
                <w:rFonts w:cs="Times New Roman"/>
              </w:rPr>
              <w:t>/</w:t>
            </w:r>
          </w:p>
        </w:tc>
        <w:tc>
          <w:tcPr>
            <w:tcW w:w="740" w:type="pct"/>
            <w:vAlign w:val="center"/>
          </w:tcPr>
          <w:p w14:paraId="2303728F">
            <w:pPr>
              <w:pStyle w:val="64"/>
              <w:wordWrap w:val="0"/>
              <w:rPr>
                <w:rFonts w:cs="Times New Roman"/>
              </w:rPr>
            </w:pPr>
            <w:r>
              <w:rPr>
                <w:rFonts w:cs="Times New Roman"/>
              </w:rPr>
              <w:t>/</w:t>
            </w:r>
          </w:p>
        </w:tc>
        <w:tc>
          <w:tcPr>
            <w:tcW w:w="738" w:type="pct"/>
            <w:vAlign w:val="center"/>
          </w:tcPr>
          <w:p w14:paraId="564EA31A">
            <w:pPr>
              <w:pStyle w:val="64"/>
              <w:wordWrap w:val="0"/>
              <w:rPr>
                <w:rFonts w:cs="Times New Roman"/>
              </w:rPr>
            </w:pPr>
            <w:r>
              <w:rPr>
                <w:rFonts w:cs="Times New Roman"/>
              </w:rPr>
              <w:t>/</w:t>
            </w:r>
          </w:p>
        </w:tc>
      </w:tr>
      <w:tr w14:paraId="30B312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1" w:type="pct"/>
            <w:vMerge w:val="continue"/>
            <w:vAlign w:val="center"/>
          </w:tcPr>
          <w:p w14:paraId="5CAD33E7">
            <w:pPr>
              <w:pStyle w:val="64"/>
              <w:wordWrap w:val="0"/>
              <w:rPr>
                <w:rFonts w:cs="Times New Roman"/>
              </w:rPr>
            </w:pPr>
          </w:p>
        </w:tc>
        <w:tc>
          <w:tcPr>
            <w:tcW w:w="505" w:type="pct"/>
            <w:vMerge w:val="restart"/>
            <w:vAlign w:val="center"/>
          </w:tcPr>
          <w:p w14:paraId="7BAD1CCD">
            <w:pPr>
              <w:pStyle w:val="64"/>
              <w:wordWrap w:val="0"/>
              <w:rPr>
                <w:rFonts w:cs="Times New Roman"/>
              </w:rPr>
            </w:pPr>
            <w:r>
              <w:rPr>
                <w:rFonts w:cs="Times New Roman"/>
              </w:rPr>
              <w:t>2024.04.09</w:t>
            </w:r>
          </w:p>
        </w:tc>
        <w:tc>
          <w:tcPr>
            <w:tcW w:w="314" w:type="pct"/>
            <w:vAlign w:val="center"/>
          </w:tcPr>
          <w:p w14:paraId="3B36D64A">
            <w:pPr>
              <w:pStyle w:val="64"/>
              <w:wordWrap w:val="0"/>
              <w:rPr>
                <w:rFonts w:cs="Times New Roman"/>
              </w:rPr>
            </w:pPr>
            <w:r>
              <w:rPr>
                <w:rFonts w:cs="Times New Roman"/>
              </w:rPr>
              <w:t>Ci</w:t>
            </w:r>
          </w:p>
        </w:tc>
        <w:tc>
          <w:tcPr>
            <w:tcW w:w="740" w:type="pct"/>
            <w:vAlign w:val="center"/>
          </w:tcPr>
          <w:p w14:paraId="41C7AB6D">
            <w:pPr>
              <w:pStyle w:val="64"/>
              <w:wordWrap w:val="0"/>
              <w:rPr>
                <w:rFonts w:cs="Times New Roman"/>
              </w:rPr>
            </w:pPr>
            <w:r>
              <w:rPr>
                <w:rFonts w:cs="Times New Roman"/>
              </w:rPr>
              <w:t>&lt;0.5</w:t>
            </w:r>
          </w:p>
        </w:tc>
        <w:tc>
          <w:tcPr>
            <w:tcW w:w="712" w:type="pct"/>
            <w:vAlign w:val="center"/>
          </w:tcPr>
          <w:p w14:paraId="24084692">
            <w:pPr>
              <w:pStyle w:val="64"/>
              <w:wordWrap w:val="0"/>
              <w:rPr>
                <w:rFonts w:cs="Times New Roman"/>
              </w:rPr>
            </w:pPr>
            <w:r>
              <w:rPr>
                <w:rFonts w:cs="Times New Roman"/>
              </w:rPr>
              <w:t>&lt;0.5</w:t>
            </w:r>
          </w:p>
        </w:tc>
        <w:tc>
          <w:tcPr>
            <w:tcW w:w="740" w:type="pct"/>
            <w:vAlign w:val="center"/>
          </w:tcPr>
          <w:p w14:paraId="6C881DF0">
            <w:pPr>
              <w:pStyle w:val="64"/>
              <w:wordWrap w:val="0"/>
              <w:rPr>
                <w:rFonts w:cs="Times New Roman"/>
              </w:rPr>
            </w:pPr>
            <w:r>
              <w:rPr>
                <w:rFonts w:cs="Times New Roman"/>
              </w:rPr>
              <w:t>&lt;0.5</w:t>
            </w:r>
          </w:p>
        </w:tc>
        <w:tc>
          <w:tcPr>
            <w:tcW w:w="740" w:type="pct"/>
            <w:vAlign w:val="center"/>
          </w:tcPr>
          <w:p w14:paraId="3CF1644B">
            <w:pPr>
              <w:pStyle w:val="64"/>
              <w:wordWrap w:val="0"/>
              <w:rPr>
                <w:rFonts w:cs="Times New Roman"/>
              </w:rPr>
            </w:pPr>
            <w:r>
              <w:rPr>
                <w:rFonts w:cs="Times New Roman"/>
              </w:rPr>
              <w:t>&lt;0.5</w:t>
            </w:r>
          </w:p>
        </w:tc>
        <w:tc>
          <w:tcPr>
            <w:tcW w:w="738" w:type="pct"/>
            <w:vAlign w:val="center"/>
          </w:tcPr>
          <w:p w14:paraId="13A15E80">
            <w:pPr>
              <w:pStyle w:val="64"/>
              <w:wordWrap w:val="0"/>
              <w:rPr>
                <w:rFonts w:cs="Times New Roman"/>
              </w:rPr>
            </w:pPr>
            <w:r>
              <w:rPr>
                <w:rFonts w:cs="Times New Roman"/>
              </w:rPr>
              <w:t>&lt;0.5</w:t>
            </w:r>
          </w:p>
        </w:tc>
      </w:tr>
      <w:tr w14:paraId="06DAAA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1" w:type="pct"/>
            <w:vMerge w:val="continue"/>
            <w:vAlign w:val="center"/>
          </w:tcPr>
          <w:p w14:paraId="60D56184">
            <w:pPr>
              <w:pStyle w:val="64"/>
              <w:wordWrap w:val="0"/>
              <w:rPr>
                <w:rFonts w:cs="Times New Roman"/>
              </w:rPr>
            </w:pPr>
          </w:p>
        </w:tc>
        <w:tc>
          <w:tcPr>
            <w:tcW w:w="505" w:type="pct"/>
            <w:vMerge w:val="continue"/>
            <w:vAlign w:val="center"/>
          </w:tcPr>
          <w:p w14:paraId="750AE0F6">
            <w:pPr>
              <w:pStyle w:val="64"/>
              <w:wordWrap w:val="0"/>
              <w:rPr>
                <w:rFonts w:cs="Times New Roman"/>
              </w:rPr>
            </w:pPr>
          </w:p>
        </w:tc>
        <w:tc>
          <w:tcPr>
            <w:tcW w:w="314" w:type="pct"/>
            <w:vAlign w:val="center"/>
          </w:tcPr>
          <w:p w14:paraId="3D653FAB">
            <w:pPr>
              <w:pStyle w:val="64"/>
              <w:wordWrap w:val="0"/>
              <w:rPr>
                <w:rFonts w:cs="Times New Roman"/>
              </w:rPr>
            </w:pPr>
            <w:r>
              <w:rPr>
                <w:rFonts w:cs="Times New Roman"/>
              </w:rPr>
              <w:t>Si</w:t>
            </w:r>
          </w:p>
        </w:tc>
        <w:tc>
          <w:tcPr>
            <w:tcW w:w="740" w:type="pct"/>
            <w:vAlign w:val="center"/>
          </w:tcPr>
          <w:p w14:paraId="70485829">
            <w:pPr>
              <w:pStyle w:val="64"/>
              <w:wordWrap w:val="0"/>
              <w:rPr>
                <w:rFonts w:cs="Times New Roman"/>
              </w:rPr>
            </w:pPr>
            <w:r>
              <w:rPr>
                <w:rFonts w:cs="Times New Roman"/>
              </w:rPr>
              <w:t>/</w:t>
            </w:r>
          </w:p>
        </w:tc>
        <w:tc>
          <w:tcPr>
            <w:tcW w:w="712" w:type="pct"/>
            <w:vAlign w:val="center"/>
          </w:tcPr>
          <w:p w14:paraId="226B2351">
            <w:pPr>
              <w:pStyle w:val="64"/>
              <w:wordWrap w:val="0"/>
              <w:rPr>
                <w:rFonts w:cs="Times New Roman"/>
              </w:rPr>
            </w:pPr>
            <w:r>
              <w:rPr>
                <w:rFonts w:cs="Times New Roman"/>
              </w:rPr>
              <w:t>/</w:t>
            </w:r>
          </w:p>
        </w:tc>
        <w:tc>
          <w:tcPr>
            <w:tcW w:w="740" w:type="pct"/>
            <w:vAlign w:val="center"/>
          </w:tcPr>
          <w:p w14:paraId="0336AF2C">
            <w:pPr>
              <w:pStyle w:val="64"/>
              <w:wordWrap w:val="0"/>
              <w:rPr>
                <w:rFonts w:cs="Times New Roman"/>
              </w:rPr>
            </w:pPr>
            <w:r>
              <w:rPr>
                <w:rFonts w:cs="Times New Roman"/>
              </w:rPr>
              <w:t>/</w:t>
            </w:r>
          </w:p>
        </w:tc>
        <w:tc>
          <w:tcPr>
            <w:tcW w:w="740" w:type="pct"/>
            <w:vAlign w:val="center"/>
          </w:tcPr>
          <w:p w14:paraId="63EAEF2B">
            <w:pPr>
              <w:pStyle w:val="64"/>
              <w:wordWrap w:val="0"/>
              <w:rPr>
                <w:rFonts w:cs="Times New Roman"/>
              </w:rPr>
            </w:pPr>
            <w:r>
              <w:rPr>
                <w:rFonts w:cs="Times New Roman"/>
              </w:rPr>
              <w:t>/</w:t>
            </w:r>
          </w:p>
        </w:tc>
        <w:tc>
          <w:tcPr>
            <w:tcW w:w="738" w:type="pct"/>
            <w:vAlign w:val="center"/>
          </w:tcPr>
          <w:p w14:paraId="46E629B4">
            <w:pPr>
              <w:pStyle w:val="64"/>
              <w:wordWrap w:val="0"/>
              <w:rPr>
                <w:rFonts w:cs="Times New Roman"/>
              </w:rPr>
            </w:pPr>
            <w:r>
              <w:rPr>
                <w:rFonts w:cs="Times New Roman"/>
              </w:rPr>
              <w:t>/</w:t>
            </w:r>
          </w:p>
        </w:tc>
      </w:tr>
      <w:tr w14:paraId="48AC28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1" w:type="pct"/>
            <w:vMerge w:val="restart"/>
            <w:vAlign w:val="center"/>
          </w:tcPr>
          <w:p w14:paraId="0DBE196C">
            <w:pPr>
              <w:pStyle w:val="64"/>
              <w:wordWrap w:val="0"/>
              <w:rPr>
                <w:rFonts w:cs="Times New Roman"/>
              </w:rPr>
            </w:pPr>
            <w:r>
              <w:rPr>
                <w:rFonts w:cs="Times New Roman"/>
              </w:rPr>
              <w:t>六价铬</w:t>
            </w:r>
          </w:p>
        </w:tc>
        <w:tc>
          <w:tcPr>
            <w:tcW w:w="505" w:type="pct"/>
            <w:vMerge w:val="restart"/>
            <w:vAlign w:val="center"/>
          </w:tcPr>
          <w:p w14:paraId="50E1FEC1">
            <w:pPr>
              <w:pStyle w:val="64"/>
              <w:wordWrap w:val="0"/>
              <w:rPr>
                <w:rFonts w:cs="Times New Roman"/>
              </w:rPr>
            </w:pPr>
            <w:r>
              <w:rPr>
                <w:rFonts w:cs="Times New Roman"/>
              </w:rPr>
              <w:t>2024.04.08</w:t>
            </w:r>
          </w:p>
        </w:tc>
        <w:tc>
          <w:tcPr>
            <w:tcW w:w="314" w:type="pct"/>
            <w:vAlign w:val="center"/>
          </w:tcPr>
          <w:p w14:paraId="08F706A3">
            <w:pPr>
              <w:pStyle w:val="64"/>
              <w:wordWrap w:val="0"/>
              <w:rPr>
                <w:rFonts w:cs="Times New Roman"/>
              </w:rPr>
            </w:pPr>
            <w:r>
              <w:rPr>
                <w:rFonts w:cs="Times New Roman"/>
              </w:rPr>
              <w:t>Ci</w:t>
            </w:r>
          </w:p>
        </w:tc>
        <w:tc>
          <w:tcPr>
            <w:tcW w:w="740" w:type="pct"/>
            <w:vAlign w:val="center"/>
          </w:tcPr>
          <w:p w14:paraId="07C64A80">
            <w:pPr>
              <w:pStyle w:val="64"/>
              <w:wordWrap w:val="0"/>
              <w:rPr>
                <w:rFonts w:cs="Times New Roman"/>
              </w:rPr>
            </w:pPr>
            <w:r>
              <w:rPr>
                <w:rFonts w:cs="Times New Roman"/>
              </w:rPr>
              <w:t>&lt;0.004</w:t>
            </w:r>
          </w:p>
        </w:tc>
        <w:tc>
          <w:tcPr>
            <w:tcW w:w="712" w:type="pct"/>
            <w:vAlign w:val="center"/>
          </w:tcPr>
          <w:p w14:paraId="5D24B537">
            <w:pPr>
              <w:pStyle w:val="64"/>
              <w:wordWrap w:val="0"/>
              <w:rPr>
                <w:rFonts w:cs="Times New Roman"/>
              </w:rPr>
            </w:pPr>
            <w:r>
              <w:rPr>
                <w:rFonts w:cs="Times New Roman"/>
              </w:rPr>
              <w:t>&lt;0.004</w:t>
            </w:r>
          </w:p>
        </w:tc>
        <w:tc>
          <w:tcPr>
            <w:tcW w:w="740" w:type="pct"/>
            <w:vAlign w:val="center"/>
          </w:tcPr>
          <w:p w14:paraId="6448D8F8">
            <w:pPr>
              <w:pStyle w:val="64"/>
              <w:wordWrap w:val="0"/>
              <w:rPr>
                <w:rFonts w:cs="Times New Roman"/>
              </w:rPr>
            </w:pPr>
            <w:r>
              <w:rPr>
                <w:rFonts w:cs="Times New Roman"/>
              </w:rPr>
              <w:t>&lt;0.004</w:t>
            </w:r>
          </w:p>
        </w:tc>
        <w:tc>
          <w:tcPr>
            <w:tcW w:w="740" w:type="pct"/>
            <w:vAlign w:val="center"/>
          </w:tcPr>
          <w:p w14:paraId="59B881B3">
            <w:pPr>
              <w:pStyle w:val="64"/>
              <w:wordWrap w:val="0"/>
              <w:rPr>
                <w:rFonts w:cs="Times New Roman"/>
              </w:rPr>
            </w:pPr>
            <w:r>
              <w:rPr>
                <w:rFonts w:cs="Times New Roman"/>
              </w:rPr>
              <w:t>&lt;0.004</w:t>
            </w:r>
          </w:p>
        </w:tc>
        <w:tc>
          <w:tcPr>
            <w:tcW w:w="738" w:type="pct"/>
            <w:vAlign w:val="center"/>
          </w:tcPr>
          <w:p w14:paraId="1654A78A">
            <w:pPr>
              <w:pStyle w:val="64"/>
              <w:wordWrap w:val="0"/>
              <w:rPr>
                <w:rFonts w:cs="Times New Roman"/>
              </w:rPr>
            </w:pPr>
            <w:r>
              <w:rPr>
                <w:rFonts w:cs="Times New Roman"/>
              </w:rPr>
              <w:t>&lt;0.004</w:t>
            </w:r>
          </w:p>
        </w:tc>
      </w:tr>
      <w:tr w14:paraId="2C17EC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1" w:type="pct"/>
            <w:vMerge w:val="continue"/>
            <w:vAlign w:val="center"/>
          </w:tcPr>
          <w:p w14:paraId="0F8B7EE2">
            <w:pPr>
              <w:pStyle w:val="64"/>
              <w:wordWrap w:val="0"/>
              <w:rPr>
                <w:rFonts w:cs="Times New Roman"/>
              </w:rPr>
            </w:pPr>
          </w:p>
        </w:tc>
        <w:tc>
          <w:tcPr>
            <w:tcW w:w="505" w:type="pct"/>
            <w:vMerge w:val="continue"/>
            <w:vAlign w:val="center"/>
          </w:tcPr>
          <w:p w14:paraId="758F6D3B">
            <w:pPr>
              <w:pStyle w:val="64"/>
              <w:wordWrap w:val="0"/>
              <w:rPr>
                <w:rFonts w:cs="Times New Roman"/>
              </w:rPr>
            </w:pPr>
          </w:p>
        </w:tc>
        <w:tc>
          <w:tcPr>
            <w:tcW w:w="314" w:type="pct"/>
            <w:vAlign w:val="center"/>
          </w:tcPr>
          <w:p w14:paraId="1A5E5511">
            <w:pPr>
              <w:pStyle w:val="64"/>
              <w:wordWrap w:val="0"/>
              <w:rPr>
                <w:rFonts w:cs="Times New Roman"/>
              </w:rPr>
            </w:pPr>
            <w:r>
              <w:rPr>
                <w:rFonts w:cs="Times New Roman"/>
              </w:rPr>
              <w:t>Si</w:t>
            </w:r>
          </w:p>
        </w:tc>
        <w:tc>
          <w:tcPr>
            <w:tcW w:w="740" w:type="pct"/>
            <w:vAlign w:val="center"/>
          </w:tcPr>
          <w:p w14:paraId="2FF21E8E">
            <w:pPr>
              <w:pStyle w:val="64"/>
              <w:wordWrap w:val="0"/>
              <w:rPr>
                <w:rFonts w:cs="Times New Roman"/>
              </w:rPr>
            </w:pPr>
            <w:r>
              <w:rPr>
                <w:rFonts w:cs="Times New Roman"/>
              </w:rPr>
              <w:t>&lt;0.08</w:t>
            </w:r>
          </w:p>
        </w:tc>
        <w:tc>
          <w:tcPr>
            <w:tcW w:w="712" w:type="pct"/>
            <w:vAlign w:val="center"/>
          </w:tcPr>
          <w:p w14:paraId="768AFBF5">
            <w:pPr>
              <w:pStyle w:val="64"/>
              <w:wordWrap w:val="0"/>
              <w:rPr>
                <w:rFonts w:cs="Times New Roman"/>
              </w:rPr>
            </w:pPr>
            <w:r>
              <w:rPr>
                <w:rFonts w:cs="Times New Roman"/>
              </w:rPr>
              <w:t>&lt;0.08</w:t>
            </w:r>
          </w:p>
        </w:tc>
        <w:tc>
          <w:tcPr>
            <w:tcW w:w="740" w:type="pct"/>
            <w:vAlign w:val="center"/>
          </w:tcPr>
          <w:p w14:paraId="4CF0E60E">
            <w:pPr>
              <w:pStyle w:val="64"/>
              <w:wordWrap w:val="0"/>
              <w:rPr>
                <w:rFonts w:cs="Times New Roman"/>
              </w:rPr>
            </w:pPr>
            <w:r>
              <w:rPr>
                <w:rFonts w:cs="Times New Roman"/>
              </w:rPr>
              <w:t>&lt;0.08</w:t>
            </w:r>
          </w:p>
        </w:tc>
        <w:tc>
          <w:tcPr>
            <w:tcW w:w="740" w:type="pct"/>
            <w:vAlign w:val="center"/>
          </w:tcPr>
          <w:p w14:paraId="50B69142">
            <w:pPr>
              <w:pStyle w:val="64"/>
              <w:wordWrap w:val="0"/>
              <w:rPr>
                <w:rFonts w:cs="Times New Roman"/>
              </w:rPr>
            </w:pPr>
            <w:r>
              <w:rPr>
                <w:rFonts w:cs="Times New Roman"/>
              </w:rPr>
              <w:t>&lt;0.08</w:t>
            </w:r>
          </w:p>
        </w:tc>
        <w:tc>
          <w:tcPr>
            <w:tcW w:w="738" w:type="pct"/>
            <w:vAlign w:val="center"/>
          </w:tcPr>
          <w:p w14:paraId="06EF7995">
            <w:pPr>
              <w:pStyle w:val="64"/>
              <w:wordWrap w:val="0"/>
              <w:rPr>
                <w:rFonts w:cs="Times New Roman"/>
              </w:rPr>
            </w:pPr>
            <w:r>
              <w:rPr>
                <w:rFonts w:cs="Times New Roman"/>
              </w:rPr>
              <w:t>&lt;0.08</w:t>
            </w:r>
          </w:p>
        </w:tc>
      </w:tr>
      <w:tr w14:paraId="7B745B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1" w:type="pct"/>
            <w:vMerge w:val="continue"/>
            <w:vAlign w:val="center"/>
          </w:tcPr>
          <w:p w14:paraId="2CCA346F">
            <w:pPr>
              <w:pStyle w:val="64"/>
              <w:wordWrap w:val="0"/>
              <w:rPr>
                <w:rFonts w:cs="Times New Roman"/>
              </w:rPr>
            </w:pPr>
          </w:p>
        </w:tc>
        <w:tc>
          <w:tcPr>
            <w:tcW w:w="505" w:type="pct"/>
            <w:vMerge w:val="restart"/>
            <w:vAlign w:val="center"/>
          </w:tcPr>
          <w:p w14:paraId="644A51A0">
            <w:pPr>
              <w:pStyle w:val="64"/>
              <w:wordWrap w:val="0"/>
              <w:rPr>
                <w:rFonts w:cs="Times New Roman"/>
              </w:rPr>
            </w:pPr>
            <w:r>
              <w:rPr>
                <w:rFonts w:cs="Times New Roman"/>
              </w:rPr>
              <w:t>2024.04.09</w:t>
            </w:r>
          </w:p>
        </w:tc>
        <w:tc>
          <w:tcPr>
            <w:tcW w:w="314" w:type="pct"/>
            <w:vAlign w:val="center"/>
          </w:tcPr>
          <w:p w14:paraId="122A5606">
            <w:pPr>
              <w:pStyle w:val="64"/>
              <w:wordWrap w:val="0"/>
              <w:rPr>
                <w:rFonts w:cs="Times New Roman"/>
              </w:rPr>
            </w:pPr>
            <w:r>
              <w:rPr>
                <w:rFonts w:cs="Times New Roman"/>
              </w:rPr>
              <w:t>Ci</w:t>
            </w:r>
          </w:p>
        </w:tc>
        <w:tc>
          <w:tcPr>
            <w:tcW w:w="740" w:type="pct"/>
            <w:vAlign w:val="center"/>
          </w:tcPr>
          <w:p w14:paraId="7D32D10F">
            <w:pPr>
              <w:pStyle w:val="64"/>
              <w:wordWrap w:val="0"/>
              <w:rPr>
                <w:rFonts w:cs="Times New Roman"/>
              </w:rPr>
            </w:pPr>
            <w:r>
              <w:rPr>
                <w:rFonts w:cs="Times New Roman"/>
              </w:rPr>
              <w:t>&lt;0.004</w:t>
            </w:r>
          </w:p>
        </w:tc>
        <w:tc>
          <w:tcPr>
            <w:tcW w:w="712" w:type="pct"/>
            <w:vAlign w:val="center"/>
          </w:tcPr>
          <w:p w14:paraId="218B2516">
            <w:pPr>
              <w:pStyle w:val="64"/>
              <w:wordWrap w:val="0"/>
              <w:rPr>
                <w:rFonts w:cs="Times New Roman"/>
              </w:rPr>
            </w:pPr>
            <w:r>
              <w:rPr>
                <w:rFonts w:cs="Times New Roman"/>
              </w:rPr>
              <w:t>&lt;0.004</w:t>
            </w:r>
          </w:p>
        </w:tc>
        <w:tc>
          <w:tcPr>
            <w:tcW w:w="740" w:type="pct"/>
            <w:vAlign w:val="center"/>
          </w:tcPr>
          <w:p w14:paraId="721A818D">
            <w:pPr>
              <w:pStyle w:val="64"/>
              <w:wordWrap w:val="0"/>
              <w:rPr>
                <w:rFonts w:cs="Times New Roman"/>
              </w:rPr>
            </w:pPr>
            <w:r>
              <w:rPr>
                <w:rFonts w:cs="Times New Roman"/>
              </w:rPr>
              <w:t>&lt;0.004</w:t>
            </w:r>
          </w:p>
        </w:tc>
        <w:tc>
          <w:tcPr>
            <w:tcW w:w="740" w:type="pct"/>
            <w:vAlign w:val="center"/>
          </w:tcPr>
          <w:p w14:paraId="7DE8DFC7">
            <w:pPr>
              <w:pStyle w:val="64"/>
              <w:wordWrap w:val="0"/>
              <w:rPr>
                <w:rFonts w:cs="Times New Roman"/>
              </w:rPr>
            </w:pPr>
            <w:r>
              <w:rPr>
                <w:rFonts w:cs="Times New Roman"/>
              </w:rPr>
              <w:t>&lt;0.004</w:t>
            </w:r>
          </w:p>
        </w:tc>
        <w:tc>
          <w:tcPr>
            <w:tcW w:w="738" w:type="pct"/>
            <w:vAlign w:val="center"/>
          </w:tcPr>
          <w:p w14:paraId="69DDC250">
            <w:pPr>
              <w:pStyle w:val="64"/>
              <w:wordWrap w:val="0"/>
              <w:rPr>
                <w:rFonts w:cs="Times New Roman"/>
              </w:rPr>
            </w:pPr>
            <w:r>
              <w:rPr>
                <w:rFonts w:cs="Times New Roman"/>
              </w:rPr>
              <w:t>&lt;0.004</w:t>
            </w:r>
          </w:p>
        </w:tc>
      </w:tr>
      <w:tr w14:paraId="6D518D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1" w:type="pct"/>
            <w:vMerge w:val="continue"/>
            <w:vAlign w:val="center"/>
          </w:tcPr>
          <w:p w14:paraId="39F9EC73">
            <w:pPr>
              <w:pStyle w:val="64"/>
              <w:wordWrap w:val="0"/>
              <w:rPr>
                <w:rFonts w:cs="Times New Roman"/>
              </w:rPr>
            </w:pPr>
          </w:p>
        </w:tc>
        <w:tc>
          <w:tcPr>
            <w:tcW w:w="505" w:type="pct"/>
            <w:vMerge w:val="continue"/>
            <w:vAlign w:val="center"/>
          </w:tcPr>
          <w:p w14:paraId="43F0D537">
            <w:pPr>
              <w:pStyle w:val="64"/>
              <w:wordWrap w:val="0"/>
              <w:rPr>
                <w:rFonts w:cs="Times New Roman"/>
              </w:rPr>
            </w:pPr>
          </w:p>
        </w:tc>
        <w:tc>
          <w:tcPr>
            <w:tcW w:w="314" w:type="pct"/>
            <w:vAlign w:val="center"/>
          </w:tcPr>
          <w:p w14:paraId="093065DE">
            <w:pPr>
              <w:pStyle w:val="64"/>
              <w:wordWrap w:val="0"/>
              <w:rPr>
                <w:rFonts w:cs="Times New Roman"/>
              </w:rPr>
            </w:pPr>
            <w:r>
              <w:rPr>
                <w:rFonts w:cs="Times New Roman"/>
              </w:rPr>
              <w:t>Si</w:t>
            </w:r>
          </w:p>
        </w:tc>
        <w:tc>
          <w:tcPr>
            <w:tcW w:w="740" w:type="pct"/>
            <w:vAlign w:val="center"/>
          </w:tcPr>
          <w:p w14:paraId="20C0A2AF">
            <w:pPr>
              <w:pStyle w:val="64"/>
              <w:wordWrap w:val="0"/>
              <w:rPr>
                <w:rFonts w:cs="Times New Roman"/>
              </w:rPr>
            </w:pPr>
            <w:r>
              <w:rPr>
                <w:rFonts w:cs="Times New Roman"/>
              </w:rPr>
              <w:t>&lt;0.08</w:t>
            </w:r>
          </w:p>
        </w:tc>
        <w:tc>
          <w:tcPr>
            <w:tcW w:w="712" w:type="pct"/>
            <w:vAlign w:val="center"/>
          </w:tcPr>
          <w:p w14:paraId="192DCD6C">
            <w:pPr>
              <w:pStyle w:val="64"/>
              <w:wordWrap w:val="0"/>
              <w:rPr>
                <w:rFonts w:cs="Times New Roman"/>
              </w:rPr>
            </w:pPr>
            <w:r>
              <w:rPr>
                <w:rFonts w:cs="Times New Roman"/>
              </w:rPr>
              <w:t>&lt;0.08</w:t>
            </w:r>
          </w:p>
        </w:tc>
        <w:tc>
          <w:tcPr>
            <w:tcW w:w="740" w:type="pct"/>
            <w:vAlign w:val="center"/>
          </w:tcPr>
          <w:p w14:paraId="0D2E6468">
            <w:pPr>
              <w:pStyle w:val="64"/>
              <w:wordWrap w:val="0"/>
              <w:rPr>
                <w:rFonts w:cs="Times New Roman"/>
              </w:rPr>
            </w:pPr>
            <w:r>
              <w:rPr>
                <w:rFonts w:cs="Times New Roman"/>
              </w:rPr>
              <w:t>&lt;0.08</w:t>
            </w:r>
          </w:p>
        </w:tc>
        <w:tc>
          <w:tcPr>
            <w:tcW w:w="740" w:type="pct"/>
            <w:vAlign w:val="center"/>
          </w:tcPr>
          <w:p w14:paraId="47CE97C9">
            <w:pPr>
              <w:pStyle w:val="64"/>
              <w:wordWrap w:val="0"/>
              <w:rPr>
                <w:rFonts w:cs="Times New Roman"/>
              </w:rPr>
            </w:pPr>
            <w:r>
              <w:rPr>
                <w:rFonts w:cs="Times New Roman"/>
              </w:rPr>
              <w:t>&lt;0.08</w:t>
            </w:r>
          </w:p>
        </w:tc>
        <w:tc>
          <w:tcPr>
            <w:tcW w:w="738" w:type="pct"/>
            <w:vAlign w:val="center"/>
          </w:tcPr>
          <w:p w14:paraId="5BA1E816">
            <w:pPr>
              <w:pStyle w:val="64"/>
              <w:wordWrap w:val="0"/>
              <w:rPr>
                <w:rFonts w:cs="Times New Roman"/>
              </w:rPr>
            </w:pPr>
            <w:r>
              <w:rPr>
                <w:rFonts w:cs="Times New Roman"/>
              </w:rPr>
              <w:t>&lt;0.08</w:t>
            </w:r>
          </w:p>
        </w:tc>
      </w:tr>
      <w:tr w14:paraId="036F93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1" w:type="pct"/>
            <w:vMerge w:val="restart"/>
            <w:vAlign w:val="center"/>
          </w:tcPr>
          <w:p w14:paraId="6CB4FF16">
            <w:pPr>
              <w:pStyle w:val="64"/>
              <w:wordWrap w:val="0"/>
              <w:rPr>
                <w:rFonts w:cs="Times New Roman"/>
              </w:rPr>
            </w:pPr>
            <w:r>
              <w:rPr>
                <w:rFonts w:cs="Times New Roman"/>
              </w:rPr>
              <w:t>铁</w:t>
            </w:r>
          </w:p>
        </w:tc>
        <w:tc>
          <w:tcPr>
            <w:tcW w:w="505" w:type="pct"/>
            <w:vMerge w:val="restart"/>
            <w:vAlign w:val="center"/>
          </w:tcPr>
          <w:p w14:paraId="76AAD5B7">
            <w:pPr>
              <w:pStyle w:val="64"/>
              <w:wordWrap w:val="0"/>
              <w:rPr>
                <w:rFonts w:cs="Times New Roman"/>
              </w:rPr>
            </w:pPr>
            <w:r>
              <w:rPr>
                <w:rFonts w:cs="Times New Roman"/>
              </w:rPr>
              <w:t>2024.04.08</w:t>
            </w:r>
          </w:p>
        </w:tc>
        <w:tc>
          <w:tcPr>
            <w:tcW w:w="314" w:type="pct"/>
            <w:vAlign w:val="center"/>
          </w:tcPr>
          <w:p w14:paraId="12D5CEE2">
            <w:pPr>
              <w:pStyle w:val="64"/>
              <w:wordWrap w:val="0"/>
              <w:rPr>
                <w:rFonts w:cs="Times New Roman"/>
              </w:rPr>
            </w:pPr>
            <w:r>
              <w:rPr>
                <w:rFonts w:cs="Times New Roman"/>
              </w:rPr>
              <w:t>Ci</w:t>
            </w:r>
          </w:p>
        </w:tc>
        <w:tc>
          <w:tcPr>
            <w:tcW w:w="740" w:type="pct"/>
            <w:vAlign w:val="center"/>
          </w:tcPr>
          <w:p w14:paraId="2F6E8241">
            <w:pPr>
              <w:pStyle w:val="64"/>
              <w:wordWrap w:val="0"/>
              <w:rPr>
                <w:rFonts w:cs="Times New Roman"/>
              </w:rPr>
            </w:pPr>
            <w:r>
              <w:rPr>
                <w:rFonts w:cs="Times New Roman"/>
              </w:rPr>
              <w:t>0.03</w:t>
            </w:r>
          </w:p>
        </w:tc>
        <w:tc>
          <w:tcPr>
            <w:tcW w:w="712" w:type="pct"/>
            <w:vAlign w:val="center"/>
          </w:tcPr>
          <w:p w14:paraId="3D87BC66">
            <w:pPr>
              <w:pStyle w:val="64"/>
              <w:wordWrap w:val="0"/>
              <w:rPr>
                <w:rFonts w:cs="Times New Roman"/>
              </w:rPr>
            </w:pPr>
            <w:r>
              <w:rPr>
                <w:rFonts w:cs="Times New Roman"/>
              </w:rPr>
              <w:t>&lt;0.03</w:t>
            </w:r>
          </w:p>
        </w:tc>
        <w:tc>
          <w:tcPr>
            <w:tcW w:w="740" w:type="pct"/>
            <w:vAlign w:val="center"/>
          </w:tcPr>
          <w:p w14:paraId="1B536528">
            <w:pPr>
              <w:pStyle w:val="64"/>
              <w:wordWrap w:val="0"/>
              <w:rPr>
                <w:rFonts w:cs="Times New Roman"/>
              </w:rPr>
            </w:pPr>
            <w:r>
              <w:rPr>
                <w:rFonts w:cs="Times New Roman"/>
              </w:rPr>
              <w:t>&lt;0.03</w:t>
            </w:r>
          </w:p>
        </w:tc>
        <w:tc>
          <w:tcPr>
            <w:tcW w:w="740" w:type="pct"/>
            <w:vAlign w:val="center"/>
          </w:tcPr>
          <w:p w14:paraId="695C69AC">
            <w:pPr>
              <w:pStyle w:val="64"/>
              <w:wordWrap w:val="0"/>
              <w:rPr>
                <w:rFonts w:cs="Times New Roman"/>
              </w:rPr>
            </w:pPr>
            <w:r>
              <w:rPr>
                <w:rFonts w:cs="Times New Roman"/>
              </w:rPr>
              <w:t>0.13</w:t>
            </w:r>
          </w:p>
        </w:tc>
        <w:tc>
          <w:tcPr>
            <w:tcW w:w="738" w:type="pct"/>
            <w:vAlign w:val="center"/>
          </w:tcPr>
          <w:p w14:paraId="194EE9E4">
            <w:pPr>
              <w:pStyle w:val="64"/>
              <w:wordWrap w:val="0"/>
              <w:rPr>
                <w:rFonts w:cs="Times New Roman"/>
              </w:rPr>
            </w:pPr>
            <w:r>
              <w:rPr>
                <w:rFonts w:cs="Times New Roman"/>
              </w:rPr>
              <w:t>&lt;0.03</w:t>
            </w:r>
          </w:p>
        </w:tc>
      </w:tr>
      <w:tr w14:paraId="3B69AD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1" w:type="pct"/>
            <w:vMerge w:val="continue"/>
            <w:vAlign w:val="center"/>
          </w:tcPr>
          <w:p w14:paraId="6A829CAF">
            <w:pPr>
              <w:pStyle w:val="64"/>
              <w:wordWrap w:val="0"/>
              <w:rPr>
                <w:rFonts w:cs="Times New Roman"/>
              </w:rPr>
            </w:pPr>
          </w:p>
        </w:tc>
        <w:tc>
          <w:tcPr>
            <w:tcW w:w="505" w:type="pct"/>
            <w:vMerge w:val="continue"/>
            <w:vAlign w:val="center"/>
          </w:tcPr>
          <w:p w14:paraId="2FC1D12C">
            <w:pPr>
              <w:pStyle w:val="64"/>
              <w:wordWrap w:val="0"/>
              <w:rPr>
                <w:rFonts w:cs="Times New Roman"/>
              </w:rPr>
            </w:pPr>
          </w:p>
        </w:tc>
        <w:tc>
          <w:tcPr>
            <w:tcW w:w="314" w:type="pct"/>
            <w:vAlign w:val="center"/>
          </w:tcPr>
          <w:p w14:paraId="39825888">
            <w:pPr>
              <w:pStyle w:val="64"/>
              <w:wordWrap w:val="0"/>
              <w:rPr>
                <w:rFonts w:cs="Times New Roman"/>
              </w:rPr>
            </w:pPr>
            <w:r>
              <w:rPr>
                <w:rFonts w:cs="Times New Roman"/>
              </w:rPr>
              <w:t>Si</w:t>
            </w:r>
          </w:p>
        </w:tc>
        <w:tc>
          <w:tcPr>
            <w:tcW w:w="740" w:type="pct"/>
            <w:vAlign w:val="center"/>
          </w:tcPr>
          <w:p w14:paraId="588B2130">
            <w:pPr>
              <w:pStyle w:val="64"/>
              <w:wordWrap w:val="0"/>
              <w:rPr>
                <w:rFonts w:cs="Times New Roman"/>
              </w:rPr>
            </w:pPr>
            <w:r>
              <w:rPr>
                <w:rFonts w:cs="Times New Roman"/>
              </w:rPr>
              <w:t>0.1</w:t>
            </w:r>
          </w:p>
        </w:tc>
        <w:tc>
          <w:tcPr>
            <w:tcW w:w="712" w:type="pct"/>
            <w:vAlign w:val="center"/>
          </w:tcPr>
          <w:p w14:paraId="6C8508B9">
            <w:pPr>
              <w:pStyle w:val="64"/>
              <w:wordWrap w:val="0"/>
              <w:rPr>
                <w:rFonts w:cs="Times New Roman"/>
              </w:rPr>
            </w:pPr>
            <w:r>
              <w:rPr>
                <w:rFonts w:cs="Times New Roman"/>
              </w:rPr>
              <w:t>&lt;0.1</w:t>
            </w:r>
          </w:p>
        </w:tc>
        <w:tc>
          <w:tcPr>
            <w:tcW w:w="740" w:type="pct"/>
            <w:vAlign w:val="center"/>
          </w:tcPr>
          <w:p w14:paraId="46AC9CB0">
            <w:pPr>
              <w:pStyle w:val="64"/>
              <w:wordWrap w:val="0"/>
              <w:rPr>
                <w:rFonts w:cs="Times New Roman"/>
              </w:rPr>
            </w:pPr>
            <w:r>
              <w:rPr>
                <w:rFonts w:cs="Times New Roman"/>
              </w:rPr>
              <w:t>&lt;0.1</w:t>
            </w:r>
          </w:p>
        </w:tc>
        <w:tc>
          <w:tcPr>
            <w:tcW w:w="740" w:type="pct"/>
            <w:vAlign w:val="center"/>
          </w:tcPr>
          <w:p w14:paraId="6703F2F6">
            <w:pPr>
              <w:pStyle w:val="64"/>
              <w:wordWrap w:val="0"/>
              <w:rPr>
                <w:rFonts w:cs="Times New Roman"/>
              </w:rPr>
            </w:pPr>
            <w:r>
              <w:rPr>
                <w:rFonts w:cs="Times New Roman"/>
              </w:rPr>
              <w:t>0.43</w:t>
            </w:r>
          </w:p>
        </w:tc>
        <w:tc>
          <w:tcPr>
            <w:tcW w:w="738" w:type="pct"/>
            <w:vAlign w:val="center"/>
          </w:tcPr>
          <w:p w14:paraId="1D8CBE35">
            <w:pPr>
              <w:pStyle w:val="64"/>
              <w:wordWrap w:val="0"/>
              <w:rPr>
                <w:rFonts w:cs="Times New Roman"/>
              </w:rPr>
            </w:pPr>
            <w:r>
              <w:rPr>
                <w:rFonts w:cs="Times New Roman"/>
              </w:rPr>
              <w:t>&lt;0.1</w:t>
            </w:r>
          </w:p>
        </w:tc>
      </w:tr>
      <w:tr w14:paraId="556E46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1" w:type="pct"/>
            <w:vMerge w:val="continue"/>
            <w:vAlign w:val="center"/>
          </w:tcPr>
          <w:p w14:paraId="6040542C">
            <w:pPr>
              <w:pStyle w:val="64"/>
              <w:wordWrap w:val="0"/>
              <w:rPr>
                <w:rFonts w:cs="Times New Roman"/>
              </w:rPr>
            </w:pPr>
          </w:p>
        </w:tc>
        <w:tc>
          <w:tcPr>
            <w:tcW w:w="505" w:type="pct"/>
            <w:vMerge w:val="restart"/>
            <w:vAlign w:val="center"/>
          </w:tcPr>
          <w:p w14:paraId="1EEA081C">
            <w:pPr>
              <w:pStyle w:val="64"/>
              <w:wordWrap w:val="0"/>
              <w:rPr>
                <w:rFonts w:cs="Times New Roman"/>
              </w:rPr>
            </w:pPr>
            <w:r>
              <w:rPr>
                <w:rFonts w:cs="Times New Roman"/>
              </w:rPr>
              <w:t>2024.04.09</w:t>
            </w:r>
          </w:p>
        </w:tc>
        <w:tc>
          <w:tcPr>
            <w:tcW w:w="314" w:type="pct"/>
            <w:vAlign w:val="center"/>
          </w:tcPr>
          <w:p w14:paraId="1345D1C6">
            <w:pPr>
              <w:pStyle w:val="64"/>
              <w:wordWrap w:val="0"/>
              <w:rPr>
                <w:rFonts w:cs="Times New Roman"/>
              </w:rPr>
            </w:pPr>
            <w:r>
              <w:rPr>
                <w:rFonts w:cs="Times New Roman"/>
              </w:rPr>
              <w:t>Ci</w:t>
            </w:r>
          </w:p>
        </w:tc>
        <w:tc>
          <w:tcPr>
            <w:tcW w:w="740" w:type="pct"/>
            <w:vAlign w:val="center"/>
          </w:tcPr>
          <w:p w14:paraId="788D43DC">
            <w:pPr>
              <w:pStyle w:val="64"/>
              <w:wordWrap w:val="0"/>
              <w:rPr>
                <w:rFonts w:cs="Times New Roman"/>
              </w:rPr>
            </w:pPr>
            <w:r>
              <w:rPr>
                <w:rFonts w:cs="Times New Roman"/>
              </w:rPr>
              <w:t>&lt;0.03</w:t>
            </w:r>
          </w:p>
        </w:tc>
        <w:tc>
          <w:tcPr>
            <w:tcW w:w="712" w:type="pct"/>
            <w:vAlign w:val="center"/>
          </w:tcPr>
          <w:p w14:paraId="5E715232">
            <w:pPr>
              <w:pStyle w:val="64"/>
              <w:wordWrap w:val="0"/>
              <w:rPr>
                <w:rFonts w:cs="Times New Roman"/>
              </w:rPr>
            </w:pPr>
            <w:r>
              <w:rPr>
                <w:rFonts w:cs="Times New Roman"/>
              </w:rPr>
              <w:t>&lt;0.03</w:t>
            </w:r>
          </w:p>
        </w:tc>
        <w:tc>
          <w:tcPr>
            <w:tcW w:w="740" w:type="pct"/>
            <w:vAlign w:val="center"/>
          </w:tcPr>
          <w:p w14:paraId="3C6B2AFF">
            <w:pPr>
              <w:pStyle w:val="64"/>
              <w:wordWrap w:val="0"/>
              <w:rPr>
                <w:rFonts w:cs="Times New Roman"/>
              </w:rPr>
            </w:pPr>
            <w:r>
              <w:rPr>
                <w:rFonts w:cs="Times New Roman"/>
              </w:rPr>
              <w:t>&lt;0.03</w:t>
            </w:r>
          </w:p>
        </w:tc>
        <w:tc>
          <w:tcPr>
            <w:tcW w:w="740" w:type="pct"/>
            <w:vAlign w:val="center"/>
          </w:tcPr>
          <w:p w14:paraId="765D4283">
            <w:pPr>
              <w:pStyle w:val="64"/>
              <w:wordWrap w:val="0"/>
              <w:rPr>
                <w:rFonts w:cs="Times New Roman"/>
              </w:rPr>
            </w:pPr>
            <w:r>
              <w:rPr>
                <w:rFonts w:cs="Times New Roman"/>
              </w:rPr>
              <w:t>0.12</w:t>
            </w:r>
          </w:p>
        </w:tc>
        <w:tc>
          <w:tcPr>
            <w:tcW w:w="738" w:type="pct"/>
            <w:vAlign w:val="center"/>
          </w:tcPr>
          <w:p w14:paraId="72CD9F89">
            <w:pPr>
              <w:pStyle w:val="64"/>
              <w:wordWrap w:val="0"/>
              <w:rPr>
                <w:rFonts w:cs="Times New Roman"/>
              </w:rPr>
            </w:pPr>
            <w:r>
              <w:rPr>
                <w:rFonts w:cs="Times New Roman"/>
              </w:rPr>
              <w:t>&lt;0.03</w:t>
            </w:r>
          </w:p>
        </w:tc>
      </w:tr>
      <w:tr w14:paraId="73FBFF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1" w:type="pct"/>
            <w:vMerge w:val="continue"/>
            <w:vAlign w:val="center"/>
          </w:tcPr>
          <w:p w14:paraId="02814CBE">
            <w:pPr>
              <w:pStyle w:val="64"/>
              <w:wordWrap w:val="0"/>
              <w:rPr>
                <w:rFonts w:cs="Times New Roman"/>
              </w:rPr>
            </w:pPr>
          </w:p>
        </w:tc>
        <w:tc>
          <w:tcPr>
            <w:tcW w:w="505" w:type="pct"/>
            <w:vMerge w:val="continue"/>
            <w:vAlign w:val="center"/>
          </w:tcPr>
          <w:p w14:paraId="3569D277">
            <w:pPr>
              <w:pStyle w:val="64"/>
              <w:wordWrap w:val="0"/>
              <w:rPr>
                <w:rFonts w:cs="Times New Roman"/>
              </w:rPr>
            </w:pPr>
          </w:p>
        </w:tc>
        <w:tc>
          <w:tcPr>
            <w:tcW w:w="314" w:type="pct"/>
            <w:vAlign w:val="center"/>
          </w:tcPr>
          <w:p w14:paraId="37BBF6FA">
            <w:pPr>
              <w:pStyle w:val="64"/>
              <w:wordWrap w:val="0"/>
              <w:rPr>
                <w:rFonts w:cs="Times New Roman"/>
              </w:rPr>
            </w:pPr>
            <w:r>
              <w:rPr>
                <w:rFonts w:cs="Times New Roman"/>
              </w:rPr>
              <w:t>Si</w:t>
            </w:r>
          </w:p>
        </w:tc>
        <w:tc>
          <w:tcPr>
            <w:tcW w:w="740" w:type="pct"/>
            <w:vAlign w:val="center"/>
          </w:tcPr>
          <w:p w14:paraId="40FE93D6">
            <w:pPr>
              <w:pStyle w:val="64"/>
              <w:wordWrap w:val="0"/>
              <w:rPr>
                <w:rFonts w:cs="Times New Roman"/>
              </w:rPr>
            </w:pPr>
            <w:r>
              <w:rPr>
                <w:rFonts w:cs="Times New Roman"/>
              </w:rPr>
              <w:t>&lt;0.1</w:t>
            </w:r>
          </w:p>
        </w:tc>
        <w:tc>
          <w:tcPr>
            <w:tcW w:w="712" w:type="pct"/>
            <w:vAlign w:val="center"/>
          </w:tcPr>
          <w:p w14:paraId="017A495F">
            <w:pPr>
              <w:pStyle w:val="64"/>
              <w:wordWrap w:val="0"/>
              <w:rPr>
                <w:rFonts w:cs="Times New Roman"/>
              </w:rPr>
            </w:pPr>
            <w:r>
              <w:rPr>
                <w:rFonts w:cs="Times New Roman"/>
              </w:rPr>
              <w:t>&lt;0.1</w:t>
            </w:r>
          </w:p>
        </w:tc>
        <w:tc>
          <w:tcPr>
            <w:tcW w:w="740" w:type="pct"/>
            <w:vAlign w:val="center"/>
          </w:tcPr>
          <w:p w14:paraId="4B5D5FB5">
            <w:pPr>
              <w:pStyle w:val="64"/>
              <w:wordWrap w:val="0"/>
              <w:rPr>
                <w:rFonts w:cs="Times New Roman"/>
              </w:rPr>
            </w:pPr>
            <w:r>
              <w:rPr>
                <w:rFonts w:cs="Times New Roman"/>
              </w:rPr>
              <w:t>&lt;0.1</w:t>
            </w:r>
          </w:p>
        </w:tc>
        <w:tc>
          <w:tcPr>
            <w:tcW w:w="740" w:type="pct"/>
            <w:vAlign w:val="center"/>
          </w:tcPr>
          <w:p w14:paraId="582D8450">
            <w:pPr>
              <w:pStyle w:val="64"/>
              <w:wordWrap w:val="0"/>
              <w:rPr>
                <w:rFonts w:cs="Times New Roman"/>
              </w:rPr>
            </w:pPr>
            <w:r>
              <w:rPr>
                <w:rFonts w:cs="Times New Roman"/>
              </w:rPr>
              <w:t>0.4</w:t>
            </w:r>
          </w:p>
        </w:tc>
        <w:tc>
          <w:tcPr>
            <w:tcW w:w="738" w:type="pct"/>
            <w:vAlign w:val="center"/>
          </w:tcPr>
          <w:p w14:paraId="6539C308">
            <w:pPr>
              <w:pStyle w:val="64"/>
              <w:wordWrap w:val="0"/>
              <w:rPr>
                <w:rFonts w:cs="Times New Roman"/>
              </w:rPr>
            </w:pPr>
            <w:r>
              <w:rPr>
                <w:rFonts w:cs="Times New Roman"/>
              </w:rPr>
              <w:t>&lt;0.1</w:t>
            </w:r>
          </w:p>
        </w:tc>
      </w:tr>
      <w:tr w14:paraId="430946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1" w:type="pct"/>
            <w:vMerge w:val="restart"/>
            <w:vAlign w:val="center"/>
          </w:tcPr>
          <w:p w14:paraId="2578F8BA">
            <w:pPr>
              <w:pStyle w:val="64"/>
              <w:wordWrap w:val="0"/>
              <w:rPr>
                <w:rFonts w:cs="Times New Roman"/>
              </w:rPr>
            </w:pPr>
            <w:r>
              <w:rPr>
                <w:rFonts w:cs="Times New Roman"/>
              </w:rPr>
              <w:t>锰</w:t>
            </w:r>
          </w:p>
        </w:tc>
        <w:tc>
          <w:tcPr>
            <w:tcW w:w="505" w:type="pct"/>
            <w:vMerge w:val="restart"/>
            <w:vAlign w:val="center"/>
          </w:tcPr>
          <w:p w14:paraId="2CEAC4D3">
            <w:pPr>
              <w:pStyle w:val="64"/>
              <w:wordWrap w:val="0"/>
              <w:rPr>
                <w:rFonts w:cs="Times New Roman"/>
              </w:rPr>
            </w:pPr>
            <w:r>
              <w:rPr>
                <w:rFonts w:cs="Times New Roman"/>
              </w:rPr>
              <w:t>2024.08.20</w:t>
            </w:r>
          </w:p>
        </w:tc>
        <w:tc>
          <w:tcPr>
            <w:tcW w:w="314" w:type="pct"/>
            <w:vAlign w:val="center"/>
          </w:tcPr>
          <w:p w14:paraId="458D908B">
            <w:pPr>
              <w:pStyle w:val="64"/>
              <w:wordWrap w:val="0"/>
              <w:rPr>
                <w:rFonts w:cs="Times New Roman"/>
              </w:rPr>
            </w:pPr>
            <w:r>
              <w:rPr>
                <w:rFonts w:cs="Times New Roman"/>
              </w:rPr>
              <w:t>Ci</w:t>
            </w:r>
          </w:p>
        </w:tc>
        <w:tc>
          <w:tcPr>
            <w:tcW w:w="740" w:type="pct"/>
            <w:vAlign w:val="center"/>
          </w:tcPr>
          <w:p w14:paraId="62EEFFAF">
            <w:pPr>
              <w:pStyle w:val="64"/>
              <w:wordWrap w:val="0"/>
              <w:rPr>
                <w:rFonts w:cs="Times New Roman"/>
              </w:rPr>
            </w:pPr>
            <w:r>
              <w:rPr>
                <w:rFonts w:cs="Times New Roman"/>
              </w:rPr>
              <w:t>0.06</w:t>
            </w:r>
          </w:p>
        </w:tc>
        <w:tc>
          <w:tcPr>
            <w:tcW w:w="712" w:type="pct"/>
            <w:vAlign w:val="center"/>
          </w:tcPr>
          <w:p w14:paraId="05D3B897">
            <w:pPr>
              <w:pStyle w:val="64"/>
              <w:wordWrap w:val="0"/>
              <w:rPr>
                <w:rFonts w:cs="Times New Roman"/>
              </w:rPr>
            </w:pPr>
            <w:r>
              <w:rPr>
                <w:rFonts w:cs="Times New Roman"/>
              </w:rPr>
              <w:t>&lt;0.01</w:t>
            </w:r>
          </w:p>
        </w:tc>
        <w:tc>
          <w:tcPr>
            <w:tcW w:w="740" w:type="pct"/>
            <w:vAlign w:val="center"/>
          </w:tcPr>
          <w:p w14:paraId="265D2E6E">
            <w:pPr>
              <w:pStyle w:val="64"/>
              <w:wordWrap w:val="0"/>
              <w:rPr>
                <w:rFonts w:cs="Times New Roman"/>
              </w:rPr>
            </w:pPr>
            <w:r>
              <w:rPr>
                <w:rFonts w:cs="Times New Roman"/>
              </w:rPr>
              <w:t>&lt;0.01</w:t>
            </w:r>
          </w:p>
        </w:tc>
        <w:tc>
          <w:tcPr>
            <w:tcW w:w="740" w:type="pct"/>
            <w:vAlign w:val="center"/>
          </w:tcPr>
          <w:p w14:paraId="5FCB06EE">
            <w:pPr>
              <w:pStyle w:val="64"/>
              <w:wordWrap w:val="0"/>
              <w:rPr>
                <w:rFonts w:cs="Times New Roman"/>
              </w:rPr>
            </w:pPr>
            <w:r>
              <w:rPr>
                <w:rFonts w:cs="Times New Roman"/>
              </w:rPr>
              <w:t>0.08</w:t>
            </w:r>
          </w:p>
        </w:tc>
        <w:tc>
          <w:tcPr>
            <w:tcW w:w="738" w:type="pct"/>
            <w:vAlign w:val="center"/>
          </w:tcPr>
          <w:p w14:paraId="0AD5B18E">
            <w:pPr>
              <w:pStyle w:val="64"/>
              <w:wordWrap w:val="0"/>
              <w:rPr>
                <w:rFonts w:cs="Times New Roman"/>
              </w:rPr>
            </w:pPr>
            <w:r>
              <w:rPr>
                <w:rFonts w:cs="Times New Roman"/>
              </w:rPr>
              <w:t>0.09</w:t>
            </w:r>
          </w:p>
        </w:tc>
      </w:tr>
      <w:tr w14:paraId="4FA54C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1" w:type="pct"/>
            <w:vMerge w:val="continue"/>
            <w:vAlign w:val="center"/>
          </w:tcPr>
          <w:p w14:paraId="55F3416C">
            <w:pPr>
              <w:pStyle w:val="64"/>
              <w:wordWrap w:val="0"/>
              <w:rPr>
                <w:rFonts w:cs="Times New Roman"/>
              </w:rPr>
            </w:pPr>
          </w:p>
        </w:tc>
        <w:tc>
          <w:tcPr>
            <w:tcW w:w="505" w:type="pct"/>
            <w:vMerge w:val="continue"/>
            <w:vAlign w:val="center"/>
          </w:tcPr>
          <w:p w14:paraId="7021BD13">
            <w:pPr>
              <w:pStyle w:val="64"/>
              <w:wordWrap w:val="0"/>
              <w:rPr>
                <w:rFonts w:cs="Times New Roman"/>
              </w:rPr>
            </w:pPr>
          </w:p>
        </w:tc>
        <w:tc>
          <w:tcPr>
            <w:tcW w:w="314" w:type="pct"/>
            <w:vAlign w:val="center"/>
          </w:tcPr>
          <w:p w14:paraId="595F70DF">
            <w:pPr>
              <w:pStyle w:val="64"/>
              <w:wordWrap w:val="0"/>
              <w:rPr>
                <w:rFonts w:cs="Times New Roman"/>
              </w:rPr>
            </w:pPr>
            <w:r>
              <w:rPr>
                <w:rFonts w:cs="Times New Roman"/>
              </w:rPr>
              <w:t>Si</w:t>
            </w:r>
          </w:p>
        </w:tc>
        <w:tc>
          <w:tcPr>
            <w:tcW w:w="740" w:type="pct"/>
            <w:vAlign w:val="center"/>
          </w:tcPr>
          <w:p w14:paraId="3D79F54D">
            <w:pPr>
              <w:pStyle w:val="64"/>
              <w:wordWrap w:val="0"/>
              <w:rPr>
                <w:rFonts w:cs="Times New Roman"/>
              </w:rPr>
            </w:pPr>
            <w:r>
              <w:rPr>
                <w:rFonts w:cs="Times New Roman"/>
              </w:rPr>
              <w:t>0.6</w:t>
            </w:r>
          </w:p>
        </w:tc>
        <w:tc>
          <w:tcPr>
            <w:tcW w:w="712" w:type="pct"/>
            <w:vAlign w:val="center"/>
          </w:tcPr>
          <w:p w14:paraId="0AC46018">
            <w:pPr>
              <w:pStyle w:val="64"/>
              <w:wordWrap w:val="0"/>
              <w:rPr>
                <w:rFonts w:cs="Times New Roman"/>
              </w:rPr>
            </w:pPr>
            <w:r>
              <w:rPr>
                <w:rFonts w:cs="Times New Roman"/>
              </w:rPr>
              <w:t>&lt;0.1</w:t>
            </w:r>
          </w:p>
        </w:tc>
        <w:tc>
          <w:tcPr>
            <w:tcW w:w="740" w:type="pct"/>
            <w:vAlign w:val="center"/>
          </w:tcPr>
          <w:p w14:paraId="2AA73962">
            <w:pPr>
              <w:pStyle w:val="64"/>
              <w:wordWrap w:val="0"/>
              <w:rPr>
                <w:rFonts w:cs="Times New Roman"/>
              </w:rPr>
            </w:pPr>
            <w:r>
              <w:rPr>
                <w:rFonts w:cs="Times New Roman"/>
              </w:rPr>
              <w:t>&lt;0.1</w:t>
            </w:r>
          </w:p>
        </w:tc>
        <w:tc>
          <w:tcPr>
            <w:tcW w:w="740" w:type="pct"/>
            <w:vAlign w:val="center"/>
          </w:tcPr>
          <w:p w14:paraId="6C513512">
            <w:pPr>
              <w:pStyle w:val="64"/>
              <w:wordWrap w:val="0"/>
              <w:rPr>
                <w:rFonts w:cs="Times New Roman"/>
              </w:rPr>
            </w:pPr>
            <w:r>
              <w:rPr>
                <w:rFonts w:cs="Times New Roman"/>
              </w:rPr>
              <w:t>0.8</w:t>
            </w:r>
          </w:p>
        </w:tc>
        <w:tc>
          <w:tcPr>
            <w:tcW w:w="738" w:type="pct"/>
            <w:vAlign w:val="center"/>
          </w:tcPr>
          <w:p w14:paraId="026DF6E4">
            <w:pPr>
              <w:pStyle w:val="64"/>
              <w:wordWrap w:val="0"/>
              <w:rPr>
                <w:rFonts w:cs="Times New Roman"/>
              </w:rPr>
            </w:pPr>
            <w:r>
              <w:rPr>
                <w:rFonts w:cs="Times New Roman"/>
              </w:rPr>
              <w:t>0.9</w:t>
            </w:r>
          </w:p>
        </w:tc>
      </w:tr>
      <w:tr w14:paraId="5E4AB4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1" w:type="pct"/>
            <w:vMerge w:val="continue"/>
            <w:vAlign w:val="center"/>
          </w:tcPr>
          <w:p w14:paraId="136E7256">
            <w:pPr>
              <w:pStyle w:val="64"/>
              <w:wordWrap w:val="0"/>
              <w:rPr>
                <w:rFonts w:cs="Times New Roman"/>
              </w:rPr>
            </w:pPr>
          </w:p>
        </w:tc>
        <w:tc>
          <w:tcPr>
            <w:tcW w:w="505" w:type="pct"/>
            <w:vMerge w:val="restart"/>
            <w:vAlign w:val="center"/>
          </w:tcPr>
          <w:p w14:paraId="0F2517B9">
            <w:pPr>
              <w:pStyle w:val="64"/>
              <w:wordWrap w:val="0"/>
              <w:rPr>
                <w:rFonts w:cs="Times New Roman"/>
              </w:rPr>
            </w:pPr>
            <w:r>
              <w:rPr>
                <w:rFonts w:cs="Times New Roman"/>
              </w:rPr>
              <w:t>2024.08.21</w:t>
            </w:r>
          </w:p>
        </w:tc>
        <w:tc>
          <w:tcPr>
            <w:tcW w:w="314" w:type="pct"/>
            <w:vAlign w:val="center"/>
          </w:tcPr>
          <w:p w14:paraId="1D0BDCD1">
            <w:pPr>
              <w:pStyle w:val="64"/>
              <w:wordWrap w:val="0"/>
              <w:rPr>
                <w:rFonts w:cs="Times New Roman"/>
              </w:rPr>
            </w:pPr>
            <w:r>
              <w:rPr>
                <w:rFonts w:cs="Times New Roman"/>
              </w:rPr>
              <w:t>Ci</w:t>
            </w:r>
          </w:p>
        </w:tc>
        <w:tc>
          <w:tcPr>
            <w:tcW w:w="740" w:type="pct"/>
            <w:vAlign w:val="center"/>
          </w:tcPr>
          <w:p w14:paraId="6B22F1C6">
            <w:pPr>
              <w:pStyle w:val="64"/>
              <w:wordWrap w:val="0"/>
              <w:rPr>
                <w:rFonts w:cs="Times New Roman"/>
              </w:rPr>
            </w:pPr>
            <w:r>
              <w:rPr>
                <w:rFonts w:cs="Times New Roman"/>
              </w:rPr>
              <w:t>0.07</w:t>
            </w:r>
          </w:p>
        </w:tc>
        <w:tc>
          <w:tcPr>
            <w:tcW w:w="712" w:type="pct"/>
            <w:vAlign w:val="center"/>
          </w:tcPr>
          <w:p w14:paraId="36A22D72">
            <w:pPr>
              <w:pStyle w:val="64"/>
              <w:wordWrap w:val="0"/>
              <w:rPr>
                <w:rFonts w:cs="Times New Roman"/>
              </w:rPr>
            </w:pPr>
            <w:r>
              <w:rPr>
                <w:rFonts w:cs="Times New Roman"/>
              </w:rPr>
              <w:t>&lt;0.01</w:t>
            </w:r>
          </w:p>
        </w:tc>
        <w:tc>
          <w:tcPr>
            <w:tcW w:w="740" w:type="pct"/>
            <w:vAlign w:val="center"/>
          </w:tcPr>
          <w:p w14:paraId="06B63347">
            <w:pPr>
              <w:pStyle w:val="64"/>
              <w:wordWrap w:val="0"/>
              <w:rPr>
                <w:rFonts w:cs="Times New Roman"/>
              </w:rPr>
            </w:pPr>
            <w:r>
              <w:rPr>
                <w:rFonts w:cs="Times New Roman"/>
              </w:rPr>
              <w:t>&lt;0.01</w:t>
            </w:r>
          </w:p>
        </w:tc>
        <w:tc>
          <w:tcPr>
            <w:tcW w:w="740" w:type="pct"/>
            <w:vAlign w:val="center"/>
          </w:tcPr>
          <w:p w14:paraId="16D9DB80">
            <w:pPr>
              <w:pStyle w:val="64"/>
              <w:wordWrap w:val="0"/>
              <w:rPr>
                <w:rFonts w:cs="Times New Roman"/>
              </w:rPr>
            </w:pPr>
            <w:r>
              <w:rPr>
                <w:rFonts w:cs="Times New Roman"/>
              </w:rPr>
              <w:t>0.09</w:t>
            </w:r>
          </w:p>
        </w:tc>
        <w:tc>
          <w:tcPr>
            <w:tcW w:w="738" w:type="pct"/>
            <w:vAlign w:val="center"/>
          </w:tcPr>
          <w:p w14:paraId="3EC67386">
            <w:pPr>
              <w:pStyle w:val="64"/>
              <w:wordWrap w:val="0"/>
              <w:rPr>
                <w:rFonts w:cs="Times New Roman"/>
              </w:rPr>
            </w:pPr>
            <w:r>
              <w:rPr>
                <w:rFonts w:cs="Times New Roman"/>
              </w:rPr>
              <w:t>0.06</w:t>
            </w:r>
          </w:p>
        </w:tc>
      </w:tr>
      <w:tr w14:paraId="6EB041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1" w:type="pct"/>
            <w:vMerge w:val="continue"/>
            <w:vAlign w:val="center"/>
          </w:tcPr>
          <w:p w14:paraId="72EBE371">
            <w:pPr>
              <w:pStyle w:val="64"/>
              <w:wordWrap w:val="0"/>
              <w:rPr>
                <w:rFonts w:cs="Times New Roman"/>
              </w:rPr>
            </w:pPr>
          </w:p>
        </w:tc>
        <w:tc>
          <w:tcPr>
            <w:tcW w:w="505" w:type="pct"/>
            <w:vMerge w:val="continue"/>
            <w:vAlign w:val="center"/>
          </w:tcPr>
          <w:p w14:paraId="5E816760">
            <w:pPr>
              <w:pStyle w:val="64"/>
              <w:wordWrap w:val="0"/>
              <w:rPr>
                <w:rFonts w:cs="Times New Roman"/>
              </w:rPr>
            </w:pPr>
          </w:p>
        </w:tc>
        <w:tc>
          <w:tcPr>
            <w:tcW w:w="314" w:type="pct"/>
            <w:vAlign w:val="center"/>
          </w:tcPr>
          <w:p w14:paraId="2567BB7F">
            <w:pPr>
              <w:pStyle w:val="64"/>
              <w:wordWrap w:val="0"/>
              <w:rPr>
                <w:rFonts w:cs="Times New Roman"/>
              </w:rPr>
            </w:pPr>
            <w:r>
              <w:rPr>
                <w:rFonts w:cs="Times New Roman"/>
              </w:rPr>
              <w:t>Si</w:t>
            </w:r>
          </w:p>
        </w:tc>
        <w:tc>
          <w:tcPr>
            <w:tcW w:w="740" w:type="pct"/>
            <w:vAlign w:val="center"/>
          </w:tcPr>
          <w:p w14:paraId="1790C703">
            <w:pPr>
              <w:pStyle w:val="64"/>
              <w:wordWrap w:val="0"/>
              <w:rPr>
                <w:rFonts w:cs="Times New Roman"/>
              </w:rPr>
            </w:pPr>
            <w:r>
              <w:rPr>
                <w:rFonts w:cs="Times New Roman"/>
              </w:rPr>
              <w:t>0.7</w:t>
            </w:r>
          </w:p>
        </w:tc>
        <w:tc>
          <w:tcPr>
            <w:tcW w:w="712" w:type="pct"/>
            <w:vAlign w:val="center"/>
          </w:tcPr>
          <w:p w14:paraId="282F89B2">
            <w:pPr>
              <w:pStyle w:val="64"/>
              <w:wordWrap w:val="0"/>
              <w:rPr>
                <w:rFonts w:cs="Times New Roman"/>
              </w:rPr>
            </w:pPr>
            <w:r>
              <w:rPr>
                <w:rFonts w:cs="Times New Roman"/>
              </w:rPr>
              <w:t>&lt;0.1</w:t>
            </w:r>
          </w:p>
        </w:tc>
        <w:tc>
          <w:tcPr>
            <w:tcW w:w="740" w:type="pct"/>
            <w:vAlign w:val="center"/>
          </w:tcPr>
          <w:p w14:paraId="42C22FB4">
            <w:pPr>
              <w:pStyle w:val="64"/>
              <w:wordWrap w:val="0"/>
              <w:rPr>
                <w:rFonts w:cs="Times New Roman"/>
              </w:rPr>
            </w:pPr>
            <w:r>
              <w:rPr>
                <w:rFonts w:cs="Times New Roman"/>
              </w:rPr>
              <w:t>&lt;0.1</w:t>
            </w:r>
          </w:p>
        </w:tc>
        <w:tc>
          <w:tcPr>
            <w:tcW w:w="740" w:type="pct"/>
            <w:vAlign w:val="center"/>
          </w:tcPr>
          <w:p w14:paraId="2EACF584">
            <w:pPr>
              <w:pStyle w:val="64"/>
              <w:wordWrap w:val="0"/>
              <w:rPr>
                <w:rFonts w:cs="Times New Roman"/>
              </w:rPr>
            </w:pPr>
            <w:r>
              <w:rPr>
                <w:rFonts w:cs="Times New Roman"/>
              </w:rPr>
              <w:t>0.9</w:t>
            </w:r>
          </w:p>
        </w:tc>
        <w:tc>
          <w:tcPr>
            <w:tcW w:w="738" w:type="pct"/>
            <w:vAlign w:val="center"/>
          </w:tcPr>
          <w:p w14:paraId="3C539CB9">
            <w:pPr>
              <w:pStyle w:val="64"/>
              <w:wordWrap w:val="0"/>
              <w:rPr>
                <w:rFonts w:cs="Times New Roman"/>
              </w:rPr>
            </w:pPr>
            <w:r>
              <w:rPr>
                <w:rFonts w:cs="Times New Roman"/>
              </w:rPr>
              <w:t>0.6</w:t>
            </w:r>
          </w:p>
        </w:tc>
      </w:tr>
      <w:tr w14:paraId="1638F3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1" w:type="pct"/>
            <w:vMerge w:val="restart"/>
            <w:vAlign w:val="center"/>
          </w:tcPr>
          <w:p w14:paraId="7ADCBC1D">
            <w:pPr>
              <w:pStyle w:val="64"/>
              <w:wordWrap w:val="0"/>
              <w:rPr>
                <w:rFonts w:cs="Times New Roman"/>
              </w:rPr>
            </w:pPr>
            <w:r>
              <w:rPr>
                <w:rFonts w:cs="Times New Roman"/>
              </w:rPr>
              <w:t>硝酸盐氮</w:t>
            </w:r>
          </w:p>
        </w:tc>
        <w:tc>
          <w:tcPr>
            <w:tcW w:w="505" w:type="pct"/>
            <w:vMerge w:val="restart"/>
            <w:vAlign w:val="center"/>
          </w:tcPr>
          <w:p w14:paraId="0129A125">
            <w:pPr>
              <w:pStyle w:val="64"/>
              <w:wordWrap w:val="0"/>
              <w:rPr>
                <w:rFonts w:cs="Times New Roman"/>
              </w:rPr>
            </w:pPr>
            <w:r>
              <w:rPr>
                <w:rFonts w:cs="Times New Roman"/>
              </w:rPr>
              <w:t>2024.08.20</w:t>
            </w:r>
          </w:p>
        </w:tc>
        <w:tc>
          <w:tcPr>
            <w:tcW w:w="314" w:type="pct"/>
            <w:vAlign w:val="center"/>
          </w:tcPr>
          <w:p w14:paraId="3517BE9E">
            <w:pPr>
              <w:pStyle w:val="64"/>
              <w:wordWrap w:val="0"/>
              <w:rPr>
                <w:rFonts w:cs="Times New Roman"/>
              </w:rPr>
            </w:pPr>
            <w:r>
              <w:rPr>
                <w:rFonts w:cs="Times New Roman"/>
              </w:rPr>
              <w:t>Ci</w:t>
            </w:r>
          </w:p>
        </w:tc>
        <w:tc>
          <w:tcPr>
            <w:tcW w:w="740" w:type="pct"/>
            <w:vAlign w:val="center"/>
          </w:tcPr>
          <w:p w14:paraId="6AF87363">
            <w:pPr>
              <w:pStyle w:val="64"/>
              <w:wordWrap w:val="0"/>
              <w:rPr>
                <w:rFonts w:cs="Times New Roman"/>
              </w:rPr>
            </w:pPr>
            <w:r>
              <w:rPr>
                <w:rFonts w:cs="Times New Roman"/>
              </w:rPr>
              <w:t>8.66</w:t>
            </w:r>
          </w:p>
        </w:tc>
        <w:tc>
          <w:tcPr>
            <w:tcW w:w="712" w:type="pct"/>
            <w:vAlign w:val="center"/>
          </w:tcPr>
          <w:p w14:paraId="586F86F3">
            <w:pPr>
              <w:pStyle w:val="64"/>
              <w:wordWrap w:val="0"/>
              <w:rPr>
                <w:rFonts w:cs="Times New Roman"/>
              </w:rPr>
            </w:pPr>
            <w:r>
              <w:rPr>
                <w:rFonts w:cs="Times New Roman"/>
              </w:rPr>
              <w:t>1.4</w:t>
            </w:r>
          </w:p>
        </w:tc>
        <w:tc>
          <w:tcPr>
            <w:tcW w:w="740" w:type="pct"/>
            <w:vAlign w:val="center"/>
          </w:tcPr>
          <w:p w14:paraId="499902C0">
            <w:pPr>
              <w:pStyle w:val="64"/>
              <w:wordWrap w:val="0"/>
              <w:rPr>
                <w:rFonts w:cs="Times New Roman"/>
              </w:rPr>
            </w:pPr>
            <w:r>
              <w:rPr>
                <w:rFonts w:cs="Times New Roman"/>
              </w:rPr>
              <w:t>0.99</w:t>
            </w:r>
          </w:p>
        </w:tc>
        <w:tc>
          <w:tcPr>
            <w:tcW w:w="740" w:type="pct"/>
            <w:vAlign w:val="center"/>
          </w:tcPr>
          <w:p w14:paraId="0E0B5DDD">
            <w:pPr>
              <w:pStyle w:val="64"/>
              <w:wordWrap w:val="0"/>
              <w:rPr>
                <w:rFonts w:cs="Times New Roman"/>
              </w:rPr>
            </w:pPr>
            <w:r>
              <w:rPr>
                <w:rFonts w:cs="Times New Roman"/>
              </w:rPr>
              <w:t>0.564</w:t>
            </w:r>
          </w:p>
        </w:tc>
        <w:tc>
          <w:tcPr>
            <w:tcW w:w="738" w:type="pct"/>
            <w:vAlign w:val="center"/>
          </w:tcPr>
          <w:p w14:paraId="651CA027">
            <w:pPr>
              <w:pStyle w:val="64"/>
              <w:wordWrap w:val="0"/>
              <w:rPr>
                <w:rFonts w:cs="Times New Roman"/>
              </w:rPr>
            </w:pPr>
            <w:r>
              <w:rPr>
                <w:rFonts w:cs="Times New Roman"/>
              </w:rPr>
              <w:t>4.84</w:t>
            </w:r>
          </w:p>
        </w:tc>
      </w:tr>
      <w:tr w14:paraId="4B7EE6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1" w:type="pct"/>
            <w:vMerge w:val="continue"/>
            <w:vAlign w:val="center"/>
          </w:tcPr>
          <w:p w14:paraId="21D6CF1C">
            <w:pPr>
              <w:pStyle w:val="64"/>
              <w:wordWrap w:val="0"/>
              <w:rPr>
                <w:rFonts w:cs="Times New Roman"/>
              </w:rPr>
            </w:pPr>
          </w:p>
        </w:tc>
        <w:tc>
          <w:tcPr>
            <w:tcW w:w="505" w:type="pct"/>
            <w:vMerge w:val="continue"/>
            <w:vAlign w:val="center"/>
          </w:tcPr>
          <w:p w14:paraId="48D42802">
            <w:pPr>
              <w:pStyle w:val="64"/>
              <w:wordWrap w:val="0"/>
              <w:rPr>
                <w:rFonts w:cs="Times New Roman"/>
              </w:rPr>
            </w:pPr>
          </w:p>
        </w:tc>
        <w:tc>
          <w:tcPr>
            <w:tcW w:w="314" w:type="pct"/>
            <w:vAlign w:val="center"/>
          </w:tcPr>
          <w:p w14:paraId="0E0FAF78">
            <w:pPr>
              <w:pStyle w:val="64"/>
              <w:wordWrap w:val="0"/>
              <w:rPr>
                <w:rFonts w:cs="Times New Roman"/>
              </w:rPr>
            </w:pPr>
            <w:r>
              <w:rPr>
                <w:rFonts w:cs="Times New Roman"/>
              </w:rPr>
              <w:t>Si</w:t>
            </w:r>
          </w:p>
        </w:tc>
        <w:tc>
          <w:tcPr>
            <w:tcW w:w="740" w:type="pct"/>
            <w:vAlign w:val="center"/>
          </w:tcPr>
          <w:p w14:paraId="0ACB40CD">
            <w:pPr>
              <w:pStyle w:val="64"/>
              <w:wordWrap w:val="0"/>
              <w:rPr>
                <w:rFonts w:cs="Times New Roman"/>
              </w:rPr>
            </w:pPr>
            <w:r>
              <w:rPr>
                <w:rFonts w:cs="Times New Roman"/>
              </w:rPr>
              <w:t>0.433</w:t>
            </w:r>
          </w:p>
        </w:tc>
        <w:tc>
          <w:tcPr>
            <w:tcW w:w="712" w:type="pct"/>
            <w:vAlign w:val="center"/>
          </w:tcPr>
          <w:p w14:paraId="3281A069">
            <w:pPr>
              <w:pStyle w:val="64"/>
              <w:wordWrap w:val="0"/>
              <w:rPr>
                <w:rFonts w:cs="Times New Roman"/>
              </w:rPr>
            </w:pPr>
            <w:r>
              <w:rPr>
                <w:rFonts w:cs="Times New Roman"/>
              </w:rPr>
              <w:t>0.07</w:t>
            </w:r>
          </w:p>
        </w:tc>
        <w:tc>
          <w:tcPr>
            <w:tcW w:w="740" w:type="pct"/>
            <w:vAlign w:val="center"/>
          </w:tcPr>
          <w:p w14:paraId="31F3AEDE">
            <w:pPr>
              <w:pStyle w:val="64"/>
              <w:wordWrap w:val="0"/>
              <w:rPr>
                <w:rFonts w:cs="Times New Roman"/>
              </w:rPr>
            </w:pPr>
            <w:r>
              <w:rPr>
                <w:rFonts w:cs="Times New Roman"/>
              </w:rPr>
              <w:t>0.0495</w:t>
            </w:r>
          </w:p>
        </w:tc>
        <w:tc>
          <w:tcPr>
            <w:tcW w:w="740" w:type="pct"/>
            <w:vAlign w:val="center"/>
          </w:tcPr>
          <w:p w14:paraId="6C884281">
            <w:pPr>
              <w:pStyle w:val="64"/>
              <w:wordWrap w:val="0"/>
              <w:rPr>
                <w:rFonts w:cs="Times New Roman"/>
              </w:rPr>
            </w:pPr>
            <w:r>
              <w:rPr>
                <w:rFonts w:cs="Times New Roman"/>
              </w:rPr>
              <w:t>0.0282</w:t>
            </w:r>
          </w:p>
        </w:tc>
        <w:tc>
          <w:tcPr>
            <w:tcW w:w="738" w:type="pct"/>
            <w:vAlign w:val="center"/>
          </w:tcPr>
          <w:p w14:paraId="426C301F">
            <w:pPr>
              <w:pStyle w:val="64"/>
              <w:wordWrap w:val="0"/>
              <w:rPr>
                <w:rFonts w:cs="Times New Roman"/>
              </w:rPr>
            </w:pPr>
            <w:r>
              <w:rPr>
                <w:rFonts w:cs="Times New Roman"/>
              </w:rPr>
              <w:t>0.242</w:t>
            </w:r>
          </w:p>
        </w:tc>
      </w:tr>
      <w:tr w14:paraId="0D15DD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1" w:type="pct"/>
            <w:vMerge w:val="continue"/>
            <w:vAlign w:val="center"/>
          </w:tcPr>
          <w:p w14:paraId="5E5A191E">
            <w:pPr>
              <w:pStyle w:val="64"/>
              <w:wordWrap w:val="0"/>
              <w:rPr>
                <w:rFonts w:cs="Times New Roman"/>
              </w:rPr>
            </w:pPr>
          </w:p>
        </w:tc>
        <w:tc>
          <w:tcPr>
            <w:tcW w:w="505" w:type="pct"/>
            <w:vMerge w:val="restart"/>
            <w:vAlign w:val="center"/>
          </w:tcPr>
          <w:p w14:paraId="41827EF9">
            <w:pPr>
              <w:pStyle w:val="64"/>
              <w:wordWrap w:val="0"/>
              <w:rPr>
                <w:rFonts w:cs="Times New Roman"/>
              </w:rPr>
            </w:pPr>
            <w:r>
              <w:rPr>
                <w:rFonts w:cs="Times New Roman"/>
              </w:rPr>
              <w:t>2024.08.21</w:t>
            </w:r>
          </w:p>
        </w:tc>
        <w:tc>
          <w:tcPr>
            <w:tcW w:w="314" w:type="pct"/>
            <w:vAlign w:val="center"/>
          </w:tcPr>
          <w:p w14:paraId="464DDF96">
            <w:pPr>
              <w:pStyle w:val="64"/>
              <w:wordWrap w:val="0"/>
              <w:rPr>
                <w:rFonts w:cs="Times New Roman"/>
              </w:rPr>
            </w:pPr>
            <w:r>
              <w:rPr>
                <w:rFonts w:cs="Times New Roman"/>
              </w:rPr>
              <w:t>Ci</w:t>
            </w:r>
          </w:p>
        </w:tc>
        <w:tc>
          <w:tcPr>
            <w:tcW w:w="740" w:type="pct"/>
            <w:vAlign w:val="center"/>
          </w:tcPr>
          <w:p w14:paraId="3487621F">
            <w:pPr>
              <w:pStyle w:val="64"/>
              <w:wordWrap w:val="0"/>
              <w:rPr>
                <w:rFonts w:cs="Times New Roman"/>
              </w:rPr>
            </w:pPr>
            <w:r>
              <w:rPr>
                <w:rFonts w:cs="Times New Roman"/>
              </w:rPr>
              <w:t>3.1</w:t>
            </w:r>
          </w:p>
        </w:tc>
        <w:tc>
          <w:tcPr>
            <w:tcW w:w="712" w:type="pct"/>
            <w:vAlign w:val="center"/>
          </w:tcPr>
          <w:p w14:paraId="48CC16ED">
            <w:pPr>
              <w:pStyle w:val="64"/>
              <w:wordWrap w:val="0"/>
              <w:rPr>
                <w:rFonts w:cs="Times New Roman"/>
              </w:rPr>
            </w:pPr>
            <w:r>
              <w:rPr>
                <w:rFonts w:cs="Times New Roman"/>
              </w:rPr>
              <w:t>0.089</w:t>
            </w:r>
          </w:p>
        </w:tc>
        <w:tc>
          <w:tcPr>
            <w:tcW w:w="740" w:type="pct"/>
            <w:vAlign w:val="center"/>
          </w:tcPr>
          <w:p w14:paraId="58986FDE">
            <w:pPr>
              <w:pStyle w:val="64"/>
              <w:wordWrap w:val="0"/>
              <w:rPr>
                <w:rFonts w:cs="Times New Roman"/>
              </w:rPr>
            </w:pPr>
            <w:r>
              <w:rPr>
                <w:rFonts w:cs="Times New Roman"/>
              </w:rPr>
              <w:t>4.79</w:t>
            </w:r>
          </w:p>
        </w:tc>
        <w:tc>
          <w:tcPr>
            <w:tcW w:w="740" w:type="pct"/>
            <w:vAlign w:val="center"/>
          </w:tcPr>
          <w:p w14:paraId="6B087575">
            <w:pPr>
              <w:pStyle w:val="64"/>
              <w:wordWrap w:val="0"/>
              <w:rPr>
                <w:rFonts w:cs="Times New Roman"/>
              </w:rPr>
            </w:pPr>
            <w:r>
              <w:rPr>
                <w:rFonts w:cs="Times New Roman"/>
              </w:rPr>
              <w:t>1.19</w:t>
            </w:r>
          </w:p>
        </w:tc>
        <w:tc>
          <w:tcPr>
            <w:tcW w:w="738" w:type="pct"/>
            <w:vAlign w:val="center"/>
          </w:tcPr>
          <w:p w14:paraId="3E8EF33A">
            <w:pPr>
              <w:pStyle w:val="64"/>
              <w:wordWrap w:val="0"/>
              <w:rPr>
                <w:rFonts w:cs="Times New Roman"/>
              </w:rPr>
            </w:pPr>
            <w:r>
              <w:rPr>
                <w:rFonts w:cs="Times New Roman"/>
              </w:rPr>
              <w:t>5.29</w:t>
            </w:r>
          </w:p>
        </w:tc>
      </w:tr>
      <w:tr w14:paraId="25AC93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1" w:type="pct"/>
            <w:vMerge w:val="continue"/>
            <w:vAlign w:val="center"/>
          </w:tcPr>
          <w:p w14:paraId="1AD795A9">
            <w:pPr>
              <w:pStyle w:val="64"/>
              <w:wordWrap w:val="0"/>
              <w:rPr>
                <w:rFonts w:cs="Times New Roman"/>
              </w:rPr>
            </w:pPr>
          </w:p>
        </w:tc>
        <w:tc>
          <w:tcPr>
            <w:tcW w:w="505" w:type="pct"/>
            <w:vMerge w:val="continue"/>
            <w:vAlign w:val="center"/>
          </w:tcPr>
          <w:p w14:paraId="5B954132">
            <w:pPr>
              <w:pStyle w:val="64"/>
              <w:wordWrap w:val="0"/>
              <w:rPr>
                <w:rFonts w:cs="Times New Roman"/>
              </w:rPr>
            </w:pPr>
          </w:p>
        </w:tc>
        <w:tc>
          <w:tcPr>
            <w:tcW w:w="314" w:type="pct"/>
            <w:vAlign w:val="center"/>
          </w:tcPr>
          <w:p w14:paraId="07F2FBFA">
            <w:pPr>
              <w:pStyle w:val="64"/>
              <w:wordWrap w:val="0"/>
              <w:rPr>
                <w:rFonts w:cs="Times New Roman"/>
              </w:rPr>
            </w:pPr>
            <w:r>
              <w:rPr>
                <w:rFonts w:cs="Times New Roman"/>
              </w:rPr>
              <w:t>Si</w:t>
            </w:r>
          </w:p>
        </w:tc>
        <w:tc>
          <w:tcPr>
            <w:tcW w:w="740" w:type="pct"/>
            <w:vAlign w:val="center"/>
          </w:tcPr>
          <w:p w14:paraId="0FB94D03">
            <w:pPr>
              <w:pStyle w:val="64"/>
              <w:wordWrap w:val="0"/>
              <w:rPr>
                <w:rFonts w:cs="Times New Roman"/>
              </w:rPr>
            </w:pPr>
            <w:r>
              <w:rPr>
                <w:rFonts w:cs="Times New Roman"/>
              </w:rPr>
              <w:t>0.155</w:t>
            </w:r>
          </w:p>
        </w:tc>
        <w:tc>
          <w:tcPr>
            <w:tcW w:w="712" w:type="pct"/>
            <w:vAlign w:val="center"/>
          </w:tcPr>
          <w:p w14:paraId="52CC1F7D">
            <w:pPr>
              <w:pStyle w:val="64"/>
              <w:wordWrap w:val="0"/>
              <w:rPr>
                <w:rFonts w:cs="Times New Roman"/>
              </w:rPr>
            </w:pPr>
            <w:r>
              <w:rPr>
                <w:rFonts w:cs="Times New Roman"/>
              </w:rPr>
              <w:t>0.00445</w:t>
            </w:r>
          </w:p>
        </w:tc>
        <w:tc>
          <w:tcPr>
            <w:tcW w:w="740" w:type="pct"/>
            <w:vAlign w:val="center"/>
          </w:tcPr>
          <w:p w14:paraId="7BE0EF79">
            <w:pPr>
              <w:pStyle w:val="64"/>
              <w:wordWrap w:val="0"/>
              <w:rPr>
                <w:rFonts w:cs="Times New Roman"/>
              </w:rPr>
            </w:pPr>
            <w:r>
              <w:rPr>
                <w:rFonts w:cs="Times New Roman"/>
              </w:rPr>
              <w:t>0.2395</w:t>
            </w:r>
          </w:p>
        </w:tc>
        <w:tc>
          <w:tcPr>
            <w:tcW w:w="740" w:type="pct"/>
            <w:vAlign w:val="center"/>
          </w:tcPr>
          <w:p w14:paraId="7F4FF8D4">
            <w:pPr>
              <w:pStyle w:val="64"/>
              <w:wordWrap w:val="0"/>
              <w:rPr>
                <w:rFonts w:cs="Times New Roman"/>
              </w:rPr>
            </w:pPr>
            <w:r>
              <w:rPr>
                <w:rFonts w:cs="Times New Roman"/>
              </w:rPr>
              <w:t>0.0595</w:t>
            </w:r>
          </w:p>
        </w:tc>
        <w:tc>
          <w:tcPr>
            <w:tcW w:w="738" w:type="pct"/>
            <w:vAlign w:val="center"/>
          </w:tcPr>
          <w:p w14:paraId="3A09D13B">
            <w:pPr>
              <w:pStyle w:val="64"/>
              <w:wordWrap w:val="0"/>
              <w:rPr>
                <w:rFonts w:cs="Times New Roman"/>
              </w:rPr>
            </w:pPr>
            <w:r>
              <w:rPr>
                <w:rFonts w:cs="Times New Roman"/>
              </w:rPr>
              <w:t>0.2645</w:t>
            </w:r>
          </w:p>
        </w:tc>
      </w:tr>
      <w:tr w14:paraId="02D011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1" w:type="pct"/>
            <w:vMerge w:val="restart"/>
            <w:vAlign w:val="center"/>
          </w:tcPr>
          <w:p w14:paraId="68AE4734">
            <w:pPr>
              <w:pStyle w:val="64"/>
              <w:wordWrap w:val="0"/>
              <w:rPr>
                <w:rFonts w:cs="Times New Roman"/>
              </w:rPr>
            </w:pPr>
            <w:r>
              <w:rPr>
                <w:rFonts w:cs="Times New Roman"/>
              </w:rPr>
              <w:t>高锰酸盐指数</w:t>
            </w:r>
          </w:p>
        </w:tc>
        <w:tc>
          <w:tcPr>
            <w:tcW w:w="505" w:type="pct"/>
            <w:vMerge w:val="restart"/>
            <w:vAlign w:val="center"/>
          </w:tcPr>
          <w:p w14:paraId="00EE9725">
            <w:pPr>
              <w:pStyle w:val="64"/>
              <w:wordWrap w:val="0"/>
              <w:rPr>
                <w:rFonts w:cs="Times New Roman"/>
              </w:rPr>
            </w:pPr>
            <w:r>
              <w:rPr>
                <w:rFonts w:cs="Times New Roman"/>
              </w:rPr>
              <w:t>2024.08.20</w:t>
            </w:r>
          </w:p>
        </w:tc>
        <w:tc>
          <w:tcPr>
            <w:tcW w:w="314" w:type="pct"/>
            <w:vAlign w:val="center"/>
          </w:tcPr>
          <w:p w14:paraId="5C292694">
            <w:pPr>
              <w:pStyle w:val="64"/>
              <w:wordWrap w:val="0"/>
              <w:rPr>
                <w:rFonts w:cs="Times New Roman"/>
              </w:rPr>
            </w:pPr>
            <w:r>
              <w:rPr>
                <w:rFonts w:cs="Times New Roman"/>
              </w:rPr>
              <w:t>Ci</w:t>
            </w:r>
          </w:p>
        </w:tc>
        <w:tc>
          <w:tcPr>
            <w:tcW w:w="740" w:type="pct"/>
            <w:vAlign w:val="center"/>
          </w:tcPr>
          <w:p w14:paraId="31B9E830">
            <w:pPr>
              <w:pStyle w:val="64"/>
              <w:wordWrap w:val="0"/>
              <w:rPr>
                <w:rFonts w:cs="Times New Roman"/>
              </w:rPr>
            </w:pPr>
            <w:r>
              <w:rPr>
                <w:rFonts w:cs="Times New Roman"/>
              </w:rPr>
              <w:t>0.7</w:t>
            </w:r>
          </w:p>
        </w:tc>
        <w:tc>
          <w:tcPr>
            <w:tcW w:w="712" w:type="pct"/>
            <w:vAlign w:val="center"/>
          </w:tcPr>
          <w:p w14:paraId="440D585F">
            <w:pPr>
              <w:pStyle w:val="64"/>
              <w:wordWrap w:val="0"/>
              <w:rPr>
                <w:rFonts w:cs="Times New Roman"/>
              </w:rPr>
            </w:pPr>
            <w:r>
              <w:rPr>
                <w:rFonts w:cs="Times New Roman"/>
              </w:rPr>
              <w:t>2.6</w:t>
            </w:r>
          </w:p>
        </w:tc>
        <w:tc>
          <w:tcPr>
            <w:tcW w:w="740" w:type="pct"/>
            <w:vAlign w:val="center"/>
          </w:tcPr>
          <w:p w14:paraId="4F0413AC">
            <w:pPr>
              <w:pStyle w:val="64"/>
              <w:wordWrap w:val="0"/>
              <w:rPr>
                <w:rFonts w:cs="Times New Roman"/>
              </w:rPr>
            </w:pPr>
            <w:r>
              <w:rPr>
                <w:rFonts w:cs="Times New Roman"/>
              </w:rPr>
              <w:t>0.6</w:t>
            </w:r>
          </w:p>
        </w:tc>
        <w:tc>
          <w:tcPr>
            <w:tcW w:w="740" w:type="pct"/>
            <w:vAlign w:val="center"/>
          </w:tcPr>
          <w:p w14:paraId="6A737B2F">
            <w:pPr>
              <w:pStyle w:val="64"/>
              <w:wordWrap w:val="0"/>
              <w:rPr>
                <w:rFonts w:cs="Times New Roman"/>
              </w:rPr>
            </w:pPr>
            <w:r>
              <w:rPr>
                <w:rFonts w:cs="Times New Roman"/>
              </w:rPr>
              <w:t>2.5</w:t>
            </w:r>
          </w:p>
        </w:tc>
        <w:tc>
          <w:tcPr>
            <w:tcW w:w="738" w:type="pct"/>
            <w:vAlign w:val="center"/>
          </w:tcPr>
          <w:p w14:paraId="6B49A1C6">
            <w:pPr>
              <w:pStyle w:val="64"/>
              <w:wordWrap w:val="0"/>
              <w:rPr>
                <w:rFonts w:cs="Times New Roman"/>
              </w:rPr>
            </w:pPr>
            <w:r>
              <w:rPr>
                <w:rFonts w:cs="Times New Roman"/>
              </w:rPr>
              <w:t>1.4</w:t>
            </w:r>
          </w:p>
        </w:tc>
      </w:tr>
      <w:tr w14:paraId="35DF19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1" w:type="pct"/>
            <w:vMerge w:val="continue"/>
            <w:vAlign w:val="center"/>
          </w:tcPr>
          <w:p w14:paraId="0345F774">
            <w:pPr>
              <w:pStyle w:val="64"/>
              <w:wordWrap w:val="0"/>
              <w:rPr>
                <w:rFonts w:cs="Times New Roman"/>
              </w:rPr>
            </w:pPr>
          </w:p>
        </w:tc>
        <w:tc>
          <w:tcPr>
            <w:tcW w:w="505" w:type="pct"/>
            <w:vMerge w:val="continue"/>
            <w:vAlign w:val="center"/>
          </w:tcPr>
          <w:p w14:paraId="2E32C48F">
            <w:pPr>
              <w:pStyle w:val="64"/>
              <w:wordWrap w:val="0"/>
              <w:rPr>
                <w:rFonts w:cs="Times New Roman"/>
              </w:rPr>
            </w:pPr>
          </w:p>
        </w:tc>
        <w:tc>
          <w:tcPr>
            <w:tcW w:w="314" w:type="pct"/>
            <w:vAlign w:val="center"/>
          </w:tcPr>
          <w:p w14:paraId="6CAB5AE3">
            <w:pPr>
              <w:pStyle w:val="64"/>
              <w:wordWrap w:val="0"/>
              <w:rPr>
                <w:rFonts w:cs="Times New Roman"/>
              </w:rPr>
            </w:pPr>
            <w:r>
              <w:rPr>
                <w:rFonts w:cs="Times New Roman"/>
              </w:rPr>
              <w:t>Si</w:t>
            </w:r>
          </w:p>
        </w:tc>
        <w:tc>
          <w:tcPr>
            <w:tcW w:w="740" w:type="pct"/>
            <w:vAlign w:val="center"/>
          </w:tcPr>
          <w:p w14:paraId="04CAB0D4">
            <w:pPr>
              <w:pStyle w:val="64"/>
              <w:wordWrap w:val="0"/>
              <w:rPr>
                <w:rFonts w:cs="Times New Roman"/>
              </w:rPr>
            </w:pPr>
            <w:r>
              <w:rPr>
                <w:rFonts w:cs="Times New Roman"/>
              </w:rPr>
              <w:t>0.23</w:t>
            </w:r>
          </w:p>
        </w:tc>
        <w:tc>
          <w:tcPr>
            <w:tcW w:w="712" w:type="pct"/>
            <w:vAlign w:val="center"/>
          </w:tcPr>
          <w:p w14:paraId="6EEE59F4">
            <w:pPr>
              <w:pStyle w:val="64"/>
              <w:wordWrap w:val="0"/>
              <w:rPr>
                <w:rFonts w:cs="Times New Roman"/>
              </w:rPr>
            </w:pPr>
            <w:r>
              <w:rPr>
                <w:rFonts w:cs="Times New Roman"/>
              </w:rPr>
              <w:t>0.87</w:t>
            </w:r>
          </w:p>
        </w:tc>
        <w:tc>
          <w:tcPr>
            <w:tcW w:w="740" w:type="pct"/>
            <w:vAlign w:val="center"/>
          </w:tcPr>
          <w:p w14:paraId="48FDD489">
            <w:pPr>
              <w:pStyle w:val="64"/>
              <w:wordWrap w:val="0"/>
              <w:rPr>
                <w:rFonts w:cs="Times New Roman"/>
              </w:rPr>
            </w:pPr>
            <w:r>
              <w:rPr>
                <w:rFonts w:cs="Times New Roman"/>
              </w:rPr>
              <w:t>0.2</w:t>
            </w:r>
          </w:p>
        </w:tc>
        <w:tc>
          <w:tcPr>
            <w:tcW w:w="740" w:type="pct"/>
            <w:vAlign w:val="center"/>
          </w:tcPr>
          <w:p w14:paraId="4CCF5F04">
            <w:pPr>
              <w:pStyle w:val="64"/>
              <w:wordWrap w:val="0"/>
              <w:rPr>
                <w:rFonts w:cs="Times New Roman"/>
              </w:rPr>
            </w:pPr>
            <w:r>
              <w:rPr>
                <w:rFonts w:cs="Times New Roman"/>
              </w:rPr>
              <w:t>0.83</w:t>
            </w:r>
          </w:p>
        </w:tc>
        <w:tc>
          <w:tcPr>
            <w:tcW w:w="738" w:type="pct"/>
            <w:vAlign w:val="center"/>
          </w:tcPr>
          <w:p w14:paraId="4A7CEEB9">
            <w:pPr>
              <w:pStyle w:val="64"/>
              <w:wordWrap w:val="0"/>
              <w:rPr>
                <w:rFonts w:cs="Times New Roman"/>
              </w:rPr>
            </w:pPr>
            <w:r>
              <w:rPr>
                <w:rFonts w:cs="Times New Roman"/>
              </w:rPr>
              <w:t>0.47</w:t>
            </w:r>
          </w:p>
        </w:tc>
      </w:tr>
      <w:tr w14:paraId="69F362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1" w:type="pct"/>
            <w:vMerge w:val="continue"/>
            <w:vAlign w:val="center"/>
          </w:tcPr>
          <w:p w14:paraId="4AF485CE">
            <w:pPr>
              <w:pStyle w:val="64"/>
              <w:wordWrap w:val="0"/>
              <w:rPr>
                <w:rFonts w:cs="Times New Roman"/>
              </w:rPr>
            </w:pPr>
          </w:p>
        </w:tc>
        <w:tc>
          <w:tcPr>
            <w:tcW w:w="505" w:type="pct"/>
            <w:vMerge w:val="restart"/>
            <w:vAlign w:val="center"/>
          </w:tcPr>
          <w:p w14:paraId="21BDFE96">
            <w:pPr>
              <w:pStyle w:val="64"/>
              <w:wordWrap w:val="0"/>
              <w:rPr>
                <w:rFonts w:cs="Times New Roman"/>
              </w:rPr>
            </w:pPr>
            <w:r>
              <w:rPr>
                <w:rFonts w:cs="Times New Roman"/>
              </w:rPr>
              <w:t>2024.08.21</w:t>
            </w:r>
          </w:p>
        </w:tc>
        <w:tc>
          <w:tcPr>
            <w:tcW w:w="314" w:type="pct"/>
            <w:vAlign w:val="center"/>
          </w:tcPr>
          <w:p w14:paraId="10DC96AA">
            <w:pPr>
              <w:pStyle w:val="64"/>
              <w:wordWrap w:val="0"/>
              <w:rPr>
                <w:rFonts w:cs="Times New Roman"/>
              </w:rPr>
            </w:pPr>
            <w:r>
              <w:rPr>
                <w:rFonts w:cs="Times New Roman"/>
              </w:rPr>
              <w:t>Ci</w:t>
            </w:r>
          </w:p>
        </w:tc>
        <w:tc>
          <w:tcPr>
            <w:tcW w:w="740" w:type="pct"/>
            <w:vAlign w:val="center"/>
          </w:tcPr>
          <w:p w14:paraId="798CA6E2">
            <w:pPr>
              <w:pStyle w:val="64"/>
              <w:wordWrap w:val="0"/>
              <w:rPr>
                <w:rFonts w:cs="Times New Roman"/>
              </w:rPr>
            </w:pPr>
            <w:r>
              <w:rPr>
                <w:rFonts w:cs="Times New Roman"/>
              </w:rPr>
              <w:t>0.8</w:t>
            </w:r>
          </w:p>
        </w:tc>
        <w:tc>
          <w:tcPr>
            <w:tcW w:w="712" w:type="pct"/>
            <w:vAlign w:val="center"/>
          </w:tcPr>
          <w:p w14:paraId="23EB35F9">
            <w:pPr>
              <w:pStyle w:val="64"/>
              <w:wordWrap w:val="0"/>
              <w:rPr>
                <w:rFonts w:cs="Times New Roman"/>
              </w:rPr>
            </w:pPr>
            <w:r>
              <w:rPr>
                <w:rFonts w:cs="Times New Roman"/>
              </w:rPr>
              <w:t>2.4</w:t>
            </w:r>
          </w:p>
        </w:tc>
        <w:tc>
          <w:tcPr>
            <w:tcW w:w="740" w:type="pct"/>
            <w:vAlign w:val="center"/>
          </w:tcPr>
          <w:p w14:paraId="11824D54">
            <w:pPr>
              <w:pStyle w:val="64"/>
              <w:wordWrap w:val="0"/>
              <w:rPr>
                <w:rFonts w:cs="Times New Roman"/>
              </w:rPr>
            </w:pPr>
            <w:r>
              <w:rPr>
                <w:rFonts w:cs="Times New Roman"/>
              </w:rPr>
              <w:t>0.7</w:t>
            </w:r>
          </w:p>
        </w:tc>
        <w:tc>
          <w:tcPr>
            <w:tcW w:w="740" w:type="pct"/>
            <w:vAlign w:val="center"/>
          </w:tcPr>
          <w:p w14:paraId="4EDD4803">
            <w:pPr>
              <w:pStyle w:val="64"/>
              <w:wordWrap w:val="0"/>
              <w:rPr>
                <w:rFonts w:cs="Times New Roman"/>
              </w:rPr>
            </w:pPr>
            <w:r>
              <w:rPr>
                <w:rFonts w:cs="Times New Roman"/>
              </w:rPr>
              <w:t>2.3</w:t>
            </w:r>
          </w:p>
        </w:tc>
        <w:tc>
          <w:tcPr>
            <w:tcW w:w="738" w:type="pct"/>
            <w:vAlign w:val="center"/>
          </w:tcPr>
          <w:p w14:paraId="1A207348">
            <w:pPr>
              <w:pStyle w:val="64"/>
              <w:wordWrap w:val="0"/>
              <w:rPr>
                <w:rFonts w:cs="Times New Roman"/>
              </w:rPr>
            </w:pPr>
            <w:r>
              <w:rPr>
                <w:rFonts w:cs="Times New Roman"/>
              </w:rPr>
              <w:t>1.3</w:t>
            </w:r>
          </w:p>
        </w:tc>
      </w:tr>
      <w:tr w14:paraId="4A8431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1" w:type="pct"/>
            <w:vMerge w:val="continue"/>
            <w:vAlign w:val="center"/>
          </w:tcPr>
          <w:p w14:paraId="3928F826">
            <w:pPr>
              <w:pStyle w:val="64"/>
              <w:wordWrap w:val="0"/>
              <w:rPr>
                <w:rFonts w:cs="Times New Roman"/>
              </w:rPr>
            </w:pPr>
          </w:p>
        </w:tc>
        <w:tc>
          <w:tcPr>
            <w:tcW w:w="505" w:type="pct"/>
            <w:vMerge w:val="continue"/>
            <w:vAlign w:val="center"/>
          </w:tcPr>
          <w:p w14:paraId="73C48FC9">
            <w:pPr>
              <w:pStyle w:val="64"/>
              <w:wordWrap w:val="0"/>
              <w:rPr>
                <w:rFonts w:cs="Times New Roman"/>
              </w:rPr>
            </w:pPr>
          </w:p>
        </w:tc>
        <w:tc>
          <w:tcPr>
            <w:tcW w:w="314" w:type="pct"/>
            <w:vAlign w:val="center"/>
          </w:tcPr>
          <w:p w14:paraId="56CD04E2">
            <w:pPr>
              <w:pStyle w:val="64"/>
              <w:wordWrap w:val="0"/>
              <w:rPr>
                <w:rFonts w:cs="Times New Roman"/>
              </w:rPr>
            </w:pPr>
            <w:r>
              <w:rPr>
                <w:rFonts w:cs="Times New Roman"/>
              </w:rPr>
              <w:t>Si</w:t>
            </w:r>
          </w:p>
        </w:tc>
        <w:tc>
          <w:tcPr>
            <w:tcW w:w="740" w:type="pct"/>
            <w:vAlign w:val="center"/>
          </w:tcPr>
          <w:p w14:paraId="12413D7A">
            <w:pPr>
              <w:pStyle w:val="64"/>
              <w:wordWrap w:val="0"/>
              <w:rPr>
                <w:rFonts w:cs="Times New Roman"/>
              </w:rPr>
            </w:pPr>
            <w:r>
              <w:rPr>
                <w:rFonts w:cs="Times New Roman"/>
              </w:rPr>
              <w:t>0.27</w:t>
            </w:r>
          </w:p>
        </w:tc>
        <w:tc>
          <w:tcPr>
            <w:tcW w:w="712" w:type="pct"/>
            <w:vAlign w:val="center"/>
          </w:tcPr>
          <w:p w14:paraId="6BE02FF5">
            <w:pPr>
              <w:pStyle w:val="64"/>
              <w:wordWrap w:val="0"/>
              <w:rPr>
                <w:rFonts w:cs="Times New Roman"/>
              </w:rPr>
            </w:pPr>
            <w:r>
              <w:rPr>
                <w:rFonts w:cs="Times New Roman"/>
              </w:rPr>
              <w:t>0.8</w:t>
            </w:r>
          </w:p>
        </w:tc>
        <w:tc>
          <w:tcPr>
            <w:tcW w:w="740" w:type="pct"/>
            <w:vAlign w:val="center"/>
          </w:tcPr>
          <w:p w14:paraId="129CC484">
            <w:pPr>
              <w:pStyle w:val="64"/>
              <w:wordWrap w:val="0"/>
              <w:rPr>
                <w:rFonts w:cs="Times New Roman"/>
              </w:rPr>
            </w:pPr>
            <w:r>
              <w:rPr>
                <w:rFonts w:cs="Times New Roman"/>
              </w:rPr>
              <w:t>0.23</w:t>
            </w:r>
          </w:p>
        </w:tc>
        <w:tc>
          <w:tcPr>
            <w:tcW w:w="740" w:type="pct"/>
            <w:vAlign w:val="center"/>
          </w:tcPr>
          <w:p w14:paraId="232BAED5">
            <w:pPr>
              <w:pStyle w:val="64"/>
              <w:wordWrap w:val="0"/>
              <w:rPr>
                <w:rFonts w:cs="Times New Roman"/>
              </w:rPr>
            </w:pPr>
            <w:r>
              <w:rPr>
                <w:rFonts w:cs="Times New Roman"/>
              </w:rPr>
              <w:t>0.77</w:t>
            </w:r>
          </w:p>
        </w:tc>
        <w:tc>
          <w:tcPr>
            <w:tcW w:w="738" w:type="pct"/>
            <w:vAlign w:val="center"/>
          </w:tcPr>
          <w:p w14:paraId="5DDEE1AA">
            <w:pPr>
              <w:pStyle w:val="64"/>
              <w:wordWrap w:val="0"/>
              <w:rPr>
                <w:rFonts w:cs="Times New Roman"/>
              </w:rPr>
            </w:pPr>
            <w:r>
              <w:rPr>
                <w:rFonts w:cs="Times New Roman"/>
              </w:rPr>
              <w:t>0.43</w:t>
            </w:r>
          </w:p>
        </w:tc>
      </w:tr>
      <w:tr w14:paraId="7F6EAD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1" w:type="pct"/>
            <w:vMerge w:val="restart"/>
            <w:vAlign w:val="center"/>
          </w:tcPr>
          <w:p w14:paraId="4C5D1720">
            <w:pPr>
              <w:pStyle w:val="64"/>
              <w:wordWrap w:val="0"/>
              <w:rPr>
                <w:rFonts w:cs="Times New Roman"/>
              </w:rPr>
            </w:pPr>
            <w:r>
              <w:rPr>
                <w:rFonts w:cs="Times New Roman"/>
              </w:rPr>
              <w:t>溶解性总固体</w:t>
            </w:r>
          </w:p>
        </w:tc>
        <w:tc>
          <w:tcPr>
            <w:tcW w:w="505" w:type="pct"/>
            <w:vMerge w:val="restart"/>
            <w:vAlign w:val="center"/>
          </w:tcPr>
          <w:p w14:paraId="2A4D0E8D">
            <w:pPr>
              <w:pStyle w:val="64"/>
              <w:wordWrap w:val="0"/>
              <w:rPr>
                <w:rFonts w:cs="Times New Roman"/>
              </w:rPr>
            </w:pPr>
            <w:r>
              <w:rPr>
                <w:rFonts w:cs="Times New Roman"/>
              </w:rPr>
              <w:t>2024.08.20</w:t>
            </w:r>
          </w:p>
        </w:tc>
        <w:tc>
          <w:tcPr>
            <w:tcW w:w="314" w:type="pct"/>
            <w:vAlign w:val="center"/>
          </w:tcPr>
          <w:p w14:paraId="69340E96">
            <w:pPr>
              <w:pStyle w:val="64"/>
              <w:wordWrap w:val="0"/>
              <w:rPr>
                <w:rFonts w:cs="Times New Roman"/>
              </w:rPr>
            </w:pPr>
            <w:r>
              <w:rPr>
                <w:rFonts w:cs="Times New Roman"/>
              </w:rPr>
              <w:t>Ci</w:t>
            </w:r>
          </w:p>
        </w:tc>
        <w:tc>
          <w:tcPr>
            <w:tcW w:w="740" w:type="pct"/>
            <w:vAlign w:val="center"/>
          </w:tcPr>
          <w:p w14:paraId="0D2088C1">
            <w:pPr>
              <w:pStyle w:val="64"/>
              <w:wordWrap w:val="0"/>
              <w:rPr>
                <w:rFonts w:cs="Times New Roman"/>
              </w:rPr>
            </w:pPr>
            <w:r>
              <w:rPr>
                <w:rFonts w:cs="Times New Roman"/>
              </w:rPr>
              <w:t>489</w:t>
            </w:r>
          </w:p>
        </w:tc>
        <w:tc>
          <w:tcPr>
            <w:tcW w:w="712" w:type="pct"/>
            <w:vAlign w:val="center"/>
          </w:tcPr>
          <w:p w14:paraId="342B1C0C">
            <w:pPr>
              <w:pStyle w:val="64"/>
              <w:wordWrap w:val="0"/>
              <w:rPr>
                <w:rFonts w:cs="Times New Roman"/>
              </w:rPr>
            </w:pPr>
            <w:r>
              <w:rPr>
                <w:rFonts w:cs="Times New Roman"/>
              </w:rPr>
              <w:t>453</w:t>
            </w:r>
          </w:p>
        </w:tc>
        <w:tc>
          <w:tcPr>
            <w:tcW w:w="740" w:type="pct"/>
            <w:vAlign w:val="center"/>
          </w:tcPr>
          <w:p w14:paraId="74DFBA38">
            <w:pPr>
              <w:pStyle w:val="64"/>
              <w:wordWrap w:val="0"/>
              <w:rPr>
                <w:rFonts w:cs="Times New Roman"/>
              </w:rPr>
            </w:pPr>
            <w:r>
              <w:rPr>
                <w:rFonts w:cs="Times New Roman"/>
              </w:rPr>
              <w:t>511</w:t>
            </w:r>
          </w:p>
        </w:tc>
        <w:tc>
          <w:tcPr>
            <w:tcW w:w="740" w:type="pct"/>
            <w:vAlign w:val="center"/>
          </w:tcPr>
          <w:p w14:paraId="45F7E995">
            <w:pPr>
              <w:pStyle w:val="64"/>
              <w:wordWrap w:val="0"/>
              <w:rPr>
                <w:rFonts w:cs="Times New Roman"/>
              </w:rPr>
            </w:pPr>
            <w:r>
              <w:rPr>
                <w:rFonts w:cs="Times New Roman"/>
              </w:rPr>
              <w:t>481</w:t>
            </w:r>
          </w:p>
        </w:tc>
        <w:tc>
          <w:tcPr>
            <w:tcW w:w="738" w:type="pct"/>
            <w:vAlign w:val="center"/>
          </w:tcPr>
          <w:p w14:paraId="52C8E10E">
            <w:pPr>
              <w:pStyle w:val="64"/>
              <w:wordWrap w:val="0"/>
              <w:rPr>
                <w:rFonts w:cs="Times New Roman"/>
              </w:rPr>
            </w:pPr>
            <w:r>
              <w:rPr>
                <w:rFonts w:cs="Times New Roman"/>
              </w:rPr>
              <w:t>504</w:t>
            </w:r>
          </w:p>
        </w:tc>
      </w:tr>
      <w:tr w14:paraId="1B3B2C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1" w:type="pct"/>
            <w:vMerge w:val="continue"/>
            <w:vAlign w:val="center"/>
          </w:tcPr>
          <w:p w14:paraId="54010D09">
            <w:pPr>
              <w:pStyle w:val="64"/>
              <w:wordWrap w:val="0"/>
              <w:rPr>
                <w:rFonts w:cs="Times New Roman"/>
              </w:rPr>
            </w:pPr>
          </w:p>
        </w:tc>
        <w:tc>
          <w:tcPr>
            <w:tcW w:w="505" w:type="pct"/>
            <w:vMerge w:val="continue"/>
            <w:vAlign w:val="center"/>
          </w:tcPr>
          <w:p w14:paraId="475E00A4">
            <w:pPr>
              <w:pStyle w:val="64"/>
              <w:wordWrap w:val="0"/>
              <w:rPr>
                <w:rFonts w:cs="Times New Roman"/>
              </w:rPr>
            </w:pPr>
          </w:p>
        </w:tc>
        <w:tc>
          <w:tcPr>
            <w:tcW w:w="314" w:type="pct"/>
            <w:vAlign w:val="center"/>
          </w:tcPr>
          <w:p w14:paraId="7C4B5C68">
            <w:pPr>
              <w:pStyle w:val="64"/>
              <w:wordWrap w:val="0"/>
              <w:rPr>
                <w:rFonts w:cs="Times New Roman"/>
              </w:rPr>
            </w:pPr>
            <w:r>
              <w:rPr>
                <w:rFonts w:cs="Times New Roman"/>
              </w:rPr>
              <w:t>Si</w:t>
            </w:r>
          </w:p>
        </w:tc>
        <w:tc>
          <w:tcPr>
            <w:tcW w:w="740" w:type="pct"/>
            <w:vAlign w:val="center"/>
          </w:tcPr>
          <w:p w14:paraId="7224F0E6">
            <w:pPr>
              <w:pStyle w:val="64"/>
              <w:wordWrap w:val="0"/>
              <w:rPr>
                <w:rFonts w:cs="Times New Roman"/>
              </w:rPr>
            </w:pPr>
            <w:r>
              <w:rPr>
                <w:rFonts w:cs="Times New Roman"/>
              </w:rPr>
              <w:t>0.489</w:t>
            </w:r>
          </w:p>
        </w:tc>
        <w:tc>
          <w:tcPr>
            <w:tcW w:w="712" w:type="pct"/>
            <w:vAlign w:val="center"/>
          </w:tcPr>
          <w:p w14:paraId="0E3A8FC9">
            <w:pPr>
              <w:pStyle w:val="64"/>
              <w:wordWrap w:val="0"/>
              <w:rPr>
                <w:rFonts w:cs="Times New Roman"/>
              </w:rPr>
            </w:pPr>
            <w:r>
              <w:rPr>
                <w:rFonts w:cs="Times New Roman"/>
              </w:rPr>
              <w:t>0.453</w:t>
            </w:r>
          </w:p>
        </w:tc>
        <w:tc>
          <w:tcPr>
            <w:tcW w:w="740" w:type="pct"/>
            <w:vAlign w:val="center"/>
          </w:tcPr>
          <w:p w14:paraId="77AAB89B">
            <w:pPr>
              <w:pStyle w:val="64"/>
              <w:wordWrap w:val="0"/>
              <w:rPr>
                <w:rFonts w:cs="Times New Roman"/>
              </w:rPr>
            </w:pPr>
            <w:r>
              <w:rPr>
                <w:rFonts w:cs="Times New Roman"/>
              </w:rPr>
              <w:t>0.511</w:t>
            </w:r>
          </w:p>
        </w:tc>
        <w:tc>
          <w:tcPr>
            <w:tcW w:w="740" w:type="pct"/>
            <w:vAlign w:val="center"/>
          </w:tcPr>
          <w:p w14:paraId="6B79010D">
            <w:pPr>
              <w:pStyle w:val="64"/>
              <w:wordWrap w:val="0"/>
              <w:rPr>
                <w:rFonts w:cs="Times New Roman"/>
              </w:rPr>
            </w:pPr>
            <w:r>
              <w:rPr>
                <w:rFonts w:cs="Times New Roman"/>
              </w:rPr>
              <w:t>0.481</w:t>
            </w:r>
          </w:p>
        </w:tc>
        <w:tc>
          <w:tcPr>
            <w:tcW w:w="738" w:type="pct"/>
            <w:vAlign w:val="center"/>
          </w:tcPr>
          <w:p w14:paraId="1C2A3B8C">
            <w:pPr>
              <w:pStyle w:val="64"/>
              <w:wordWrap w:val="0"/>
              <w:rPr>
                <w:rFonts w:cs="Times New Roman"/>
              </w:rPr>
            </w:pPr>
            <w:r>
              <w:rPr>
                <w:rFonts w:cs="Times New Roman"/>
              </w:rPr>
              <w:t>0.504</w:t>
            </w:r>
          </w:p>
        </w:tc>
      </w:tr>
      <w:tr w14:paraId="70E144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1" w:type="pct"/>
            <w:vMerge w:val="continue"/>
            <w:vAlign w:val="center"/>
          </w:tcPr>
          <w:p w14:paraId="4814A491">
            <w:pPr>
              <w:pStyle w:val="64"/>
              <w:wordWrap w:val="0"/>
              <w:rPr>
                <w:rFonts w:cs="Times New Roman"/>
              </w:rPr>
            </w:pPr>
          </w:p>
        </w:tc>
        <w:tc>
          <w:tcPr>
            <w:tcW w:w="505" w:type="pct"/>
            <w:vMerge w:val="restart"/>
            <w:vAlign w:val="center"/>
          </w:tcPr>
          <w:p w14:paraId="5AFA25F7">
            <w:pPr>
              <w:pStyle w:val="64"/>
              <w:wordWrap w:val="0"/>
              <w:rPr>
                <w:rFonts w:cs="Times New Roman"/>
              </w:rPr>
            </w:pPr>
            <w:r>
              <w:rPr>
                <w:rFonts w:cs="Times New Roman"/>
              </w:rPr>
              <w:t>2024.08.21</w:t>
            </w:r>
          </w:p>
        </w:tc>
        <w:tc>
          <w:tcPr>
            <w:tcW w:w="314" w:type="pct"/>
            <w:vAlign w:val="center"/>
          </w:tcPr>
          <w:p w14:paraId="498F6606">
            <w:pPr>
              <w:pStyle w:val="64"/>
              <w:wordWrap w:val="0"/>
              <w:rPr>
                <w:rFonts w:cs="Times New Roman"/>
              </w:rPr>
            </w:pPr>
            <w:r>
              <w:rPr>
                <w:rFonts w:cs="Times New Roman"/>
              </w:rPr>
              <w:t>Ci</w:t>
            </w:r>
          </w:p>
        </w:tc>
        <w:tc>
          <w:tcPr>
            <w:tcW w:w="740" w:type="pct"/>
            <w:vAlign w:val="center"/>
          </w:tcPr>
          <w:p w14:paraId="1D49C03C">
            <w:pPr>
              <w:pStyle w:val="64"/>
              <w:wordWrap w:val="0"/>
              <w:rPr>
                <w:rFonts w:cs="Times New Roman"/>
              </w:rPr>
            </w:pPr>
            <w:r>
              <w:rPr>
                <w:rFonts w:cs="Times New Roman"/>
              </w:rPr>
              <w:t>455</w:t>
            </w:r>
          </w:p>
        </w:tc>
        <w:tc>
          <w:tcPr>
            <w:tcW w:w="712" w:type="pct"/>
            <w:vAlign w:val="center"/>
          </w:tcPr>
          <w:p w14:paraId="31607F49">
            <w:pPr>
              <w:pStyle w:val="64"/>
              <w:wordWrap w:val="0"/>
              <w:rPr>
                <w:rFonts w:cs="Times New Roman"/>
              </w:rPr>
            </w:pPr>
            <w:r>
              <w:rPr>
                <w:rFonts w:cs="Times New Roman"/>
              </w:rPr>
              <w:t>477</w:t>
            </w:r>
          </w:p>
        </w:tc>
        <w:tc>
          <w:tcPr>
            <w:tcW w:w="740" w:type="pct"/>
            <w:vAlign w:val="center"/>
          </w:tcPr>
          <w:p w14:paraId="5DFFE3EB">
            <w:pPr>
              <w:pStyle w:val="64"/>
              <w:wordWrap w:val="0"/>
              <w:rPr>
                <w:rFonts w:cs="Times New Roman"/>
              </w:rPr>
            </w:pPr>
            <w:r>
              <w:rPr>
                <w:rFonts w:cs="Times New Roman"/>
              </w:rPr>
              <w:t>423</w:t>
            </w:r>
          </w:p>
        </w:tc>
        <w:tc>
          <w:tcPr>
            <w:tcW w:w="740" w:type="pct"/>
            <w:vAlign w:val="center"/>
          </w:tcPr>
          <w:p w14:paraId="3CD78464">
            <w:pPr>
              <w:pStyle w:val="64"/>
              <w:wordWrap w:val="0"/>
              <w:rPr>
                <w:rFonts w:cs="Times New Roman"/>
              </w:rPr>
            </w:pPr>
            <w:r>
              <w:rPr>
                <w:rFonts w:cs="Times New Roman"/>
              </w:rPr>
              <w:t>503</w:t>
            </w:r>
          </w:p>
        </w:tc>
        <w:tc>
          <w:tcPr>
            <w:tcW w:w="738" w:type="pct"/>
            <w:vAlign w:val="center"/>
          </w:tcPr>
          <w:p w14:paraId="32FEB7E3">
            <w:pPr>
              <w:pStyle w:val="64"/>
              <w:wordWrap w:val="0"/>
              <w:rPr>
                <w:rFonts w:cs="Times New Roman"/>
              </w:rPr>
            </w:pPr>
            <w:r>
              <w:rPr>
                <w:rFonts w:cs="Times New Roman"/>
              </w:rPr>
              <w:t>514</w:t>
            </w:r>
          </w:p>
        </w:tc>
      </w:tr>
      <w:tr w14:paraId="5C4A7F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1" w:type="pct"/>
            <w:vMerge w:val="continue"/>
            <w:vAlign w:val="center"/>
          </w:tcPr>
          <w:p w14:paraId="0D1B1A51">
            <w:pPr>
              <w:pStyle w:val="64"/>
              <w:wordWrap w:val="0"/>
              <w:rPr>
                <w:rFonts w:cs="Times New Roman"/>
              </w:rPr>
            </w:pPr>
          </w:p>
        </w:tc>
        <w:tc>
          <w:tcPr>
            <w:tcW w:w="505" w:type="pct"/>
            <w:vMerge w:val="continue"/>
            <w:vAlign w:val="center"/>
          </w:tcPr>
          <w:p w14:paraId="63CD550A">
            <w:pPr>
              <w:pStyle w:val="64"/>
              <w:wordWrap w:val="0"/>
              <w:rPr>
                <w:rFonts w:cs="Times New Roman"/>
              </w:rPr>
            </w:pPr>
          </w:p>
        </w:tc>
        <w:tc>
          <w:tcPr>
            <w:tcW w:w="314" w:type="pct"/>
            <w:vAlign w:val="center"/>
          </w:tcPr>
          <w:p w14:paraId="574442A3">
            <w:pPr>
              <w:pStyle w:val="64"/>
              <w:wordWrap w:val="0"/>
              <w:rPr>
                <w:rFonts w:cs="Times New Roman"/>
              </w:rPr>
            </w:pPr>
            <w:r>
              <w:rPr>
                <w:rFonts w:cs="Times New Roman"/>
              </w:rPr>
              <w:t>Si</w:t>
            </w:r>
          </w:p>
        </w:tc>
        <w:tc>
          <w:tcPr>
            <w:tcW w:w="740" w:type="pct"/>
            <w:vAlign w:val="center"/>
          </w:tcPr>
          <w:p w14:paraId="70BD5788">
            <w:pPr>
              <w:pStyle w:val="64"/>
              <w:wordWrap w:val="0"/>
              <w:rPr>
                <w:rFonts w:cs="Times New Roman"/>
              </w:rPr>
            </w:pPr>
            <w:r>
              <w:rPr>
                <w:rFonts w:cs="Times New Roman"/>
              </w:rPr>
              <w:t>0.455</w:t>
            </w:r>
          </w:p>
        </w:tc>
        <w:tc>
          <w:tcPr>
            <w:tcW w:w="712" w:type="pct"/>
            <w:vAlign w:val="center"/>
          </w:tcPr>
          <w:p w14:paraId="2AD3E0F6">
            <w:pPr>
              <w:pStyle w:val="64"/>
              <w:wordWrap w:val="0"/>
              <w:rPr>
                <w:rFonts w:cs="Times New Roman"/>
              </w:rPr>
            </w:pPr>
            <w:r>
              <w:rPr>
                <w:rFonts w:cs="Times New Roman"/>
              </w:rPr>
              <w:t>0.477</w:t>
            </w:r>
          </w:p>
        </w:tc>
        <w:tc>
          <w:tcPr>
            <w:tcW w:w="740" w:type="pct"/>
            <w:vAlign w:val="center"/>
          </w:tcPr>
          <w:p w14:paraId="1D6A0E38">
            <w:pPr>
              <w:pStyle w:val="64"/>
              <w:wordWrap w:val="0"/>
              <w:rPr>
                <w:rFonts w:cs="Times New Roman"/>
              </w:rPr>
            </w:pPr>
            <w:r>
              <w:rPr>
                <w:rFonts w:cs="Times New Roman"/>
              </w:rPr>
              <w:t>0.423</w:t>
            </w:r>
          </w:p>
        </w:tc>
        <w:tc>
          <w:tcPr>
            <w:tcW w:w="740" w:type="pct"/>
            <w:vAlign w:val="center"/>
          </w:tcPr>
          <w:p w14:paraId="08B02D73">
            <w:pPr>
              <w:pStyle w:val="64"/>
              <w:wordWrap w:val="0"/>
              <w:rPr>
                <w:rFonts w:cs="Times New Roman"/>
              </w:rPr>
            </w:pPr>
            <w:r>
              <w:rPr>
                <w:rFonts w:cs="Times New Roman"/>
              </w:rPr>
              <w:t>0.503</w:t>
            </w:r>
          </w:p>
        </w:tc>
        <w:tc>
          <w:tcPr>
            <w:tcW w:w="738" w:type="pct"/>
            <w:vAlign w:val="center"/>
          </w:tcPr>
          <w:p w14:paraId="69CC439B">
            <w:pPr>
              <w:pStyle w:val="64"/>
              <w:wordWrap w:val="0"/>
              <w:rPr>
                <w:rFonts w:cs="Times New Roman"/>
              </w:rPr>
            </w:pPr>
            <w:r>
              <w:rPr>
                <w:rFonts w:cs="Times New Roman"/>
              </w:rPr>
              <w:t>0.514</w:t>
            </w:r>
          </w:p>
        </w:tc>
      </w:tr>
      <w:tr w14:paraId="0C9D8A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1" w:type="pct"/>
            <w:vMerge w:val="restart"/>
            <w:vAlign w:val="center"/>
          </w:tcPr>
          <w:p w14:paraId="31029FB0">
            <w:pPr>
              <w:pStyle w:val="64"/>
              <w:wordWrap w:val="0"/>
              <w:rPr>
                <w:rFonts w:cs="Times New Roman"/>
              </w:rPr>
            </w:pPr>
            <w:r>
              <w:rPr>
                <w:rFonts w:cs="Times New Roman"/>
              </w:rPr>
              <w:t>砷</w:t>
            </w:r>
          </w:p>
        </w:tc>
        <w:tc>
          <w:tcPr>
            <w:tcW w:w="505" w:type="pct"/>
            <w:vMerge w:val="restart"/>
            <w:vAlign w:val="center"/>
          </w:tcPr>
          <w:p w14:paraId="4CB5004C">
            <w:pPr>
              <w:pStyle w:val="64"/>
              <w:wordWrap w:val="0"/>
              <w:rPr>
                <w:rFonts w:cs="Times New Roman"/>
              </w:rPr>
            </w:pPr>
            <w:r>
              <w:rPr>
                <w:rFonts w:cs="Times New Roman"/>
              </w:rPr>
              <w:t>2024.08.20</w:t>
            </w:r>
          </w:p>
        </w:tc>
        <w:tc>
          <w:tcPr>
            <w:tcW w:w="314" w:type="pct"/>
            <w:vAlign w:val="center"/>
          </w:tcPr>
          <w:p w14:paraId="56D949E3">
            <w:pPr>
              <w:pStyle w:val="64"/>
              <w:wordWrap w:val="0"/>
              <w:rPr>
                <w:rFonts w:cs="Times New Roman"/>
              </w:rPr>
            </w:pPr>
            <w:r>
              <w:rPr>
                <w:rFonts w:cs="Times New Roman"/>
              </w:rPr>
              <w:t>Ci</w:t>
            </w:r>
          </w:p>
        </w:tc>
        <w:tc>
          <w:tcPr>
            <w:tcW w:w="740" w:type="pct"/>
            <w:vAlign w:val="center"/>
          </w:tcPr>
          <w:p w14:paraId="68F460FB">
            <w:pPr>
              <w:pStyle w:val="64"/>
              <w:wordWrap w:val="0"/>
              <w:rPr>
                <w:rFonts w:cs="Times New Roman"/>
              </w:rPr>
            </w:pPr>
            <w:r>
              <w:rPr>
                <w:rFonts w:cs="Times New Roman"/>
              </w:rPr>
              <w:t>&lt;0.0003</w:t>
            </w:r>
          </w:p>
        </w:tc>
        <w:tc>
          <w:tcPr>
            <w:tcW w:w="712" w:type="pct"/>
            <w:vAlign w:val="center"/>
          </w:tcPr>
          <w:p w14:paraId="02395D05">
            <w:pPr>
              <w:pStyle w:val="64"/>
              <w:wordWrap w:val="0"/>
              <w:rPr>
                <w:rFonts w:cs="Times New Roman"/>
              </w:rPr>
            </w:pPr>
            <w:r>
              <w:rPr>
                <w:rFonts w:cs="Times New Roman"/>
              </w:rPr>
              <w:t>&lt;0.0003</w:t>
            </w:r>
          </w:p>
        </w:tc>
        <w:tc>
          <w:tcPr>
            <w:tcW w:w="740" w:type="pct"/>
            <w:vAlign w:val="center"/>
          </w:tcPr>
          <w:p w14:paraId="6DB24881">
            <w:pPr>
              <w:pStyle w:val="64"/>
              <w:wordWrap w:val="0"/>
              <w:rPr>
                <w:rFonts w:cs="Times New Roman"/>
              </w:rPr>
            </w:pPr>
            <w:r>
              <w:rPr>
                <w:rFonts w:cs="Times New Roman"/>
              </w:rPr>
              <w:t>&lt;0.0003</w:t>
            </w:r>
          </w:p>
        </w:tc>
        <w:tc>
          <w:tcPr>
            <w:tcW w:w="740" w:type="pct"/>
            <w:vAlign w:val="center"/>
          </w:tcPr>
          <w:p w14:paraId="6B9465D6">
            <w:pPr>
              <w:pStyle w:val="64"/>
              <w:wordWrap w:val="0"/>
              <w:rPr>
                <w:rFonts w:cs="Times New Roman"/>
              </w:rPr>
            </w:pPr>
            <w:r>
              <w:rPr>
                <w:rFonts w:cs="Times New Roman"/>
              </w:rPr>
              <w:t>&lt;0.0003</w:t>
            </w:r>
          </w:p>
        </w:tc>
        <w:tc>
          <w:tcPr>
            <w:tcW w:w="738" w:type="pct"/>
            <w:vAlign w:val="center"/>
          </w:tcPr>
          <w:p w14:paraId="3713C5F1">
            <w:pPr>
              <w:pStyle w:val="64"/>
              <w:wordWrap w:val="0"/>
              <w:rPr>
                <w:rFonts w:cs="Times New Roman"/>
              </w:rPr>
            </w:pPr>
            <w:r>
              <w:rPr>
                <w:rFonts w:cs="Times New Roman"/>
              </w:rPr>
              <w:t>&lt;0.0003</w:t>
            </w:r>
          </w:p>
        </w:tc>
      </w:tr>
      <w:tr w14:paraId="375BAA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1" w:type="pct"/>
            <w:vMerge w:val="continue"/>
            <w:vAlign w:val="center"/>
          </w:tcPr>
          <w:p w14:paraId="12D6B262">
            <w:pPr>
              <w:pStyle w:val="64"/>
              <w:wordWrap w:val="0"/>
              <w:rPr>
                <w:rFonts w:cs="Times New Roman"/>
              </w:rPr>
            </w:pPr>
          </w:p>
        </w:tc>
        <w:tc>
          <w:tcPr>
            <w:tcW w:w="505" w:type="pct"/>
            <w:vMerge w:val="continue"/>
            <w:vAlign w:val="center"/>
          </w:tcPr>
          <w:p w14:paraId="51860C54">
            <w:pPr>
              <w:pStyle w:val="64"/>
              <w:wordWrap w:val="0"/>
              <w:rPr>
                <w:rFonts w:cs="Times New Roman"/>
              </w:rPr>
            </w:pPr>
          </w:p>
        </w:tc>
        <w:tc>
          <w:tcPr>
            <w:tcW w:w="314" w:type="pct"/>
            <w:vAlign w:val="center"/>
          </w:tcPr>
          <w:p w14:paraId="1E93CB3C">
            <w:pPr>
              <w:pStyle w:val="64"/>
              <w:wordWrap w:val="0"/>
              <w:rPr>
                <w:rFonts w:cs="Times New Roman"/>
              </w:rPr>
            </w:pPr>
            <w:r>
              <w:rPr>
                <w:rFonts w:cs="Times New Roman"/>
              </w:rPr>
              <w:t>Si</w:t>
            </w:r>
          </w:p>
        </w:tc>
        <w:tc>
          <w:tcPr>
            <w:tcW w:w="740" w:type="pct"/>
            <w:vAlign w:val="center"/>
          </w:tcPr>
          <w:p w14:paraId="26E872AC">
            <w:pPr>
              <w:pStyle w:val="64"/>
              <w:wordWrap w:val="0"/>
              <w:rPr>
                <w:rFonts w:cs="Times New Roman"/>
              </w:rPr>
            </w:pPr>
            <w:r>
              <w:rPr>
                <w:rFonts w:cs="Times New Roman"/>
              </w:rPr>
              <w:t>&lt;0.03</w:t>
            </w:r>
          </w:p>
        </w:tc>
        <w:tc>
          <w:tcPr>
            <w:tcW w:w="712" w:type="pct"/>
            <w:vAlign w:val="center"/>
          </w:tcPr>
          <w:p w14:paraId="3E83FAF7">
            <w:pPr>
              <w:pStyle w:val="64"/>
              <w:wordWrap w:val="0"/>
              <w:rPr>
                <w:rFonts w:cs="Times New Roman"/>
              </w:rPr>
            </w:pPr>
            <w:r>
              <w:rPr>
                <w:rFonts w:cs="Times New Roman"/>
              </w:rPr>
              <w:t>&lt;0.03</w:t>
            </w:r>
          </w:p>
        </w:tc>
        <w:tc>
          <w:tcPr>
            <w:tcW w:w="740" w:type="pct"/>
            <w:vAlign w:val="center"/>
          </w:tcPr>
          <w:p w14:paraId="683F9E55">
            <w:pPr>
              <w:pStyle w:val="64"/>
              <w:wordWrap w:val="0"/>
              <w:rPr>
                <w:rFonts w:cs="Times New Roman"/>
              </w:rPr>
            </w:pPr>
            <w:r>
              <w:rPr>
                <w:rFonts w:cs="Times New Roman"/>
              </w:rPr>
              <w:t>&lt;0.03</w:t>
            </w:r>
          </w:p>
        </w:tc>
        <w:tc>
          <w:tcPr>
            <w:tcW w:w="740" w:type="pct"/>
            <w:vAlign w:val="center"/>
          </w:tcPr>
          <w:p w14:paraId="6BAA2374">
            <w:pPr>
              <w:pStyle w:val="64"/>
              <w:wordWrap w:val="0"/>
              <w:rPr>
                <w:rFonts w:cs="Times New Roman"/>
              </w:rPr>
            </w:pPr>
            <w:r>
              <w:rPr>
                <w:rFonts w:cs="Times New Roman"/>
              </w:rPr>
              <w:t>&lt;0.03</w:t>
            </w:r>
          </w:p>
        </w:tc>
        <w:tc>
          <w:tcPr>
            <w:tcW w:w="738" w:type="pct"/>
            <w:vAlign w:val="center"/>
          </w:tcPr>
          <w:p w14:paraId="791F0DA7">
            <w:pPr>
              <w:pStyle w:val="64"/>
              <w:wordWrap w:val="0"/>
              <w:rPr>
                <w:rFonts w:cs="Times New Roman"/>
              </w:rPr>
            </w:pPr>
            <w:r>
              <w:rPr>
                <w:rFonts w:cs="Times New Roman"/>
              </w:rPr>
              <w:t>&lt;0.03</w:t>
            </w:r>
          </w:p>
        </w:tc>
      </w:tr>
      <w:tr w14:paraId="2507F0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1" w:type="pct"/>
            <w:vMerge w:val="continue"/>
            <w:vAlign w:val="center"/>
          </w:tcPr>
          <w:p w14:paraId="52B7C3F8">
            <w:pPr>
              <w:pStyle w:val="64"/>
              <w:wordWrap w:val="0"/>
              <w:rPr>
                <w:rFonts w:cs="Times New Roman"/>
              </w:rPr>
            </w:pPr>
          </w:p>
        </w:tc>
        <w:tc>
          <w:tcPr>
            <w:tcW w:w="505" w:type="pct"/>
            <w:vMerge w:val="restart"/>
            <w:vAlign w:val="center"/>
          </w:tcPr>
          <w:p w14:paraId="6EE5E472">
            <w:pPr>
              <w:pStyle w:val="64"/>
              <w:wordWrap w:val="0"/>
              <w:rPr>
                <w:rFonts w:cs="Times New Roman"/>
              </w:rPr>
            </w:pPr>
            <w:r>
              <w:rPr>
                <w:rFonts w:cs="Times New Roman"/>
              </w:rPr>
              <w:t>2024.08.21</w:t>
            </w:r>
          </w:p>
        </w:tc>
        <w:tc>
          <w:tcPr>
            <w:tcW w:w="314" w:type="pct"/>
            <w:vAlign w:val="center"/>
          </w:tcPr>
          <w:p w14:paraId="0479E413">
            <w:pPr>
              <w:pStyle w:val="64"/>
              <w:wordWrap w:val="0"/>
              <w:rPr>
                <w:rFonts w:cs="Times New Roman"/>
              </w:rPr>
            </w:pPr>
            <w:r>
              <w:rPr>
                <w:rFonts w:cs="Times New Roman"/>
              </w:rPr>
              <w:t>Ci</w:t>
            </w:r>
          </w:p>
        </w:tc>
        <w:tc>
          <w:tcPr>
            <w:tcW w:w="740" w:type="pct"/>
            <w:vAlign w:val="center"/>
          </w:tcPr>
          <w:p w14:paraId="532F6DB7">
            <w:pPr>
              <w:pStyle w:val="64"/>
              <w:wordWrap w:val="0"/>
              <w:rPr>
                <w:rFonts w:cs="Times New Roman"/>
              </w:rPr>
            </w:pPr>
            <w:r>
              <w:rPr>
                <w:rFonts w:cs="Times New Roman"/>
              </w:rPr>
              <w:t>&lt;0.0003</w:t>
            </w:r>
          </w:p>
        </w:tc>
        <w:tc>
          <w:tcPr>
            <w:tcW w:w="712" w:type="pct"/>
            <w:vAlign w:val="center"/>
          </w:tcPr>
          <w:p w14:paraId="5D90E3E3">
            <w:pPr>
              <w:pStyle w:val="64"/>
              <w:wordWrap w:val="0"/>
              <w:rPr>
                <w:rFonts w:cs="Times New Roman"/>
              </w:rPr>
            </w:pPr>
            <w:r>
              <w:rPr>
                <w:rFonts w:cs="Times New Roman"/>
              </w:rPr>
              <w:t>&lt;0.0003</w:t>
            </w:r>
          </w:p>
        </w:tc>
        <w:tc>
          <w:tcPr>
            <w:tcW w:w="740" w:type="pct"/>
            <w:vAlign w:val="center"/>
          </w:tcPr>
          <w:p w14:paraId="1A837693">
            <w:pPr>
              <w:pStyle w:val="64"/>
              <w:wordWrap w:val="0"/>
              <w:rPr>
                <w:rFonts w:cs="Times New Roman"/>
              </w:rPr>
            </w:pPr>
            <w:r>
              <w:rPr>
                <w:rFonts w:cs="Times New Roman"/>
              </w:rPr>
              <w:t>&lt;0.0003</w:t>
            </w:r>
          </w:p>
        </w:tc>
        <w:tc>
          <w:tcPr>
            <w:tcW w:w="740" w:type="pct"/>
            <w:vAlign w:val="center"/>
          </w:tcPr>
          <w:p w14:paraId="4068A996">
            <w:pPr>
              <w:pStyle w:val="64"/>
              <w:wordWrap w:val="0"/>
              <w:rPr>
                <w:rFonts w:cs="Times New Roman"/>
              </w:rPr>
            </w:pPr>
            <w:r>
              <w:rPr>
                <w:rFonts w:cs="Times New Roman"/>
              </w:rPr>
              <w:t>&lt;0.0003</w:t>
            </w:r>
          </w:p>
        </w:tc>
        <w:tc>
          <w:tcPr>
            <w:tcW w:w="738" w:type="pct"/>
            <w:vAlign w:val="center"/>
          </w:tcPr>
          <w:p w14:paraId="0A3EC493">
            <w:pPr>
              <w:pStyle w:val="64"/>
              <w:wordWrap w:val="0"/>
              <w:rPr>
                <w:rFonts w:cs="Times New Roman"/>
              </w:rPr>
            </w:pPr>
            <w:r>
              <w:rPr>
                <w:rFonts w:cs="Times New Roman"/>
              </w:rPr>
              <w:t>&lt;0.0003</w:t>
            </w:r>
          </w:p>
        </w:tc>
      </w:tr>
      <w:tr w14:paraId="5FD724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1" w:type="pct"/>
            <w:vMerge w:val="continue"/>
            <w:vAlign w:val="center"/>
          </w:tcPr>
          <w:p w14:paraId="3C94DD36">
            <w:pPr>
              <w:pStyle w:val="64"/>
              <w:wordWrap w:val="0"/>
              <w:rPr>
                <w:rFonts w:cs="Times New Roman"/>
              </w:rPr>
            </w:pPr>
          </w:p>
        </w:tc>
        <w:tc>
          <w:tcPr>
            <w:tcW w:w="505" w:type="pct"/>
            <w:vMerge w:val="continue"/>
            <w:vAlign w:val="center"/>
          </w:tcPr>
          <w:p w14:paraId="35F740AD">
            <w:pPr>
              <w:pStyle w:val="64"/>
              <w:wordWrap w:val="0"/>
              <w:rPr>
                <w:rFonts w:cs="Times New Roman"/>
              </w:rPr>
            </w:pPr>
          </w:p>
        </w:tc>
        <w:tc>
          <w:tcPr>
            <w:tcW w:w="314" w:type="pct"/>
            <w:vAlign w:val="center"/>
          </w:tcPr>
          <w:p w14:paraId="69790171">
            <w:pPr>
              <w:pStyle w:val="64"/>
              <w:wordWrap w:val="0"/>
              <w:rPr>
                <w:rFonts w:cs="Times New Roman"/>
              </w:rPr>
            </w:pPr>
            <w:r>
              <w:rPr>
                <w:rFonts w:cs="Times New Roman"/>
              </w:rPr>
              <w:t>Si</w:t>
            </w:r>
          </w:p>
        </w:tc>
        <w:tc>
          <w:tcPr>
            <w:tcW w:w="740" w:type="pct"/>
            <w:vAlign w:val="center"/>
          </w:tcPr>
          <w:p w14:paraId="623928A9">
            <w:pPr>
              <w:pStyle w:val="64"/>
              <w:wordWrap w:val="0"/>
              <w:rPr>
                <w:rFonts w:cs="Times New Roman"/>
              </w:rPr>
            </w:pPr>
            <w:r>
              <w:rPr>
                <w:rFonts w:cs="Times New Roman"/>
              </w:rPr>
              <w:t>&lt;0.03</w:t>
            </w:r>
          </w:p>
        </w:tc>
        <w:tc>
          <w:tcPr>
            <w:tcW w:w="712" w:type="pct"/>
            <w:vAlign w:val="center"/>
          </w:tcPr>
          <w:p w14:paraId="45D9C8B7">
            <w:pPr>
              <w:pStyle w:val="64"/>
              <w:wordWrap w:val="0"/>
              <w:rPr>
                <w:rFonts w:cs="Times New Roman"/>
              </w:rPr>
            </w:pPr>
            <w:r>
              <w:rPr>
                <w:rFonts w:cs="Times New Roman"/>
              </w:rPr>
              <w:t>&lt;0.03</w:t>
            </w:r>
          </w:p>
        </w:tc>
        <w:tc>
          <w:tcPr>
            <w:tcW w:w="740" w:type="pct"/>
            <w:vAlign w:val="center"/>
          </w:tcPr>
          <w:p w14:paraId="4EF5EED8">
            <w:pPr>
              <w:pStyle w:val="64"/>
              <w:wordWrap w:val="0"/>
              <w:rPr>
                <w:rFonts w:cs="Times New Roman"/>
              </w:rPr>
            </w:pPr>
            <w:r>
              <w:rPr>
                <w:rFonts w:cs="Times New Roman"/>
              </w:rPr>
              <w:t>&lt;0.03</w:t>
            </w:r>
          </w:p>
        </w:tc>
        <w:tc>
          <w:tcPr>
            <w:tcW w:w="740" w:type="pct"/>
            <w:vAlign w:val="center"/>
          </w:tcPr>
          <w:p w14:paraId="4BD8B08E">
            <w:pPr>
              <w:pStyle w:val="64"/>
              <w:wordWrap w:val="0"/>
              <w:rPr>
                <w:rFonts w:cs="Times New Roman"/>
              </w:rPr>
            </w:pPr>
            <w:r>
              <w:rPr>
                <w:rFonts w:cs="Times New Roman"/>
              </w:rPr>
              <w:t>&lt;0.03</w:t>
            </w:r>
          </w:p>
        </w:tc>
        <w:tc>
          <w:tcPr>
            <w:tcW w:w="738" w:type="pct"/>
            <w:vAlign w:val="center"/>
          </w:tcPr>
          <w:p w14:paraId="52FA1A7E">
            <w:pPr>
              <w:pStyle w:val="64"/>
              <w:wordWrap w:val="0"/>
              <w:rPr>
                <w:rFonts w:cs="Times New Roman"/>
              </w:rPr>
            </w:pPr>
            <w:r>
              <w:rPr>
                <w:rFonts w:cs="Times New Roman"/>
              </w:rPr>
              <w:t>&lt;0.03</w:t>
            </w:r>
          </w:p>
        </w:tc>
      </w:tr>
      <w:tr w14:paraId="0EBBF9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1" w:type="pct"/>
            <w:vMerge w:val="restart"/>
            <w:vAlign w:val="center"/>
          </w:tcPr>
          <w:p w14:paraId="5BA4C13A">
            <w:pPr>
              <w:pStyle w:val="64"/>
              <w:wordWrap w:val="0"/>
              <w:rPr>
                <w:rFonts w:cs="Times New Roman"/>
              </w:rPr>
            </w:pPr>
            <w:r>
              <w:rPr>
                <w:rFonts w:cs="Times New Roman"/>
              </w:rPr>
              <w:t>汞</w:t>
            </w:r>
          </w:p>
        </w:tc>
        <w:tc>
          <w:tcPr>
            <w:tcW w:w="505" w:type="pct"/>
            <w:vMerge w:val="restart"/>
            <w:vAlign w:val="center"/>
          </w:tcPr>
          <w:p w14:paraId="5A95A343">
            <w:pPr>
              <w:pStyle w:val="64"/>
              <w:wordWrap w:val="0"/>
              <w:rPr>
                <w:rFonts w:cs="Times New Roman"/>
              </w:rPr>
            </w:pPr>
            <w:r>
              <w:rPr>
                <w:rFonts w:cs="Times New Roman"/>
              </w:rPr>
              <w:t>2024.08.20</w:t>
            </w:r>
          </w:p>
        </w:tc>
        <w:tc>
          <w:tcPr>
            <w:tcW w:w="314" w:type="pct"/>
            <w:vAlign w:val="center"/>
          </w:tcPr>
          <w:p w14:paraId="39A52F56">
            <w:pPr>
              <w:pStyle w:val="64"/>
              <w:wordWrap w:val="0"/>
              <w:rPr>
                <w:rFonts w:cs="Times New Roman"/>
              </w:rPr>
            </w:pPr>
            <w:r>
              <w:rPr>
                <w:rFonts w:cs="Times New Roman"/>
              </w:rPr>
              <w:t>Ci</w:t>
            </w:r>
          </w:p>
        </w:tc>
        <w:tc>
          <w:tcPr>
            <w:tcW w:w="740" w:type="pct"/>
            <w:vAlign w:val="center"/>
          </w:tcPr>
          <w:p w14:paraId="1115C299">
            <w:pPr>
              <w:pStyle w:val="64"/>
              <w:wordWrap w:val="0"/>
              <w:rPr>
                <w:rFonts w:cs="Times New Roman"/>
              </w:rPr>
            </w:pPr>
            <w:r>
              <w:rPr>
                <w:rFonts w:cs="Times New Roman"/>
              </w:rPr>
              <w:t>&lt;0.00004</w:t>
            </w:r>
          </w:p>
        </w:tc>
        <w:tc>
          <w:tcPr>
            <w:tcW w:w="712" w:type="pct"/>
            <w:vAlign w:val="center"/>
          </w:tcPr>
          <w:p w14:paraId="0AD71E95">
            <w:pPr>
              <w:pStyle w:val="64"/>
              <w:wordWrap w:val="0"/>
              <w:rPr>
                <w:rFonts w:cs="Times New Roman"/>
              </w:rPr>
            </w:pPr>
            <w:r>
              <w:rPr>
                <w:rFonts w:cs="Times New Roman"/>
              </w:rPr>
              <w:t>&lt;0.00004</w:t>
            </w:r>
          </w:p>
        </w:tc>
        <w:tc>
          <w:tcPr>
            <w:tcW w:w="740" w:type="pct"/>
            <w:vAlign w:val="center"/>
          </w:tcPr>
          <w:p w14:paraId="79BCFA0A">
            <w:pPr>
              <w:pStyle w:val="64"/>
              <w:wordWrap w:val="0"/>
              <w:rPr>
                <w:rFonts w:cs="Times New Roman"/>
              </w:rPr>
            </w:pPr>
            <w:r>
              <w:rPr>
                <w:rFonts w:cs="Times New Roman"/>
              </w:rPr>
              <w:t>&lt;0.00004</w:t>
            </w:r>
          </w:p>
        </w:tc>
        <w:tc>
          <w:tcPr>
            <w:tcW w:w="740" w:type="pct"/>
            <w:vAlign w:val="center"/>
          </w:tcPr>
          <w:p w14:paraId="61D14F83">
            <w:pPr>
              <w:pStyle w:val="64"/>
              <w:wordWrap w:val="0"/>
              <w:rPr>
                <w:rFonts w:cs="Times New Roman"/>
              </w:rPr>
            </w:pPr>
            <w:r>
              <w:rPr>
                <w:rFonts w:cs="Times New Roman"/>
              </w:rPr>
              <w:t>&lt;0.00004</w:t>
            </w:r>
          </w:p>
        </w:tc>
        <w:tc>
          <w:tcPr>
            <w:tcW w:w="738" w:type="pct"/>
            <w:vAlign w:val="center"/>
          </w:tcPr>
          <w:p w14:paraId="35E4346D">
            <w:pPr>
              <w:pStyle w:val="64"/>
              <w:wordWrap w:val="0"/>
              <w:rPr>
                <w:rFonts w:cs="Times New Roman"/>
              </w:rPr>
            </w:pPr>
            <w:r>
              <w:rPr>
                <w:rFonts w:cs="Times New Roman"/>
              </w:rPr>
              <w:t>&lt;0.00004</w:t>
            </w:r>
          </w:p>
        </w:tc>
      </w:tr>
      <w:tr w14:paraId="05F4E0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1" w:type="pct"/>
            <w:vMerge w:val="continue"/>
            <w:vAlign w:val="center"/>
          </w:tcPr>
          <w:p w14:paraId="5C574E7E">
            <w:pPr>
              <w:pStyle w:val="64"/>
              <w:wordWrap w:val="0"/>
              <w:rPr>
                <w:rFonts w:cs="Times New Roman"/>
              </w:rPr>
            </w:pPr>
          </w:p>
        </w:tc>
        <w:tc>
          <w:tcPr>
            <w:tcW w:w="505" w:type="pct"/>
            <w:vMerge w:val="continue"/>
            <w:vAlign w:val="center"/>
          </w:tcPr>
          <w:p w14:paraId="1C6B23F9">
            <w:pPr>
              <w:pStyle w:val="64"/>
              <w:wordWrap w:val="0"/>
              <w:rPr>
                <w:rFonts w:cs="Times New Roman"/>
              </w:rPr>
            </w:pPr>
          </w:p>
        </w:tc>
        <w:tc>
          <w:tcPr>
            <w:tcW w:w="314" w:type="pct"/>
            <w:vAlign w:val="center"/>
          </w:tcPr>
          <w:p w14:paraId="554FC605">
            <w:pPr>
              <w:pStyle w:val="64"/>
              <w:wordWrap w:val="0"/>
              <w:rPr>
                <w:rFonts w:cs="Times New Roman"/>
              </w:rPr>
            </w:pPr>
            <w:r>
              <w:rPr>
                <w:rFonts w:cs="Times New Roman"/>
              </w:rPr>
              <w:t>Si</w:t>
            </w:r>
          </w:p>
        </w:tc>
        <w:tc>
          <w:tcPr>
            <w:tcW w:w="740" w:type="pct"/>
            <w:vAlign w:val="center"/>
          </w:tcPr>
          <w:p w14:paraId="706CA15A">
            <w:pPr>
              <w:pStyle w:val="64"/>
              <w:wordWrap w:val="0"/>
              <w:rPr>
                <w:rFonts w:cs="Times New Roman"/>
              </w:rPr>
            </w:pPr>
            <w:r>
              <w:rPr>
                <w:rFonts w:cs="Times New Roman"/>
              </w:rPr>
              <w:t>&lt;0.04</w:t>
            </w:r>
          </w:p>
        </w:tc>
        <w:tc>
          <w:tcPr>
            <w:tcW w:w="712" w:type="pct"/>
            <w:vAlign w:val="center"/>
          </w:tcPr>
          <w:p w14:paraId="1276FD59">
            <w:pPr>
              <w:pStyle w:val="64"/>
              <w:wordWrap w:val="0"/>
              <w:rPr>
                <w:rFonts w:cs="Times New Roman"/>
              </w:rPr>
            </w:pPr>
            <w:r>
              <w:rPr>
                <w:rFonts w:cs="Times New Roman"/>
              </w:rPr>
              <w:t>&lt;0.04</w:t>
            </w:r>
          </w:p>
        </w:tc>
        <w:tc>
          <w:tcPr>
            <w:tcW w:w="740" w:type="pct"/>
            <w:vAlign w:val="center"/>
          </w:tcPr>
          <w:p w14:paraId="79E1F859">
            <w:pPr>
              <w:pStyle w:val="64"/>
              <w:wordWrap w:val="0"/>
              <w:rPr>
                <w:rFonts w:cs="Times New Roman"/>
              </w:rPr>
            </w:pPr>
            <w:r>
              <w:rPr>
                <w:rFonts w:cs="Times New Roman"/>
              </w:rPr>
              <w:t>&lt;0.04</w:t>
            </w:r>
          </w:p>
        </w:tc>
        <w:tc>
          <w:tcPr>
            <w:tcW w:w="740" w:type="pct"/>
            <w:vAlign w:val="center"/>
          </w:tcPr>
          <w:p w14:paraId="6D01774C">
            <w:pPr>
              <w:pStyle w:val="64"/>
              <w:wordWrap w:val="0"/>
              <w:rPr>
                <w:rFonts w:cs="Times New Roman"/>
              </w:rPr>
            </w:pPr>
            <w:r>
              <w:rPr>
                <w:rFonts w:cs="Times New Roman"/>
              </w:rPr>
              <w:t>&lt;0.04</w:t>
            </w:r>
          </w:p>
        </w:tc>
        <w:tc>
          <w:tcPr>
            <w:tcW w:w="738" w:type="pct"/>
            <w:vAlign w:val="center"/>
          </w:tcPr>
          <w:p w14:paraId="6C4AA04F">
            <w:pPr>
              <w:pStyle w:val="64"/>
              <w:wordWrap w:val="0"/>
              <w:rPr>
                <w:rFonts w:cs="Times New Roman"/>
              </w:rPr>
            </w:pPr>
            <w:r>
              <w:rPr>
                <w:rFonts w:cs="Times New Roman"/>
              </w:rPr>
              <w:t>&lt;0.04</w:t>
            </w:r>
          </w:p>
        </w:tc>
      </w:tr>
      <w:tr w14:paraId="63B984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1" w:type="pct"/>
            <w:vMerge w:val="continue"/>
            <w:vAlign w:val="center"/>
          </w:tcPr>
          <w:p w14:paraId="1E5DF3F3">
            <w:pPr>
              <w:pStyle w:val="64"/>
              <w:wordWrap w:val="0"/>
              <w:rPr>
                <w:rFonts w:cs="Times New Roman"/>
              </w:rPr>
            </w:pPr>
          </w:p>
        </w:tc>
        <w:tc>
          <w:tcPr>
            <w:tcW w:w="505" w:type="pct"/>
            <w:vMerge w:val="restart"/>
            <w:vAlign w:val="center"/>
          </w:tcPr>
          <w:p w14:paraId="1564637B">
            <w:pPr>
              <w:pStyle w:val="64"/>
              <w:wordWrap w:val="0"/>
              <w:rPr>
                <w:rFonts w:cs="Times New Roman"/>
              </w:rPr>
            </w:pPr>
            <w:r>
              <w:rPr>
                <w:rFonts w:cs="Times New Roman"/>
              </w:rPr>
              <w:t>2024.08.21</w:t>
            </w:r>
          </w:p>
        </w:tc>
        <w:tc>
          <w:tcPr>
            <w:tcW w:w="314" w:type="pct"/>
            <w:vAlign w:val="center"/>
          </w:tcPr>
          <w:p w14:paraId="474933FC">
            <w:pPr>
              <w:pStyle w:val="64"/>
              <w:wordWrap w:val="0"/>
              <w:rPr>
                <w:rFonts w:cs="Times New Roman"/>
              </w:rPr>
            </w:pPr>
            <w:r>
              <w:rPr>
                <w:rFonts w:cs="Times New Roman"/>
              </w:rPr>
              <w:t>Ci</w:t>
            </w:r>
          </w:p>
        </w:tc>
        <w:tc>
          <w:tcPr>
            <w:tcW w:w="740" w:type="pct"/>
            <w:vAlign w:val="center"/>
          </w:tcPr>
          <w:p w14:paraId="5E5C1D44">
            <w:pPr>
              <w:pStyle w:val="64"/>
              <w:wordWrap w:val="0"/>
              <w:rPr>
                <w:rFonts w:cs="Times New Roman"/>
              </w:rPr>
            </w:pPr>
            <w:r>
              <w:rPr>
                <w:rFonts w:cs="Times New Roman"/>
              </w:rPr>
              <w:t>&lt;0.00004</w:t>
            </w:r>
          </w:p>
        </w:tc>
        <w:tc>
          <w:tcPr>
            <w:tcW w:w="712" w:type="pct"/>
            <w:vAlign w:val="center"/>
          </w:tcPr>
          <w:p w14:paraId="0EDBA7ED">
            <w:pPr>
              <w:pStyle w:val="64"/>
              <w:wordWrap w:val="0"/>
              <w:rPr>
                <w:rFonts w:cs="Times New Roman"/>
              </w:rPr>
            </w:pPr>
            <w:r>
              <w:rPr>
                <w:rFonts w:cs="Times New Roman"/>
              </w:rPr>
              <w:t>&lt;0.00004</w:t>
            </w:r>
          </w:p>
        </w:tc>
        <w:tc>
          <w:tcPr>
            <w:tcW w:w="740" w:type="pct"/>
            <w:vAlign w:val="center"/>
          </w:tcPr>
          <w:p w14:paraId="1BC5E9FE">
            <w:pPr>
              <w:pStyle w:val="64"/>
              <w:wordWrap w:val="0"/>
              <w:rPr>
                <w:rFonts w:cs="Times New Roman"/>
              </w:rPr>
            </w:pPr>
            <w:r>
              <w:rPr>
                <w:rFonts w:cs="Times New Roman"/>
              </w:rPr>
              <w:t>&lt;0.00004</w:t>
            </w:r>
          </w:p>
        </w:tc>
        <w:tc>
          <w:tcPr>
            <w:tcW w:w="740" w:type="pct"/>
            <w:vAlign w:val="center"/>
          </w:tcPr>
          <w:p w14:paraId="12AE8646">
            <w:pPr>
              <w:pStyle w:val="64"/>
              <w:wordWrap w:val="0"/>
              <w:rPr>
                <w:rFonts w:cs="Times New Roman"/>
              </w:rPr>
            </w:pPr>
            <w:r>
              <w:rPr>
                <w:rFonts w:cs="Times New Roman"/>
              </w:rPr>
              <w:t>&lt;0.00004</w:t>
            </w:r>
          </w:p>
        </w:tc>
        <w:tc>
          <w:tcPr>
            <w:tcW w:w="738" w:type="pct"/>
            <w:vAlign w:val="center"/>
          </w:tcPr>
          <w:p w14:paraId="4C61EC78">
            <w:pPr>
              <w:pStyle w:val="64"/>
              <w:wordWrap w:val="0"/>
              <w:rPr>
                <w:rFonts w:cs="Times New Roman"/>
              </w:rPr>
            </w:pPr>
            <w:r>
              <w:rPr>
                <w:rFonts w:cs="Times New Roman"/>
              </w:rPr>
              <w:t>&lt;0.00004</w:t>
            </w:r>
          </w:p>
        </w:tc>
      </w:tr>
      <w:tr w14:paraId="006BDE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1" w:type="pct"/>
            <w:vMerge w:val="continue"/>
            <w:vAlign w:val="center"/>
          </w:tcPr>
          <w:p w14:paraId="5F1EB73D">
            <w:pPr>
              <w:pStyle w:val="64"/>
              <w:wordWrap w:val="0"/>
              <w:rPr>
                <w:rFonts w:cs="Times New Roman"/>
              </w:rPr>
            </w:pPr>
          </w:p>
        </w:tc>
        <w:tc>
          <w:tcPr>
            <w:tcW w:w="505" w:type="pct"/>
            <w:vMerge w:val="continue"/>
            <w:vAlign w:val="center"/>
          </w:tcPr>
          <w:p w14:paraId="38688AD5">
            <w:pPr>
              <w:pStyle w:val="64"/>
              <w:wordWrap w:val="0"/>
              <w:rPr>
                <w:rFonts w:cs="Times New Roman"/>
              </w:rPr>
            </w:pPr>
          </w:p>
        </w:tc>
        <w:tc>
          <w:tcPr>
            <w:tcW w:w="314" w:type="pct"/>
            <w:vAlign w:val="center"/>
          </w:tcPr>
          <w:p w14:paraId="1DA2E7E5">
            <w:pPr>
              <w:pStyle w:val="64"/>
              <w:wordWrap w:val="0"/>
              <w:rPr>
                <w:rFonts w:cs="Times New Roman"/>
              </w:rPr>
            </w:pPr>
            <w:r>
              <w:rPr>
                <w:rFonts w:cs="Times New Roman"/>
              </w:rPr>
              <w:t>Si</w:t>
            </w:r>
          </w:p>
        </w:tc>
        <w:tc>
          <w:tcPr>
            <w:tcW w:w="740" w:type="pct"/>
            <w:vAlign w:val="center"/>
          </w:tcPr>
          <w:p w14:paraId="0DA6FFDB">
            <w:pPr>
              <w:pStyle w:val="64"/>
              <w:wordWrap w:val="0"/>
              <w:rPr>
                <w:rFonts w:cs="Times New Roman"/>
              </w:rPr>
            </w:pPr>
            <w:r>
              <w:rPr>
                <w:rFonts w:cs="Times New Roman"/>
              </w:rPr>
              <w:t>&lt;0.04</w:t>
            </w:r>
          </w:p>
        </w:tc>
        <w:tc>
          <w:tcPr>
            <w:tcW w:w="712" w:type="pct"/>
            <w:vAlign w:val="center"/>
          </w:tcPr>
          <w:p w14:paraId="5AB228DB">
            <w:pPr>
              <w:pStyle w:val="64"/>
              <w:wordWrap w:val="0"/>
              <w:rPr>
                <w:rFonts w:cs="Times New Roman"/>
              </w:rPr>
            </w:pPr>
            <w:r>
              <w:rPr>
                <w:rFonts w:cs="Times New Roman"/>
              </w:rPr>
              <w:t>&lt;0.04</w:t>
            </w:r>
          </w:p>
        </w:tc>
        <w:tc>
          <w:tcPr>
            <w:tcW w:w="740" w:type="pct"/>
            <w:vAlign w:val="center"/>
          </w:tcPr>
          <w:p w14:paraId="7FD65184">
            <w:pPr>
              <w:pStyle w:val="64"/>
              <w:wordWrap w:val="0"/>
              <w:rPr>
                <w:rFonts w:cs="Times New Roman"/>
              </w:rPr>
            </w:pPr>
            <w:r>
              <w:rPr>
                <w:rFonts w:cs="Times New Roman"/>
              </w:rPr>
              <w:t>&lt;0.04</w:t>
            </w:r>
          </w:p>
        </w:tc>
        <w:tc>
          <w:tcPr>
            <w:tcW w:w="740" w:type="pct"/>
            <w:vAlign w:val="center"/>
          </w:tcPr>
          <w:p w14:paraId="5C022DBC">
            <w:pPr>
              <w:pStyle w:val="64"/>
              <w:wordWrap w:val="0"/>
              <w:rPr>
                <w:rFonts w:cs="Times New Roman"/>
              </w:rPr>
            </w:pPr>
            <w:r>
              <w:rPr>
                <w:rFonts w:cs="Times New Roman"/>
              </w:rPr>
              <w:t>&lt;0.04</w:t>
            </w:r>
          </w:p>
        </w:tc>
        <w:tc>
          <w:tcPr>
            <w:tcW w:w="738" w:type="pct"/>
            <w:vAlign w:val="center"/>
          </w:tcPr>
          <w:p w14:paraId="5AA17E01">
            <w:pPr>
              <w:pStyle w:val="64"/>
              <w:wordWrap w:val="0"/>
              <w:rPr>
                <w:rFonts w:cs="Times New Roman"/>
              </w:rPr>
            </w:pPr>
            <w:r>
              <w:rPr>
                <w:rFonts w:cs="Times New Roman"/>
              </w:rPr>
              <w:t>&lt;0.04</w:t>
            </w:r>
          </w:p>
        </w:tc>
      </w:tr>
      <w:tr w14:paraId="41214A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1" w:type="pct"/>
            <w:vMerge w:val="restart"/>
            <w:vAlign w:val="center"/>
          </w:tcPr>
          <w:p w14:paraId="4534814F">
            <w:pPr>
              <w:pStyle w:val="64"/>
              <w:wordWrap w:val="0"/>
              <w:rPr>
                <w:rFonts w:cs="Times New Roman"/>
              </w:rPr>
            </w:pPr>
            <w:r>
              <w:rPr>
                <w:rFonts w:cs="Times New Roman"/>
              </w:rPr>
              <w:t>镉</w:t>
            </w:r>
          </w:p>
        </w:tc>
        <w:tc>
          <w:tcPr>
            <w:tcW w:w="505" w:type="pct"/>
            <w:vMerge w:val="restart"/>
            <w:vAlign w:val="center"/>
          </w:tcPr>
          <w:p w14:paraId="0A5182D4">
            <w:pPr>
              <w:pStyle w:val="64"/>
              <w:wordWrap w:val="0"/>
              <w:rPr>
                <w:rFonts w:cs="Times New Roman"/>
              </w:rPr>
            </w:pPr>
            <w:r>
              <w:rPr>
                <w:rFonts w:cs="Times New Roman"/>
              </w:rPr>
              <w:t>2024.08.20</w:t>
            </w:r>
          </w:p>
        </w:tc>
        <w:tc>
          <w:tcPr>
            <w:tcW w:w="314" w:type="pct"/>
            <w:vAlign w:val="center"/>
          </w:tcPr>
          <w:p w14:paraId="7414B6C2">
            <w:pPr>
              <w:pStyle w:val="64"/>
              <w:wordWrap w:val="0"/>
              <w:rPr>
                <w:rFonts w:cs="Times New Roman"/>
              </w:rPr>
            </w:pPr>
            <w:r>
              <w:rPr>
                <w:rFonts w:cs="Times New Roman"/>
              </w:rPr>
              <w:t>Ci</w:t>
            </w:r>
          </w:p>
        </w:tc>
        <w:tc>
          <w:tcPr>
            <w:tcW w:w="740" w:type="pct"/>
            <w:vAlign w:val="center"/>
          </w:tcPr>
          <w:p w14:paraId="59B43613">
            <w:pPr>
              <w:pStyle w:val="64"/>
              <w:wordWrap w:val="0"/>
              <w:rPr>
                <w:rFonts w:cs="Times New Roman"/>
              </w:rPr>
            </w:pPr>
            <w:r>
              <w:rPr>
                <w:rFonts w:cs="Times New Roman"/>
              </w:rPr>
              <w:t>&lt;0.001</w:t>
            </w:r>
          </w:p>
        </w:tc>
        <w:tc>
          <w:tcPr>
            <w:tcW w:w="712" w:type="pct"/>
            <w:vAlign w:val="center"/>
          </w:tcPr>
          <w:p w14:paraId="718B4BA5">
            <w:pPr>
              <w:pStyle w:val="64"/>
              <w:wordWrap w:val="0"/>
              <w:rPr>
                <w:rFonts w:cs="Times New Roman"/>
              </w:rPr>
            </w:pPr>
            <w:r>
              <w:rPr>
                <w:rFonts w:cs="Times New Roman"/>
              </w:rPr>
              <w:t>&lt;0.001</w:t>
            </w:r>
          </w:p>
        </w:tc>
        <w:tc>
          <w:tcPr>
            <w:tcW w:w="740" w:type="pct"/>
            <w:vAlign w:val="center"/>
          </w:tcPr>
          <w:p w14:paraId="07E1E37E">
            <w:pPr>
              <w:pStyle w:val="64"/>
              <w:wordWrap w:val="0"/>
              <w:rPr>
                <w:rFonts w:cs="Times New Roman"/>
              </w:rPr>
            </w:pPr>
            <w:r>
              <w:rPr>
                <w:rFonts w:cs="Times New Roman"/>
              </w:rPr>
              <w:t>&lt;0.001</w:t>
            </w:r>
          </w:p>
        </w:tc>
        <w:tc>
          <w:tcPr>
            <w:tcW w:w="740" w:type="pct"/>
            <w:vAlign w:val="center"/>
          </w:tcPr>
          <w:p w14:paraId="7FE117A2">
            <w:pPr>
              <w:pStyle w:val="64"/>
              <w:wordWrap w:val="0"/>
              <w:rPr>
                <w:rFonts w:cs="Times New Roman"/>
              </w:rPr>
            </w:pPr>
            <w:r>
              <w:rPr>
                <w:rFonts w:cs="Times New Roman"/>
              </w:rPr>
              <w:t>&lt;0.001</w:t>
            </w:r>
          </w:p>
        </w:tc>
        <w:tc>
          <w:tcPr>
            <w:tcW w:w="738" w:type="pct"/>
            <w:vAlign w:val="center"/>
          </w:tcPr>
          <w:p w14:paraId="7954B143">
            <w:pPr>
              <w:pStyle w:val="64"/>
              <w:wordWrap w:val="0"/>
              <w:rPr>
                <w:rFonts w:cs="Times New Roman"/>
              </w:rPr>
            </w:pPr>
            <w:r>
              <w:rPr>
                <w:rFonts w:cs="Times New Roman"/>
              </w:rPr>
              <w:t>&lt;0.001</w:t>
            </w:r>
          </w:p>
        </w:tc>
      </w:tr>
      <w:tr w14:paraId="264BFF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1" w:type="pct"/>
            <w:vMerge w:val="continue"/>
            <w:vAlign w:val="center"/>
          </w:tcPr>
          <w:p w14:paraId="3539D77D">
            <w:pPr>
              <w:pStyle w:val="64"/>
              <w:wordWrap w:val="0"/>
              <w:rPr>
                <w:rFonts w:cs="Times New Roman"/>
              </w:rPr>
            </w:pPr>
          </w:p>
        </w:tc>
        <w:tc>
          <w:tcPr>
            <w:tcW w:w="505" w:type="pct"/>
            <w:vMerge w:val="continue"/>
            <w:vAlign w:val="center"/>
          </w:tcPr>
          <w:p w14:paraId="070CA2B1">
            <w:pPr>
              <w:pStyle w:val="64"/>
              <w:wordWrap w:val="0"/>
              <w:rPr>
                <w:rFonts w:cs="Times New Roman"/>
              </w:rPr>
            </w:pPr>
          </w:p>
        </w:tc>
        <w:tc>
          <w:tcPr>
            <w:tcW w:w="314" w:type="pct"/>
            <w:vAlign w:val="center"/>
          </w:tcPr>
          <w:p w14:paraId="0ACA1055">
            <w:pPr>
              <w:pStyle w:val="64"/>
              <w:wordWrap w:val="0"/>
              <w:rPr>
                <w:rFonts w:cs="Times New Roman"/>
              </w:rPr>
            </w:pPr>
            <w:r>
              <w:rPr>
                <w:rFonts w:cs="Times New Roman"/>
              </w:rPr>
              <w:t>Si</w:t>
            </w:r>
          </w:p>
        </w:tc>
        <w:tc>
          <w:tcPr>
            <w:tcW w:w="740" w:type="pct"/>
            <w:vAlign w:val="center"/>
          </w:tcPr>
          <w:p w14:paraId="04E150EB">
            <w:pPr>
              <w:pStyle w:val="64"/>
              <w:wordWrap w:val="0"/>
              <w:rPr>
                <w:rFonts w:cs="Times New Roman"/>
              </w:rPr>
            </w:pPr>
            <w:r>
              <w:rPr>
                <w:rFonts w:cs="Times New Roman"/>
              </w:rPr>
              <w:t>&lt;0.2</w:t>
            </w:r>
          </w:p>
        </w:tc>
        <w:tc>
          <w:tcPr>
            <w:tcW w:w="712" w:type="pct"/>
            <w:vAlign w:val="center"/>
          </w:tcPr>
          <w:p w14:paraId="52E9F826">
            <w:pPr>
              <w:pStyle w:val="64"/>
              <w:wordWrap w:val="0"/>
              <w:rPr>
                <w:rFonts w:cs="Times New Roman"/>
              </w:rPr>
            </w:pPr>
            <w:r>
              <w:rPr>
                <w:rFonts w:cs="Times New Roman"/>
              </w:rPr>
              <w:t>&lt;0.2</w:t>
            </w:r>
          </w:p>
        </w:tc>
        <w:tc>
          <w:tcPr>
            <w:tcW w:w="740" w:type="pct"/>
            <w:vAlign w:val="center"/>
          </w:tcPr>
          <w:p w14:paraId="74E1AD28">
            <w:pPr>
              <w:pStyle w:val="64"/>
              <w:wordWrap w:val="0"/>
              <w:rPr>
                <w:rFonts w:cs="Times New Roman"/>
              </w:rPr>
            </w:pPr>
            <w:r>
              <w:rPr>
                <w:rFonts w:cs="Times New Roman"/>
              </w:rPr>
              <w:t>&lt;0.2</w:t>
            </w:r>
          </w:p>
        </w:tc>
        <w:tc>
          <w:tcPr>
            <w:tcW w:w="740" w:type="pct"/>
            <w:vAlign w:val="center"/>
          </w:tcPr>
          <w:p w14:paraId="10BCD231">
            <w:pPr>
              <w:pStyle w:val="64"/>
              <w:wordWrap w:val="0"/>
              <w:rPr>
                <w:rFonts w:cs="Times New Roman"/>
              </w:rPr>
            </w:pPr>
            <w:r>
              <w:rPr>
                <w:rFonts w:cs="Times New Roman"/>
              </w:rPr>
              <w:t>&lt;0.2</w:t>
            </w:r>
          </w:p>
        </w:tc>
        <w:tc>
          <w:tcPr>
            <w:tcW w:w="738" w:type="pct"/>
            <w:vAlign w:val="center"/>
          </w:tcPr>
          <w:p w14:paraId="36D8629D">
            <w:pPr>
              <w:pStyle w:val="64"/>
              <w:wordWrap w:val="0"/>
              <w:rPr>
                <w:rFonts w:cs="Times New Roman"/>
              </w:rPr>
            </w:pPr>
            <w:r>
              <w:rPr>
                <w:rFonts w:cs="Times New Roman"/>
              </w:rPr>
              <w:t>&lt;0.2</w:t>
            </w:r>
          </w:p>
        </w:tc>
      </w:tr>
      <w:tr w14:paraId="51C87C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1" w:type="pct"/>
            <w:vMerge w:val="continue"/>
            <w:vAlign w:val="center"/>
          </w:tcPr>
          <w:p w14:paraId="4C938D28">
            <w:pPr>
              <w:pStyle w:val="64"/>
              <w:wordWrap w:val="0"/>
              <w:rPr>
                <w:rFonts w:cs="Times New Roman"/>
              </w:rPr>
            </w:pPr>
          </w:p>
        </w:tc>
        <w:tc>
          <w:tcPr>
            <w:tcW w:w="505" w:type="pct"/>
            <w:vMerge w:val="restart"/>
            <w:vAlign w:val="center"/>
          </w:tcPr>
          <w:p w14:paraId="539B2214">
            <w:pPr>
              <w:pStyle w:val="64"/>
              <w:wordWrap w:val="0"/>
              <w:rPr>
                <w:rFonts w:cs="Times New Roman"/>
              </w:rPr>
            </w:pPr>
            <w:r>
              <w:rPr>
                <w:rFonts w:cs="Times New Roman"/>
              </w:rPr>
              <w:t>2024.08.21</w:t>
            </w:r>
          </w:p>
        </w:tc>
        <w:tc>
          <w:tcPr>
            <w:tcW w:w="314" w:type="pct"/>
            <w:vAlign w:val="center"/>
          </w:tcPr>
          <w:p w14:paraId="01773E59">
            <w:pPr>
              <w:pStyle w:val="64"/>
              <w:wordWrap w:val="0"/>
              <w:rPr>
                <w:rFonts w:cs="Times New Roman"/>
              </w:rPr>
            </w:pPr>
            <w:r>
              <w:rPr>
                <w:rFonts w:cs="Times New Roman"/>
              </w:rPr>
              <w:t>Ci</w:t>
            </w:r>
          </w:p>
        </w:tc>
        <w:tc>
          <w:tcPr>
            <w:tcW w:w="740" w:type="pct"/>
            <w:vAlign w:val="center"/>
          </w:tcPr>
          <w:p w14:paraId="569F9115">
            <w:pPr>
              <w:pStyle w:val="64"/>
              <w:wordWrap w:val="0"/>
              <w:rPr>
                <w:rFonts w:cs="Times New Roman"/>
              </w:rPr>
            </w:pPr>
            <w:r>
              <w:rPr>
                <w:rFonts w:cs="Times New Roman"/>
              </w:rPr>
              <w:t>&lt;0.001</w:t>
            </w:r>
          </w:p>
        </w:tc>
        <w:tc>
          <w:tcPr>
            <w:tcW w:w="712" w:type="pct"/>
            <w:vAlign w:val="center"/>
          </w:tcPr>
          <w:p w14:paraId="428DA7AD">
            <w:pPr>
              <w:pStyle w:val="64"/>
              <w:wordWrap w:val="0"/>
              <w:rPr>
                <w:rFonts w:cs="Times New Roman"/>
              </w:rPr>
            </w:pPr>
            <w:r>
              <w:rPr>
                <w:rFonts w:cs="Times New Roman"/>
              </w:rPr>
              <w:t>&lt;0.001</w:t>
            </w:r>
          </w:p>
        </w:tc>
        <w:tc>
          <w:tcPr>
            <w:tcW w:w="740" w:type="pct"/>
            <w:vAlign w:val="center"/>
          </w:tcPr>
          <w:p w14:paraId="4F665D01">
            <w:pPr>
              <w:pStyle w:val="64"/>
              <w:wordWrap w:val="0"/>
              <w:rPr>
                <w:rFonts w:cs="Times New Roman"/>
              </w:rPr>
            </w:pPr>
            <w:r>
              <w:rPr>
                <w:rFonts w:cs="Times New Roman"/>
              </w:rPr>
              <w:t>&lt;0.001</w:t>
            </w:r>
          </w:p>
        </w:tc>
        <w:tc>
          <w:tcPr>
            <w:tcW w:w="740" w:type="pct"/>
            <w:vAlign w:val="center"/>
          </w:tcPr>
          <w:p w14:paraId="250AE24E">
            <w:pPr>
              <w:pStyle w:val="64"/>
              <w:wordWrap w:val="0"/>
              <w:rPr>
                <w:rFonts w:cs="Times New Roman"/>
              </w:rPr>
            </w:pPr>
            <w:r>
              <w:rPr>
                <w:rFonts w:cs="Times New Roman"/>
              </w:rPr>
              <w:t>&lt;0.001</w:t>
            </w:r>
          </w:p>
        </w:tc>
        <w:tc>
          <w:tcPr>
            <w:tcW w:w="738" w:type="pct"/>
            <w:vAlign w:val="center"/>
          </w:tcPr>
          <w:p w14:paraId="2D98963D">
            <w:pPr>
              <w:pStyle w:val="64"/>
              <w:wordWrap w:val="0"/>
              <w:rPr>
                <w:rFonts w:cs="Times New Roman"/>
              </w:rPr>
            </w:pPr>
            <w:r>
              <w:rPr>
                <w:rFonts w:cs="Times New Roman"/>
              </w:rPr>
              <w:t>&lt;0.001</w:t>
            </w:r>
          </w:p>
        </w:tc>
      </w:tr>
      <w:tr w14:paraId="1160F3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1" w:type="pct"/>
            <w:vMerge w:val="continue"/>
            <w:vAlign w:val="center"/>
          </w:tcPr>
          <w:p w14:paraId="134CBD8C">
            <w:pPr>
              <w:pStyle w:val="64"/>
              <w:wordWrap w:val="0"/>
              <w:rPr>
                <w:rFonts w:cs="Times New Roman"/>
              </w:rPr>
            </w:pPr>
          </w:p>
        </w:tc>
        <w:tc>
          <w:tcPr>
            <w:tcW w:w="505" w:type="pct"/>
            <w:vMerge w:val="continue"/>
            <w:vAlign w:val="center"/>
          </w:tcPr>
          <w:p w14:paraId="021052C5">
            <w:pPr>
              <w:pStyle w:val="64"/>
              <w:wordWrap w:val="0"/>
              <w:rPr>
                <w:rFonts w:cs="Times New Roman"/>
              </w:rPr>
            </w:pPr>
          </w:p>
        </w:tc>
        <w:tc>
          <w:tcPr>
            <w:tcW w:w="314" w:type="pct"/>
            <w:vAlign w:val="center"/>
          </w:tcPr>
          <w:p w14:paraId="4743F7CE">
            <w:pPr>
              <w:pStyle w:val="64"/>
              <w:wordWrap w:val="0"/>
              <w:rPr>
                <w:rFonts w:cs="Times New Roman"/>
              </w:rPr>
            </w:pPr>
            <w:r>
              <w:rPr>
                <w:rFonts w:cs="Times New Roman"/>
              </w:rPr>
              <w:t>Si</w:t>
            </w:r>
          </w:p>
        </w:tc>
        <w:tc>
          <w:tcPr>
            <w:tcW w:w="740" w:type="pct"/>
            <w:vAlign w:val="center"/>
          </w:tcPr>
          <w:p w14:paraId="15866212">
            <w:pPr>
              <w:pStyle w:val="64"/>
              <w:wordWrap w:val="0"/>
              <w:rPr>
                <w:rFonts w:cs="Times New Roman"/>
              </w:rPr>
            </w:pPr>
            <w:r>
              <w:rPr>
                <w:rFonts w:cs="Times New Roman"/>
              </w:rPr>
              <w:t>&lt;0.2</w:t>
            </w:r>
          </w:p>
        </w:tc>
        <w:tc>
          <w:tcPr>
            <w:tcW w:w="712" w:type="pct"/>
            <w:vAlign w:val="center"/>
          </w:tcPr>
          <w:p w14:paraId="5F6D1AEA">
            <w:pPr>
              <w:pStyle w:val="64"/>
              <w:wordWrap w:val="0"/>
              <w:rPr>
                <w:rFonts w:cs="Times New Roman"/>
              </w:rPr>
            </w:pPr>
            <w:r>
              <w:rPr>
                <w:rFonts w:cs="Times New Roman"/>
              </w:rPr>
              <w:t>&lt;0.2</w:t>
            </w:r>
          </w:p>
        </w:tc>
        <w:tc>
          <w:tcPr>
            <w:tcW w:w="740" w:type="pct"/>
            <w:vAlign w:val="center"/>
          </w:tcPr>
          <w:p w14:paraId="77AE5CB2">
            <w:pPr>
              <w:pStyle w:val="64"/>
              <w:wordWrap w:val="0"/>
              <w:rPr>
                <w:rFonts w:cs="Times New Roman"/>
              </w:rPr>
            </w:pPr>
            <w:r>
              <w:rPr>
                <w:rFonts w:cs="Times New Roman"/>
              </w:rPr>
              <w:t>&lt;0.2</w:t>
            </w:r>
          </w:p>
        </w:tc>
        <w:tc>
          <w:tcPr>
            <w:tcW w:w="740" w:type="pct"/>
            <w:vAlign w:val="center"/>
          </w:tcPr>
          <w:p w14:paraId="772702C2">
            <w:pPr>
              <w:pStyle w:val="64"/>
              <w:wordWrap w:val="0"/>
              <w:rPr>
                <w:rFonts w:cs="Times New Roman"/>
              </w:rPr>
            </w:pPr>
            <w:r>
              <w:rPr>
                <w:rFonts w:cs="Times New Roman"/>
              </w:rPr>
              <w:t>&lt;0.2</w:t>
            </w:r>
          </w:p>
        </w:tc>
        <w:tc>
          <w:tcPr>
            <w:tcW w:w="738" w:type="pct"/>
            <w:vAlign w:val="center"/>
          </w:tcPr>
          <w:p w14:paraId="2EA1D479">
            <w:pPr>
              <w:pStyle w:val="64"/>
              <w:wordWrap w:val="0"/>
              <w:rPr>
                <w:rFonts w:cs="Times New Roman"/>
              </w:rPr>
            </w:pPr>
            <w:r>
              <w:rPr>
                <w:rFonts w:cs="Times New Roman"/>
              </w:rPr>
              <w:t>&lt;0.2</w:t>
            </w:r>
          </w:p>
        </w:tc>
      </w:tr>
      <w:tr w14:paraId="7A97C7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1" w:type="pct"/>
            <w:vMerge w:val="restart"/>
            <w:vAlign w:val="center"/>
          </w:tcPr>
          <w:p w14:paraId="4F6A9BFD">
            <w:pPr>
              <w:pStyle w:val="64"/>
              <w:wordWrap w:val="0"/>
              <w:rPr>
                <w:rFonts w:cs="Times New Roman"/>
              </w:rPr>
            </w:pPr>
            <w:r>
              <w:rPr>
                <w:rFonts w:cs="Times New Roman"/>
              </w:rPr>
              <w:t>总大肠菌群(MPN/100mL)</w:t>
            </w:r>
          </w:p>
        </w:tc>
        <w:tc>
          <w:tcPr>
            <w:tcW w:w="505" w:type="pct"/>
            <w:vMerge w:val="restart"/>
            <w:vAlign w:val="center"/>
          </w:tcPr>
          <w:p w14:paraId="47EF29FA">
            <w:pPr>
              <w:pStyle w:val="64"/>
              <w:wordWrap w:val="0"/>
              <w:rPr>
                <w:rFonts w:cs="Times New Roman"/>
              </w:rPr>
            </w:pPr>
            <w:r>
              <w:rPr>
                <w:rFonts w:cs="Times New Roman"/>
              </w:rPr>
              <w:t>2024.08.20</w:t>
            </w:r>
          </w:p>
        </w:tc>
        <w:tc>
          <w:tcPr>
            <w:tcW w:w="314" w:type="pct"/>
            <w:vAlign w:val="center"/>
          </w:tcPr>
          <w:p w14:paraId="3D2A3955">
            <w:pPr>
              <w:pStyle w:val="64"/>
              <w:wordWrap w:val="0"/>
              <w:rPr>
                <w:rFonts w:cs="Times New Roman"/>
              </w:rPr>
            </w:pPr>
            <w:r>
              <w:rPr>
                <w:rFonts w:cs="Times New Roman"/>
              </w:rPr>
              <w:t>Ci</w:t>
            </w:r>
          </w:p>
        </w:tc>
        <w:tc>
          <w:tcPr>
            <w:tcW w:w="740" w:type="pct"/>
            <w:vAlign w:val="center"/>
          </w:tcPr>
          <w:p w14:paraId="17E63FBB">
            <w:pPr>
              <w:pStyle w:val="64"/>
              <w:wordWrap w:val="0"/>
              <w:rPr>
                <w:rFonts w:cs="Times New Roman"/>
              </w:rPr>
            </w:pPr>
            <w:r>
              <w:rPr>
                <w:rFonts w:cs="Times New Roman"/>
              </w:rPr>
              <w:t>&lt;3</w:t>
            </w:r>
          </w:p>
        </w:tc>
        <w:tc>
          <w:tcPr>
            <w:tcW w:w="712" w:type="pct"/>
            <w:vAlign w:val="center"/>
          </w:tcPr>
          <w:p w14:paraId="7727B834">
            <w:pPr>
              <w:pStyle w:val="64"/>
              <w:wordWrap w:val="0"/>
              <w:rPr>
                <w:rFonts w:cs="Times New Roman"/>
              </w:rPr>
            </w:pPr>
            <w:r>
              <w:rPr>
                <w:rFonts w:cs="Times New Roman"/>
              </w:rPr>
              <w:t>&lt;3</w:t>
            </w:r>
          </w:p>
        </w:tc>
        <w:tc>
          <w:tcPr>
            <w:tcW w:w="740" w:type="pct"/>
            <w:vAlign w:val="center"/>
          </w:tcPr>
          <w:p w14:paraId="49D2A9D6">
            <w:pPr>
              <w:pStyle w:val="64"/>
              <w:wordWrap w:val="0"/>
              <w:rPr>
                <w:rFonts w:cs="Times New Roman"/>
              </w:rPr>
            </w:pPr>
            <w:r>
              <w:rPr>
                <w:rFonts w:cs="Times New Roman"/>
              </w:rPr>
              <w:t>&lt;3</w:t>
            </w:r>
          </w:p>
        </w:tc>
        <w:tc>
          <w:tcPr>
            <w:tcW w:w="740" w:type="pct"/>
            <w:vAlign w:val="center"/>
          </w:tcPr>
          <w:p w14:paraId="31CA55D4">
            <w:pPr>
              <w:pStyle w:val="64"/>
              <w:wordWrap w:val="0"/>
              <w:rPr>
                <w:rFonts w:cs="Times New Roman"/>
              </w:rPr>
            </w:pPr>
            <w:r>
              <w:rPr>
                <w:rFonts w:cs="Times New Roman"/>
              </w:rPr>
              <w:t>&lt;3</w:t>
            </w:r>
          </w:p>
        </w:tc>
        <w:tc>
          <w:tcPr>
            <w:tcW w:w="738" w:type="pct"/>
            <w:vAlign w:val="center"/>
          </w:tcPr>
          <w:p w14:paraId="3A4B6CC0">
            <w:pPr>
              <w:pStyle w:val="64"/>
              <w:wordWrap w:val="0"/>
              <w:rPr>
                <w:rFonts w:cs="Times New Roman"/>
              </w:rPr>
            </w:pPr>
            <w:r>
              <w:rPr>
                <w:rFonts w:cs="Times New Roman"/>
              </w:rPr>
              <w:t>3</w:t>
            </w:r>
          </w:p>
        </w:tc>
      </w:tr>
      <w:tr w14:paraId="779A25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1" w:type="pct"/>
            <w:vMerge w:val="continue"/>
            <w:vAlign w:val="center"/>
          </w:tcPr>
          <w:p w14:paraId="2BC224B5">
            <w:pPr>
              <w:pStyle w:val="64"/>
              <w:wordWrap w:val="0"/>
              <w:rPr>
                <w:rFonts w:cs="Times New Roman"/>
              </w:rPr>
            </w:pPr>
          </w:p>
        </w:tc>
        <w:tc>
          <w:tcPr>
            <w:tcW w:w="505" w:type="pct"/>
            <w:vMerge w:val="continue"/>
            <w:vAlign w:val="center"/>
          </w:tcPr>
          <w:p w14:paraId="5206EF52">
            <w:pPr>
              <w:pStyle w:val="64"/>
              <w:wordWrap w:val="0"/>
              <w:rPr>
                <w:rFonts w:cs="Times New Roman"/>
              </w:rPr>
            </w:pPr>
          </w:p>
        </w:tc>
        <w:tc>
          <w:tcPr>
            <w:tcW w:w="314" w:type="pct"/>
            <w:vAlign w:val="center"/>
          </w:tcPr>
          <w:p w14:paraId="6F180623">
            <w:pPr>
              <w:pStyle w:val="64"/>
              <w:wordWrap w:val="0"/>
              <w:rPr>
                <w:rFonts w:cs="Times New Roman"/>
              </w:rPr>
            </w:pPr>
            <w:r>
              <w:rPr>
                <w:rFonts w:cs="Times New Roman"/>
              </w:rPr>
              <w:t>Si</w:t>
            </w:r>
          </w:p>
        </w:tc>
        <w:tc>
          <w:tcPr>
            <w:tcW w:w="740" w:type="pct"/>
            <w:vAlign w:val="center"/>
          </w:tcPr>
          <w:p w14:paraId="07B05565">
            <w:pPr>
              <w:pStyle w:val="64"/>
              <w:wordWrap w:val="0"/>
              <w:rPr>
                <w:rFonts w:cs="Times New Roman"/>
              </w:rPr>
            </w:pPr>
            <w:r>
              <w:rPr>
                <w:rFonts w:cs="Times New Roman"/>
              </w:rPr>
              <w:t>&lt;1</w:t>
            </w:r>
          </w:p>
        </w:tc>
        <w:tc>
          <w:tcPr>
            <w:tcW w:w="712" w:type="pct"/>
            <w:vAlign w:val="center"/>
          </w:tcPr>
          <w:p w14:paraId="12C8ADBB">
            <w:pPr>
              <w:pStyle w:val="64"/>
              <w:wordWrap w:val="0"/>
              <w:rPr>
                <w:rFonts w:cs="Times New Roman"/>
              </w:rPr>
            </w:pPr>
            <w:r>
              <w:rPr>
                <w:rFonts w:cs="Times New Roman"/>
              </w:rPr>
              <w:t>&lt;1</w:t>
            </w:r>
          </w:p>
        </w:tc>
        <w:tc>
          <w:tcPr>
            <w:tcW w:w="740" w:type="pct"/>
            <w:vAlign w:val="center"/>
          </w:tcPr>
          <w:p w14:paraId="37BD8E97">
            <w:pPr>
              <w:pStyle w:val="64"/>
              <w:wordWrap w:val="0"/>
              <w:rPr>
                <w:rFonts w:cs="Times New Roman"/>
              </w:rPr>
            </w:pPr>
            <w:r>
              <w:rPr>
                <w:rFonts w:cs="Times New Roman"/>
              </w:rPr>
              <w:t>&lt;1</w:t>
            </w:r>
          </w:p>
        </w:tc>
        <w:tc>
          <w:tcPr>
            <w:tcW w:w="740" w:type="pct"/>
            <w:vAlign w:val="center"/>
          </w:tcPr>
          <w:p w14:paraId="7E13FE69">
            <w:pPr>
              <w:pStyle w:val="64"/>
              <w:wordWrap w:val="0"/>
              <w:rPr>
                <w:rFonts w:cs="Times New Roman"/>
              </w:rPr>
            </w:pPr>
            <w:r>
              <w:rPr>
                <w:rFonts w:cs="Times New Roman"/>
              </w:rPr>
              <w:t>&lt;1</w:t>
            </w:r>
          </w:p>
        </w:tc>
        <w:tc>
          <w:tcPr>
            <w:tcW w:w="738" w:type="pct"/>
            <w:vAlign w:val="center"/>
          </w:tcPr>
          <w:p w14:paraId="6013EDE4">
            <w:pPr>
              <w:pStyle w:val="64"/>
              <w:wordWrap w:val="0"/>
              <w:rPr>
                <w:rFonts w:cs="Times New Roman"/>
              </w:rPr>
            </w:pPr>
            <w:r>
              <w:rPr>
                <w:rFonts w:cs="Times New Roman"/>
              </w:rPr>
              <w:t>&lt;1</w:t>
            </w:r>
          </w:p>
        </w:tc>
      </w:tr>
      <w:tr w14:paraId="521484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1" w:type="pct"/>
            <w:vMerge w:val="continue"/>
            <w:vAlign w:val="center"/>
          </w:tcPr>
          <w:p w14:paraId="6F9BED57">
            <w:pPr>
              <w:pStyle w:val="64"/>
              <w:wordWrap w:val="0"/>
              <w:rPr>
                <w:rFonts w:cs="Times New Roman"/>
              </w:rPr>
            </w:pPr>
          </w:p>
        </w:tc>
        <w:tc>
          <w:tcPr>
            <w:tcW w:w="505" w:type="pct"/>
            <w:vMerge w:val="restart"/>
            <w:vAlign w:val="center"/>
          </w:tcPr>
          <w:p w14:paraId="4BED1BEA">
            <w:pPr>
              <w:pStyle w:val="64"/>
              <w:wordWrap w:val="0"/>
              <w:rPr>
                <w:rFonts w:cs="Times New Roman"/>
              </w:rPr>
            </w:pPr>
            <w:r>
              <w:rPr>
                <w:rFonts w:cs="Times New Roman"/>
              </w:rPr>
              <w:t>2024.08.21</w:t>
            </w:r>
          </w:p>
        </w:tc>
        <w:tc>
          <w:tcPr>
            <w:tcW w:w="314" w:type="pct"/>
            <w:vAlign w:val="center"/>
          </w:tcPr>
          <w:p w14:paraId="6254BCD8">
            <w:pPr>
              <w:pStyle w:val="64"/>
              <w:wordWrap w:val="0"/>
              <w:rPr>
                <w:rFonts w:cs="Times New Roman"/>
              </w:rPr>
            </w:pPr>
            <w:r>
              <w:rPr>
                <w:rFonts w:cs="Times New Roman"/>
              </w:rPr>
              <w:t>Ci</w:t>
            </w:r>
          </w:p>
        </w:tc>
        <w:tc>
          <w:tcPr>
            <w:tcW w:w="740" w:type="pct"/>
            <w:vAlign w:val="center"/>
          </w:tcPr>
          <w:p w14:paraId="67DD8654">
            <w:pPr>
              <w:pStyle w:val="64"/>
              <w:wordWrap w:val="0"/>
              <w:rPr>
                <w:rFonts w:cs="Times New Roman"/>
              </w:rPr>
            </w:pPr>
            <w:r>
              <w:rPr>
                <w:rFonts w:cs="Times New Roman"/>
              </w:rPr>
              <w:t>&lt;3</w:t>
            </w:r>
          </w:p>
        </w:tc>
        <w:tc>
          <w:tcPr>
            <w:tcW w:w="712" w:type="pct"/>
            <w:vAlign w:val="center"/>
          </w:tcPr>
          <w:p w14:paraId="387738E1">
            <w:pPr>
              <w:pStyle w:val="64"/>
              <w:wordWrap w:val="0"/>
              <w:rPr>
                <w:rFonts w:cs="Times New Roman"/>
              </w:rPr>
            </w:pPr>
            <w:r>
              <w:rPr>
                <w:rFonts w:cs="Times New Roman"/>
              </w:rPr>
              <w:t>&lt;3</w:t>
            </w:r>
          </w:p>
        </w:tc>
        <w:tc>
          <w:tcPr>
            <w:tcW w:w="740" w:type="pct"/>
            <w:vAlign w:val="center"/>
          </w:tcPr>
          <w:p w14:paraId="50CDECF3">
            <w:pPr>
              <w:pStyle w:val="64"/>
              <w:wordWrap w:val="0"/>
              <w:rPr>
                <w:rFonts w:cs="Times New Roman"/>
              </w:rPr>
            </w:pPr>
            <w:r>
              <w:rPr>
                <w:rFonts w:cs="Times New Roman"/>
              </w:rPr>
              <w:t>&lt;3</w:t>
            </w:r>
          </w:p>
        </w:tc>
        <w:tc>
          <w:tcPr>
            <w:tcW w:w="740" w:type="pct"/>
            <w:vAlign w:val="center"/>
          </w:tcPr>
          <w:p w14:paraId="0707FE9F">
            <w:pPr>
              <w:pStyle w:val="64"/>
              <w:wordWrap w:val="0"/>
              <w:rPr>
                <w:rFonts w:cs="Times New Roman"/>
              </w:rPr>
            </w:pPr>
            <w:r>
              <w:rPr>
                <w:rFonts w:cs="Times New Roman"/>
              </w:rPr>
              <w:t>&lt;3</w:t>
            </w:r>
          </w:p>
        </w:tc>
        <w:tc>
          <w:tcPr>
            <w:tcW w:w="738" w:type="pct"/>
            <w:vAlign w:val="center"/>
          </w:tcPr>
          <w:p w14:paraId="58BFD328">
            <w:pPr>
              <w:pStyle w:val="64"/>
              <w:wordWrap w:val="0"/>
              <w:rPr>
                <w:rFonts w:cs="Times New Roman"/>
              </w:rPr>
            </w:pPr>
            <w:r>
              <w:rPr>
                <w:rFonts w:cs="Times New Roman"/>
              </w:rPr>
              <w:t>&lt;3</w:t>
            </w:r>
          </w:p>
        </w:tc>
      </w:tr>
      <w:tr w14:paraId="26AADA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1" w:type="pct"/>
            <w:vMerge w:val="continue"/>
            <w:vAlign w:val="center"/>
          </w:tcPr>
          <w:p w14:paraId="78306821">
            <w:pPr>
              <w:pStyle w:val="64"/>
              <w:wordWrap w:val="0"/>
              <w:rPr>
                <w:rFonts w:cs="Times New Roman"/>
              </w:rPr>
            </w:pPr>
          </w:p>
        </w:tc>
        <w:tc>
          <w:tcPr>
            <w:tcW w:w="505" w:type="pct"/>
            <w:vMerge w:val="continue"/>
            <w:vAlign w:val="center"/>
          </w:tcPr>
          <w:p w14:paraId="7417A5CF">
            <w:pPr>
              <w:pStyle w:val="64"/>
              <w:wordWrap w:val="0"/>
              <w:rPr>
                <w:rFonts w:cs="Times New Roman"/>
              </w:rPr>
            </w:pPr>
          </w:p>
        </w:tc>
        <w:tc>
          <w:tcPr>
            <w:tcW w:w="314" w:type="pct"/>
            <w:vAlign w:val="center"/>
          </w:tcPr>
          <w:p w14:paraId="4A40DEB9">
            <w:pPr>
              <w:pStyle w:val="64"/>
              <w:wordWrap w:val="0"/>
              <w:rPr>
                <w:rFonts w:cs="Times New Roman"/>
              </w:rPr>
            </w:pPr>
            <w:r>
              <w:rPr>
                <w:rFonts w:cs="Times New Roman"/>
              </w:rPr>
              <w:t>Si</w:t>
            </w:r>
          </w:p>
        </w:tc>
        <w:tc>
          <w:tcPr>
            <w:tcW w:w="740" w:type="pct"/>
            <w:vAlign w:val="center"/>
          </w:tcPr>
          <w:p w14:paraId="35AD4808">
            <w:pPr>
              <w:pStyle w:val="64"/>
              <w:wordWrap w:val="0"/>
              <w:rPr>
                <w:rFonts w:cs="Times New Roman"/>
              </w:rPr>
            </w:pPr>
            <w:r>
              <w:rPr>
                <w:rFonts w:cs="Times New Roman"/>
              </w:rPr>
              <w:t>&lt;1</w:t>
            </w:r>
          </w:p>
        </w:tc>
        <w:tc>
          <w:tcPr>
            <w:tcW w:w="712" w:type="pct"/>
            <w:vAlign w:val="center"/>
          </w:tcPr>
          <w:p w14:paraId="53B1392A">
            <w:pPr>
              <w:pStyle w:val="64"/>
              <w:wordWrap w:val="0"/>
              <w:rPr>
                <w:rFonts w:cs="Times New Roman"/>
              </w:rPr>
            </w:pPr>
            <w:r>
              <w:rPr>
                <w:rFonts w:cs="Times New Roman"/>
              </w:rPr>
              <w:t>&lt;1</w:t>
            </w:r>
          </w:p>
        </w:tc>
        <w:tc>
          <w:tcPr>
            <w:tcW w:w="740" w:type="pct"/>
            <w:vAlign w:val="center"/>
          </w:tcPr>
          <w:p w14:paraId="50EAED6D">
            <w:pPr>
              <w:pStyle w:val="64"/>
              <w:wordWrap w:val="0"/>
              <w:rPr>
                <w:rFonts w:cs="Times New Roman"/>
              </w:rPr>
            </w:pPr>
            <w:r>
              <w:rPr>
                <w:rFonts w:cs="Times New Roman"/>
              </w:rPr>
              <w:t>&lt;1</w:t>
            </w:r>
          </w:p>
        </w:tc>
        <w:tc>
          <w:tcPr>
            <w:tcW w:w="740" w:type="pct"/>
            <w:vAlign w:val="center"/>
          </w:tcPr>
          <w:p w14:paraId="5FA36163">
            <w:pPr>
              <w:pStyle w:val="64"/>
              <w:wordWrap w:val="0"/>
              <w:rPr>
                <w:rFonts w:cs="Times New Roman"/>
              </w:rPr>
            </w:pPr>
            <w:r>
              <w:rPr>
                <w:rFonts w:cs="Times New Roman"/>
              </w:rPr>
              <w:t>&lt;1</w:t>
            </w:r>
          </w:p>
        </w:tc>
        <w:tc>
          <w:tcPr>
            <w:tcW w:w="738" w:type="pct"/>
            <w:vAlign w:val="center"/>
          </w:tcPr>
          <w:p w14:paraId="19DBF74C">
            <w:pPr>
              <w:pStyle w:val="64"/>
              <w:wordWrap w:val="0"/>
              <w:rPr>
                <w:rFonts w:cs="Times New Roman"/>
              </w:rPr>
            </w:pPr>
            <w:r>
              <w:rPr>
                <w:rFonts w:cs="Times New Roman"/>
              </w:rPr>
              <w:t>&lt;1</w:t>
            </w:r>
          </w:p>
        </w:tc>
      </w:tr>
      <w:tr w14:paraId="0603A2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1" w:type="pct"/>
            <w:vMerge w:val="restart"/>
            <w:vAlign w:val="center"/>
          </w:tcPr>
          <w:p w14:paraId="03897950">
            <w:pPr>
              <w:pStyle w:val="64"/>
              <w:wordWrap w:val="0"/>
              <w:rPr>
                <w:rFonts w:cs="Times New Roman"/>
              </w:rPr>
            </w:pPr>
            <w:r>
              <w:rPr>
                <w:rFonts w:cs="Times New Roman"/>
              </w:rPr>
              <w:t>细菌总数(CFU/mL)</w:t>
            </w:r>
          </w:p>
        </w:tc>
        <w:tc>
          <w:tcPr>
            <w:tcW w:w="505" w:type="pct"/>
            <w:vMerge w:val="restart"/>
            <w:vAlign w:val="center"/>
          </w:tcPr>
          <w:p w14:paraId="4BFFA803">
            <w:pPr>
              <w:pStyle w:val="64"/>
              <w:wordWrap w:val="0"/>
              <w:rPr>
                <w:rFonts w:cs="Times New Roman"/>
              </w:rPr>
            </w:pPr>
            <w:r>
              <w:rPr>
                <w:rFonts w:cs="Times New Roman"/>
              </w:rPr>
              <w:t>2024.08.20</w:t>
            </w:r>
          </w:p>
        </w:tc>
        <w:tc>
          <w:tcPr>
            <w:tcW w:w="314" w:type="pct"/>
            <w:vAlign w:val="center"/>
          </w:tcPr>
          <w:p w14:paraId="29DD4C8A">
            <w:pPr>
              <w:pStyle w:val="64"/>
              <w:wordWrap w:val="0"/>
              <w:rPr>
                <w:rFonts w:cs="Times New Roman"/>
              </w:rPr>
            </w:pPr>
            <w:r>
              <w:rPr>
                <w:rFonts w:cs="Times New Roman"/>
              </w:rPr>
              <w:t>Ci</w:t>
            </w:r>
          </w:p>
        </w:tc>
        <w:tc>
          <w:tcPr>
            <w:tcW w:w="740" w:type="pct"/>
            <w:vAlign w:val="center"/>
          </w:tcPr>
          <w:p w14:paraId="29CE0E9E">
            <w:pPr>
              <w:pStyle w:val="64"/>
              <w:wordWrap w:val="0"/>
              <w:rPr>
                <w:rFonts w:cs="Times New Roman"/>
              </w:rPr>
            </w:pPr>
            <w:r>
              <w:rPr>
                <w:rFonts w:cs="Times New Roman"/>
              </w:rPr>
              <w:t>44</w:t>
            </w:r>
          </w:p>
        </w:tc>
        <w:tc>
          <w:tcPr>
            <w:tcW w:w="712" w:type="pct"/>
            <w:vAlign w:val="center"/>
          </w:tcPr>
          <w:p w14:paraId="61139DFC">
            <w:pPr>
              <w:pStyle w:val="64"/>
              <w:wordWrap w:val="0"/>
              <w:rPr>
                <w:rFonts w:cs="Times New Roman"/>
              </w:rPr>
            </w:pPr>
            <w:r>
              <w:rPr>
                <w:rFonts w:cs="Times New Roman"/>
              </w:rPr>
              <w:t>39</w:t>
            </w:r>
          </w:p>
        </w:tc>
        <w:tc>
          <w:tcPr>
            <w:tcW w:w="740" w:type="pct"/>
            <w:vAlign w:val="center"/>
          </w:tcPr>
          <w:p w14:paraId="48A0BD8A">
            <w:pPr>
              <w:pStyle w:val="64"/>
              <w:wordWrap w:val="0"/>
              <w:rPr>
                <w:rFonts w:cs="Times New Roman"/>
              </w:rPr>
            </w:pPr>
            <w:r>
              <w:rPr>
                <w:rFonts w:cs="Times New Roman"/>
              </w:rPr>
              <w:t>43</w:t>
            </w:r>
          </w:p>
        </w:tc>
        <w:tc>
          <w:tcPr>
            <w:tcW w:w="740" w:type="pct"/>
            <w:vAlign w:val="center"/>
          </w:tcPr>
          <w:p w14:paraId="59942DAC">
            <w:pPr>
              <w:pStyle w:val="64"/>
              <w:wordWrap w:val="0"/>
              <w:rPr>
                <w:rFonts w:cs="Times New Roman"/>
              </w:rPr>
            </w:pPr>
            <w:r>
              <w:rPr>
                <w:rFonts w:cs="Times New Roman"/>
              </w:rPr>
              <w:t>42</w:t>
            </w:r>
          </w:p>
        </w:tc>
        <w:tc>
          <w:tcPr>
            <w:tcW w:w="738" w:type="pct"/>
            <w:vAlign w:val="center"/>
          </w:tcPr>
          <w:p w14:paraId="24A917D2">
            <w:pPr>
              <w:pStyle w:val="64"/>
              <w:wordWrap w:val="0"/>
              <w:rPr>
                <w:rFonts w:cs="Times New Roman"/>
              </w:rPr>
            </w:pPr>
            <w:r>
              <w:rPr>
                <w:rFonts w:cs="Times New Roman"/>
              </w:rPr>
              <w:t>40</w:t>
            </w:r>
          </w:p>
        </w:tc>
      </w:tr>
      <w:tr w14:paraId="7B85D8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1" w:type="pct"/>
            <w:vMerge w:val="continue"/>
            <w:vAlign w:val="center"/>
          </w:tcPr>
          <w:p w14:paraId="5471EF8A">
            <w:pPr>
              <w:pStyle w:val="64"/>
              <w:wordWrap w:val="0"/>
              <w:rPr>
                <w:rFonts w:cs="Times New Roman"/>
              </w:rPr>
            </w:pPr>
          </w:p>
        </w:tc>
        <w:tc>
          <w:tcPr>
            <w:tcW w:w="505" w:type="pct"/>
            <w:vMerge w:val="continue"/>
            <w:vAlign w:val="center"/>
          </w:tcPr>
          <w:p w14:paraId="31FF74C0">
            <w:pPr>
              <w:pStyle w:val="64"/>
              <w:wordWrap w:val="0"/>
              <w:rPr>
                <w:rFonts w:cs="Times New Roman"/>
              </w:rPr>
            </w:pPr>
          </w:p>
        </w:tc>
        <w:tc>
          <w:tcPr>
            <w:tcW w:w="314" w:type="pct"/>
            <w:vAlign w:val="center"/>
          </w:tcPr>
          <w:p w14:paraId="302EA7A4">
            <w:pPr>
              <w:pStyle w:val="64"/>
              <w:wordWrap w:val="0"/>
              <w:rPr>
                <w:rFonts w:cs="Times New Roman"/>
              </w:rPr>
            </w:pPr>
            <w:r>
              <w:rPr>
                <w:rFonts w:cs="Times New Roman"/>
              </w:rPr>
              <w:t>Si</w:t>
            </w:r>
          </w:p>
        </w:tc>
        <w:tc>
          <w:tcPr>
            <w:tcW w:w="740" w:type="pct"/>
            <w:vAlign w:val="center"/>
          </w:tcPr>
          <w:p w14:paraId="08E219C5">
            <w:pPr>
              <w:pStyle w:val="64"/>
              <w:wordWrap w:val="0"/>
              <w:rPr>
                <w:rFonts w:cs="Times New Roman"/>
              </w:rPr>
            </w:pPr>
            <w:r>
              <w:rPr>
                <w:rFonts w:cs="Times New Roman"/>
              </w:rPr>
              <w:t>0.44</w:t>
            </w:r>
          </w:p>
        </w:tc>
        <w:tc>
          <w:tcPr>
            <w:tcW w:w="712" w:type="pct"/>
            <w:vAlign w:val="center"/>
          </w:tcPr>
          <w:p w14:paraId="65035037">
            <w:pPr>
              <w:pStyle w:val="64"/>
              <w:wordWrap w:val="0"/>
              <w:rPr>
                <w:rFonts w:cs="Times New Roman"/>
              </w:rPr>
            </w:pPr>
            <w:r>
              <w:rPr>
                <w:rFonts w:cs="Times New Roman"/>
              </w:rPr>
              <w:t>0.39</w:t>
            </w:r>
          </w:p>
        </w:tc>
        <w:tc>
          <w:tcPr>
            <w:tcW w:w="740" w:type="pct"/>
            <w:vAlign w:val="center"/>
          </w:tcPr>
          <w:p w14:paraId="4B2929EB">
            <w:pPr>
              <w:pStyle w:val="64"/>
              <w:wordWrap w:val="0"/>
              <w:rPr>
                <w:rFonts w:cs="Times New Roman"/>
              </w:rPr>
            </w:pPr>
            <w:r>
              <w:rPr>
                <w:rFonts w:cs="Times New Roman"/>
              </w:rPr>
              <w:t>0.43</w:t>
            </w:r>
          </w:p>
        </w:tc>
        <w:tc>
          <w:tcPr>
            <w:tcW w:w="740" w:type="pct"/>
            <w:vAlign w:val="center"/>
          </w:tcPr>
          <w:p w14:paraId="0539F158">
            <w:pPr>
              <w:pStyle w:val="64"/>
              <w:wordWrap w:val="0"/>
              <w:rPr>
                <w:rFonts w:cs="Times New Roman"/>
              </w:rPr>
            </w:pPr>
            <w:r>
              <w:rPr>
                <w:rFonts w:cs="Times New Roman"/>
              </w:rPr>
              <w:t>0.42</w:t>
            </w:r>
          </w:p>
        </w:tc>
        <w:tc>
          <w:tcPr>
            <w:tcW w:w="738" w:type="pct"/>
            <w:vAlign w:val="center"/>
          </w:tcPr>
          <w:p w14:paraId="1AEC6FB3">
            <w:pPr>
              <w:pStyle w:val="64"/>
              <w:wordWrap w:val="0"/>
              <w:rPr>
                <w:rFonts w:cs="Times New Roman"/>
              </w:rPr>
            </w:pPr>
            <w:r>
              <w:rPr>
                <w:rFonts w:cs="Times New Roman"/>
              </w:rPr>
              <w:t>0.4</w:t>
            </w:r>
          </w:p>
        </w:tc>
      </w:tr>
      <w:tr w14:paraId="72880F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1" w:type="pct"/>
            <w:vMerge w:val="continue"/>
            <w:vAlign w:val="center"/>
          </w:tcPr>
          <w:p w14:paraId="58CADD79">
            <w:pPr>
              <w:pStyle w:val="64"/>
              <w:wordWrap w:val="0"/>
              <w:rPr>
                <w:rFonts w:cs="Times New Roman"/>
              </w:rPr>
            </w:pPr>
          </w:p>
        </w:tc>
        <w:tc>
          <w:tcPr>
            <w:tcW w:w="505" w:type="pct"/>
            <w:vMerge w:val="restart"/>
            <w:vAlign w:val="center"/>
          </w:tcPr>
          <w:p w14:paraId="799F5BDF">
            <w:pPr>
              <w:pStyle w:val="64"/>
              <w:wordWrap w:val="0"/>
              <w:rPr>
                <w:rFonts w:cs="Times New Roman"/>
              </w:rPr>
            </w:pPr>
            <w:r>
              <w:rPr>
                <w:rFonts w:cs="Times New Roman"/>
              </w:rPr>
              <w:t>2024.08.21</w:t>
            </w:r>
          </w:p>
        </w:tc>
        <w:tc>
          <w:tcPr>
            <w:tcW w:w="314" w:type="pct"/>
            <w:vAlign w:val="center"/>
          </w:tcPr>
          <w:p w14:paraId="71946FF2">
            <w:pPr>
              <w:pStyle w:val="64"/>
              <w:wordWrap w:val="0"/>
              <w:rPr>
                <w:rFonts w:cs="Times New Roman"/>
              </w:rPr>
            </w:pPr>
            <w:r>
              <w:rPr>
                <w:rFonts w:cs="Times New Roman"/>
              </w:rPr>
              <w:t>Ci</w:t>
            </w:r>
          </w:p>
        </w:tc>
        <w:tc>
          <w:tcPr>
            <w:tcW w:w="740" w:type="pct"/>
            <w:vAlign w:val="center"/>
          </w:tcPr>
          <w:p w14:paraId="66979385">
            <w:pPr>
              <w:pStyle w:val="64"/>
              <w:wordWrap w:val="0"/>
              <w:rPr>
                <w:rFonts w:cs="Times New Roman"/>
              </w:rPr>
            </w:pPr>
            <w:r>
              <w:rPr>
                <w:rFonts w:cs="Times New Roman"/>
              </w:rPr>
              <w:t>41</w:t>
            </w:r>
          </w:p>
        </w:tc>
        <w:tc>
          <w:tcPr>
            <w:tcW w:w="712" w:type="pct"/>
            <w:vAlign w:val="center"/>
          </w:tcPr>
          <w:p w14:paraId="600331DA">
            <w:pPr>
              <w:pStyle w:val="64"/>
              <w:wordWrap w:val="0"/>
              <w:rPr>
                <w:rFonts w:cs="Times New Roman"/>
              </w:rPr>
            </w:pPr>
            <w:r>
              <w:rPr>
                <w:rFonts w:cs="Times New Roman"/>
              </w:rPr>
              <w:t>38</w:t>
            </w:r>
          </w:p>
        </w:tc>
        <w:tc>
          <w:tcPr>
            <w:tcW w:w="740" w:type="pct"/>
            <w:vAlign w:val="center"/>
          </w:tcPr>
          <w:p w14:paraId="759C5E8B">
            <w:pPr>
              <w:pStyle w:val="64"/>
              <w:wordWrap w:val="0"/>
              <w:rPr>
                <w:rFonts w:cs="Times New Roman"/>
              </w:rPr>
            </w:pPr>
            <w:r>
              <w:rPr>
                <w:rFonts w:cs="Times New Roman"/>
              </w:rPr>
              <w:t>37</w:t>
            </w:r>
          </w:p>
        </w:tc>
        <w:tc>
          <w:tcPr>
            <w:tcW w:w="740" w:type="pct"/>
            <w:vAlign w:val="center"/>
          </w:tcPr>
          <w:p w14:paraId="0AE3FF59">
            <w:pPr>
              <w:pStyle w:val="64"/>
              <w:wordWrap w:val="0"/>
              <w:rPr>
                <w:rFonts w:cs="Times New Roman"/>
              </w:rPr>
            </w:pPr>
            <w:r>
              <w:rPr>
                <w:rFonts w:cs="Times New Roman"/>
              </w:rPr>
              <w:t>43</w:t>
            </w:r>
          </w:p>
        </w:tc>
        <w:tc>
          <w:tcPr>
            <w:tcW w:w="738" w:type="pct"/>
            <w:vAlign w:val="center"/>
          </w:tcPr>
          <w:p w14:paraId="67C7AEC1">
            <w:pPr>
              <w:pStyle w:val="64"/>
              <w:wordWrap w:val="0"/>
              <w:rPr>
                <w:rFonts w:cs="Times New Roman"/>
              </w:rPr>
            </w:pPr>
            <w:r>
              <w:rPr>
                <w:rFonts w:cs="Times New Roman"/>
              </w:rPr>
              <w:t>41</w:t>
            </w:r>
          </w:p>
        </w:tc>
      </w:tr>
      <w:tr w14:paraId="50C05F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1" w:type="pct"/>
            <w:vMerge w:val="continue"/>
            <w:vAlign w:val="center"/>
          </w:tcPr>
          <w:p w14:paraId="68C7CF8E">
            <w:pPr>
              <w:pStyle w:val="64"/>
              <w:wordWrap w:val="0"/>
              <w:rPr>
                <w:rFonts w:cs="Times New Roman"/>
              </w:rPr>
            </w:pPr>
          </w:p>
        </w:tc>
        <w:tc>
          <w:tcPr>
            <w:tcW w:w="505" w:type="pct"/>
            <w:vMerge w:val="continue"/>
            <w:vAlign w:val="center"/>
          </w:tcPr>
          <w:p w14:paraId="547278FD">
            <w:pPr>
              <w:pStyle w:val="64"/>
              <w:wordWrap w:val="0"/>
              <w:rPr>
                <w:rFonts w:cs="Times New Roman"/>
              </w:rPr>
            </w:pPr>
          </w:p>
        </w:tc>
        <w:tc>
          <w:tcPr>
            <w:tcW w:w="314" w:type="pct"/>
            <w:vAlign w:val="center"/>
          </w:tcPr>
          <w:p w14:paraId="46986C29">
            <w:pPr>
              <w:pStyle w:val="64"/>
              <w:wordWrap w:val="0"/>
              <w:rPr>
                <w:rFonts w:cs="Times New Roman"/>
              </w:rPr>
            </w:pPr>
            <w:r>
              <w:rPr>
                <w:rFonts w:cs="Times New Roman"/>
              </w:rPr>
              <w:t>Si</w:t>
            </w:r>
          </w:p>
        </w:tc>
        <w:tc>
          <w:tcPr>
            <w:tcW w:w="740" w:type="pct"/>
            <w:vAlign w:val="center"/>
          </w:tcPr>
          <w:p w14:paraId="607A2A19">
            <w:pPr>
              <w:pStyle w:val="64"/>
              <w:wordWrap w:val="0"/>
              <w:rPr>
                <w:rFonts w:cs="Times New Roman"/>
              </w:rPr>
            </w:pPr>
            <w:r>
              <w:rPr>
                <w:rFonts w:cs="Times New Roman"/>
              </w:rPr>
              <w:t>0.41</w:t>
            </w:r>
          </w:p>
        </w:tc>
        <w:tc>
          <w:tcPr>
            <w:tcW w:w="712" w:type="pct"/>
            <w:vAlign w:val="center"/>
          </w:tcPr>
          <w:p w14:paraId="49ADECAE">
            <w:pPr>
              <w:pStyle w:val="64"/>
              <w:wordWrap w:val="0"/>
              <w:rPr>
                <w:rFonts w:cs="Times New Roman"/>
              </w:rPr>
            </w:pPr>
            <w:r>
              <w:rPr>
                <w:rFonts w:cs="Times New Roman"/>
              </w:rPr>
              <w:t>0.38</w:t>
            </w:r>
          </w:p>
        </w:tc>
        <w:tc>
          <w:tcPr>
            <w:tcW w:w="740" w:type="pct"/>
            <w:vAlign w:val="center"/>
          </w:tcPr>
          <w:p w14:paraId="305DA2C2">
            <w:pPr>
              <w:pStyle w:val="64"/>
              <w:wordWrap w:val="0"/>
              <w:rPr>
                <w:rFonts w:cs="Times New Roman"/>
              </w:rPr>
            </w:pPr>
            <w:r>
              <w:rPr>
                <w:rFonts w:cs="Times New Roman"/>
              </w:rPr>
              <w:t>0.37</w:t>
            </w:r>
          </w:p>
        </w:tc>
        <w:tc>
          <w:tcPr>
            <w:tcW w:w="740" w:type="pct"/>
            <w:vAlign w:val="center"/>
          </w:tcPr>
          <w:p w14:paraId="1339B443">
            <w:pPr>
              <w:pStyle w:val="64"/>
              <w:wordWrap w:val="0"/>
              <w:rPr>
                <w:rFonts w:cs="Times New Roman"/>
              </w:rPr>
            </w:pPr>
            <w:r>
              <w:rPr>
                <w:rFonts w:cs="Times New Roman"/>
              </w:rPr>
              <w:t>0.43</w:t>
            </w:r>
          </w:p>
        </w:tc>
        <w:tc>
          <w:tcPr>
            <w:tcW w:w="738" w:type="pct"/>
            <w:vAlign w:val="center"/>
          </w:tcPr>
          <w:p w14:paraId="27C52244">
            <w:pPr>
              <w:pStyle w:val="64"/>
              <w:wordWrap w:val="0"/>
              <w:rPr>
                <w:rFonts w:cs="Times New Roman"/>
              </w:rPr>
            </w:pPr>
            <w:r>
              <w:rPr>
                <w:rFonts w:cs="Times New Roman"/>
              </w:rPr>
              <w:t>0.41</w:t>
            </w:r>
          </w:p>
        </w:tc>
      </w:tr>
    </w:tbl>
    <w:p w14:paraId="7F28E250"/>
    <w:p w14:paraId="5E7F0DE6">
      <w:pPr>
        <w:ind w:firstLine="480" w:firstLineChars="200"/>
        <w:rPr>
          <w:rFonts w:cs="Times New Roman"/>
        </w:rPr>
      </w:pPr>
      <w:r>
        <w:rPr>
          <w:rFonts w:hint="eastAsia"/>
        </w:rPr>
        <w:t>根据引用监测数据，</w:t>
      </w:r>
      <w:r>
        <w:rPr>
          <w:rFonts w:cs="Times New Roman"/>
        </w:rPr>
        <w:t>评价结果表明区域地</w:t>
      </w:r>
      <w:r>
        <w:rPr>
          <w:rFonts w:hint="eastAsia" w:cs="Times New Roman"/>
        </w:rPr>
        <w:t>下</w:t>
      </w:r>
      <w:r>
        <w:rPr>
          <w:rFonts w:cs="Times New Roman"/>
        </w:rPr>
        <w:t>水满足《地下水质量标准》(GB/T14848-2017)中Ⅲ类标准要求。</w:t>
      </w:r>
    </w:p>
    <w:p w14:paraId="4B450DB1">
      <w:pPr>
        <w:ind w:firstLine="480" w:firstLineChars="200"/>
      </w:pPr>
    </w:p>
    <w:p w14:paraId="332B10AD">
      <w:pPr>
        <w:ind w:firstLine="480" w:firstLineChars="200"/>
      </w:pPr>
    </w:p>
    <w:p w14:paraId="162B7A5E">
      <w:pPr>
        <w:ind w:firstLine="480" w:firstLineChars="200"/>
      </w:pPr>
    </w:p>
    <w:p w14:paraId="1D02207F">
      <w:pPr>
        <w:ind w:firstLine="480" w:firstLineChars="200"/>
        <w:sectPr>
          <w:pgSz w:w="16838" w:h="11906" w:orient="landscape"/>
          <w:pgMar w:top="1418" w:right="1418" w:bottom="1418" w:left="1418" w:header="851" w:footer="992" w:gutter="0"/>
          <w:cols w:space="425" w:num="1"/>
          <w:docGrid w:type="lines" w:linePitch="326" w:charSpace="0"/>
        </w:sectPr>
      </w:pPr>
    </w:p>
    <w:p w14:paraId="75A57263">
      <w:pPr>
        <w:ind w:firstLine="480" w:firstLineChars="200"/>
        <w:rPr>
          <w:shd w:val="clear" w:color="auto" w:fill="FFFFFF"/>
        </w:rPr>
      </w:pPr>
      <w:r>
        <w:rPr>
          <w:rFonts w:hint="eastAsia"/>
          <w:shd w:val="clear" w:color="auto" w:fill="FFFFFF"/>
        </w:rPr>
        <w:t>依据《环境影响评价技术导则 地下水环境》(HJ610-2016)技术规范要求“对于一、二级评价的改、扩建类建设项目，应开展现有工业场地的包气带污染现状调查”。本次评价引用2024年</w:t>
      </w:r>
      <w:r>
        <w:rPr>
          <w:rFonts w:hint="eastAsia"/>
        </w:rPr>
        <w:t>《安徽海华科技集团有限公司甲基化合成三甲基苯酚项目环境影响报告书》中</w:t>
      </w:r>
      <w:r>
        <w:rPr>
          <w:rFonts w:hint="eastAsia"/>
          <w:shd w:val="clear" w:color="auto" w:fill="FFFFFF"/>
        </w:rPr>
        <w:t>的两个</w:t>
      </w:r>
      <w:bookmarkStart w:id="70" w:name="_Hlk140779698"/>
      <w:r>
        <w:rPr>
          <w:rFonts w:hint="eastAsia"/>
          <w:shd w:val="clear" w:color="auto" w:fill="FFFFFF"/>
        </w:rPr>
        <w:t>包气带污染监测</w:t>
      </w:r>
      <w:bookmarkEnd w:id="70"/>
      <w:r>
        <w:rPr>
          <w:rFonts w:hint="eastAsia"/>
          <w:shd w:val="clear" w:color="auto" w:fill="FFFFFF"/>
        </w:rPr>
        <w:t>点位数据。监测点位、监测因子、监测频次及采样深度见表5.2-12。</w:t>
      </w:r>
    </w:p>
    <w:p w14:paraId="67224064">
      <w:pPr>
        <w:pStyle w:val="28"/>
        <w:rPr>
          <w:rFonts w:hint="eastAsia"/>
        </w:rPr>
      </w:pPr>
      <w:r>
        <w:rPr>
          <w:rFonts w:hint="eastAsia"/>
        </w:rPr>
        <w:t>表5.2-12</w:t>
      </w:r>
      <w:r>
        <w:t xml:space="preserve">  </w:t>
      </w:r>
      <w:r>
        <w:rPr>
          <w:rFonts w:hint="eastAsia"/>
        </w:rPr>
        <w:t>监测布点情况一览表</w:t>
      </w:r>
    </w:p>
    <w:tbl>
      <w:tblPr>
        <w:tblStyle w:val="192"/>
        <w:tblW w:w="907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7" w:type="dxa"/>
          <w:bottom w:w="0" w:type="dxa"/>
          <w:right w:w="57" w:type="dxa"/>
        </w:tblCellMar>
      </w:tblPr>
      <w:tblGrid>
        <w:gridCol w:w="852"/>
        <w:gridCol w:w="2687"/>
        <w:gridCol w:w="1991"/>
        <w:gridCol w:w="1134"/>
        <w:gridCol w:w="1275"/>
        <w:gridCol w:w="1133"/>
      </w:tblGrid>
      <w:tr w14:paraId="31653D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852" w:type="dxa"/>
            <w:vAlign w:val="center"/>
          </w:tcPr>
          <w:p w14:paraId="280D230E">
            <w:pPr>
              <w:pStyle w:val="64"/>
              <w:adjustRightInd w:val="0"/>
              <w:snapToGrid w:val="0"/>
              <w:rPr>
                <w:szCs w:val="22"/>
                <w:shd w:val="clear" w:color="auto" w:fill="FFFFFF"/>
                <w14:ligatures w14:val="none"/>
              </w:rPr>
            </w:pPr>
            <w:r>
              <w:rPr>
                <w:rFonts w:hint="eastAsia"/>
                <w:szCs w:val="22"/>
                <w:shd w:val="clear" w:color="auto" w:fill="FFFFFF"/>
                <w14:ligatures w14:val="none"/>
              </w:rPr>
              <w:t>类型</w:t>
            </w:r>
          </w:p>
        </w:tc>
        <w:tc>
          <w:tcPr>
            <w:tcW w:w="2687" w:type="dxa"/>
            <w:vAlign w:val="center"/>
          </w:tcPr>
          <w:p w14:paraId="1B06AB0D">
            <w:pPr>
              <w:pStyle w:val="64"/>
              <w:adjustRightInd w:val="0"/>
              <w:snapToGrid w:val="0"/>
              <w:rPr>
                <w:szCs w:val="22"/>
                <w:shd w:val="clear" w:color="auto" w:fill="FFFFFF"/>
                <w14:ligatures w14:val="none"/>
              </w:rPr>
            </w:pPr>
            <w:r>
              <w:rPr>
                <w:szCs w:val="22"/>
                <w14:ligatures w14:val="none"/>
              </w:rPr>
              <w:t>监测点位</w:t>
            </w:r>
          </w:p>
        </w:tc>
        <w:tc>
          <w:tcPr>
            <w:tcW w:w="1991" w:type="dxa"/>
            <w:vAlign w:val="center"/>
          </w:tcPr>
          <w:p w14:paraId="69DCD8D4">
            <w:pPr>
              <w:pStyle w:val="64"/>
              <w:adjustRightInd w:val="0"/>
              <w:snapToGrid w:val="0"/>
              <w:rPr>
                <w:szCs w:val="22"/>
                <w:shd w:val="clear" w:color="auto" w:fill="FFFFFF"/>
                <w14:ligatures w14:val="none"/>
              </w:rPr>
            </w:pPr>
            <w:r>
              <w:rPr>
                <w:szCs w:val="22"/>
                <w14:ligatures w14:val="none"/>
              </w:rPr>
              <w:t>监测因子</w:t>
            </w:r>
          </w:p>
        </w:tc>
        <w:tc>
          <w:tcPr>
            <w:tcW w:w="1134" w:type="dxa"/>
            <w:vAlign w:val="center"/>
          </w:tcPr>
          <w:p w14:paraId="58772551">
            <w:pPr>
              <w:pStyle w:val="64"/>
              <w:adjustRightInd w:val="0"/>
              <w:snapToGrid w:val="0"/>
              <w:rPr>
                <w:szCs w:val="22"/>
                <w:shd w:val="clear" w:color="auto" w:fill="FFFFFF"/>
                <w14:ligatures w14:val="none"/>
              </w:rPr>
            </w:pPr>
            <w:r>
              <w:rPr>
                <w:szCs w:val="22"/>
                <w14:ligatures w14:val="none"/>
              </w:rPr>
              <w:t>监测频次</w:t>
            </w:r>
          </w:p>
        </w:tc>
        <w:tc>
          <w:tcPr>
            <w:tcW w:w="1275" w:type="dxa"/>
            <w:vAlign w:val="center"/>
          </w:tcPr>
          <w:p w14:paraId="6DDF6845">
            <w:pPr>
              <w:pStyle w:val="64"/>
              <w:adjustRightInd w:val="0"/>
              <w:snapToGrid w:val="0"/>
              <w:rPr>
                <w:szCs w:val="22"/>
                <w:shd w:val="clear" w:color="auto" w:fill="FFFFFF"/>
                <w14:ligatures w14:val="none"/>
              </w:rPr>
            </w:pPr>
            <w:r>
              <w:rPr>
                <w:szCs w:val="22"/>
                <w14:ligatures w14:val="none"/>
              </w:rPr>
              <w:t>采样深度</w:t>
            </w:r>
          </w:p>
        </w:tc>
        <w:tc>
          <w:tcPr>
            <w:tcW w:w="1133" w:type="dxa"/>
            <w:vAlign w:val="center"/>
          </w:tcPr>
          <w:p w14:paraId="2EB002B9">
            <w:pPr>
              <w:pStyle w:val="64"/>
              <w:adjustRightInd w:val="0"/>
              <w:snapToGrid w:val="0"/>
              <w:rPr>
                <w:szCs w:val="22"/>
                <w:shd w:val="clear" w:color="auto" w:fill="FFFFFF"/>
                <w14:ligatures w14:val="none"/>
              </w:rPr>
            </w:pPr>
            <w:r>
              <w:rPr>
                <w:szCs w:val="22"/>
                <w14:ligatures w14:val="none"/>
              </w:rPr>
              <w:t>样品数</w:t>
            </w:r>
          </w:p>
        </w:tc>
      </w:tr>
      <w:tr w14:paraId="0A2AD2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852" w:type="dxa"/>
            <w:vMerge w:val="restart"/>
            <w:vAlign w:val="center"/>
          </w:tcPr>
          <w:p w14:paraId="13E83274">
            <w:pPr>
              <w:pStyle w:val="64"/>
              <w:adjustRightInd w:val="0"/>
              <w:snapToGrid w:val="0"/>
              <w:rPr>
                <w:szCs w:val="22"/>
                <w:shd w:val="clear" w:color="auto" w:fill="FFFFFF"/>
                <w14:ligatures w14:val="none"/>
              </w:rPr>
            </w:pPr>
            <w:r>
              <w:rPr>
                <w:rFonts w:hint="eastAsia"/>
                <w:szCs w:val="22"/>
                <w:shd w:val="clear" w:color="auto" w:fill="FFFFFF"/>
                <w14:ligatures w14:val="none"/>
              </w:rPr>
              <w:t>占地范围内</w:t>
            </w:r>
          </w:p>
        </w:tc>
        <w:tc>
          <w:tcPr>
            <w:tcW w:w="2687" w:type="dxa"/>
            <w:vAlign w:val="center"/>
          </w:tcPr>
          <w:p w14:paraId="4DE43679">
            <w:pPr>
              <w:pStyle w:val="64"/>
              <w:adjustRightInd w:val="0"/>
              <w:snapToGrid w:val="0"/>
              <w:rPr>
                <w:szCs w:val="22"/>
                <w:shd w:val="clear" w:color="auto" w:fill="FFFFFF"/>
                <w14:ligatures w14:val="none"/>
              </w:rPr>
            </w:pPr>
            <w:r>
              <w:rPr>
                <w:rFonts w:hint="eastAsia"/>
                <w:szCs w:val="21"/>
                <w14:ligatures w14:val="none"/>
              </w:rPr>
              <w:t>B</w:t>
            </w:r>
            <w:r>
              <w:rPr>
                <w:szCs w:val="21"/>
                <w14:ligatures w14:val="none"/>
              </w:rPr>
              <w:t>1</w:t>
            </w:r>
            <w:r>
              <w:rPr>
                <w:rFonts w:hint="eastAsia"/>
                <w:szCs w:val="21"/>
                <w14:ligatures w14:val="none"/>
              </w:rPr>
              <w:t>危废间旁</w:t>
            </w:r>
          </w:p>
        </w:tc>
        <w:tc>
          <w:tcPr>
            <w:tcW w:w="1991" w:type="dxa"/>
            <w:vMerge w:val="restart"/>
            <w:vAlign w:val="center"/>
          </w:tcPr>
          <w:p w14:paraId="470AB1D9">
            <w:pPr>
              <w:pStyle w:val="64"/>
              <w:adjustRightInd w:val="0"/>
              <w:snapToGrid w:val="0"/>
              <w:rPr>
                <w:szCs w:val="22"/>
                <w:shd w:val="clear" w:color="auto" w:fill="FFFFFF"/>
                <w14:ligatures w14:val="none"/>
              </w:rPr>
            </w:pPr>
            <w:r>
              <w:rPr>
                <w:rFonts w:hint="eastAsia"/>
                <w:szCs w:val="22"/>
                <w:shd w:val="clear" w:color="auto" w:fill="FFFFFF"/>
                <w14:ligatures w14:val="none"/>
              </w:rPr>
              <w:t>苯酚</w:t>
            </w:r>
          </w:p>
          <w:p w14:paraId="0055AF46">
            <w:pPr>
              <w:pStyle w:val="64"/>
              <w:adjustRightInd w:val="0"/>
              <w:snapToGrid w:val="0"/>
              <w:rPr>
                <w:szCs w:val="22"/>
                <w:shd w:val="clear" w:color="auto" w:fill="FFFFFF"/>
                <w14:ligatures w14:val="none"/>
              </w:rPr>
            </w:pPr>
            <w:r>
              <w:rPr>
                <w:rFonts w:hint="eastAsia"/>
                <w:szCs w:val="22"/>
                <w:shd w:val="clear" w:color="auto" w:fill="FFFFFF"/>
                <w14:ligatures w14:val="none"/>
              </w:rPr>
              <w:t>(浸出毒性鉴别)</w:t>
            </w:r>
          </w:p>
        </w:tc>
        <w:tc>
          <w:tcPr>
            <w:tcW w:w="1134" w:type="dxa"/>
            <w:vMerge w:val="restart"/>
            <w:vAlign w:val="center"/>
          </w:tcPr>
          <w:p w14:paraId="7231B0F2">
            <w:pPr>
              <w:pStyle w:val="64"/>
              <w:adjustRightInd w:val="0"/>
              <w:snapToGrid w:val="0"/>
              <w:rPr>
                <w:szCs w:val="22"/>
                <w:shd w:val="clear" w:color="auto" w:fill="FFFFFF"/>
                <w14:ligatures w14:val="none"/>
              </w:rPr>
            </w:pPr>
            <w:r>
              <w:rPr>
                <w:rFonts w:hint="eastAsia"/>
                <w:szCs w:val="22"/>
                <w:shd w:val="clear" w:color="auto" w:fill="FFFFFF"/>
                <w14:ligatures w14:val="none"/>
              </w:rPr>
              <w:t>监测1次</w:t>
            </w:r>
          </w:p>
        </w:tc>
        <w:tc>
          <w:tcPr>
            <w:tcW w:w="1275" w:type="dxa"/>
            <w:vMerge w:val="restart"/>
            <w:vAlign w:val="center"/>
          </w:tcPr>
          <w:p w14:paraId="775E2DAC">
            <w:pPr>
              <w:pStyle w:val="64"/>
              <w:adjustRightInd w:val="0"/>
              <w:snapToGrid w:val="0"/>
              <w:rPr>
                <w:szCs w:val="22"/>
                <w:shd w:val="clear" w:color="auto" w:fill="FFFFFF"/>
                <w14:ligatures w14:val="none"/>
              </w:rPr>
            </w:pPr>
            <w:r>
              <w:rPr>
                <w:rFonts w:hint="eastAsia"/>
                <w:szCs w:val="22"/>
                <w:shd w:val="clear" w:color="auto" w:fill="FFFFFF"/>
                <w14:ligatures w14:val="none"/>
              </w:rPr>
              <w:t>0-20cm埋深范围取样</w:t>
            </w:r>
          </w:p>
        </w:tc>
        <w:tc>
          <w:tcPr>
            <w:tcW w:w="1133" w:type="dxa"/>
            <w:vAlign w:val="center"/>
          </w:tcPr>
          <w:p w14:paraId="730B0E27">
            <w:pPr>
              <w:pStyle w:val="64"/>
              <w:adjustRightInd w:val="0"/>
              <w:snapToGrid w:val="0"/>
              <w:rPr>
                <w:szCs w:val="22"/>
                <w:shd w:val="clear" w:color="auto" w:fill="FFFFFF"/>
                <w14:ligatures w14:val="none"/>
              </w:rPr>
            </w:pPr>
            <w:r>
              <w:rPr>
                <w:rFonts w:hint="eastAsia"/>
                <w:szCs w:val="22"/>
                <w:shd w:val="clear" w:color="auto" w:fill="FFFFFF"/>
                <w14:ligatures w14:val="none"/>
              </w:rPr>
              <w:t>1个</w:t>
            </w:r>
          </w:p>
        </w:tc>
      </w:tr>
      <w:tr w14:paraId="003092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852" w:type="dxa"/>
            <w:vMerge w:val="continue"/>
            <w:vAlign w:val="center"/>
          </w:tcPr>
          <w:p w14:paraId="27EB7398">
            <w:pPr>
              <w:pStyle w:val="64"/>
              <w:adjustRightInd w:val="0"/>
              <w:snapToGrid w:val="0"/>
              <w:rPr>
                <w:szCs w:val="22"/>
                <w:shd w:val="clear" w:color="auto" w:fill="FFFFFF"/>
                <w14:ligatures w14:val="none"/>
              </w:rPr>
            </w:pPr>
          </w:p>
        </w:tc>
        <w:tc>
          <w:tcPr>
            <w:tcW w:w="2687" w:type="dxa"/>
            <w:vAlign w:val="center"/>
          </w:tcPr>
          <w:p w14:paraId="0EBE545B">
            <w:pPr>
              <w:pStyle w:val="64"/>
              <w:adjustRightInd w:val="0"/>
              <w:snapToGrid w:val="0"/>
              <w:rPr>
                <w:szCs w:val="22"/>
                <w:shd w:val="clear" w:color="auto" w:fill="FFFFFF"/>
                <w14:ligatures w14:val="none"/>
              </w:rPr>
            </w:pPr>
            <w:r>
              <w:rPr>
                <w:rFonts w:hint="eastAsia"/>
                <w:szCs w:val="21"/>
                <w14:ligatures w14:val="none"/>
              </w:rPr>
              <w:t>B</w:t>
            </w:r>
            <w:r>
              <w:rPr>
                <w:szCs w:val="21"/>
                <w14:ligatures w14:val="none"/>
              </w:rPr>
              <w:t>2</w:t>
            </w:r>
            <w:r>
              <w:rPr>
                <w:rFonts w:hint="eastAsia"/>
                <w:szCs w:val="21"/>
                <w14:ligatures w14:val="none"/>
              </w:rPr>
              <w:t>东区RTO装置区北侧</w:t>
            </w:r>
          </w:p>
        </w:tc>
        <w:tc>
          <w:tcPr>
            <w:tcW w:w="1991" w:type="dxa"/>
            <w:vMerge w:val="continue"/>
            <w:vAlign w:val="center"/>
          </w:tcPr>
          <w:p w14:paraId="36B6DB22">
            <w:pPr>
              <w:pStyle w:val="64"/>
              <w:adjustRightInd w:val="0"/>
              <w:snapToGrid w:val="0"/>
              <w:rPr>
                <w:szCs w:val="22"/>
                <w:shd w:val="clear" w:color="auto" w:fill="FFFFFF"/>
                <w14:ligatures w14:val="none"/>
              </w:rPr>
            </w:pPr>
          </w:p>
        </w:tc>
        <w:tc>
          <w:tcPr>
            <w:tcW w:w="1134" w:type="dxa"/>
            <w:vMerge w:val="continue"/>
            <w:vAlign w:val="center"/>
          </w:tcPr>
          <w:p w14:paraId="20018A69">
            <w:pPr>
              <w:pStyle w:val="64"/>
              <w:adjustRightInd w:val="0"/>
              <w:snapToGrid w:val="0"/>
              <w:rPr>
                <w:szCs w:val="22"/>
                <w:shd w:val="clear" w:color="auto" w:fill="FFFFFF"/>
                <w14:ligatures w14:val="none"/>
              </w:rPr>
            </w:pPr>
          </w:p>
        </w:tc>
        <w:tc>
          <w:tcPr>
            <w:tcW w:w="1275" w:type="dxa"/>
            <w:vMerge w:val="continue"/>
            <w:vAlign w:val="center"/>
          </w:tcPr>
          <w:p w14:paraId="76279690">
            <w:pPr>
              <w:pStyle w:val="64"/>
              <w:adjustRightInd w:val="0"/>
              <w:snapToGrid w:val="0"/>
              <w:rPr>
                <w:szCs w:val="22"/>
                <w:shd w:val="clear" w:color="auto" w:fill="FFFFFF"/>
                <w14:ligatures w14:val="none"/>
              </w:rPr>
            </w:pPr>
          </w:p>
        </w:tc>
        <w:tc>
          <w:tcPr>
            <w:tcW w:w="1133" w:type="dxa"/>
            <w:vAlign w:val="center"/>
          </w:tcPr>
          <w:p w14:paraId="67C809E5">
            <w:pPr>
              <w:pStyle w:val="64"/>
              <w:adjustRightInd w:val="0"/>
              <w:snapToGrid w:val="0"/>
              <w:rPr>
                <w:szCs w:val="22"/>
                <w:shd w:val="clear" w:color="auto" w:fill="FFFFFF"/>
                <w14:ligatures w14:val="none"/>
              </w:rPr>
            </w:pPr>
            <w:r>
              <w:rPr>
                <w:rFonts w:hint="eastAsia"/>
                <w:szCs w:val="22"/>
                <w:shd w:val="clear" w:color="auto" w:fill="FFFFFF"/>
                <w14:ligatures w14:val="none"/>
              </w:rPr>
              <w:t>1个</w:t>
            </w:r>
          </w:p>
        </w:tc>
      </w:tr>
    </w:tbl>
    <w:p w14:paraId="6270F916">
      <w:pPr>
        <w:rPr>
          <w:shd w:val="clear" w:color="auto" w:fill="FFFFFF"/>
        </w:rPr>
      </w:pPr>
    </w:p>
    <w:p w14:paraId="2310B0DD">
      <w:pPr>
        <w:ind w:firstLine="480" w:firstLineChars="200"/>
        <w:rPr>
          <w:shd w:val="clear" w:color="auto" w:fill="FFFFFF"/>
        </w:rPr>
      </w:pPr>
      <w:r>
        <w:rPr>
          <w:rFonts w:hint="eastAsia"/>
          <w:shd w:val="clear" w:color="auto" w:fill="FFFFFF"/>
        </w:rPr>
        <w:t>监测方法：按《危险废物鉴别标准 浸出毒性鉴别》(GB5085.3-2007)规定标准监测方法进行。监测结果及评价结果见下表。</w:t>
      </w:r>
    </w:p>
    <w:p w14:paraId="525DD76A">
      <w:pPr>
        <w:pStyle w:val="28"/>
        <w:rPr>
          <w:rFonts w:hint="eastAsia"/>
        </w:rPr>
      </w:pPr>
      <w:r>
        <w:rPr>
          <w:rFonts w:hint="eastAsia"/>
        </w:rPr>
        <w:t>表5.2-13</w:t>
      </w:r>
      <w:r>
        <w:t xml:space="preserve">  </w:t>
      </w:r>
      <w:r>
        <w:rPr>
          <w:rFonts w:hint="eastAsia"/>
        </w:rPr>
        <w:t>包气带浸出毒性检测结果表</w:t>
      </w:r>
    </w:p>
    <w:tbl>
      <w:tblPr>
        <w:tblStyle w:val="37"/>
        <w:tblW w:w="928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31"/>
        <w:gridCol w:w="1703"/>
        <w:gridCol w:w="2700"/>
        <w:gridCol w:w="3248"/>
      </w:tblGrid>
      <w:tr w14:paraId="45FBE6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631" w:type="dxa"/>
            <w:tcBorders>
              <w:top w:val="single" w:color="auto" w:sz="4" w:space="0"/>
              <w:left w:val="single" w:color="auto" w:sz="4" w:space="0"/>
              <w:bottom w:val="single" w:color="auto" w:sz="4" w:space="0"/>
              <w:right w:val="single" w:color="auto" w:sz="4" w:space="0"/>
            </w:tcBorders>
            <w:vAlign w:val="center"/>
          </w:tcPr>
          <w:p w14:paraId="751DE222">
            <w:pPr>
              <w:pStyle w:val="64"/>
              <w:rPr>
                <w:shd w:val="clear" w:color="auto" w:fill="FFFFFF"/>
              </w:rPr>
            </w:pPr>
            <w:r>
              <w:rPr>
                <w:rFonts w:hint="eastAsia"/>
                <w:shd w:val="clear" w:color="auto" w:fill="FFFFFF"/>
              </w:rPr>
              <w:t>鉴别类型</w:t>
            </w:r>
          </w:p>
        </w:tc>
        <w:tc>
          <w:tcPr>
            <w:tcW w:w="1703" w:type="dxa"/>
            <w:tcBorders>
              <w:top w:val="single" w:color="auto" w:sz="4" w:space="0"/>
              <w:left w:val="single" w:color="auto" w:sz="4" w:space="0"/>
              <w:bottom w:val="single" w:color="auto" w:sz="4" w:space="0"/>
              <w:right w:val="single" w:color="auto" w:sz="4" w:space="0"/>
            </w:tcBorders>
            <w:vAlign w:val="center"/>
          </w:tcPr>
          <w:p w14:paraId="16793062">
            <w:pPr>
              <w:pStyle w:val="64"/>
              <w:rPr>
                <w:shd w:val="clear" w:color="auto" w:fill="FFFFFF"/>
              </w:rPr>
            </w:pPr>
            <w:r>
              <w:rPr>
                <w:rFonts w:hint="eastAsia"/>
                <w:shd w:val="clear" w:color="auto" w:fill="FFFFFF"/>
              </w:rPr>
              <w:t>监测项目</w:t>
            </w:r>
          </w:p>
        </w:tc>
        <w:tc>
          <w:tcPr>
            <w:tcW w:w="2700" w:type="dxa"/>
            <w:tcBorders>
              <w:top w:val="single" w:color="auto" w:sz="4" w:space="0"/>
              <w:left w:val="single" w:color="auto" w:sz="4" w:space="0"/>
              <w:bottom w:val="single" w:color="auto" w:sz="4" w:space="0"/>
              <w:right w:val="single" w:color="auto" w:sz="4" w:space="0"/>
            </w:tcBorders>
            <w:vAlign w:val="center"/>
          </w:tcPr>
          <w:p w14:paraId="4241E729">
            <w:pPr>
              <w:pStyle w:val="64"/>
              <w:rPr>
                <w:shd w:val="clear" w:color="auto" w:fill="FFFFFF"/>
              </w:rPr>
            </w:pPr>
            <w:r>
              <w:rPr>
                <w:shd w:val="clear" w:color="auto" w:fill="FFFFFF"/>
              </w:rPr>
              <w:t>T1危废间旁</w:t>
            </w:r>
          </w:p>
        </w:tc>
        <w:tc>
          <w:tcPr>
            <w:tcW w:w="3248" w:type="dxa"/>
            <w:tcBorders>
              <w:top w:val="single" w:color="auto" w:sz="4" w:space="0"/>
              <w:left w:val="single" w:color="auto" w:sz="4" w:space="0"/>
              <w:bottom w:val="single" w:color="auto" w:sz="4" w:space="0"/>
              <w:right w:val="single" w:color="auto" w:sz="4" w:space="0"/>
            </w:tcBorders>
            <w:vAlign w:val="center"/>
          </w:tcPr>
          <w:p w14:paraId="754DD546">
            <w:pPr>
              <w:pStyle w:val="64"/>
              <w:rPr>
                <w:shd w:val="clear" w:color="auto" w:fill="FFFFFF"/>
              </w:rPr>
            </w:pPr>
            <w:r>
              <w:rPr>
                <w:shd w:val="clear" w:color="auto" w:fill="FFFFFF"/>
              </w:rPr>
              <w:t>T2</w:t>
            </w:r>
            <w:r>
              <w:rPr>
                <w:rFonts w:hint="eastAsia"/>
                <w:shd w:val="clear" w:color="auto" w:fill="FFFFFF"/>
              </w:rPr>
              <w:t>东区2</w:t>
            </w:r>
            <w:r>
              <w:rPr>
                <w:shd w:val="clear" w:color="auto" w:fill="FFFFFF"/>
              </w:rPr>
              <w:t>#RTO装置区北侧</w:t>
            </w:r>
          </w:p>
        </w:tc>
      </w:tr>
      <w:tr w14:paraId="728668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631" w:type="dxa"/>
            <w:tcBorders>
              <w:top w:val="single" w:color="auto" w:sz="4" w:space="0"/>
              <w:left w:val="single" w:color="auto" w:sz="4" w:space="0"/>
              <w:bottom w:val="single" w:color="auto" w:sz="4" w:space="0"/>
              <w:right w:val="single" w:color="auto" w:sz="4" w:space="0"/>
            </w:tcBorders>
            <w:vAlign w:val="center"/>
          </w:tcPr>
          <w:p w14:paraId="6BBDF168">
            <w:pPr>
              <w:pStyle w:val="64"/>
              <w:rPr>
                <w:shd w:val="clear" w:color="auto" w:fill="FFFFFF"/>
              </w:rPr>
            </w:pPr>
            <w:r>
              <w:rPr>
                <w:shd w:val="clear" w:color="auto" w:fill="FFFFFF"/>
              </w:rPr>
              <w:t>浸出毒性鉴别</w:t>
            </w:r>
          </w:p>
        </w:tc>
        <w:tc>
          <w:tcPr>
            <w:tcW w:w="1703" w:type="dxa"/>
            <w:tcBorders>
              <w:top w:val="single" w:color="auto" w:sz="4" w:space="0"/>
              <w:left w:val="single" w:color="auto" w:sz="4" w:space="0"/>
              <w:bottom w:val="single" w:color="auto" w:sz="4" w:space="0"/>
              <w:right w:val="single" w:color="auto" w:sz="4" w:space="0"/>
            </w:tcBorders>
            <w:vAlign w:val="center"/>
          </w:tcPr>
          <w:p w14:paraId="70E304C9">
            <w:pPr>
              <w:pStyle w:val="64"/>
              <w:rPr>
                <w:shd w:val="clear" w:color="auto" w:fill="FFFFFF"/>
              </w:rPr>
            </w:pPr>
            <w:r>
              <w:rPr>
                <w:shd w:val="clear" w:color="auto" w:fill="FFFFFF"/>
              </w:rPr>
              <w:t>苯酚</w:t>
            </w:r>
            <w:r>
              <w:rPr>
                <w:rFonts w:hint="eastAsia"/>
                <w:shd w:val="clear" w:color="auto" w:fill="FFFFFF"/>
              </w:rPr>
              <w:t>(</w:t>
            </w:r>
            <w:r>
              <w:rPr>
                <w:shd w:val="clear" w:color="auto" w:fill="FFFFFF"/>
              </w:rPr>
              <w:t>mg/L</w:t>
            </w:r>
            <w:r>
              <w:rPr>
                <w:rFonts w:hint="eastAsia"/>
                <w:shd w:val="clear" w:color="auto" w:fill="FFFFFF"/>
              </w:rPr>
              <w:t>)</w:t>
            </w:r>
          </w:p>
        </w:tc>
        <w:tc>
          <w:tcPr>
            <w:tcW w:w="2700" w:type="dxa"/>
            <w:tcBorders>
              <w:top w:val="single" w:color="auto" w:sz="4" w:space="0"/>
              <w:left w:val="single" w:color="auto" w:sz="4" w:space="0"/>
              <w:bottom w:val="single" w:color="auto" w:sz="4" w:space="0"/>
              <w:right w:val="single" w:color="auto" w:sz="4" w:space="0"/>
            </w:tcBorders>
            <w:vAlign w:val="center"/>
          </w:tcPr>
          <w:p w14:paraId="503B8356">
            <w:pPr>
              <w:pStyle w:val="64"/>
              <w:rPr>
                <w:shd w:val="clear" w:color="auto" w:fill="FFFFFF"/>
              </w:rPr>
            </w:pPr>
            <w:r>
              <w:rPr>
                <w:shd w:val="clear" w:color="auto" w:fill="FFFFFF"/>
              </w:rPr>
              <w:t>&lt;1×10</w:t>
            </w:r>
            <w:r>
              <w:rPr>
                <w:shd w:val="clear" w:color="auto" w:fill="FFFFFF"/>
                <w:vertAlign w:val="superscript"/>
              </w:rPr>
              <w:t>-5</w:t>
            </w:r>
          </w:p>
        </w:tc>
        <w:tc>
          <w:tcPr>
            <w:tcW w:w="3248" w:type="dxa"/>
            <w:tcBorders>
              <w:top w:val="single" w:color="auto" w:sz="4" w:space="0"/>
              <w:left w:val="single" w:color="auto" w:sz="4" w:space="0"/>
              <w:bottom w:val="single" w:color="auto" w:sz="4" w:space="0"/>
              <w:right w:val="single" w:color="auto" w:sz="4" w:space="0"/>
            </w:tcBorders>
            <w:vAlign w:val="center"/>
          </w:tcPr>
          <w:p w14:paraId="162A5EE0">
            <w:pPr>
              <w:pStyle w:val="64"/>
              <w:rPr>
                <w:shd w:val="clear" w:color="auto" w:fill="FFFFFF"/>
              </w:rPr>
            </w:pPr>
            <w:r>
              <w:rPr>
                <w:shd w:val="clear" w:color="auto" w:fill="FFFFFF"/>
              </w:rPr>
              <w:t>&lt;1×10</w:t>
            </w:r>
            <w:r>
              <w:rPr>
                <w:shd w:val="clear" w:color="auto" w:fill="FFFFFF"/>
                <w:vertAlign w:val="superscript"/>
              </w:rPr>
              <w:t>-5</w:t>
            </w:r>
          </w:p>
        </w:tc>
      </w:tr>
    </w:tbl>
    <w:p w14:paraId="296AA29F">
      <w:pPr>
        <w:rPr>
          <w:shd w:val="clear" w:color="auto" w:fill="FFFFFF"/>
        </w:rPr>
      </w:pPr>
    </w:p>
    <w:p w14:paraId="7AED6548">
      <w:pPr>
        <w:ind w:firstLine="480" w:firstLineChars="200"/>
        <w:rPr>
          <w:shd w:val="clear" w:color="auto" w:fill="FFFFFF"/>
        </w:rPr>
      </w:pPr>
      <w:r>
        <w:rPr>
          <w:rFonts w:hint="eastAsia"/>
          <w:shd w:val="clear" w:color="auto" w:fill="FFFFFF"/>
        </w:rPr>
        <w:t>根据监测结果可以看出，厂区土壤浸溶实验中污染因子浸出毒性鉴别不超标，厂区现有工业场地的包气带污染现状满足要求。</w:t>
      </w:r>
    </w:p>
    <w:p w14:paraId="00536BDA">
      <w:pPr>
        <w:pStyle w:val="4"/>
        <w:rPr>
          <w:rFonts w:hint="eastAsia"/>
        </w:rPr>
      </w:pPr>
      <w:bookmarkStart w:id="71" w:name="_Toc221056404"/>
      <w:r>
        <w:rPr>
          <w:rFonts w:hint="eastAsia"/>
        </w:rPr>
        <w:t>5.2.5土壤环境质量现状</w:t>
      </w:r>
      <w:bookmarkEnd w:id="71"/>
    </w:p>
    <w:p w14:paraId="1B5D44DE">
      <w:pPr>
        <w:ind w:firstLine="480" w:firstLineChars="200"/>
      </w:pPr>
      <w:r>
        <w:t>1</w:t>
      </w:r>
      <w:r>
        <w:rPr>
          <w:rFonts w:hint="eastAsia"/>
        </w:rPr>
        <w:t>、</w:t>
      </w:r>
      <w:r>
        <w:t>监测布点</w:t>
      </w:r>
      <w:r>
        <w:rPr>
          <w:rFonts w:hint="eastAsia"/>
        </w:rPr>
        <w:t>及监测因子</w:t>
      </w:r>
    </w:p>
    <w:p w14:paraId="6427B4BE">
      <w:pPr>
        <w:ind w:firstLine="480" w:firstLineChars="200"/>
      </w:pPr>
      <w:r>
        <w:rPr>
          <w:rFonts w:hint="eastAsia"/>
        </w:rPr>
        <w:t>土壤环境质量现状监测在占地范围内共布设5个土壤柱状样点，2个表层样点，占地范围外周边设4个表层样点。柱状样点位S1、S2、S3、S4、S5监测数据引用2025年企业自行监测数据中S1、S2、S3、S4、S5点位监测数据，监测时间为2025年11月，占地范围内表层样点S6、S7监测数据引用2025年企业自行监测数据中S10、S12点位监测数据，监测时间为2025年11月，占地范围外表层样点S8监测数据引用2025年企业自行监测数据中S14点位监测数据，监测时间为2025年11月，占地范围外表层样点S9、S10、S11监测数据引用《安徽天润化学工业股份有限公司3万吨/年聚丙烯酰胺干粉项目环境影响报告书》中S6、S9、S10点位监测数据，监测时间为2023年11月21日，引用数据有效。</w:t>
      </w:r>
      <w:r>
        <w:t>具体见表</w:t>
      </w:r>
      <w:r>
        <w:rPr>
          <w:rFonts w:hint="eastAsia"/>
        </w:rPr>
        <w:t>5</w:t>
      </w:r>
      <w:r>
        <w:t>.2-1</w:t>
      </w:r>
      <w:r>
        <w:rPr>
          <w:rFonts w:hint="eastAsia"/>
        </w:rPr>
        <w:t>4</w:t>
      </w:r>
      <w:r>
        <w:t>及图</w:t>
      </w:r>
      <w:r>
        <w:rPr>
          <w:rFonts w:hint="eastAsia"/>
        </w:rPr>
        <w:t>5</w:t>
      </w:r>
      <w:r>
        <w:t>.2-</w:t>
      </w:r>
      <w:r>
        <w:rPr>
          <w:rFonts w:hint="eastAsia"/>
        </w:rPr>
        <w:t>4</w:t>
      </w:r>
      <w:r>
        <w:t>。</w:t>
      </w:r>
    </w:p>
    <w:p w14:paraId="624DB8CF">
      <w:pPr>
        <w:ind w:firstLine="480" w:firstLineChars="200"/>
      </w:pPr>
    </w:p>
    <w:p w14:paraId="5AB7CA98">
      <w:pPr>
        <w:jc w:val="center"/>
        <w:rPr>
          <w:rFonts w:hint="eastAsia" w:ascii="黑体" w:hAnsi="黑体" w:eastAsia="黑体" w:cs="Times New Roman"/>
          <w:bCs/>
        </w:rPr>
      </w:pPr>
      <w:r>
        <w:rPr>
          <w:rFonts w:hint="eastAsia" w:ascii="黑体" w:hAnsi="黑体" w:eastAsia="黑体" w:cs="Times New Roman"/>
          <w:bCs/>
        </w:rPr>
        <w:t xml:space="preserve">表5.2-14  </w:t>
      </w:r>
      <w:r>
        <w:rPr>
          <w:rFonts w:ascii="黑体" w:hAnsi="黑体" w:eastAsia="黑体" w:cs="Times New Roman"/>
          <w:bCs/>
        </w:rPr>
        <w:t>土壤环境质量监测点位一览表</w:t>
      </w:r>
    </w:p>
    <w:tbl>
      <w:tblPr>
        <w:tblStyle w:val="36"/>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22"/>
        <w:gridCol w:w="1307"/>
        <w:gridCol w:w="1016"/>
        <w:gridCol w:w="3198"/>
        <w:gridCol w:w="2323"/>
        <w:gridCol w:w="720"/>
      </w:tblGrid>
      <w:tr w14:paraId="58D5F08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093" w:type="pct"/>
            <w:gridSpan w:val="2"/>
            <w:tcBorders>
              <w:top w:val="single" w:color="auto" w:sz="4" w:space="0"/>
              <w:left w:val="single" w:color="auto" w:sz="4" w:space="0"/>
              <w:bottom w:val="single" w:color="auto" w:sz="4" w:space="0"/>
              <w:right w:val="single" w:color="auto" w:sz="4" w:space="0"/>
            </w:tcBorders>
            <w:vAlign w:val="center"/>
          </w:tcPr>
          <w:p w14:paraId="57E40A8D">
            <w:pPr>
              <w:spacing w:line="240" w:lineRule="auto"/>
              <w:jc w:val="center"/>
              <w:rPr>
                <w:rFonts w:cs="Times New Roman"/>
                <w:bCs/>
                <w:sz w:val="21"/>
                <w:szCs w:val="21"/>
              </w:rPr>
            </w:pPr>
            <w:r>
              <w:rPr>
                <w:rFonts w:cs="Times New Roman"/>
                <w:bCs/>
                <w:sz w:val="21"/>
                <w:szCs w:val="21"/>
              </w:rPr>
              <w:t>监测点</w:t>
            </w:r>
          </w:p>
        </w:tc>
        <w:tc>
          <w:tcPr>
            <w:tcW w:w="547" w:type="pct"/>
            <w:tcBorders>
              <w:top w:val="single" w:color="auto" w:sz="4" w:space="0"/>
              <w:left w:val="nil"/>
              <w:bottom w:val="single" w:color="auto" w:sz="4" w:space="0"/>
              <w:right w:val="single" w:color="auto" w:sz="4" w:space="0"/>
            </w:tcBorders>
            <w:vAlign w:val="center"/>
          </w:tcPr>
          <w:p w14:paraId="62759B30">
            <w:pPr>
              <w:spacing w:line="240" w:lineRule="auto"/>
              <w:jc w:val="center"/>
              <w:rPr>
                <w:rFonts w:cs="Times New Roman"/>
                <w:bCs/>
                <w:sz w:val="21"/>
                <w:szCs w:val="21"/>
              </w:rPr>
            </w:pPr>
            <w:r>
              <w:rPr>
                <w:rFonts w:cs="Times New Roman"/>
                <w:bCs/>
                <w:sz w:val="21"/>
                <w:szCs w:val="21"/>
              </w:rPr>
              <w:t>类别</w:t>
            </w:r>
          </w:p>
        </w:tc>
        <w:tc>
          <w:tcPr>
            <w:tcW w:w="1722" w:type="pct"/>
            <w:tcBorders>
              <w:top w:val="single" w:color="auto" w:sz="4" w:space="0"/>
              <w:left w:val="nil"/>
              <w:bottom w:val="single" w:color="auto" w:sz="4" w:space="0"/>
              <w:right w:val="single" w:color="auto" w:sz="4" w:space="0"/>
            </w:tcBorders>
            <w:vAlign w:val="center"/>
          </w:tcPr>
          <w:p w14:paraId="54CF63B7">
            <w:pPr>
              <w:spacing w:line="240" w:lineRule="auto"/>
              <w:jc w:val="center"/>
              <w:rPr>
                <w:rFonts w:cs="Times New Roman"/>
                <w:bCs/>
                <w:sz w:val="21"/>
                <w:szCs w:val="21"/>
              </w:rPr>
            </w:pPr>
            <w:r>
              <w:rPr>
                <w:rFonts w:cs="Times New Roman"/>
                <w:bCs/>
                <w:sz w:val="21"/>
                <w:szCs w:val="21"/>
              </w:rPr>
              <w:t>取样数量</w:t>
            </w:r>
          </w:p>
        </w:tc>
        <w:tc>
          <w:tcPr>
            <w:tcW w:w="1251" w:type="pct"/>
            <w:tcBorders>
              <w:top w:val="single" w:color="auto" w:sz="4" w:space="0"/>
              <w:left w:val="nil"/>
              <w:bottom w:val="single" w:color="auto" w:sz="4" w:space="0"/>
              <w:right w:val="single" w:color="auto" w:sz="4" w:space="0"/>
            </w:tcBorders>
            <w:vAlign w:val="center"/>
          </w:tcPr>
          <w:p w14:paraId="3331572C">
            <w:pPr>
              <w:spacing w:line="240" w:lineRule="auto"/>
              <w:jc w:val="center"/>
              <w:rPr>
                <w:rFonts w:cs="Times New Roman"/>
                <w:bCs/>
                <w:sz w:val="21"/>
                <w:szCs w:val="21"/>
              </w:rPr>
            </w:pPr>
            <w:r>
              <w:rPr>
                <w:rFonts w:cs="Times New Roman"/>
                <w:bCs/>
                <w:sz w:val="21"/>
                <w:szCs w:val="21"/>
              </w:rPr>
              <w:t>监测因子</w:t>
            </w:r>
          </w:p>
        </w:tc>
        <w:tc>
          <w:tcPr>
            <w:tcW w:w="387" w:type="pct"/>
            <w:tcBorders>
              <w:top w:val="single" w:color="auto" w:sz="4" w:space="0"/>
              <w:left w:val="nil"/>
              <w:bottom w:val="single" w:color="auto" w:sz="4" w:space="0"/>
              <w:right w:val="single" w:color="auto" w:sz="4" w:space="0"/>
            </w:tcBorders>
            <w:vAlign w:val="center"/>
          </w:tcPr>
          <w:p w14:paraId="06E9F7D9">
            <w:pPr>
              <w:spacing w:line="240" w:lineRule="auto"/>
              <w:jc w:val="center"/>
              <w:rPr>
                <w:rFonts w:cs="Times New Roman"/>
                <w:bCs/>
                <w:sz w:val="21"/>
                <w:szCs w:val="21"/>
              </w:rPr>
            </w:pPr>
            <w:r>
              <w:rPr>
                <w:rFonts w:hint="eastAsia" w:cs="Times New Roman"/>
                <w:bCs/>
                <w:sz w:val="21"/>
                <w:szCs w:val="21"/>
              </w:rPr>
              <w:t>备注</w:t>
            </w:r>
          </w:p>
        </w:tc>
      </w:tr>
      <w:tr w14:paraId="7B5B59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89" w:type="pct"/>
            <w:vMerge w:val="restart"/>
            <w:tcBorders>
              <w:top w:val="nil"/>
              <w:left w:val="single" w:color="auto" w:sz="4" w:space="0"/>
              <w:bottom w:val="single" w:color="auto" w:sz="4" w:space="0"/>
              <w:right w:val="single" w:color="auto" w:sz="4" w:space="0"/>
            </w:tcBorders>
            <w:vAlign w:val="center"/>
          </w:tcPr>
          <w:p w14:paraId="22799429">
            <w:pPr>
              <w:spacing w:line="240" w:lineRule="auto"/>
              <w:jc w:val="center"/>
              <w:rPr>
                <w:rFonts w:cs="Times New Roman"/>
                <w:bCs/>
                <w:sz w:val="21"/>
                <w:szCs w:val="21"/>
              </w:rPr>
            </w:pPr>
            <w:r>
              <w:rPr>
                <w:rFonts w:cs="Times New Roman"/>
                <w:bCs/>
                <w:sz w:val="21"/>
                <w:szCs w:val="21"/>
              </w:rPr>
              <w:t>占地范围内</w:t>
            </w:r>
          </w:p>
        </w:tc>
        <w:tc>
          <w:tcPr>
            <w:tcW w:w="704" w:type="pct"/>
            <w:tcBorders>
              <w:top w:val="single" w:color="auto" w:sz="4" w:space="0"/>
              <w:left w:val="nil"/>
              <w:bottom w:val="single" w:color="auto" w:sz="4" w:space="0"/>
              <w:right w:val="single" w:color="auto" w:sz="4" w:space="0"/>
            </w:tcBorders>
            <w:vAlign w:val="center"/>
          </w:tcPr>
          <w:p w14:paraId="2D359AF3">
            <w:pPr>
              <w:spacing w:line="240" w:lineRule="auto"/>
              <w:jc w:val="center"/>
              <w:rPr>
                <w:rFonts w:cs="Times New Roman"/>
                <w:bCs/>
                <w:sz w:val="21"/>
                <w:szCs w:val="21"/>
              </w:rPr>
            </w:pPr>
            <w:r>
              <w:rPr>
                <w:rFonts w:cs="Times New Roman"/>
                <w:bCs/>
                <w:sz w:val="21"/>
                <w:szCs w:val="21"/>
              </w:rPr>
              <w:t>S1</w:t>
            </w:r>
          </w:p>
        </w:tc>
        <w:tc>
          <w:tcPr>
            <w:tcW w:w="547" w:type="pct"/>
            <w:tcBorders>
              <w:top w:val="single" w:color="auto" w:sz="4" w:space="0"/>
              <w:left w:val="nil"/>
              <w:bottom w:val="single" w:color="auto" w:sz="4" w:space="0"/>
              <w:right w:val="single" w:color="auto" w:sz="4" w:space="0"/>
            </w:tcBorders>
            <w:vAlign w:val="center"/>
          </w:tcPr>
          <w:p w14:paraId="7C861CA3">
            <w:pPr>
              <w:spacing w:line="240" w:lineRule="auto"/>
              <w:jc w:val="center"/>
              <w:rPr>
                <w:rFonts w:cs="Times New Roman"/>
                <w:bCs/>
                <w:sz w:val="21"/>
                <w:szCs w:val="21"/>
              </w:rPr>
            </w:pPr>
            <w:r>
              <w:rPr>
                <w:rFonts w:cs="Times New Roman"/>
                <w:bCs/>
                <w:sz w:val="21"/>
                <w:szCs w:val="21"/>
              </w:rPr>
              <w:t>柱状样</w:t>
            </w:r>
          </w:p>
        </w:tc>
        <w:tc>
          <w:tcPr>
            <w:tcW w:w="1722" w:type="pct"/>
            <w:tcBorders>
              <w:top w:val="single" w:color="auto" w:sz="4" w:space="0"/>
              <w:left w:val="nil"/>
              <w:bottom w:val="single" w:color="auto" w:sz="4" w:space="0"/>
              <w:right w:val="single" w:color="auto" w:sz="4" w:space="0"/>
            </w:tcBorders>
          </w:tcPr>
          <w:p w14:paraId="40059A8B">
            <w:pPr>
              <w:pStyle w:val="64"/>
              <w:rPr>
                <w:rFonts w:cs="Times New Roman"/>
              </w:rPr>
            </w:pPr>
            <w:r>
              <w:rPr>
                <w:rFonts w:hint="eastAsia"/>
              </w:rPr>
              <w:t>4</w:t>
            </w:r>
            <w:r>
              <w:rPr>
                <w:rFonts w:ascii="宋体" w:hAnsi="宋体"/>
              </w:rPr>
              <w:t>个</w:t>
            </w:r>
            <w:r>
              <w:rPr>
                <w:rFonts w:cs="Times New Roman"/>
              </w:rPr>
              <w:t>，分别在0~0.5m，1.5~2m，3~4m，5~6m取</w:t>
            </w:r>
            <w:r>
              <w:rPr>
                <w:rFonts w:ascii="宋体" w:hAnsi="宋体"/>
              </w:rPr>
              <w:t>样</w:t>
            </w:r>
          </w:p>
        </w:tc>
        <w:tc>
          <w:tcPr>
            <w:tcW w:w="1251" w:type="pct"/>
            <w:vMerge w:val="restart"/>
            <w:tcBorders>
              <w:top w:val="single" w:color="auto" w:sz="4" w:space="0"/>
              <w:left w:val="nil"/>
              <w:right w:val="single" w:color="auto" w:sz="4" w:space="0"/>
            </w:tcBorders>
            <w:vAlign w:val="center"/>
          </w:tcPr>
          <w:p w14:paraId="32068DC1">
            <w:pPr>
              <w:spacing w:line="240" w:lineRule="auto"/>
              <w:rPr>
                <w:rFonts w:cs="Times New Roman"/>
                <w:bCs/>
                <w:sz w:val="21"/>
                <w:szCs w:val="21"/>
              </w:rPr>
            </w:pPr>
            <w:r>
              <w:rPr>
                <w:rFonts w:hint="eastAsia" w:cs="Times New Roman"/>
                <w:bCs/>
                <w:sz w:val="21"/>
                <w:szCs w:val="21"/>
              </w:rPr>
              <w:t>《土壤环境质量 建设用地土壤污染风险管控标准》(试行)(GB36600-2018)中45项基本因子及石油烃(C</w:t>
            </w:r>
            <w:r>
              <w:rPr>
                <w:rFonts w:hint="eastAsia" w:cs="Times New Roman"/>
                <w:bCs/>
                <w:sz w:val="21"/>
                <w:szCs w:val="21"/>
                <w:vertAlign w:val="subscript"/>
              </w:rPr>
              <w:t>10</w:t>
            </w:r>
            <w:r>
              <w:rPr>
                <w:rFonts w:hint="eastAsia" w:cs="Times New Roman"/>
                <w:bCs/>
                <w:sz w:val="21"/>
                <w:szCs w:val="21"/>
              </w:rPr>
              <w:t>~C</w:t>
            </w:r>
            <w:r>
              <w:rPr>
                <w:rFonts w:hint="eastAsia" w:cs="Times New Roman"/>
                <w:bCs/>
                <w:sz w:val="21"/>
                <w:szCs w:val="21"/>
                <w:vertAlign w:val="subscript"/>
              </w:rPr>
              <w:t>40</w:t>
            </w:r>
            <w:r>
              <w:rPr>
                <w:rFonts w:hint="eastAsia" w:cs="Times New Roman"/>
                <w:bCs/>
                <w:sz w:val="21"/>
                <w:szCs w:val="21"/>
              </w:rPr>
              <w:t>)</w:t>
            </w:r>
          </w:p>
        </w:tc>
        <w:tc>
          <w:tcPr>
            <w:tcW w:w="387" w:type="pct"/>
            <w:tcBorders>
              <w:top w:val="single" w:color="auto" w:sz="4" w:space="0"/>
              <w:left w:val="nil"/>
              <w:bottom w:val="single" w:color="auto" w:sz="4" w:space="0"/>
              <w:right w:val="single" w:color="auto" w:sz="4" w:space="0"/>
            </w:tcBorders>
            <w:vAlign w:val="center"/>
          </w:tcPr>
          <w:p w14:paraId="4078F4FD">
            <w:pPr>
              <w:spacing w:line="240" w:lineRule="auto"/>
              <w:jc w:val="center"/>
              <w:rPr>
                <w:rFonts w:cs="Times New Roman"/>
                <w:bCs/>
                <w:sz w:val="21"/>
                <w:szCs w:val="21"/>
              </w:rPr>
            </w:pPr>
            <w:r>
              <w:rPr>
                <w:rFonts w:hint="eastAsia" w:cs="Times New Roman"/>
                <w:bCs/>
                <w:sz w:val="21"/>
                <w:szCs w:val="21"/>
              </w:rPr>
              <w:t>/</w:t>
            </w:r>
          </w:p>
        </w:tc>
      </w:tr>
      <w:tr w14:paraId="21BEC05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89" w:type="pct"/>
            <w:vMerge w:val="continue"/>
            <w:tcBorders>
              <w:top w:val="nil"/>
              <w:left w:val="single" w:color="auto" w:sz="4" w:space="0"/>
              <w:bottom w:val="single" w:color="auto" w:sz="4" w:space="0"/>
              <w:right w:val="single" w:color="auto" w:sz="4" w:space="0"/>
            </w:tcBorders>
            <w:vAlign w:val="center"/>
          </w:tcPr>
          <w:p w14:paraId="7A85DAFE">
            <w:pPr>
              <w:spacing w:line="240" w:lineRule="auto"/>
              <w:jc w:val="center"/>
              <w:rPr>
                <w:rFonts w:cs="Times New Roman"/>
                <w:bCs/>
                <w:sz w:val="21"/>
                <w:szCs w:val="21"/>
              </w:rPr>
            </w:pPr>
          </w:p>
        </w:tc>
        <w:tc>
          <w:tcPr>
            <w:tcW w:w="704" w:type="pct"/>
            <w:tcBorders>
              <w:top w:val="single" w:color="auto" w:sz="4" w:space="0"/>
              <w:left w:val="nil"/>
              <w:bottom w:val="single" w:color="auto" w:sz="4" w:space="0"/>
              <w:right w:val="single" w:color="auto" w:sz="4" w:space="0"/>
            </w:tcBorders>
            <w:vAlign w:val="center"/>
          </w:tcPr>
          <w:p w14:paraId="7C2F2B65">
            <w:pPr>
              <w:spacing w:line="240" w:lineRule="auto"/>
              <w:jc w:val="center"/>
              <w:rPr>
                <w:rFonts w:cs="Times New Roman"/>
                <w:bCs/>
                <w:sz w:val="21"/>
                <w:szCs w:val="21"/>
              </w:rPr>
            </w:pPr>
            <w:r>
              <w:rPr>
                <w:rFonts w:cs="Times New Roman"/>
                <w:bCs/>
                <w:sz w:val="21"/>
                <w:szCs w:val="21"/>
              </w:rPr>
              <w:t>S2</w:t>
            </w:r>
          </w:p>
        </w:tc>
        <w:tc>
          <w:tcPr>
            <w:tcW w:w="547" w:type="pct"/>
            <w:tcBorders>
              <w:top w:val="single" w:color="auto" w:sz="4" w:space="0"/>
              <w:left w:val="nil"/>
              <w:bottom w:val="single" w:color="auto" w:sz="4" w:space="0"/>
              <w:right w:val="single" w:color="auto" w:sz="4" w:space="0"/>
            </w:tcBorders>
            <w:vAlign w:val="center"/>
          </w:tcPr>
          <w:p w14:paraId="38A0BBE6">
            <w:pPr>
              <w:spacing w:line="240" w:lineRule="auto"/>
              <w:jc w:val="center"/>
              <w:rPr>
                <w:rFonts w:cs="Times New Roman"/>
                <w:bCs/>
                <w:sz w:val="21"/>
                <w:szCs w:val="21"/>
              </w:rPr>
            </w:pPr>
            <w:r>
              <w:rPr>
                <w:rFonts w:cs="Times New Roman"/>
                <w:bCs/>
                <w:sz w:val="21"/>
                <w:szCs w:val="21"/>
              </w:rPr>
              <w:t>柱状样</w:t>
            </w:r>
          </w:p>
        </w:tc>
        <w:tc>
          <w:tcPr>
            <w:tcW w:w="1722" w:type="pct"/>
            <w:tcBorders>
              <w:top w:val="single" w:color="auto" w:sz="4" w:space="0"/>
              <w:left w:val="nil"/>
              <w:bottom w:val="single" w:color="auto" w:sz="4" w:space="0"/>
              <w:right w:val="single" w:color="auto" w:sz="4" w:space="0"/>
            </w:tcBorders>
          </w:tcPr>
          <w:p w14:paraId="09554A4A">
            <w:pPr>
              <w:pStyle w:val="64"/>
              <w:rPr>
                <w:rFonts w:cs="Times New Roman"/>
              </w:rPr>
            </w:pPr>
            <w:r>
              <w:rPr>
                <w:rFonts w:hint="eastAsia"/>
              </w:rPr>
              <w:t>4</w:t>
            </w:r>
            <w:r>
              <w:rPr>
                <w:rFonts w:ascii="宋体" w:hAnsi="宋体"/>
              </w:rPr>
              <w:t>个</w:t>
            </w:r>
            <w:r>
              <w:rPr>
                <w:rFonts w:cs="Times New Roman"/>
              </w:rPr>
              <w:t>，分别在0~0.5m，1.5~2m，3~4m，5~6m取</w:t>
            </w:r>
            <w:r>
              <w:rPr>
                <w:rFonts w:ascii="宋体" w:hAnsi="宋体"/>
              </w:rPr>
              <w:t>样</w:t>
            </w:r>
          </w:p>
        </w:tc>
        <w:tc>
          <w:tcPr>
            <w:tcW w:w="1251" w:type="pct"/>
            <w:vMerge w:val="continue"/>
            <w:tcBorders>
              <w:left w:val="nil"/>
              <w:right w:val="single" w:color="auto" w:sz="4" w:space="0"/>
            </w:tcBorders>
            <w:vAlign w:val="center"/>
          </w:tcPr>
          <w:p w14:paraId="280FA34B">
            <w:pPr>
              <w:spacing w:line="240" w:lineRule="auto"/>
              <w:jc w:val="center"/>
              <w:rPr>
                <w:rFonts w:cs="Times New Roman"/>
                <w:bCs/>
                <w:sz w:val="21"/>
                <w:szCs w:val="21"/>
              </w:rPr>
            </w:pPr>
          </w:p>
        </w:tc>
        <w:tc>
          <w:tcPr>
            <w:tcW w:w="387" w:type="pct"/>
            <w:tcBorders>
              <w:top w:val="single" w:color="auto" w:sz="4" w:space="0"/>
              <w:left w:val="nil"/>
              <w:bottom w:val="single" w:color="auto" w:sz="4" w:space="0"/>
              <w:right w:val="single" w:color="auto" w:sz="4" w:space="0"/>
            </w:tcBorders>
            <w:vAlign w:val="center"/>
          </w:tcPr>
          <w:p w14:paraId="7AF846BD">
            <w:pPr>
              <w:spacing w:line="240" w:lineRule="auto"/>
              <w:jc w:val="center"/>
              <w:rPr>
                <w:rFonts w:cs="Times New Roman"/>
                <w:bCs/>
                <w:sz w:val="21"/>
                <w:szCs w:val="21"/>
              </w:rPr>
            </w:pPr>
            <w:r>
              <w:rPr>
                <w:rFonts w:hint="eastAsia" w:cs="Times New Roman"/>
                <w:bCs/>
                <w:sz w:val="21"/>
                <w:szCs w:val="21"/>
              </w:rPr>
              <w:t>/</w:t>
            </w:r>
          </w:p>
        </w:tc>
      </w:tr>
      <w:tr w14:paraId="422C86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89" w:type="pct"/>
            <w:vMerge w:val="continue"/>
            <w:tcBorders>
              <w:top w:val="nil"/>
              <w:left w:val="single" w:color="auto" w:sz="4" w:space="0"/>
              <w:bottom w:val="single" w:color="auto" w:sz="4" w:space="0"/>
              <w:right w:val="single" w:color="auto" w:sz="4" w:space="0"/>
            </w:tcBorders>
            <w:vAlign w:val="center"/>
          </w:tcPr>
          <w:p w14:paraId="2DE590DD">
            <w:pPr>
              <w:spacing w:line="240" w:lineRule="auto"/>
              <w:jc w:val="center"/>
              <w:rPr>
                <w:rFonts w:cs="Times New Roman"/>
                <w:bCs/>
                <w:sz w:val="21"/>
                <w:szCs w:val="21"/>
              </w:rPr>
            </w:pPr>
          </w:p>
        </w:tc>
        <w:tc>
          <w:tcPr>
            <w:tcW w:w="704" w:type="pct"/>
            <w:tcBorders>
              <w:top w:val="single" w:color="auto" w:sz="4" w:space="0"/>
              <w:left w:val="nil"/>
              <w:bottom w:val="single" w:color="auto" w:sz="4" w:space="0"/>
              <w:right w:val="single" w:color="auto" w:sz="4" w:space="0"/>
            </w:tcBorders>
            <w:vAlign w:val="center"/>
          </w:tcPr>
          <w:p w14:paraId="5AF33E28">
            <w:pPr>
              <w:spacing w:line="240" w:lineRule="auto"/>
              <w:jc w:val="center"/>
              <w:rPr>
                <w:rFonts w:cs="Times New Roman"/>
                <w:bCs/>
                <w:sz w:val="21"/>
                <w:szCs w:val="21"/>
              </w:rPr>
            </w:pPr>
            <w:r>
              <w:rPr>
                <w:rFonts w:cs="Times New Roman"/>
                <w:bCs/>
                <w:sz w:val="21"/>
                <w:szCs w:val="21"/>
              </w:rPr>
              <w:t>S3</w:t>
            </w:r>
          </w:p>
        </w:tc>
        <w:tc>
          <w:tcPr>
            <w:tcW w:w="547" w:type="pct"/>
            <w:tcBorders>
              <w:top w:val="single" w:color="auto" w:sz="4" w:space="0"/>
              <w:left w:val="nil"/>
              <w:bottom w:val="single" w:color="auto" w:sz="4" w:space="0"/>
              <w:right w:val="single" w:color="auto" w:sz="4" w:space="0"/>
            </w:tcBorders>
            <w:vAlign w:val="center"/>
          </w:tcPr>
          <w:p w14:paraId="40A4767F">
            <w:pPr>
              <w:spacing w:line="240" w:lineRule="auto"/>
              <w:jc w:val="center"/>
              <w:rPr>
                <w:rFonts w:cs="Times New Roman"/>
                <w:bCs/>
                <w:sz w:val="21"/>
                <w:szCs w:val="21"/>
              </w:rPr>
            </w:pPr>
            <w:r>
              <w:rPr>
                <w:rFonts w:cs="Times New Roman"/>
                <w:bCs/>
                <w:sz w:val="21"/>
                <w:szCs w:val="21"/>
              </w:rPr>
              <w:t>柱状样</w:t>
            </w:r>
          </w:p>
        </w:tc>
        <w:tc>
          <w:tcPr>
            <w:tcW w:w="1722" w:type="pct"/>
            <w:tcBorders>
              <w:top w:val="single" w:color="auto" w:sz="4" w:space="0"/>
              <w:left w:val="nil"/>
              <w:bottom w:val="single" w:color="auto" w:sz="4" w:space="0"/>
              <w:right w:val="single" w:color="auto" w:sz="4" w:space="0"/>
            </w:tcBorders>
          </w:tcPr>
          <w:p w14:paraId="0062CA8B">
            <w:pPr>
              <w:pStyle w:val="64"/>
              <w:rPr>
                <w:rFonts w:cs="Times New Roman"/>
              </w:rPr>
            </w:pPr>
            <w:r>
              <w:rPr>
                <w:rFonts w:hint="eastAsia"/>
              </w:rPr>
              <w:t>4</w:t>
            </w:r>
            <w:r>
              <w:rPr>
                <w:rFonts w:ascii="宋体" w:hAnsi="宋体"/>
              </w:rPr>
              <w:t>个</w:t>
            </w:r>
            <w:r>
              <w:rPr>
                <w:rFonts w:cs="Times New Roman"/>
              </w:rPr>
              <w:t>，分别在0~0.5m，1.5~2m，3~4m，5~6m取</w:t>
            </w:r>
            <w:r>
              <w:rPr>
                <w:rFonts w:ascii="宋体" w:hAnsi="宋体"/>
              </w:rPr>
              <w:t>样</w:t>
            </w:r>
          </w:p>
        </w:tc>
        <w:tc>
          <w:tcPr>
            <w:tcW w:w="1251" w:type="pct"/>
            <w:vMerge w:val="continue"/>
            <w:tcBorders>
              <w:left w:val="nil"/>
              <w:right w:val="single" w:color="auto" w:sz="4" w:space="0"/>
            </w:tcBorders>
            <w:vAlign w:val="center"/>
          </w:tcPr>
          <w:p w14:paraId="6900F941">
            <w:pPr>
              <w:spacing w:line="240" w:lineRule="auto"/>
              <w:jc w:val="center"/>
              <w:rPr>
                <w:rFonts w:cs="Times New Roman"/>
                <w:bCs/>
                <w:sz w:val="21"/>
                <w:szCs w:val="21"/>
              </w:rPr>
            </w:pPr>
          </w:p>
        </w:tc>
        <w:tc>
          <w:tcPr>
            <w:tcW w:w="387" w:type="pct"/>
            <w:tcBorders>
              <w:top w:val="single" w:color="auto" w:sz="4" w:space="0"/>
              <w:left w:val="nil"/>
              <w:bottom w:val="single" w:color="auto" w:sz="4" w:space="0"/>
              <w:right w:val="single" w:color="auto" w:sz="4" w:space="0"/>
            </w:tcBorders>
            <w:vAlign w:val="center"/>
          </w:tcPr>
          <w:p w14:paraId="65672CBF">
            <w:pPr>
              <w:spacing w:line="240" w:lineRule="auto"/>
              <w:jc w:val="center"/>
              <w:rPr>
                <w:rFonts w:cs="Times New Roman"/>
                <w:bCs/>
                <w:sz w:val="21"/>
                <w:szCs w:val="21"/>
              </w:rPr>
            </w:pPr>
            <w:r>
              <w:rPr>
                <w:rFonts w:hint="eastAsia" w:cs="Times New Roman"/>
                <w:bCs/>
                <w:sz w:val="21"/>
                <w:szCs w:val="21"/>
              </w:rPr>
              <w:t>/</w:t>
            </w:r>
          </w:p>
        </w:tc>
      </w:tr>
      <w:tr w14:paraId="56D80D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89" w:type="pct"/>
            <w:vMerge w:val="continue"/>
            <w:tcBorders>
              <w:top w:val="nil"/>
              <w:left w:val="single" w:color="auto" w:sz="4" w:space="0"/>
              <w:bottom w:val="single" w:color="auto" w:sz="4" w:space="0"/>
              <w:right w:val="single" w:color="auto" w:sz="4" w:space="0"/>
            </w:tcBorders>
            <w:vAlign w:val="center"/>
          </w:tcPr>
          <w:p w14:paraId="412F25FF">
            <w:pPr>
              <w:spacing w:line="240" w:lineRule="auto"/>
              <w:jc w:val="center"/>
              <w:rPr>
                <w:rFonts w:cs="Times New Roman"/>
                <w:bCs/>
                <w:sz w:val="21"/>
                <w:szCs w:val="21"/>
              </w:rPr>
            </w:pPr>
          </w:p>
        </w:tc>
        <w:tc>
          <w:tcPr>
            <w:tcW w:w="704" w:type="pct"/>
            <w:tcBorders>
              <w:top w:val="single" w:color="auto" w:sz="4" w:space="0"/>
              <w:left w:val="nil"/>
              <w:bottom w:val="single" w:color="auto" w:sz="4" w:space="0"/>
              <w:right w:val="single" w:color="auto" w:sz="4" w:space="0"/>
            </w:tcBorders>
            <w:vAlign w:val="center"/>
          </w:tcPr>
          <w:p w14:paraId="48D18C44">
            <w:pPr>
              <w:spacing w:line="240" w:lineRule="auto"/>
              <w:jc w:val="center"/>
              <w:rPr>
                <w:rFonts w:cs="Times New Roman"/>
                <w:bCs/>
                <w:sz w:val="21"/>
                <w:szCs w:val="21"/>
              </w:rPr>
            </w:pPr>
            <w:r>
              <w:rPr>
                <w:rFonts w:cs="Times New Roman"/>
                <w:bCs/>
                <w:sz w:val="21"/>
                <w:szCs w:val="21"/>
              </w:rPr>
              <w:t>S4</w:t>
            </w:r>
          </w:p>
        </w:tc>
        <w:tc>
          <w:tcPr>
            <w:tcW w:w="547" w:type="pct"/>
            <w:tcBorders>
              <w:top w:val="single" w:color="auto" w:sz="4" w:space="0"/>
              <w:left w:val="nil"/>
              <w:bottom w:val="single" w:color="auto" w:sz="4" w:space="0"/>
              <w:right w:val="single" w:color="auto" w:sz="4" w:space="0"/>
            </w:tcBorders>
            <w:vAlign w:val="center"/>
          </w:tcPr>
          <w:p w14:paraId="29FEE45F">
            <w:pPr>
              <w:spacing w:line="240" w:lineRule="auto"/>
              <w:jc w:val="center"/>
              <w:rPr>
                <w:rFonts w:cs="Times New Roman"/>
                <w:bCs/>
                <w:sz w:val="21"/>
                <w:szCs w:val="21"/>
              </w:rPr>
            </w:pPr>
            <w:r>
              <w:rPr>
                <w:rFonts w:cs="Times New Roman"/>
                <w:bCs/>
                <w:sz w:val="21"/>
                <w:szCs w:val="21"/>
              </w:rPr>
              <w:t>柱状样</w:t>
            </w:r>
          </w:p>
        </w:tc>
        <w:tc>
          <w:tcPr>
            <w:tcW w:w="1722" w:type="pct"/>
            <w:tcBorders>
              <w:top w:val="single" w:color="auto" w:sz="4" w:space="0"/>
              <w:left w:val="nil"/>
              <w:bottom w:val="single" w:color="auto" w:sz="4" w:space="0"/>
              <w:right w:val="single" w:color="auto" w:sz="4" w:space="0"/>
            </w:tcBorders>
          </w:tcPr>
          <w:p w14:paraId="328BD7EB">
            <w:pPr>
              <w:pStyle w:val="64"/>
              <w:rPr>
                <w:rFonts w:cs="Times New Roman"/>
              </w:rPr>
            </w:pPr>
            <w:r>
              <w:rPr>
                <w:rFonts w:hint="eastAsia"/>
              </w:rPr>
              <w:t>4</w:t>
            </w:r>
            <w:r>
              <w:rPr>
                <w:rFonts w:ascii="宋体" w:hAnsi="宋体"/>
              </w:rPr>
              <w:t>个</w:t>
            </w:r>
            <w:r>
              <w:rPr>
                <w:rFonts w:cs="Times New Roman"/>
              </w:rPr>
              <w:t>，分别在0~0.5m，1.5~2m，3~4m，5~6m取</w:t>
            </w:r>
            <w:r>
              <w:rPr>
                <w:rFonts w:ascii="宋体" w:hAnsi="宋体"/>
              </w:rPr>
              <w:t>样</w:t>
            </w:r>
          </w:p>
        </w:tc>
        <w:tc>
          <w:tcPr>
            <w:tcW w:w="1251" w:type="pct"/>
            <w:vMerge w:val="continue"/>
            <w:tcBorders>
              <w:left w:val="nil"/>
              <w:right w:val="single" w:color="auto" w:sz="4" w:space="0"/>
            </w:tcBorders>
            <w:vAlign w:val="center"/>
          </w:tcPr>
          <w:p w14:paraId="39E7302F">
            <w:pPr>
              <w:spacing w:line="240" w:lineRule="auto"/>
              <w:jc w:val="center"/>
              <w:rPr>
                <w:rFonts w:cs="Times New Roman"/>
                <w:bCs/>
                <w:sz w:val="21"/>
                <w:szCs w:val="21"/>
              </w:rPr>
            </w:pPr>
          </w:p>
        </w:tc>
        <w:tc>
          <w:tcPr>
            <w:tcW w:w="387" w:type="pct"/>
            <w:tcBorders>
              <w:top w:val="single" w:color="auto" w:sz="4" w:space="0"/>
              <w:left w:val="nil"/>
              <w:bottom w:val="single" w:color="auto" w:sz="4" w:space="0"/>
              <w:right w:val="single" w:color="auto" w:sz="4" w:space="0"/>
            </w:tcBorders>
            <w:vAlign w:val="center"/>
          </w:tcPr>
          <w:p w14:paraId="75303E6F">
            <w:pPr>
              <w:spacing w:line="240" w:lineRule="auto"/>
              <w:jc w:val="center"/>
              <w:rPr>
                <w:rFonts w:cs="Times New Roman"/>
                <w:bCs/>
                <w:sz w:val="21"/>
                <w:szCs w:val="21"/>
              </w:rPr>
            </w:pPr>
            <w:r>
              <w:rPr>
                <w:rFonts w:hint="eastAsia" w:cs="Times New Roman"/>
                <w:bCs/>
                <w:sz w:val="21"/>
                <w:szCs w:val="21"/>
              </w:rPr>
              <w:t>/</w:t>
            </w:r>
          </w:p>
        </w:tc>
      </w:tr>
      <w:tr w14:paraId="310820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89" w:type="pct"/>
            <w:vMerge w:val="continue"/>
            <w:tcBorders>
              <w:top w:val="nil"/>
              <w:left w:val="single" w:color="auto" w:sz="4" w:space="0"/>
              <w:bottom w:val="single" w:color="auto" w:sz="4" w:space="0"/>
              <w:right w:val="single" w:color="auto" w:sz="4" w:space="0"/>
            </w:tcBorders>
            <w:vAlign w:val="center"/>
          </w:tcPr>
          <w:p w14:paraId="3989E38D">
            <w:pPr>
              <w:spacing w:line="240" w:lineRule="auto"/>
              <w:jc w:val="center"/>
              <w:rPr>
                <w:rFonts w:cs="Times New Roman"/>
                <w:bCs/>
                <w:sz w:val="21"/>
                <w:szCs w:val="21"/>
              </w:rPr>
            </w:pPr>
          </w:p>
        </w:tc>
        <w:tc>
          <w:tcPr>
            <w:tcW w:w="704" w:type="pct"/>
            <w:tcBorders>
              <w:top w:val="single" w:color="auto" w:sz="4" w:space="0"/>
              <w:left w:val="nil"/>
              <w:bottom w:val="single" w:color="auto" w:sz="4" w:space="0"/>
              <w:right w:val="single" w:color="auto" w:sz="4" w:space="0"/>
            </w:tcBorders>
            <w:vAlign w:val="center"/>
          </w:tcPr>
          <w:p w14:paraId="79EB7714">
            <w:pPr>
              <w:spacing w:line="240" w:lineRule="auto"/>
              <w:jc w:val="center"/>
              <w:rPr>
                <w:rFonts w:cs="Times New Roman"/>
                <w:bCs/>
                <w:sz w:val="21"/>
                <w:szCs w:val="21"/>
              </w:rPr>
            </w:pPr>
            <w:r>
              <w:rPr>
                <w:rFonts w:cs="Times New Roman"/>
                <w:bCs/>
                <w:sz w:val="21"/>
                <w:szCs w:val="21"/>
              </w:rPr>
              <w:t>S5</w:t>
            </w:r>
          </w:p>
        </w:tc>
        <w:tc>
          <w:tcPr>
            <w:tcW w:w="547" w:type="pct"/>
            <w:tcBorders>
              <w:top w:val="single" w:color="auto" w:sz="4" w:space="0"/>
              <w:left w:val="nil"/>
              <w:bottom w:val="single" w:color="auto" w:sz="4" w:space="0"/>
              <w:right w:val="single" w:color="auto" w:sz="4" w:space="0"/>
            </w:tcBorders>
            <w:vAlign w:val="center"/>
          </w:tcPr>
          <w:p w14:paraId="594438D1">
            <w:pPr>
              <w:spacing w:line="240" w:lineRule="auto"/>
              <w:jc w:val="center"/>
              <w:rPr>
                <w:rFonts w:cs="Times New Roman"/>
                <w:bCs/>
                <w:sz w:val="21"/>
                <w:szCs w:val="21"/>
              </w:rPr>
            </w:pPr>
            <w:r>
              <w:rPr>
                <w:rFonts w:cs="Times New Roman"/>
                <w:bCs/>
                <w:sz w:val="21"/>
                <w:szCs w:val="21"/>
              </w:rPr>
              <w:t>柱状样</w:t>
            </w:r>
          </w:p>
        </w:tc>
        <w:tc>
          <w:tcPr>
            <w:tcW w:w="1722" w:type="pct"/>
            <w:tcBorders>
              <w:top w:val="single" w:color="auto" w:sz="4" w:space="0"/>
              <w:left w:val="nil"/>
              <w:bottom w:val="single" w:color="auto" w:sz="4" w:space="0"/>
              <w:right w:val="single" w:color="auto" w:sz="4" w:space="0"/>
            </w:tcBorders>
          </w:tcPr>
          <w:p w14:paraId="2944A230">
            <w:pPr>
              <w:pStyle w:val="64"/>
              <w:rPr>
                <w:rFonts w:cs="Times New Roman"/>
              </w:rPr>
            </w:pPr>
            <w:r>
              <w:rPr>
                <w:rFonts w:hint="eastAsia"/>
              </w:rPr>
              <w:t>4</w:t>
            </w:r>
            <w:r>
              <w:rPr>
                <w:rFonts w:ascii="宋体" w:hAnsi="宋体"/>
              </w:rPr>
              <w:t>个</w:t>
            </w:r>
            <w:r>
              <w:rPr>
                <w:rFonts w:cs="Times New Roman"/>
              </w:rPr>
              <w:t>，分别在0~0.5m，1.5~2m，3~4m，5~6m取</w:t>
            </w:r>
            <w:r>
              <w:rPr>
                <w:rFonts w:ascii="宋体" w:hAnsi="宋体"/>
              </w:rPr>
              <w:t>样</w:t>
            </w:r>
          </w:p>
        </w:tc>
        <w:tc>
          <w:tcPr>
            <w:tcW w:w="1251" w:type="pct"/>
            <w:vMerge w:val="continue"/>
            <w:tcBorders>
              <w:left w:val="nil"/>
              <w:right w:val="single" w:color="auto" w:sz="4" w:space="0"/>
            </w:tcBorders>
            <w:vAlign w:val="center"/>
          </w:tcPr>
          <w:p w14:paraId="490ED35E">
            <w:pPr>
              <w:spacing w:line="240" w:lineRule="auto"/>
              <w:jc w:val="center"/>
              <w:rPr>
                <w:rFonts w:cs="Times New Roman"/>
                <w:bCs/>
                <w:sz w:val="21"/>
                <w:szCs w:val="21"/>
              </w:rPr>
            </w:pPr>
          </w:p>
        </w:tc>
        <w:tc>
          <w:tcPr>
            <w:tcW w:w="387" w:type="pct"/>
            <w:tcBorders>
              <w:top w:val="single" w:color="auto" w:sz="4" w:space="0"/>
              <w:left w:val="nil"/>
              <w:bottom w:val="single" w:color="auto" w:sz="4" w:space="0"/>
              <w:right w:val="single" w:color="auto" w:sz="4" w:space="0"/>
            </w:tcBorders>
            <w:vAlign w:val="center"/>
          </w:tcPr>
          <w:p w14:paraId="58CFA55F">
            <w:pPr>
              <w:spacing w:line="240" w:lineRule="auto"/>
              <w:jc w:val="center"/>
              <w:rPr>
                <w:rFonts w:cs="Times New Roman"/>
                <w:bCs/>
                <w:sz w:val="21"/>
                <w:szCs w:val="21"/>
              </w:rPr>
            </w:pPr>
            <w:r>
              <w:rPr>
                <w:rFonts w:hint="eastAsia" w:cs="Times New Roman"/>
                <w:bCs/>
                <w:sz w:val="21"/>
                <w:szCs w:val="21"/>
              </w:rPr>
              <w:t>/</w:t>
            </w:r>
          </w:p>
        </w:tc>
      </w:tr>
      <w:tr w14:paraId="569F8A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89" w:type="pct"/>
            <w:vMerge w:val="continue"/>
            <w:tcBorders>
              <w:top w:val="nil"/>
              <w:left w:val="single" w:color="auto" w:sz="4" w:space="0"/>
              <w:bottom w:val="single" w:color="auto" w:sz="4" w:space="0"/>
              <w:right w:val="single" w:color="auto" w:sz="4" w:space="0"/>
            </w:tcBorders>
            <w:vAlign w:val="center"/>
          </w:tcPr>
          <w:p w14:paraId="1FDD4D87">
            <w:pPr>
              <w:spacing w:line="240" w:lineRule="auto"/>
              <w:jc w:val="center"/>
              <w:rPr>
                <w:rFonts w:cs="Times New Roman"/>
                <w:bCs/>
                <w:sz w:val="21"/>
                <w:szCs w:val="21"/>
              </w:rPr>
            </w:pPr>
          </w:p>
        </w:tc>
        <w:tc>
          <w:tcPr>
            <w:tcW w:w="704" w:type="pct"/>
            <w:tcBorders>
              <w:top w:val="single" w:color="auto" w:sz="4" w:space="0"/>
              <w:left w:val="nil"/>
              <w:bottom w:val="single" w:color="auto" w:sz="4" w:space="0"/>
              <w:right w:val="single" w:color="auto" w:sz="4" w:space="0"/>
            </w:tcBorders>
            <w:vAlign w:val="center"/>
          </w:tcPr>
          <w:p w14:paraId="07F3FD7A">
            <w:pPr>
              <w:spacing w:line="240" w:lineRule="auto"/>
              <w:jc w:val="center"/>
              <w:rPr>
                <w:rFonts w:cs="Times New Roman"/>
                <w:bCs/>
                <w:sz w:val="21"/>
                <w:szCs w:val="21"/>
              </w:rPr>
            </w:pPr>
            <w:r>
              <w:rPr>
                <w:rFonts w:cs="Times New Roman"/>
                <w:bCs/>
                <w:sz w:val="21"/>
                <w:szCs w:val="21"/>
              </w:rPr>
              <w:t>S6</w:t>
            </w:r>
          </w:p>
        </w:tc>
        <w:tc>
          <w:tcPr>
            <w:tcW w:w="547" w:type="pct"/>
            <w:tcBorders>
              <w:top w:val="single" w:color="auto" w:sz="4" w:space="0"/>
              <w:left w:val="nil"/>
              <w:bottom w:val="single" w:color="auto" w:sz="4" w:space="0"/>
              <w:right w:val="single" w:color="auto" w:sz="4" w:space="0"/>
            </w:tcBorders>
            <w:vAlign w:val="center"/>
          </w:tcPr>
          <w:p w14:paraId="364FE519">
            <w:pPr>
              <w:spacing w:line="240" w:lineRule="auto"/>
              <w:jc w:val="center"/>
              <w:rPr>
                <w:rFonts w:cs="Times New Roman"/>
                <w:bCs/>
                <w:sz w:val="21"/>
                <w:szCs w:val="21"/>
              </w:rPr>
            </w:pPr>
            <w:r>
              <w:rPr>
                <w:rFonts w:cs="Times New Roman"/>
                <w:bCs/>
                <w:sz w:val="21"/>
                <w:szCs w:val="21"/>
              </w:rPr>
              <w:t>表层样</w:t>
            </w:r>
          </w:p>
        </w:tc>
        <w:tc>
          <w:tcPr>
            <w:tcW w:w="1722" w:type="pct"/>
            <w:tcBorders>
              <w:top w:val="single" w:color="auto" w:sz="4" w:space="0"/>
              <w:left w:val="nil"/>
              <w:bottom w:val="single" w:color="auto" w:sz="4" w:space="0"/>
              <w:right w:val="single" w:color="auto" w:sz="4" w:space="0"/>
            </w:tcBorders>
            <w:vAlign w:val="center"/>
          </w:tcPr>
          <w:p w14:paraId="3214B744">
            <w:pPr>
              <w:spacing w:line="240" w:lineRule="auto"/>
              <w:jc w:val="center"/>
              <w:rPr>
                <w:rFonts w:cs="Times New Roman"/>
                <w:bCs/>
                <w:sz w:val="21"/>
                <w:szCs w:val="21"/>
              </w:rPr>
            </w:pPr>
            <w:r>
              <w:rPr>
                <w:rFonts w:cs="Times New Roman"/>
                <w:bCs/>
                <w:sz w:val="21"/>
                <w:szCs w:val="21"/>
              </w:rPr>
              <w:t>1个，在0~0.</w:t>
            </w:r>
            <w:r>
              <w:rPr>
                <w:rFonts w:hint="eastAsia" w:cs="Times New Roman"/>
                <w:bCs/>
                <w:sz w:val="21"/>
                <w:szCs w:val="21"/>
              </w:rPr>
              <w:t>5</w:t>
            </w:r>
            <w:r>
              <w:rPr>
                <w:rFonts w:cs="Times New Roman"/>
                <w:bCs/>
                <w:sz w:val="21"/>
                <w:szCs w:val="21"/>
              </w:rPr>
              <w:t>m取样</w:t>
            </w:r>
          </w:p>
        </w:tc>
        <w:tc>
          <w:tcPr>
            <w:tcW w:w="1251" w:type="pct"/>
            <w:vMerge w:val="continue"/>
            <w:tcBorders>
              <w:left w:val="nil"/>
              <w:right w:val="single" w:color="auto" w:sz="4" w:space="0"/>
            </w:tcBorders>
            <w:vAlign w:val="center"/>
          </w:tcPr>
          <w:p w14:paraId="5FC7749B">
            <w:pPr>
              <w:spacing w:line="240" w:lineRule="auto"/>
              <w:jc w:val="center"/>
              <w:rPr>
                <w:rFonts w:cs="Times New Roman"/>
                <w:bCs/>
                <w:sz w:val="21"/>
                <w:szCs w:val="21"/>
              </w:rPr>
            </w:pPr>
          </w:p>
        </w:tc>
        <w:tc>
          <w:tcPr>
            <w:tcW w:w="387" w:type="pct"/>
            <w:tcBorders>
              <w:top w:val="single" w:color="auto" w:sz="4" w:space="0"/>
              <w:left w:val="nil"/>
              <w:bottom w:val="single" w:color="auto" w:sz="4" w:space="0"/>
              <w:right w:val="single" w:color="auto" w:sz="4" w:space="0"/>
            </w:tcBorders>
            <w:vAlign w:val="center"/>
          </w:tcPr>
          <w:p w14:paraId="01D15466">
            <w:pPr>
              <w:spacing w:line="240" w:lineRule="auto"/>
              <w:jc w:val="center"/>
              <w:rPr>
                <w:rFonts w:cs="Times New Roman"/>
                <w:bCs/>
                <w:sz w:val="21"/>
                <w:szCs w:val="21"/>
              </w:rPr>
            </w:pPr>
            <w:r>
              <w:rPr>
                <w:rFonts w:hint="eastAsia" w:cs="Times New Roman"/>
                <w:bCs/>
                <w:sz w:val="21"/>
                <w:szCs w:val="21"/>
              </w:rPr>
              <w:t>/</w:t>
            </w:r>
          </w:p>
        </w:tc>
      </w:tr>
      <w:tr w14:paraId="6CA5CA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89" w:type="pct"/>
            <w:vMerge w:val="continue"/>
            <w:tcBorders>
              <w:top w:val="nil"/>
              <w:left w:val="single" w:color="auto" w:sz="4" w:space="0"/>
              <w:bottom w:val="single" w:color="auto" w:sz="4" w:space="0"/>
              <w:right w:val="single" w:color="auto" w:sz="4" w:space="0"/>
            </w:tcBorders>
            <w:vAlign w:val="center"/>
          </w:tcPr>
          <w:p w14:paraId="4199A17E">
            <w:pPr>
              <w:spacing w:line="240" w:lineRule="auto"/>
              <w:jc w:val="center"/>
              <w:rPr>
                <w:rFonts w:cs="Times New Roman"/>
                <w:bCs/>
                <w:sz w:val="21"/>
                <w:szCs w:val="21"/>
              </w:rPr>
            </w:pPr>
          </w:p>
        </w:tc>
        <w:tc>
          <w:tcPr>
            <w:tcW w:w="704" w:type="pct"/>
            <w:tcBorders>
              <w:top w:val="single" w:color="auto" w:sz="4" w:space="0"/>
              <w:left w:val="nil"/>
              <w:bottom w:val="single" w:color="auto" w:sz="4" w:space="0"/>
              <w:right w:val="single" w:color="auto" w:sz="4" w:space="0"/>
            </w:tcBorders>
            <w:vAlign w:val="center"/>
          </w:tcPr>
          <w:p w14:paraId="3DD537CA">
            <w:pPr>
              <w:spacing w:line="240" w:lineRule="auto"/>
              <w:jc w:val="center"/>
              <w:rPr>
                <w:rFonts w:cs="Times New Roman"/>
                <w:bCs/>
                <w:sz w:val="21"/>
                <w:szCs w:val="21"/>
              </w:rPr>
            </w:pPr>
            <w:r>
              <w:rPr>
                <w:rFonts w:cs="Times New Roman"/>
                <w:bCs/>
                <w:sz w:val="21"/>
                <w:szCs w:val="21"/>
              </w:rPr>
              <w:t>S7</w:t>
            </w:r>
          </w:p>
        </w:tc>
        <w:tc>
          <w:tcPr>
            <w:tcW w:w="547" w:type="pct"/>
            <w:tcBorders>
              <w:top w:val="single" w:color="auto" w:sz="4" w:space="0"/>
              <w:left w:val="nil"/>
              <w:bottom w:val="single" w:color="auto" w:sz="4" w:space="0"/>
              <w:right w:val="single" w:color="auto" w:sz="4" w:space="0"/>
            </w:tcBorders>
            <w:vAlign w:val="center"/>
          </w:tcPr>
          <w:p w14:paraId="37CA1221">
            <w:pPr>
              <w:spacing w:line="240" w:lineRule="auto"/>
              <w:jc w:val="center"/>
              <w:rPr>
                <w:rFonts w:cs="Times New Roman"/>
                <w:bCs/>
                <w:sz w:val="21"/>
                <w:szCs w:val="21"/>
              </w:rPr>
            </w:pPr>
            <w:r>
              <w:rPr>
                <w:rFonts w:cs="Times New Roman"/>
                <w:bCs/>
                <w:sz w:val="21"/>
                <w:szCs w:val="21"/>
              </w:rPr>
              <w:t>表层样</w:t>
            </w:r>
          </w:p>
        </w:tc>
        <w:tc>
          <w:tcPr>
            <w:tcW w:w="1722" w:type="pct"/>
            <w:tcBorders>
              <w:top w:val="single" w:color="auto" w:sz="4" w:space="0"/>
              <w:left w:val="nil"/>
              <w:bottom w:val="single" w:color="auto" w:sz="4" w:space="0"/>
              <w:right w:val="single" w:color="auto" w:sz="4" w:space="0"/>
            </w:tcBorders>
            <w:vAlign w:val="center"/>
          </w:tcPr>
          <w:p w14:paraId="5E265C58">
            <w:pPr>
              <w:spacing w:line="240" w:lineRule="auto"/>
              <w:jc w:val="center"/>
              <w:rPr>
                <w:rFonts w:cs="Times New Roman"/>
                <w:bCs/>
                <w:sz w:val="21"/>
                <w:szCs w:val="21"/>
              </w:rPr>
            </w:pPr>
            <w:r>
              <w:rPr>
                <w:rFonts w:cs="Times New Roman"/>
                <w:bCs/>
                <w:sz w:val="21"/>
                <w:szCs w:val="21"/>
              </w:rPr>
              <w:t>1个，在0~0.</w:t>
            </w:r>
            <w:r>
              <w:rPr>
                <w:rFonts w:hint="eastAsia" w:cs="Times New Roman"/>
                <w:bCs/>
                <w:sz w:val="21"/>
                <w:szCs w:val="21"/>
              </w:rPr>
              <w:t>5</w:t>
            </w:r>
            <w:r>
              <w:rPr>
                <w:rFonts w:cs="Times New Roman"/>
                <w:bCs/>
                <w:sz w:val="21"/>
                <w:szCs w:val="21"/>
              </w:rPr>
              <w:t>m取样</w:t>
            </w:r>
          </w:p>
        </w:tc>
        <w:tc>
          <w:tcPr>
            <w:tcW w:w="1251" w:type="pct"/>
            <w:vMerge w:val="continue"/>
            <w:tcBorders>
              <w:left w:val="nil"/>
              <w:right w:val="single" w:color="auto" w:sz="4" w:space="0"/>
            </w:tcBorders>
            <w:vAlign w:val="center"/>
          </w:tcPr>
          <w:p w14:paraId="00B18C71">
            <w:pPr>
              <w:spacing w:line="240" w:lineRule="auto"/>
              <w:jc w:val="center"/>
              <w:rPr>
                <w:rFonts w:cs="Times New Roman"/>
                <w:bCs/>
                <w:sz w:val="21"/>
                <w:szCs w:val="21"/>
              </w:rPr>
            </w:pPr>
          </w:p>
        </w:tc>
        <w:tc>
          <w:tcPr>
            <w:tcW w:w="387" w:type="pct"/>
            <w:tcBorders>
              <w:top w:val="single" w:color="auto" w:sz="4" w:space="0"/>
              <w:left w:val="nil"/>
              <w:bottom w:val="single" w:color="auto" w:sz="4" w:space="0"/>
              <w:right w:val="single" w:color="auto" w:sz="4" w:space="0"/>
            </w:tcBorders>
            <w:vAlign w:val="center"/>
          </w:tcPr>
          <w:p w14:paraId="366570D1">
            <w:pPr>
              <w:spacing w:line="240" w:lineRule="auto"/>
              <w:jc w:val="center"/>
              <w:rPr>
                <w:rFonts w:cs="Times New Roman"/>
                <w:bCs/>
                <w:sz w:val="21"/>
                <w:szCs w:val="21"/>
              </w:rPr>
            </w:pPr>
            <w:r>
              <w:rPr>
                <w:rFonts w:hint="eastAsia" w:cs="Times New Roman"/>
                <w:bCs/>
                <w:sz w:val="21"/>
                <w:szCs w:val="21"/>
              </w:rPr>
              <w:t>/</w:t>
            </w:r>
          </w:p>
        </w:tc>
      </w:tr>
      <w:tr w14:paraId="108DB54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89" w:type="pct"/>
            <w:vMerge w:val="restart"/>
            <w:tcBorders>
              <w:top w:val="single" w:color="auto" w:sz="4" w:space="0"/>
              <w:left w:val="single" w:color="auto" w:sz="4" w:space="0"/>
              <w:right w:val="single" w:color="auto" w:sz="4" w:space="0"/>
            </w:tcBorders>
            <w:vAlign w:val="center"/>
          </w:tcPr>
          <w:p w14:paraId="2F51E958">
            <w:pPr>
              <w:spacing w:line="240" w:lineRule="auto"/>
              <w:jc w:val="center"/>
              <w:rPr>
                <w:rFonts w:cs="Times New Roman"/>
                <w:bCs/>
                <w:sz w:val="21"/>
                <w:szCs w:val="21"/>
              </w:rPr>
            </w:pPr>
            <w:r>
              <w:rPr>
                <w:rFonts w:cs="Times New Roman"/>
                <w:bCs/>
                <w:sz w:val="21"/>
                <w:szCs w:val="21"/>
              </w:rPr>
              <w:t>占地范围外</w:t>
            </w:r>
          </w:p>
        </w:tc>
        <w:tc>
          <w:tcPr>
            <w:tcW w:w="704" w:type="pct"/>
            <w:tcBorders>
              <w:top w:val="single" w:color="auto" w:sz="4" w:space="0"/>
              <w:left w:val="nil"/>
              <w:bottom w:val="single" w:color="auto" w:sz="4" w:space="0"/>
              <w:right w:val="single" w:color="auto" w:sz="4" w:space="0"/>
            </w:tcBorders>
            <w:vAlign w:val="center"/>
          </w:tcPr>
          <w:p w14:paraId="7471A36A">
            <w:pPr>
              <w:spacing w:line="240" w:lineRule="auto"/>
              <w:jc w:val="center"/>
              <w:rPr>
                <w:rFonts w:cs="Times New Roman"/>
                <w:bCs/>
                <w:sz w:val="21"/>
                <w:szCs w:val="21"/>
              </w:rPr>
            </w:pPr>
            <w:r>
              <w:rPr>
                <w:rFonts w:cs="Times New Roman"/>
                <w:bCs/>
                <w:sz w:val="21"/>
                <w:szCs w:val="21"/>
              </w:rPr>
              <w:t>厂界外S8</w:t>
            </w:r>
          </w:p>
        </w:tc>
        <w:tc>
          <w:tcPr>
            <w:tcW w:w="547" w:type="pct"/>
            <w:tcBorders>
              <w:top w:val="single" w:color="auto" w:sz="4" w:space="0"/>
              <w:left w:val="nil"/>
              <w:bottom w:val="single" w:color="auto" w:sz="4" w:space="0"/>
              <w:right w:val="single" w:color="auto" w:sz="4" w:space="0"/>
            </w:tcBorders>
            <w:vAlign w:val="center"/>
          </w:tcPr>
          <w:p w14:paraId="46972087">
            <w:pPr>
              <w:spacing w:line="240" w:lineRule="auto"/>
              <w:jc w:val="center"/>
              <w:rPr>
                <w:rFonts w:cs="Times New Roman"/>
                <w:bCs/>
                <w:sz w:val="21"/>
                <w:szCs w:val="21"/>
              </w:rPr>
            </w:pPr>
            <w:r>
              <w:rPr>
                <w:rFonts w:cs="Times New Roman"/>
                <w:bCs/>
                <w:sz w:val="21"/>
                <w:szCs w:val="21"/>
              </w:rPr>
              <w:t>表层样</w:t>
            </w:r>
          </w:p>
        </w:tc>
        <w:tc>
          <w:tcPr>
            <w:tcW w:w="1722" w:type="pct"/>
            <w:tcBorders>
              <w:top w:val="single" w:color="auto" w:sz="4" w:space="0"/>
              <w:left w:val="nil"/>
              <w:bottom w:val="single" w:color="auto" w:sz="4" w:space="0"/>
              <w:right w:val="single" w:color="auto" w:sz="4" w:space="0"/>
            </w:tcBorders>
            <w:vAlign w:val="center"/>
          </w:tcPr>
          <w:p w14:paraId="2EC7C12C">
            <w:pPr>
              <w:spacing w:line="240" w:lineRule="auto"/>
              <w:jc w:val="center"/>
              <w:rPr>
                <w:rFonts w:cs="Times New Roman"/>
                <w:bCs/>
                <w:sz w:val="21"/>
                <w:szCs w:val="21"/>
              </w:rPr>
            </w:pPr>
            <w:r>
              <w:rPr>
                <w:rFonts w:cs="Times New Roman"/>
                <w:bCs/>
                <w:sz w:val="21"/>
                <w:szCs w:val="21"/>
              </w:rPr>
              <w:t>1个，在0~0.</w:t>
            </w:r>
            <w:r>
              <w:rPr>
                <w:rFonts w:hint="eastAsia" w:cs="Times New Roman"/>
                <w:bCs/>
                <w:sz w:val="21"/>
                <w:szCs w:val="21"/>
              </w:rPr>
              <w:t>5</w:t>
            </w:r>
            <w:r>
              <w:rPr>
                <w:rFonts w:cs="Times New Roman"/>
                <w:bCs/>
                <w:sz w:val="21"/>
                <w:szCs w:val="21"/>
              </w:rPr>
              <w:t>m取样</w:t>
            </w:r>
          </w:p>
        </w:tc>
        <w:tc>
          <w:tcPr>
            <w:tcW w:w="1251" w:type="pct"/>
            <w:vMerge w:val="continue"/>
            <w:tcBorders>
              <w:left w:val="nil"/>
              <w:right w:val="single" w:color="auto" w:sz="4" w:space="0"/>
            </w:tcBorders>
            <w:vAlign w:val="center"/>
          </w:tcPr>
          <w:p w14:paraId="404A7E90">
            <w:pPr>
              <w:spacing w:line="240" w:lineRule="auto"/>
              <w:jc w:val="center"/>
              <w:rPr>
                <w:rFonts w:cs="Times New Roman"/>
                <w:bCs/>
                <w:sz w:val="21"/>
                <w:szCs w:val="21"/>
              </w:rPr>
            </w:pPr>
          </w:p>
        </w:tc>
        <w:tc>
          <w:tcPr>
            <w:tcW w:w="387" w:type="pct"/>
            <w:tcBorders>
              <w:top w:val="single" w:color="auto" w:sz="4" w:space="0"/>
              <w:left w:val="nil"/>
              <w:bottom w:val="single" w:color="auto" w:sz="4" w:space="0"/>
              <w:right w:val="single" w:color="auto" w:sz="4" w:space="0"/>
            </w:tcBorders>
            <w:vAlign w:val="center"/>
          </w:tcPr>
          <w:p w14:paraId="04E64264">
            <w:pPr>
              <w:spacing w:line="240" w:lineRule="auto"/>
              <w:jc w:val="center"/>
              <w:rPr>
                <w:rFonts w:cs="Times New Roman"/>
                <w:bCs/>
                <w:sz w:val="21"/>
                <w:szCs w:val="21"/>
              </w:rPr>
            </w:pPr>
            <w:r>
              <w:rPr>
                <w:rFonts w:hint="eastAsia" w:cs="Times New Roman"/>
                <w:bCs/>
                <w:sz w:val="21"/>
                <w:szCs w:val="21"/>
              </w:rPr>
              <w:t>/</w:t>
            </w:r>
          </w:p>
        </w:tc>
      </w:tr>
      <w:tr w14:paraId="2E5406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89" w:type="pct"/>
            <w:vMerge w:val="continue"/>
            <w:tcBorders>
              <w:left w:val="single" w:color="auto" w:sz="4" w:space="0"/>
              <w:right w:val="single" w:color="auto" w:sz="4" w:space="0"/>
            </w:tcBorders>
            <w:vAlign w:val="center"/>
          </w:tcPr>
          <w:p w14:paraId="276FE1B9">
            <w:pPr>
              <w:spacing w:line="240" w:lineRule="auto"/>
              <w:jc w:val="center"/>
              <w:rPr>
                <w:rFonts w:cs="Times New Roman"/>
                <w:bCs/>
                <w:sz w:val="21"/>
                <w:szCs w:val="21"/>
              </w:rPr>
            </w:pPr>
          </w:p>
        </w:tc>
        <w:tc>
          <w:tcPr>
            <w:tcW w:w="704" w:type="pct"/>
            <w:tcBorders>
              <w:top w:val="single" w:color="auto" w:sz="4" w:space="0"/>
              <w:left w:val="nil"/>
              <w:bottom w:val="single" w:color="auto" w:sz="4" w:space="0"/>
              <w:right w:val="single" w:color="auto" w:sz="4" w:space="0"/>
            </w:tcBorders>
            <w:vAlign w:val="center"/>
          </w:tcPr>
          <w:p w14:paraId="0A333EE4">
            <w:pPr>
              <w:spacing w:line="240" w:lineRule="auto"/>
              <w:jc w:val="center"/>
              <w:rPr>
                <w:rFonts w:cs="Times New Roman"/>
                <w:bCs/>
                <w:sz w:val="21"/>
                <w:szCs w:val="21"/>
              </w:rPr>
            </w:pPr>
            <w:r>
              <w:rPr>
                <w:rFonts w:cs="Times New Roman"/>
                <w:bCs/>
                <w:sz w:val="21"/>
                <w:szCs w:val="21"/>
              </w:rPr>
              <w:t>厂界外S</w:t>
            </w:r>
            <w:r>
              <w:rPr>
                <w:rFonts w:hint="eastAsia" w:cs="Times New Roman"/>
                <w:bCs/>
                <w:sz w:val="21"/>
                <w:szCs w:val="21"/>
              </w:rPr>
              <w:t>9</w:t>
            </w:r>
          </w:p>
        </w:tc>
        <w:tc>
          <w:tcPr>
            <w:tcW w:w="547" w:type="pct"/>
            <w:tcBorders>
              <w:top w:val="single" w:color="auto" w:sz="4" w:space="0"/>
              <w:left w:val="nil"/>
              <w:bottom w:val="single" w:color="auto" w:sz="4" w:space="0"/>
              <w:right w:val="single" w:color="auto" w:sz="4" w:space="0"/>
            </w:tcBorders>
            <w:vAlign w:val="center"/>
          </w:tcPr>
          <w:p w14:paraId="6B006BA5">
            <w:pPr>
              <w:spacing w:line="240" w:lineRule="auto"/>
              <w:jc w:val="center"/>
              <w:rPr>
                <w:rFonts w:cs="Times New Roman"/>
                <w:bCs/>
                <w:sz w:val="21"/>
                <w:szCs w:val="21"/>
              </w:rPr>
            </w:pPr>
            <w:r>
              <w:rPr>
                <w:rFonts w:cs="Times New Roman"/>
                <w:bCs/>
                <w:sz w:val="21"/>
                <w:szCs w:val="21"/>
              </w:rPr>
              <w:t>表层样</w:t>
            </w:r>
          </w:p>
        </w:tc>
        <w:tc>
          <w:tcPr>
            <w:tcW w:w="1722" w:type="pct"/>
            <w:tcBorders>
              <w:top w:val="single" w:color="auto" w:sz="4" w:space="0"/>
              <w:left w:val="nil"/>
              <w:bottom w:val="single" w:color="auto" w:sz="4" w:space="0"/>
              <w:right w:val="single" w:color="auto" w:sz="4" w:space="0"/>
            </w:tcBorders>
            <w:vAlign w:val="center"/>
          </w:tcPr>
          <w:p w14:paraId="0A2E8956">
            <w:pPr>
              <w:spacing w:line="240" w:lineRule="auto"/>
              <w:jc w:val="center"/>
              <w:rPr>
                <w:rFonts w:cs="Times New Roman"/>
                <w:bCs/>
                <w:sz w:val="21"/>
                <w:szCs w:val="21"/>
              </w:rPr>
            </w:pPr>
            <w:r>
              <w:rPr>
                <w:rFonts w:cs="Times New Roman"/>
                <w:bCs/>
                <w:sz w:val="21"/>
                <w:szCs w:val="21"/>
              </w:rPr>
              <w:t>1个，在0~0.</w:t>
            </w:r>
            <w:r>
              <w:rPr>
                <w:rFonts w:hint="eastAsia" w:cs="Times New Roman"/>
                <w:bCs/>
                <w:sz w:val="21"/>
                <w:szCs w:val="21"/>
              </w:rPr>
              <w:t>2</w:t>
            </w:r>
            <w:r>
              <w:rPr>
                <w:rFonts w:cs="Times New Roman"/>
                <w:bCs/>
                <w:sz w:val="21"/>
                <w:szCs w:val="21"/>
              </w:rPr>
              <w:t>m取样</w:t>
            </w:r>
          </w:p>
        </w:tc>
        <w:tc>
          <w:tcPr>
            <w:tcW w:w="1251" w:type="pct"/>
            <w:vMerge w:val="continue"/>
            <w:tcBorders>
              <w:left w:val="nil"/>
              <w:right w:val="single" w:color="auto" w:sz="4" w:space="0"/>
            </w:tcBorders>
            <w:vAlign w:val="center"/>
          </w:tcPr>
          <w:p w14:paraId="36576D67">
            <w:pPr>
              <w:spacing w:line="240" w:lineRule="auto"/>
              <w:jc w:val="center"/>
              <w:rPr>
                <w:rFonts w:cs="Times New Roman"/>
                <w:bCs/>
                <w:sz w:val="21"/>
                <w:szCs w:val="21"/>
              </w:rPr>
            </w:pPr>
          </w:p>
        </w:tc>
        <w:tc>
          <w:tcPr>
            <w:tcW w:w="387" w:type="pct"/>
            <w:tcBorders>
              <w:top w:val="single" w:color="auto" w:sz="4" w:space="0"/>
              <w:left w:val="nil"/>
              <w:bottom w:val="single" w:color="auto" w:sz="4" w:space="0"/>
              <w:right w:val="single" w:color="auto" w:sz="4" w:space="0"/>
            </w:tcBorders>
            <w:vAlign w:val="center"/>
          </w:tcPr>
          <w:p w14:paraId="530CD4FE">
            <w:pPr>
              <w:spacing w:line="240" w:lineRule="auto"/>
              <w:jc w:val="center"/>
              <w:rPr>
                <w:rFonts w:cs="Times New Roman"/>
                <w:bCs/>
                <w:sz w:val="21"/>
                <w:szCs w:val="21"/>
              </w:rPr>
            </w:pPr>
            <w:r>
              <w:rPr>
                <w:rFonts w:hint="eastAsia" w:cs="Times New Roman"/>
                <w:bCs/>
                <w:sz w:val="21"/>
                <w:szCs w:val="21"/>
              </w:rPr>
              <w:t>/</w:t>
            </w:r>
          </w:p>
        </w:tc>
      </w:tr>
      <w:tr w14:paraId="56C3DD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389" w:type="pct"/>
            <w:vMerge w:val="continue"/>
            <w:tcBorders>
              <w:left w:val="single" w:color="auto" w:sz="4" w:space="0"/>
              <w:right w:val="single" w:color="auto" w:sz="4" w:space="0"/>
            </w:tcBorders>
            <w:vAlign w:val="center"/>
          </w:tcPr>
          <w:p w14:paraId="688BB60B">
            <w:pPr>
              <w:spacing w:line="240" w:lineRule="auto"/>
              <w:jc w:val="center"/>
              <w:rPr>
                <w:rFonts w:cs="Times New Roman"/>
                <w:bCs/>
                <w:sz w:val="21"/>
                <w:szCs w:val="21"/>
              </w:rPr>
            </w:pPr>
          </w:p>
        </w:tc>
        <w:tc>
          <w:tcPr>
            <w:tcW w:w="704" w:type="pct"/>
            <w:tcBorders>
              <w:top w:val="single" w:color="auto" w:sz="4" w:space="0"/>
              <w:left w:val="nil"/>
              <w:bottom w:val="single" w:color="auto" w:sz="4" w:space="0"/>
              <w:right w:val="single" w:color="auto" w:sz="4" w:space="0"/>
            </w:tcBorders>
            <w:vAlign w:val="center"/>
          </w:tcPr>
          <w:p w14:paraId="52D3C300">
            <w:pPr>
              <w:spacing w:line="240" w:lineRule="auto"/>
              <w:jc w:val="center"/>
              <w:rPr>
                <w:rFonts w:cs="Times New Roman"/>
                <w:bCs/>
                <w:sz w:val="21"/>
                <w:szCs w:val="21"/>
              </w:rPr>
            </w:pPr>
            <w:r>
              <w:rPr>
                <w:rFonts w:cs="Times New Roman"/>
                <w:bCs/>
                <w:sz w:val="21"/>
                <w:szCs w:val="21"/>
              </w:rPr>
              <w:t>厂界外S</w:t>
            </w:r>
            <w:r>
              <w:rPr>
                <w:rFonts w:hint="eastAsia" w:cs="Times New Roman"/>
                <w:bCs/>
                <w:sz w:val="21"/>
                <w:szCs w:val="21"/>
              </w:rPr>
              <w:t>10</w:t>
            </w:r>
          </w:p>
        </w:tc>
        <w:tc>
          <w:tcPr>
            <w:tcW w:w="547" w:type="pct"/>
            <w:tcBorders>
              <w:top w:val="single" w:color="auto" w:sz="4" w:space="0"/>
              <w:left w:val="nil"/>
              <w:bottom w:val="single" w:color="auto" w:sz="4" w:space="0"/>
              <w:right w:val="single" w:color="auto" w:sz="4" w:space="0"/>
            </w:tcBorders>
            <w:vAlign w:val="center"/>
          </w:tcPr>
          <w:p w14:paraId="20ECAC45">
            <w:pPr>
              <w:spacing w:line="240" w:lineRule="auto"/>
              <w:jc w:val="center"/>
              <w:rPr>
                <w:rFonts w:cs="Times New Roman"/>
                <w:bCs/>
                <w:sz w:val="21"/>
                <w:szCs w:val="21"/>
              </w:rPr>
            </w:pPr>
            <w:r>
              <w:rPr>
                <w:rFonts w:cs="Times New Roman"/>
                <w:bCs/>
                <w:sz w:val="21"/>
                <w:szCs w:val="21"/>
              </w:rPr>
              <w:t>表层样</w:t>
            </w:r>
          </w:p>
        </w:tc>
        <w:tc>
          <w:tcPr>
            <w:tcW w:w="1722" w:type="pct"/>
            <w:tcBorders>
              <w:top w:val="single" w:color="auto" w:sz="4" w:space="0"/>
              <w:left w:val="nil"/>
              <w:bottom w:val="single" w:color="auto" w:sz="4" w:space="0"/>
              <w:right w:val="single" w:color="auto" w:sz="4" w:space="0"/>
            </w:tcBorders>
            <w:vAlign w:val="center"/>
          </w:tcPr>
          <w:p w14:paraId="3299A1AB">
            <w:pPr>
              <w:spacing w:line="240" w:lineRule="auto"/>
              <w:jc w:val="center"/>
              <w:rPr>
                <w:rFonts w:cs="Times New Roman"/>
                <w:bCs/>
                <w:sz w:val="21"/>
                <w:szCs w:val="21"/>
              </w:rPr>
            </w:pPr>
            <w:r>
              <w:rPr>
                <w:rFonts w:cs="Times New Roman"/>
                <w:bCs/>
                <w:sz w:val="21"/>
                <w:szCs w:val="21"/>
              </w:rPr>
              <w:t>1个，在0~0.</w:t>
            </w:r>
            <w:r>
              <w:rPr>
                <w:rFonts w:hint="eastAsia" w:cs="Times New Roman"/>
                <w:bCs/>
                <w:sz w:val="21"/>
                <w:szCs w:val="21"/>
              </w:rPr>
              <w:t>2</w:t>
            </w:r>
            <w:r>
              <w:rPr>
                <w:rFonts w:cs="Times New Roman"/>
                <w:bCs/>
                <w:sz w:val="21"/>
                <w:szCs w:val="21"/>
              </w:rPr>
              <w:t>m取样</w:t>
            </w:r>
          </w:p>
        </w:tc>
        <w:tc>
          <w:tcPr>
            <w:tcW w:w="1251" w:type="pct"/>
            <w:vMerge w:val="restart"/>
            <w:tcBorders>
              <w:left w:val="nil"/>
              <w:right w:val="single" w:color="auto" w:sz="4" w:space="0"/>
            </w:tcBorders>
            <w:vAlign w:val="center"/>
          </w:tcPr>
          <w:p w14:paraId="4ADBE55A">
            <w:pPr>
              <w:spacing w:line="240" w:lineRule="auto"/>
              <w:rPr>
                <w:rFonts w:cs="Times New Roman"/>
                <w:bCs/>
                <w:sz w:val="21"/>
                <w:szCs w:val="21"/>
              </w:rPr>
            </w:pPr>
            <w:r>
              <w:rPr>
                <w:rFonts w:hint="eastAsia" w:cs="Times New Roman"/>
                <w:bCs/>
                <w:sz w:val="21"/>
                <w:szCs w:val="21"/>
              </w:rPr>
              <w:t>pH、镉、汞、砷、铅、铬、铜、镍、锌、石油烃(C</w:t>
            </w:r>
            <w:r>
              <w:rPr>
                <w:rFonts w:hint="eastAsia" w:cs="Times New Roman"/>
                <w:bCs/>
                <w:sz w:val="21"/>
                <w:szCs w:val="21"/>
                <w:vertAlign w:val="subscript"/>
              </w:rPr>
              <w:t>10</w:t>
            </w:r>
            <w:r>
              <w:rPr>
                <w:rFonts w:hint="eastAsia" w:cs="Times New Roman"/>
                <w:bCs/>
                <w:sz w:val="21"/>
                <w:szCs w:val="21"/>
              </w:rPr>
              <w:t>-C</w:t>
            </w:r>
            <w:r>
              <w:rPr>
                <w:rFonts w:hint="eastAsia" w:cs="Times New Roman"/>
                <w:bCs/>
                <w:sz w:val="21"/>
                <w:szCs w:val="21"/>
                <w:vertAlign w:val="subscript"/>
              </w:rPr>
              <w:t>40</w:t>
            </w:r>
            <w:r>
              <w:rPr>
                <w:rFonts w:hint="eastAsia" w:cs="Times New Roman"/>
                <w:bCs/>
                <w:sz w:val="21"/>
                <w:szCs w:val="21"/>
              </w:rPr>
              <w:t>)</w:t>
            </w:r>
          </w:p>
        </w:tc>
        <w:tc>
          <w:tcPr>
            <w:tcW w:w="387" w:type="pct"/>
            <w:tcBorders>
              <w:top w:val="single" w:color="auto" w:sz="4" w:space="0"/>
              <w:left w:val="nil"/>
              <w:bottom w:val="single" w:color="auto" w:sz="4" w:space="0"/>
              <w:right w:val="single" w:color="auto" w:sz="4" w:space="0"/>
            </w:tcBorders>
            <w:vAlign w:val="center"/>
          </w:tcPr>
          <w:p w14:paraId="70FA8B6E">
            <w:pPr>
              <w:spacing w:line="240" w:lineRule="auto"/>
              <w:jc w:val="center"/>
              <w:rPr>
                <w:rFonts w:cs="Times New Roman"/>
                <w:bCs/>
                <w:sz w:val="21"/>
                <w:szCs w:val="21"/>
              </w:rPr>
            </w:pPr>
            <w:r>
              <w:rPr>
                <w:rFonts w:hint="eastAsia" w:cs="Times New Roman"/>
                <w:bCs/>
                <w:sz w:val="21"/>
                <w:szCs w:val="21"/>
              </w:rPr>
              <w:t>/</w:t>
            </w:r>
          </w:p>
        </w:tc>
      </w:tr>
      <w:tr w14:paraId="7C9EC7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89" w:type="pct"/>
            <w:vMerge w:val="continue"/>
            <w:tcBorders>
              <w:left w:val="single" w:color="auto" w:sz="4" w:space="0"/>
              <w:bottom w:val="single" w:color="auto" w:sz="4" w:space="0"/>
              <w:right w:val="single" w:color="auto" w:sz="4" w:space="0"/>
            </w:tcBorders>
            <w:vAlign w:val="center"/>
          </w:tcPr>
          <w:p w14:paraId="331D9EE8">
            <w:pPr>
              <w:spacing w:line="240" w:lineRule="auto"/>
              <w:jc w:val="center"/>
              <w:rPr>
                <w:rFonts w:cs="Times New Roman"/>
                <w:bCs/>
                <w:sz w:val="21"/>
                <w:szCs w:val="21"/>
              </w:rPr>
            </w:pPr>
          </w:p>
        </w:tc>
        <w:tc>
          <w:tcPr>
            <w:tcW w:w="704" w:type="pct"/>
            <w:tcBorders>
              <w:top w:val="single" w:color="auto" w:sz="4" w:space="0"/>
              <w:left w:val="nil"/>
              <w:bottom w:val="single" w:color="auto" w:sz="4" w:space="0"/>
              <w:right w:val="single" w:color="auto" w:sz="4" w:space="0"/>
            </w:tcBorders>
            <w:vAlign w:val="center"/>
          </w:tcPr>
          <w:p w14:paraId="1265F390">
            <w:pPr>
              <w:spacing w:line="240" w:lineRule="auto"/>
              <w:jc w:val="center"/>
              <w:rPr>
                <w:rFonts w:cs="Times New Roman"/>
                <w:bCs/>
                <w:sz w:val="21"/>
                <w:szCs w:val="21"/>
              </w:rPr>
            </w:pPr>
            <w:r>
              <w:rPr>
                <w:rFonts w:cs="Times New Roman"/>
                <w:bCs/>
                <w:sz w:val="21"/>
                <w:szCs w:val="21"/>
              </w:rPr>
              <w:t>厂界外S</w:t>
            </w:r>
            <w:r>
              <w:rPr>
                <w:rFonts w:hint="eastAsia" w:cs="Times New Roman"/>
                <w:bCs/>
                <w:sz w:val="21"/>
                <w:szCs w:val="21"/>
              </w:rPr>
              <w:t>11</w:t>
            </w:r>
          </w:p>
        </w:tc>
        <w:tc>
          <w:tcPr>
            <w:tcW w:w="547" w:type="pct"/>
            <w:tcBorders>
              <w:top w:val="single" w:color="auto" w:sz="4" w:space="0"/>
              <w:left w:val="nil"/>
              <w:bottom w:val="single" w:color="auto" w:sz="4" w:space="0"/>
              <w:right w:val="single" w:color="auto" w:sz="4" w:space="0"/>
            </w:tcBorders>
            <w:vAlign w:val="center"/>
          </w:tcPr>
          <w:p w14:paraId="6C3DA783">
            <w:pPr>
              <w:spacing w:line="240" w:lineRule="auto"/>
              <w:jc w:val="center"/>
              <w:rPr>
                <w:rFonts w:cs="Times New Roman"/>
                <w:bCs/>
                <w:sz w:val="21"/>
                <w:szCs w:val="21"/>
              </w:rPr>
            </w:pPr>
            <w:r>
              <w:rPr>
                <w:rFonts w:cs="Times New Roman"/>
                <w:bCs/>
                <w:sz w:val="21"/>
                <w:szCs w:val="21"/>
              </w:rPr>
              <w:t>表层样</w:t>
            </w:r>
          </w:p>
        </w:tc>
        <w:tc>
          <w:tcPr>
            <w:tcW w:w="1722" w:type="pct"/>
            <w:tcBorders>
              <w:top w:val="single" w:color="auto" w:sz="4" w:space="0"/>
              <w:left w:val="nil"/>
              <w:bottom w:val="single" w:color="auto" w:sz="4" w:space="0"/>
              <w:right w:val="single" w:color="auto" w:sz="4" w:space="0"/>
            </w:tcBorders>
            <w:vAlign w:val="center"/>
          </w:tcPr>
          <w:p w14:paraId="14504261">
            <w:pPr>
              <w:spacing w:line="240" w:lineRule="auto"/>
              <w:jc w:val="center"/>
              <w:rPr>
                <w:rFonts w:cs="Times New Roman"/>
                <w:bCs/>
                <w:sz w:val="21"/>
                <w:szCs w:val="21"/>
              </w:rPr>
            </w:pPr>
            <w:r>
              <w:rPr>
                <w:rFonts w:cs="Times New Roman"/>
                <w:bCs/>
                <w:sz w:val="21"/>
                <w:szCs w:val="21"/>
              </w:rPr>
              <w:t>1个，在0~0.</w:t>
            </w:r>
            <w:r>
              <w:rPr>
                <w:rFonts w:hint="eastAsia" w:cs="Times New Roman"/>
                <w:bCs/>
                <w:sz w:val="21"/>
                <w:szCs w:val="21"/>
              </w:rPr>
              <w:t>2</w:t>
            </w:r>
            <w:r>
              <w:rPr>
                <w:rFonts w:cs="Times New Roman"/>
                <w:bCs/>
                <w:sz w:val="21"/>
                <w:szCs w:val="21"/>
              </w:rPr>
              <w:t>m取样</w:t>
            </w:r>
          </w:p>
        </w:tc>
        <w:tc>
          <w:tcPr>
            <w:tcW w:w="1251" w:type="pct"/>
            <w:vMerge w:val="continue"/>
            <w:tcBorders>
              <w:left w:val="nil"/>
              <w:bottom w:val="single" w:color="auto" w:sz="4" w:space="0"/>
              <w:right w:val="single" w:color="auto" w:sz="4" w:space="0"/>
            </w:tcBorders>
            <w:vAlign w:val="center"/>
          </w:tcPr>
          <w:p w14:paraId="660F4B64">
            <w:pPr>
              <w:spacing w:line="240" w:lineRule="auto"/>
              <w:jc w:val="center"/>
              <w:rPr>
                <w:rFonts w:cs="Times New Roman"/>
                <w:bCs/>
                <w:sz w:val="21"/>
                <w:szCs w:val="21"/>
              </w:rPr>
            </w:pPr>
          </w:p>
        </w:tc>
        <w:tc>
          <w:tcPr>
            <w:tcW w:w="387" w:type="pct"/>
            <w:tcBorders>
              <w:top w:val="single" w:color="auto" w:sz="4" w:space="0"/>
              <w:left w:val="nil"/>
              <w:bottom w:val="single" w:color="auto" w:sz="4" w:space="0"/>
              <w:right w:val="single" w:color="auto" w:sz="4" w:space="0"/>
            </w:tcBorders>
            <w:vAlign w:val="center"/>
          </w:tcPr>
          <w:p w14:paraId="73CC3875">
            <w:pPr>
              <w:spacing w:line="240" w:lineRule="auto"/>
              <w:jc w:val="center"/>
              <w:rPr>
                <w:rFonts w:cs="Times New Roman"/>
                <w:bCs/>
                <w:sz w:val="21"/>
                <w:szCs w:val="21"/>
              </w:rPr>
            </w:pPr>
            <w:r>
              <w:rPr>
                <w:rFonts w:hint="eastAsia" w:cs="Times New Roman"/>
                <w:bCs/>
                <w:sz w:val="21"/>
                <w:szCs w:val="21"/>
              </w:rPr>
              <w:t>/</w:t>
            </w:r>
          </w:p>
        </w:tc>
      </w:tr>
    </w:tbl>
    <w:p w14:paraId="7253BD36">
      <w:pPr>
        <w:ind w:firstLine="480" w:firstLineChars="200"/>
      </w:pPr>
    </w:p>
    <w:p w14:paraId="118EACE4">
      <w:pPr>
        <w:spacing w:line="240" w:lineRule="auto"/>
      </w:pPr>
      <w:r>
        <w:drawing>
          <wp:inline distT="0" distB="0" distL="0" distR="0">
            <wp:extent cx="5759450" cy="3960495"/>
            <wp:effectExtent l="0" t="0" r="0" b="1905"/>
            <wp:docPr id="201924151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9241510" name="图片 2"/>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59450" cy="3960495"/>
                    </a:xfrm>
                    <a:prstGeom prst="rect">
                      <a:avLst/>
                    </a:prstGeom>
                  </pic:spPr>
                </pic:pic>
              </a:graphicData>
            </a:graphic>
          </wp:inline>
        </w:drawing>
      </w:r>
    </w:p>
    <w:p w14:paraId="298B6C70">
      <w:pPr>
        <w:pStyle w:val="82"/>
        <w:ind w:firstLine="0" w:firstLineChars="0"/>
        <w:jc w:val="center"/>
        <w:rPr>
          <w:rFonts w:ascii="Times New Roman" w:hAnsi="Times New Roman" w:eastAsia="黑体" w:cs="Times New Roman"/>
          <w:color w:val="000000" w:themeColor="text1"/>
          <w14:textFill>
            <w14:solidFill>
              <w14:schemeClr w14:val="tx1"/>
            </w14:solidFill>
          </w14:textFill>
        </w:rPr>
      </w:pPr>
      <w:r>
        <w:rPr>
          <w:rFonts w:ascii="Times New Roman" w:hAnsi="Times New Roman" w:eastAsia="黑体" w:cs="Times New Roman"/>
          <w:color w:val="000000" w:themeColor="text1"/>
          <w14:textFill>
            <w14:solidFill>
              <w14:schemeClr w14:val="tx1"/>
            </w14:solidFill>
          </w14:textFill>
        </w:rPr>
        <w:t>图5.2-</w:t>
      </w:r>
      <w:r>
        <w:rPr>
          <w:rFonts w:hint="eastAsia" w:ascii="Times New Roman" w:hAnsi="Times New Roman" w:eastAsia="黑体" w:cs="Times New Roman"/>
          <w:color w:val="000000" w:themeColor="text1"/>
          <w14:textFill>
            <w14:solidFill>
              <w14:schemeClr w14:val="tx1"/>
            </w14:solidFill>
          </w14:textFill>
        </w:rPr>
        <w:t>4</w:t>
      </w:r>
      <w:r>
        <w:rPr>
          <w:rFonts w:ascii="Times New Roman" w:hAnsi="Times New Roman" w:eastAsia="黑体" w:cs="Times New Roman"/>
          <w:color w:val="000000" w:themeColor="text1"/>
          <w14:textFill>
            <w14:solidFill>
              <w14:schemeClr w14:val="tx1"/>
            </w14:solidFill>
          </w14:textFill>
        </w:rPr>
        <w:t xml:space="preserve"> </w:t>
      </w:r>
      <w:r>
        <w:rPr>
          <w:rFonts w:hint="eastAsia" w:ascii="Times New Roman" w:hAnsi="Times New Roman" w:eastAsia="黑体" w:cs="Times New Roman"/>
          <w:color w:val="000000" w:themeColor="text1"/>
          <w14:textFill>
            <w14:solidFill>
              <w14:schemeClr w14:val="tx1"/>
            </w14:solidFill>
          </w14:textFill>
        </w:rPr>
        <w:t>土壤</w:t>
      </w:r>
      <w:r>
        <w:rPr>
          <w:rFonts w:ascii="Times New Roman" w:hAnsi="Times New Roman" w:eastAsia="黑体" w:cs="Times New Roman"/>
          <w:color w:val="000000" w:themeColor="text1"/>
          <w14:textFill>
            <w14:solidFill>
              <w14:schemeClr w14:val="tx1"/>
            </w14:solidFill>
          </w14:textFill>
        </w:rPr>
        <w:t>环境质量现状监测布点图</w:t>
      </w:r>
    </w:p>
    <w:p w14:paraId="64CBD4B6">
      <w:pPr>
        <w:ind w:firstLine="480" w:firstLineChars="200"/>
      </w:pPr>
      <w:r>
        <w:rPr>
          <w:rFonts w:hint="eastAsia"/>
        </w:rPr>
        <w:t>(2)监测结果</w:t>
      </w:r>
    </w:p>
    <w:p w14:paraId="7AAC23A7">
      <w:pPr>
        <w:ind w:firstLine="480" w:firstLineChars="200"/>
      </w:pPr>
      <w:r>
        <w:rPr>
          <w:rFonts w:hint="eastAsia"/>
        </w:rPr>
        <w:t>土壤监测结果见表5</w:t>
      </w:r>
      <w:r>
        <w:t>.2-15~</w:t>
      </w:r>
      <w:r>
        <w:rPr>
          <w:rFonts w:hint="eastAsia"/>
        </w:rPr>
        <w:t>表</w:t>
      </w:r>
      <w:r>
        <w:t>5.2-21</w:t>
      </w:r>
      <w:r>
        <w:rPr>
          <w:rFonts w:hint="eastAsia"/>
        </w:rPr>
        <w:t>。</w:t>
      </w:r>
    </w:p>
    <w:p w14:paraId="38E0C032">
      <w:pPr>
        <w:pStyle w:val="28"/>
        <w:rPr>
          <w:rFonts w:hint="eastAsia"/>
        </w:rPr>
      </w:pPr>
      <w:r>
        <w:rPr>
          <w:rFonts w:hint="eastAsia"/>
        </w:rPr>
        <w:t>表5.2-15  土壤监测结果表(1)</w:t>
      </w:r>
    </w:p>
    <w:tbl>
      <w:tblPr>
        <w:tblStyle w:val="3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30"/>
        <w:gridCol w:w="981"/>
        <w:gridCol w:w="1099"/>
        <w:gridCol w:w="1099"/>
        <w:gridCol w:w="1099"/>
        <w:gridCol w:w="1103"/>
        <w:gridCol w:w="1165"/>
        <w:gridCol w:w="710"/>
      </w:tblGrid>
      <w:tr w14:paraId="25358D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093" w:type="pct"/>
            <w:vMerge w:val="restart"/>
            <w:tcBorders>
              <w:bottom w:val="single" w:color="auto" w:sz="4" w:space="0"/>
            </w:tcBorders>
            <w:vAlign w:val="center"/>
          </w:tcPr>
          <w:p w14:paraId="213A01D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检测项目</w:t>
            </w:r>
          </w:p>
        </w:tc>
        <w:tc>
          <w:tcPr>
            <w:tcW w:w="528" w:type="pct"/>
            <w:vMerge w:val="restart"/>
            <w:tcBorders>
              <w:bottom w:val="single" w:color="auto" w:sz="4" w:space="0"/>
            </w:tcBorders>
            <w:vAlign w:val="center"/>
          </w:tcPr>
          <w:p w14:paraId="4964D65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单位</w:t>
            </w:r>
          </w:p>
        </w:tc>
        <w:tc>
          <w:tcPr>
            <w:tcW w:w="2370" w:type="pct"/>
            <w:gridSpan w:val="4"/>
            <w:tcBorders>
              <w:bottom w:val="single" w:color="auto" w:sz="4" w:space="0"/>
            </w:tcBorders>
            <w:vAlign w:val="center"/>
          </w:tcPr>
          <w:p w14:paraId="3C7EB306">
            <w:pPr>
              <w:pStyle w:val="82"/>
              <w:spacing w:line="240" w:lineRule="auto"/>
              <w:ind w:firstLine="42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S1</w:t>
            </w:r>
          </w:p>
        </w:tc>
        <w:tc>
          <w:tcPr>
            <w:tcW w:w="627" w:type="pct"/>
            <w:vMerge w:val="restart"/>
            <w:tcBorders>
              <w:bottom w:val="single" w:color="auto" w:sz="4" w:space="0"/>
            </w:tcBorders>
            <w:vAlign w:val="center"/>
          </w:tcPr>
          <w:p w14:paraId="63A6BF9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第二类用地风险筛选值</w:t>
            </w:r>
          </w:p>
        </w:tc>
        <w:tc>
          <w:tcPr>
            <w:tcW w:w="383" w:type="pct"/>
            <w:vMerge w:val="restart"/>
            <w:tcBorders>
              <w:bottom w:val="single" w:color="auto" w:sz="4" w:space="0"/>
            </w:tcBorders>
            <w:vAlign w:val="center"/>
          </w:tcPr>
          <w:p w14:paraId="0F11494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达标情况</w:t>
            </w:r>
          </w:p>
        </w:tc>
      </w:tr>
      <w:tr w14:paraId="50B573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093" w:type="pct"/>
            <w:vMerge w:val="continue"/>
            <w:vAlign w:val="center"/>
          </w:tcPr>
          <w:p w14:paraId="128702A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c>
          <w:tcPr>
            <w:tcW w:w="528" w:type="pct"/>
            <w:vMerge w:val="continue"/>
            <w:vAlign w:val="center"/>
          </w:tcPr>
          <w:p w14:paraId="607C833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c>
          <w:tcPr>
            <w:tcW w:w="592" w:type="pct"/>
            <w:vAlign w:val="center"/>
          </w:tcPr>
          <w:p w14:paraId="23C400E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w:t>
            </w:r>
            <w:r>
              <w:rPr>
                <w:rFonts w:hint="eastAsia" w:ascii="Times New Roman" w:hAnsi="Times New Roman" w:cs="Times New Roman"/>
                <w:color w:val="000000" w:themeColor="text1"/>
                <w:sz w:val="21"/>
                <w:szCs w:val="21"/>
                <w14:textFill>
                  <w14:solidFill>
                    <w14:schemeClr w14:val="tx1"/>
                  </w14:solidFill>
                </w14:textFill>
              </w:rPr>
              <w:t>0.5</w:t>
            </w:r>
            <w:r>
              <w:rPr>
                <w:rFonts w:ascii="Times New Roman" w:hAnsi="Times New Roman" w:cs="Times New Roman"/>
                <w:color w:val="000000" w:themeColor="text1"/>
                <w:sz w:val="21"/>
                <w:szCs w:val="21"/>
                <w14:textFill>
                  <w14:solidFill>
                    <w14:schemeClr w14:val="tx1"/>
                  </w14:solidFill>
                </w14:textFill>
              </w:rPr>
              <w:t>m</w:t>
            </w:r>
          </w:p>
        </w:tc>
        <w:tc>
          <w:tcPr>
            <w:tcW w:w="592" w:type="pct"/>
            <w:vAlign w:val="center"/>
          </w:tcPr>
          <w:p w14:paraId="3163387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w:t>
            </w:r>
            <w:r>
              <w:rPr>
                <w:rFonts w:hint="eastAsia" w:ascii="Times New Roman" w:hAnsi="Times New Roman" w:cs="Times New Roman"/>
                <w:color w:val="000000" w:themeColor="text1"/>
                <w:sz w:val="21"/>
                <w:szCs w:val="21"/>
                <w14:textFill>
                  <w14:solidFill>
                    <w14:schemeClr w14:val="tx1"/>
                  </w14:solidFill>
                </w14:textFill>
              </w:rPr>
              <w:t>.</w:t>
            </w:r>
            <w:r>
              <w:rPr>
                <w:rFonts w:ascii="Times New Roman" w:hAnsi="Times New Roman" w:cs="Times New Roman"/>
                <w:color w:val="000000" w:themeColor="text1"/>
                <w:sz w:val="21"/>
                <w:szCs w:val="21"/>
                <w14:textFill>
                  <w14:solidFill>
                    <w14:schemeClr w14:val="tx1"/>
                  </w14:solidFill>
                </w14:textFill>
              </w:rPr>
              <w:t>5-2m</w:t>
            </w:r>
          </w:p>
        </w:tc>
        <w:tc>
          <w:tcPr>
            <w:tcW w:w="592" w:type="pct"/>
            <w:vAlign w:val="center"/>
          </w:tcPr>
          <w:p w14:paraId="46792C6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3-4m</w:t>
            </w:r>
          </w:p>
        </w:tc>
        <w:tc>
          <w:tcPr>
            <w:tcW w:w="593" w:type="pct"/>
            <w:vAlign w:val="center"/>
          </w:tcPr>
          <w:p w14:paraId="31AA489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5-6m</w:t>
            </w:r>
          </w:p>
        </w:tc>
        <w:tc>
          <w:tcPr>
            <w:tcW w:w="627" w:type="pct"/>
            <w:vMerge w:val="continue"/>
            <w:vAlign w:val="center"/>
          </w:tcPr>
          <w:p w14:paraId="6CAF670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c>
          <w:tcPr>
            <w:tcW w:w="383" w:type="pct"/>
            <w:vMerge w:val="continue"/>
            <w:vAlign w:val="center"/>
          </w:tcPr>
          <w:p w14:paraId="20113F4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r>
      <w:tr w14:paraId="4CF73F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093" w:type="pct"/>
            <w:vMerge w:val="continue"/>
            <w:vAlign w:val="center"/>
          </w:tcPr>
          <w:p w14:paraId="5C28D76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c>
          <w:tcPr>
            <w:tcW w:w="528" w:type="pct"/>
            <w:vMerge w:val="continue"/>
            <w:vAlign w:val="center"/>
          </w:tcPr>
          <w:p w14:paraId="25DCEA1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c>
          <w:tcPr>
            <w:tcW w:w="2370" w:type="pct"/>
            <w:gridSpan w:val="4"/>
            <w:vAlign w:val="center"/>
          </w:tcPr>
          <w:p w14:paraId="270CE2A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采样日期：2025.11.2</w:t>
            </w:r>
            <w:r>
              <w:rPr>
                <w:rFonts w:hint="eastAsia" w:ascii="Times New Roman" w:hAnsi="Times New Roman" w:cs="Times New Roman"/>
                <w:color w:val="000000" w:themeColor="text1"/>
                <w:sz w:val="21"/>
                <w:szCs w:val="21"/>
                <w14:textFill>
                  <w14:solidFill>
                    <w14:schemeClr w14:val="tx1"/>
                  </w14:solidFill>
                </w14:textFill>
              </w:rPr>
              <w:t>2</w:t>
            </w:r>
          </w:p>
        </w:tc>
        <w:tc>
          <w:tcPr>
            <w:tcW w:w="627" w:type="pct"/>
            <w:vMerge w:val="continue"/>
            <w:vAlign w:val="center"/>
          </w:tcPr>
          <w:p w14:paraId="3460BF6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c>
          <w:tcPr>
            <w:tcW w:w="383" w:type="pct"/>
            <w:vMerge w:val="continue"/>
            <w:vAlign w:val="center"/>
          </w:tcPr>
          <w:p w14:paraId="7E9C4B0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r>
      <w:tr w14:paraId="169239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093" w:type="pct"/>
            <w:vAlign w:val="center"/>
          </w:tcPr>
          <w:p w14:paraId="4450051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pH值</w:t>
            </w:r>
          </w:p>
        </w:tc>
        <w:tc>
          <w:tcPr>
            <w:tcW w:w="528" w:type="pct"/>
            <w:vAlign w:val="center"/>
          </w:tcPr>
          <w:p w14:paraId="4CDFE66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无量纲</w:t>
            </w:r>
          </w:p>
        </w:tc>
        <w:tc>
          <w:tcPr>
            <w:tcW w:w="592" w:type="pct"/>
            <w:vAlign w:val="center"/>
          </w:tcPr>
          <w:p w14:paraId="4497976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8.35</w:t>
            </w:r>
          </w:p>
        </w:tc>
        <w:tc>
          <w:tcPr>
            <w:tcW w:w="592" w:type="pct"/>
            <w:vAlign w:val="center"/>
          </w:tcPr>
          <w:p w14:paraId="0697051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8.74</w:t>
            </w:r>
          </w:p>
        </w:tc>
        <w:tc>
          <w:tcPr>
            <w:tcW w:w="592" w:type="pct"/>
            <w:vAlign w:val="center"/>
          </w:tcPr>
          <w:p w14:paraId="6AA9D95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8.61</w:t>
            </w:r>
          </w:p>
        </w:tc>
        <w:tc>
          <w:tcPr>
            <w:tcW w:w="593" w:type="pct"/>
            <w:vAlign w:val="center"/>
          </w:tcPr>
          <w:p w14:paraId="110447C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8.67</w:t>
            </w:r>
          </w:p>
        </w:tc>
        <w:tc>
          <w:tcPr>
            <w:tcW w:w="627" w:type="pct"/>
            <w:vAlign w:val="center"/>
          </w:tcPr>
          <w:p w14:paraId="6C42A7A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w:t>
            </w:r>
          </w:p>
        </w:tc>
        <w:tc>
          <w:tcPr>
            <w:tcW w:w="383" w:type="pct"/>
            <w:vAlign w:val="center"/>
          </w:tcPr>
          <w:p w14:paraId="5427D13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w:t>
            </w:r>
          </w:p>
        </w:tc>
      </w:tr>
      <w:tr w14:paraId="2DCAE2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093" w:type="pct"/>
            <w:vAlign w:val="center"/>
          </w:tcPr>
          <w:p w14:paraId="02C2E26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砷</w:t>
            </w:r>
          </w:p>
        </w:tc>
        <w:tc>
          <w:tcPr>
            <w:tcW w:w="528" w:type="pct"/>
            <w:vAlign w:val="center"/>
          </w:tcPr>
          <w:p w14:paraId="09743A5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4AEF334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9.87</w:t>
            </w:r>
          </w:p>
        </w:tc>
        <w:tc>
          <w:tcPr>
            <w:tcW w:w="592" w:type="pct"/>
            <w:vAlign w:val="center"/>
          </w:tcPr>
          <w:p w14:paraId="558E746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10.1</w:t>
            </w:r>
          </w:p>
        </w:tc>
        <w:tc>
          <w:tcPr>
            <w:tcW w:w="592" w:type="pct"/>
            <w:vAlign w:val="center"/>
          </w:tcPr>
          <w:p w14:paraId="5513C97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10.2</w:t>
            </w:r>
          </w:p>
        </w:tc>
        <w:tc>
          <w:tcPr>
            <w:tcW w:w="593" w:type="pct"/>
            <w:vAlign w:val="center"/>
          </w:tcPr>
          <w:p w14:paraId="7324A95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6.21</w:t>
            </w:r>
          </w:p>
        </w:tc>
        <w:tc>
          <w:tcPr>
            <w:tcW w:w="627" w:type="pct"/>
            <w:vAlign w:val="center"/>
          </w:tcPr>
          <w:p w14:paraId="6081DAB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60</w:t>
            </w:r>
          </w:p>
        </w:tc>
        <w:tc>
          <w:tcPr>
            <w:tcW w:w="383" w:type="pct"/>
            <w:vAlign w:val="center"/>
          </w:tcPr>
          <w:p w14:paraId="70B012B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7B0F14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093" w:type="pct"/>
            <w:vAlign w:val="center"/>
          </w:tcPr>
          <w:p w14:paraId="5B6CABA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镉</w:t>
            </w:r>
          </w:p>
        </w:tc>
        <w:tc>
          <w:tcPr>
            <w:tcW w:w="528" w:type="pct"/>
            <w:vAlign w:val="center"/>
          </w:tcPr>
          <w:p w14:paraId="730291F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44A7931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0.06</w:t>
            </w:r>
          </w:p>
        </w:tc>
        <w:tc>
          <w:tcPr>
            <w:tcW w:w="592" w:type="pct"/>
            <w:vAlign w:val="center"/>
          </w:tcPr>
          <w:p w14:paraId="6BC1CC4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0.03</w:t>
            </w:r>
          </w:p>
        </w:tc>
        <w:tc>
          <w:tcPr>
            <w:tcW w:w="592" w:type="pct"/>
            <w:vAlign w:val="center"/>
          </w:tcPr>
          <w:p w14:paraId="04C6256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0.02</w:t>
            </w:r>
          </w:p>
        </w:tc>
        <w:tc>
          <w:tcPr>
            <w:tcW w:w="593" w:type="pct"/>
            <w:vAlign w:val="center"/>
          </w:tcPr>
          <w:p w14:paraId="4096561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0.03</w:t>
            </w:r>
          </w:p>
        </w:tc>
        <w:tc>
          <w:tcPr>
            <w:tcW w:w="627" w:type="pct"/>
            <w:vAlign w:val="center"/>
          </w:tcPr>
          <w:p w14:paraId="62723AA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65</w:t>
            </w:r>
          </w:p>
        </w:tc>
        <w:tc>
          <w:tcPr>
            <w:tcW w:w="383" w:type="pct"/>
            <w:vAlign w:val="center"/>
          </w:tcPr>
          <w:p w14:paraId="5340E14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2695DD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093" w:type="pct"/>
            <w:vAlign w:val="center"/>
          </w:tcPr>
          <w:p w14:paraId="0C97CC1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六价铬</w:t>
            </w:r>
          </w:p>
        </w:tc>
        <w:tc>
          <w:tcPr>
            <w:tcW w:w="528" w:type="pct"/>
            <w:vAlign w:val="center"/>
          </w:tcPr>
          <w:p w14:paraId="367D799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06ADF9D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5B563CC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1666039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3" w:type="pct"/>
            <w:vAlign w:val="center"/>
          </w:tcPr>
          <w:p w14:paraId="62A5AB2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08A2C59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5.7</w:t>
            </w:r>
          </w:p>
        </w:tc>
        <w:tc>
          <w:tcPr>
            <w:tcW w:w="383" w:type="pct"/>
            <w:vAlign w:val="center"/>
          </w:tcPr>
          <w:p w14:paraId="6782F8F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53613E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5E65BCF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铜</w:t>
            </w:r>
          </w:p>
        </w:tc>
        <w:tc>
          <w:tcPr>
            <w:tcW w:w="528" w:type="pct"/>
            <w:vAlign w:val="center"/>
          </w:tcPr>
          <w:p w14:paraId="000F336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623326C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29</w:t>
            </w:r>
          </w:p>
        </w:tc>
        <w:tc>
          <w:tcPr>
            <w:tcW w:w="592" w:type="pct"/>
            <w:vAlign w:val="center"/>
          </w:tcPr>
          <w:p w14:paraId="5F632A2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22</w:t>
            </w:r>
          </w:p>
        </w:tc>
        <w:tc>
          <w:tcPr>
            <w:tcW w:w="592" w:type="pct"/>
            <w:vAlign w:val="center"/>
          </w:tcPr>
          <w:p w14:paraId="7A5633A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23</w:t>
            </w:r>
          </w:p>
        </w:tc>
        <w:tc>
          <w:tcPr>
            <w:tcW w:w="593" w:type="pct"/>
            <w:vAlign w:val="center"/>
          </w:tcPr>
          <w:p w14:paraId="58085AB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20</w:t>
            </w:r>
          </w:p>
        </w:tc>
        <w:tc>
          <w:tcPr>
            <w:tcW w:w="627" w:type="pct"/>
            <w:vAlign w:val="center"/>
          </w:tcPr>
          <w:p w14:paraId="538C2E0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18000</w:t>
            </w:r>
          </w:p>
        </w:tc>
        <w:tc>
          <w:tcPr>
            <w:tcW w:w="383" w:type="pct"/>
            <w:vAlign w:val="center"/>
          </w:tcPr>
          <w:p w14:paraId="43CE10A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1DEF08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54A641B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铅</w:t>
            </w:r>
          </w:p>
        </w:tc>
        <w:tc>
          <w:tcPr>
            <w:tcW w:w="528" w:type="pct"/>
            <w:vAlign w:val="center"/>
          </w:tcPr>
          <w:p w14:paraId="09348F5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406C698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34.7</w:t>
            </w:r>
          </w:p>
        </w:tc>
        <w:tc>
          <w:tcPr>
            <w:tcW w:w="592" w:type="pct"/>
            <w:vAlign w:val="center"/>
          </w:tcPr>
          <w:p w14:paraId="1A19473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27.9</w:t>
            </w:r>
          </w:p>
        </w:tc>
        <w:tc>
          <w:tcPr>
            <w:tcW w:w="592" w:type="pct"/>
            <w:vAlign w:val="center"/>
          </w:tcPr>
          <w:p w14:paraId="56CE0DC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19.4</w:t>
            </w:r>
          </w:p>
        </w:tc>
        <w:tc>
          <w:tcPr>
            <w:tcW w:w="593" w:type="pct"/>
            <w:vAlign w:val="center"/>
          </w:tcPr>
          <w:p w14:paraId="39F279D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27.7</w:t>
            </w:r>
          </w:p>
        </w:tc>
        <w:tc>
          <w:tcPr>
            <w:tcW w:w="627" w:type="pct"/>
            <w:vAlign w:val="center"/>
          </w:tcPr>
          <w:p w14:paraId="2639B11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800</w:t>
            </w:r>
          </w:p>
        </w:tc>
        <w:tc>
          <w:tcPr>
            <w:tcW w:w="383" w:type="pct"/>
            <w:vAlign w:val="center"/>
          </w:tcPr>
          <w:p w14:paraId="0E4C3DE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38CA2A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7628EAC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汞</w:t>
            </w:r>
          </w:p>
        </w:tc>
        <w:tc>
          <w:tcPr>
            <w:tcW w:w="528" w:type="pct"/>
            <w:vAlign w:val="center"/>
          </w:tcPr>
          <w:p w14:paraId="1AC4E74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0EE8A3B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0.011</w:t>
            </w:r>
          </w:p>
        </w:tc>
        <w:tc>
          <w:tcPr>
            <w:tcW w:w="592" w:type="pct"/>
            <w:vAlign w:val="center"/>
          </w:tcPr>
          <w:p w14:paraId="0DDDB46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0.010</w:t>
            </w:r>
          </w:p>
        </w:tc>
        <w:tc>
          <w:tcPr>
            <w:tcW w:w="592" w:type="pct"/>
            <w:vAlign w:val="center"/>
          </w:tcPr>
          <w:p w14:paraId="0D5E456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0.017</w:t>
            </w:r>
          </w:p>
        </w:tc>
        <w:tc>
          <w:tcPr>
            <w:tcW w:w="593" w:type="pct"/>
            <w:vAlign w:val="center"/>
          </w:tcPr>
          <w:p w14:paraId="749981E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0.009</w:t>
            </w:r>
          </w:p>
        </w:tc>
        <w:tc>
          <w:tcPr>
            <w:tcW w:w="627" w:type="pct"/>
            <w:vAlign w:val="center"/>
          </w:tcPr>
          <w:p w14:paraId="4019033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38</w:t>
            </w:r>
          </w:p>
        </w:tc>
        <w:tc>
          <w:tcPr>
            <w:tcW w:w="383" w:type="pct"/>
            <w:vAlign w:val="center"/>
          </w:tcPr>
          <w:p w14:paraId="1A9DF4E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3C2C08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3EBB00A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镍</w:t>
            </w:r>
          </w:p>
        </w:tc>
        <w:tc>
          <w:tcPr>
            <w:tcW w:w="528" w:type="pct"/>
            <w:vAlign w:val="center"/>
          </w:tcPr>
          <w:p w14:paraId="27158DD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00EE61C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38</w:t>
            </w:r>
          </w:p>
        </w:tc>
        <w:tc>
          <w:tcPr>
            <w:tcW w:w="592" w:type="pct"/>
            <w:vAlign w:val="center"/>
          </w:tcPr>
          <w:p w14:paraId="54298A0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26</w:t>
            </w:r>
          </w:p>
        </w:tc>
        <w:tc>
          <w:tcPr>
            <w:tcW w:w="592" w:type="pct"/>
            <w:vAlign w:val="center"/>
          </w:tcPr>
          <w:p w14:paraId="58A1D32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25</w:t>
            </w:r>
          </w:p>
        </w:tc>
        <w:tc>
          <w:tcPr>
            <w:tcW w:w="593" w:type="pct"/>
            <w:vAlign w:val="center"/>
          </w:tcPr>
          <w:p w14:paraId="532DD6C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25</w:t>
            </w:r>
          </w:p>
        </w:tc>
        <w:tc>
          <w:tcPr>
            <w:tcW w:w="627" w:type="pct"/>
            <w:vAlign w:val="center"/>
          </w:tcPr>
          <w:p w14:paraId="2095942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900</w:t>
            </w:r>
          </w:p>
        </w:tc>
        <w:tc>
          <w:tcPr>
            <w:tcW w:w="383" w:type="pct"/>
            <w:vAlign w:val="center"/>
          </w:tcPr>
          <w:p w14:paraId="2562037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1B3331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0044A00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氯甲烷</w:t>
            </w:r>
          </w:p>
        </w:tc>
        <w:tc>
          <w:tcPr>
            <w:tcW w:w="528" w:type="pct"/>
            <w:vAlign w:val="center"/>
          </w:tcPr>
          <w:p w14:paraId="63BB987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2ED4CCF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34C92A9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2474393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3" w:type="pct"/>
            <w:vAlign w:val="center"/>
          </w:tcPr>
          <w:p w14:paraId="19C4336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16F494E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37</w:t>
            </w:r>
          </w:p>
        </w:tc>
        <w:tc>
          <w:tcPr>
            <w:tcW w:w="383" w:type="pct"/>
            <w:vAlign w:val="center"/>
          </w:tcPr>
          <w:p w14:paraId="4001AC1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7BBDDF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15F6BC4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氯乙烯</w:t>
            </w:r>
          </w:p>
        </w:tc>
        <w:tc>
          <w:tcPr>
            <w:tcW w:w="528" w:type="pct"/>
            <w:vAlign w:val="center"/>
          </w:tcPr>
          <w:p w14:paraId="35A2965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396E3C3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5508845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42CAA5B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3" w:type="pct"/>
            <w:vAlign w:val="center"/>
          </w:tcPr>
          <w:p w14:paraId="73447E0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25A49C6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0.43</w:t>
            </w:r>
          </w:p>
        </w:tc>
        <w:tc>
          <w:tcPr>
            <w:tcW w:w="383" w:type="pct"/>
            <w:vAlign w:val="center"/>
          </w:tcPr>
          <w:p w14:paraId="370FFF3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39D557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3E2E76C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1,1-二氯乙烯</w:t>
            </w:r>
          </w:p>
        </w:tc>
        <w:tc>
          <w:tcPr>
            <w:tcW w:w="528" w:type="pct"/>
            <w:vAlign w:val="center"/>
          </w:tcPr>
          <w:p w14:paraId="178EBC1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59D22FA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6F7B9C3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7425F0A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3" w:type="pct"/>
            <w:vAlign w:val="center"/>
          </w:tcPr>
          <w:p w14:paraId="6E8E39D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614ED59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66</w:t>
            </w:r>
          </w:p>
        </w:tc>
        <w:tc>
          <w:tcPr>
            <w:tcW w:w="383" w:type="pct"/>
            <w:vAlign w:val="center"/>
          </w:tcPr>
          <w:p w14:paraId="2864B08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75B1FC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4897349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二氯甲烷</w:t>
            </w:r>
          </w:p>
        </w:tc>
        <w:tc>
          <w:tcPr>
            <w:tcW w:w="528" w:type="pct"/>
            <w:vAlign w:val="center"/>
          </w:tcPr>
          <w:p w14:paraId="6BCA214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446BB47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72F786C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1CF9A38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3" w:type="pct"/>
            <w:vAlign w:val="center"/>
          </w:tcPr>
          <w:p w14:paraId="3003775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100623C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616</w:t>
            </w:r>
          </w:p>
        </w:tc>
        <w:tc>
          <w:tcPr>
            <w:tcW w:w="383" w:type="pct"/>
            <w:vAlign w:val="center"/>
          </w:tcPr>
          <w:p w14:paraId="5696E3E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067F8A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4835223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反式-1,2-二氯乙烯</w:t>
            </w:r>
          </w:p>
        </w:tc>
        <w:tc>
          <w:tcPr>
            <w:tcW w:w="528" w:type="pct"/>
            <w:vAlign w:val="center"/>
          </w:tcPr>
          <w:p w14:paraId="396EC30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693D4AC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6F6A563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5D7B208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3" w:type="pct"/>
            <w:vAlign w:val="center"/>
          </w:tcPr>
          <w:p w14:paraId="579AAD2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63F0DB0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54</w:t>
            </w:r>
          </w:p>
        </w:tc>
        <w:tc>
          <w:tcPr>
            <w:tcW w:w="383" w:type="pct"/>
            <w:vAlign w:val="center"/>
          </w:tcPr>
          <w:p w14:paraId="2A0E6D3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1C5A8A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65E8965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1,1-二氯乙烷</w:t>
            </w:r>
          </w:p>
        </w:tc>
        <w:tc>
          <w:tcPr>
            <w:tcW w:w="528" w:type="pct"/>
            <w:vAlign w:val="center"/>
          </w:tcPr>
          <w:p w14:paraId="26DC6B9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711732A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21FE10A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2AD07E3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3" w:type="pct"/>
            <w:vAlign w:val="center"/>
          </w:tcPr>
          <w:p w14:paraId="1B864D9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0A5B2BE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9</w:t>
            </w:r>
          </w:p>
        </w:tc>
        <w:tc>
          <w:tcPr>
            <w:tcW w:w="383" w:type="pct"/>
            <w:vAlign w:val="center"/>
          </w:tcPr>
          <w:p w14:paraId="66B0813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5E3002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587B6BD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顺式-1,2-二氯乙烯</w:t>
            </w:r>
          </w:p>
        </w:tc>
        <w:tc>
          <w:tcPr>
            <w:tcW w:w="528" w:type="pct"/>
            <w:vAlign w:val="center"/>
          </w:tcPr>
          <w:p w14:paraId="11E46D8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034A686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5894E0A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627B7CA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3" w:type="pct"/>
            <w:vAlign w:val="center"/>
          </w:tcPr>
          <w:p w14:paraId="366ADC0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3C88CB7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596</w:t>
            </w:r>
          </w:p>
        </w:tc>
        <w:tc>
          <w:tcPr>
            <w:tcW w:w="383" w:type="pct"/>
            <w:vAlign w:val="center"/>
          </w:tcPr>
          <w:p w14:paraId="66F19D6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41B5DF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72D8498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氯仿</w:t>
            </w:r>
          </w:p>
        </w:tc>
        <w:tc>
          <w:tcPr>
            <w:tcW w:w="528" w:type="pct"/>
            <w:vAlign w:val="center"/>
          </w:tcPr>
          <w:p w14:paraId="6E88ED3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16026ED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7662152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2BD3439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3" w:type="pct"/>
            <w:vAlign w:val="center"/>
          </w:tcPr>
          <w:p w14:paraId="62D5464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2AF6221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0.9</w:t>
            </w:r>
          </w:p>
        </w:tc>
        <w:tc>
          <w:tcPr>
            <w:tcW w:w="383" w:type="pct"/>
            <w:vAlign w:val="center"/>
          </w:tcPr>
          <w:p w14:paraId="3F87398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713438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794F292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1,1,1-三氯乙烷</w:t>
            </w:r>
          </w:p>
        </w:tc>
        <w:tc>
          <w:tcPr>
            <w:tcW w:w="528" w:type="pct"/>
            <w:vAlign w:val="center"/>
          </w:tcPr>
          <w:p w14:paraId="6CEB793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2096131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38681B2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0CE7467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3" w:type="pct"/>
            <w:vAlign w:val="center"/>
          </w:tcPr>
          <w:p w14:paraId="1F8646A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7D503F5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840</w:t>
            </w:r>
          </w:p>
        </w:tc>
        <w:tc>
          <w:tcPr>
            <w:tcW w:w="383" w:type="pct"/>
            <w:vAlign w:val="center"/>
          </w:tcPr>
          <w:p w14:paraId="0A9AD6E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649EF8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7B70663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四氯化碳</w:t>
            </w:r>
          </w:p>
        </w:tc>
        <w:tc>
          <w:tcPr>
            <w:tcW w:w="528" w:type="pct"/>
            <w:vAlign w:val="center"/>
          </w:tcPr>
          <w:p w14:paraId="220D827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7B5354F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46EF6EF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6A8178B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3" w:type="pct"/>
            <w:vAlign w:val="center"/>
          </w:tcPr>
          <w:p w14:paraId="0400BCA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2B531B8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2.8</w:t>
            </w:r>
          </w:p>
        </w:tc>
        <w:tc>
          <w:tcPr>
            <w:tcW w:w="383" w:type="pct"/>
            <w:vAlign w:val="center"/>
          </w:tcPr>
          <w:p w14:paraId="2E53EC5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283592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41A310F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苯</w:t>
            </w:r>
          </w:p>
        </w:tc>
        <w:tc>
          <w:tcPr>
            <w:tcW w:w="528" w:type="pct"/>
            <w:vAlign w:val="center"/>
          </w:tcPr>
          <w:p w14:paraId="27CEA5E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3DC058E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171F6DA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2BBEBAC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3" w:type="pct"/>
            <w:vAlign w:val="center"/>
          </w:tcPr>
          <w:p w14:paraId="4F0FF14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31A734B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w:t>
            </w:r>
          </w:p>
        </w:tc>
        <w:tc>
          <w:tcPr>
            <w:tcW w:w="383" w:type="pct"/>
            <w:vAlign w:val="center"/>
          </w:tcPr>
          <w:p w14:paraId="769E0BB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77CF41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2A378E0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1,2-二氯乙烷</w:t>
            </w:r>
          </w:p>
        </w:tc>
        <w:tc>
          <w:tcPr>
            <w:tcW w:w="528" w:type="pct"/>
            <w:vAlign w:val="center"/>
          </w:tcPr>
          <w:p w14:paraId="30500C3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09F16EE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0E37598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7C7139F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3" w:type="pct"/>
            <w:vAlign w:val="center"/>
          </w:tcPr>
          <w:p w14:paraId="1EC9E15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41D5D4F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w:t>
            </w:r>
          </w:p>
        </w:tc>
        <w:tc>
          <w:tcPr>
            <w:tcW w:w="383" w:type="pct"/>
            <w:vAlign w:val="center"/>
          </w:tcPr>
          <w:p w14:paraId="4356E65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43F3A0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650A871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三氯乙烯</w:t>
            </w:r>
          </w:p>
        </w:tc>
        <w:tc>
          <w:tcPr>
            <w:tcW w:w="528" w:type="pct"/>
            <w:vAlign w:val="center"/>
          </w:tcPr>
          <w:p w14:paraId="5FEE3B9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517060A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5F38AFD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1CBFE99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3" w:type="pct"/>
            <w:vAlign w:val="center"/>
          </w:tcPr>
          <w:p w14:paraId="0971D93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6FA7011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2.8</w:t>
            </w:r>
          </w:p>
        </w:tc>
        <w:tc>
          <w:tcPr>
            <w:tcW w:w="383" w:type="pct"/>
            <w:vAlign w:val="center"/>
          </w:tcPr>
          <w:p w14:paraId="74E302E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782B0A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7455B29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1,2-二氯丙烷</w:t>
            </w:r>
          </w:p>
        </w:tc>
        <w:tc>
          <w:tcPr>
            <w:tcW w:w="528" w:type="pct"/>
            <w:vAlign w:val="center"/>
          </w:tcPr>
          <w:p w14:paraId="16B16AE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2F5EF92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69895A2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5555911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3" w:type="pct"/>
            <w:vAlign w:val="center"/>
          </w:tcPr>
          <w:p w14:paraId="4EAB2AC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1794892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w:t>
            </w:r>
          </w:p>
        </w:tc>
        <w:tc>
          <w:tcPr>
            <w:tcW w:w="383" w:type="pct"/>
            <w:vAlign w:val="center"/>
          </w:tcPr>
          <w:p w14:paraId="385D8E5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5BFD72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265020F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甲苯</w:t>
            </w:r>
          </w:p>
        </w:tc>
        <w:tc>
          <w:tcPr>
            <w:tcW w:w="528" w:type="pct"/>
            <w:vAlign w:val="center"/>
          </w:tcPr>
          <w:p w14:paraId="6B0C590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53C1149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3140198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031F679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3" w:type="pct"/>
            <w:vAlign w:val="center"/>
          </w:tcPr>
          <w:p w14:paraId="66D6041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3B68BAD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1200</w:t>
            </w:r>
          </w:p>
        </w:tc>
        <w:tc>
          <w:tcPr>
            <w:tcW w:w="383" w:type="pct"/>
            <w:vAlign w:val="center"/>
          </w:tcPr>
          <w:p w14:paraId="3BD4563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4929B3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2525FF4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1,1,2-三氯乙烷</w:t>
            </w:r>
          </w:p>
        </w:tc>
        <w:tc>
          <w:tcPr>
            <w:tcW w:w="528" w:type="pct"/>
            <w:vAlign w:val="center"/>
          </w:tcPr>
          <w:p w14:paraId="3DBE9D0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549C1B9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03DC6E1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3A774AB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3" w:type="pct"/>
            <w:vAlign w:val="center"/>
          </w:tcPr>
          <w:p w14:paraId="0D79D50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15ED334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2.8</w:t>
            </w:r>
          </w:p>
        </w:tc>
        <w:tc>
          <w:tcPr>
            <w:tcW w:w="383" w:type="pct"/>
            <w:vAlign w:val="center"/>
          </w:tcPr>
          <w:p w14:paraId="47D4C8D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628884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5FE0B55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四氯乙烯</w:t>
            </w:r>
          </w:p>
        </w:tc>
        <w:tc>
          <w:tcPr>
            <w:tcW w:w="528" w:type="pct"/>
            <w:vAlign w:val="center"/>
          </w:tcPr>
          <w:p w14:paraId="4A98E0F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65FAEC7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664FA7A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18DF20D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3" w:type="pct"/>
            <w:vAlign w:val="center"/>
          </w:tcPr>
          <w:p w14:paraId="42FA840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1FA90BA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53</w:t>
            </w:r>
          </w:p>
        </w:tc>
        <w:tc>
          <w:tcPr>
            <w:tcW w:w="383" w:type="pct"/>
            <w:vAlign w:val="center"/>
          </w:tcPr>
          <w:p w14:paraId="3330646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531ED7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2A4B699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氯苯</w:t>
            </w:r>
          </w:p>
        </w:tc>
        <w:tc>
          <w:tcPr>
            <w:tcW w:w="528" w:type="pct"/>
            <w:vAlign w:val="center"/>
          </w:tcPr>
          <w:p w14:paraId="2A1E6BF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6C21DA9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69CAF11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298F3E3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3" w:type="pct"/>
            <w:vAlign w:val="center"/>
          </w:tcPr>
          <w:p w14:paraId="7753B04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609E993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270</w:t>
            </w:r>
          </w:p>
        </w:tc>
        <w:tc>
          <w:tcPr>
            <w:tcW w:w="383" w:type="pct"/>
            <w:vAlign w:val="center"/>
          </w:tcPr>
          <w:p w14:paraId="3F69A65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628599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6136AFA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1,1,1,2-四氯乙烷</w:t>
            </w:r>
          </w:p>
        </w:tc>
        <w:tc>
          <w:tcPr>
            <w:tcW w:w="528" w:type="pct"/>
            <w:vAlign w:val="center"/>
          </w:tcPr>
          <w:p w14:paraId="09FDEEE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6DC35EE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7B1C79D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0E7C0B1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3" w:type="pct"/>
            <w:vAlign w:val="center"/>
          </w:tcPr>
          <w:p w14:paraId="47C282A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0C1AAF2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10</w:t>
            </w:r>
          </w:p>
        </w:tc>
        <w:tc>
          <w:tcPr>
            <w:tcW w:w="383" w:type="pct"/>
            <w:vAlign w:val="center"/>
          </w:tcPr>
          <w:p w14:paraId="76BD983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76D99E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3A635D9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乙苯</w:t>
            </w:r>
          </w:p>
        </w:tc>
        <w:tc>
          <w:tcPr>
            <w:tcW w:w="528" w:type="pct"/>
            <w:vAlign w:val="center"/>
          </w:tcPr>
          <w:p w14:paraId="1109B11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3BDA726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4664A19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1D98814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3" w:type="pct"/>
            <w:vAlign w:val="center"/>
          </w:tcPr>
          <w:p w14:paraId="7EA3CBE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6CD1E0E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28</w:t>
            </w:r>
          </w:p>
        </w:tc>
        <w:tc>
          <w:tcPr>
            <w:tcW w:w="383" w:type="pct"/>
            <w:vAlign w:val="center"/>
          </w:tcPr>
          <w:p w14:paraId="4AAD566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229D63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15A01EC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间,对-二甲苯</w:t>
            </w:r>
          </w:p>
        </w:tc>
        <w:tc>
          <w:tcPr>
            <w:tcW w:w="528" w:type="pct"/>
            <w:vAlign w:val="center"/>
          </w:tcPr>
          <w:p w14:paraId="3AC9AE4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6630C36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77C4EA7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5863728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3" w:type="pct"/>
            <w:vAlign w:val="center"/>
          </w:tcPr>
          <w:p w14:paraId="7A2C9D3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1C977B4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570</w:t>
            </w:r>
          </w:p>
        </w:tc>
        <w:tc>
          <w:tcPr>
            <w:tcW w:w="383" w:type="pct"/>
            <w:vAlign w:val="center"/>
          </w:tcPr>
          <w:p w14:paraId="7A6227C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182123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0AECB3B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邻-二甲苯</w:t>
            </w:r>
          </w:p>
        </w:tc>
        <w:tc>
          <w:tcPr>
            <w:tcW w:w="528" w:type="pct"/>
            <w:vAlign w:val="center"/>
          </w:tcPr>
          <w:p w14:paraId="35B7922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5E6FBD9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7FC9EDC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00B3B88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3" w:type="pct"/>
            <w:vAlign w:val="center"/>
          </w:tcPr>
          <w:p w14:paraId="09BB90D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7BAFD0C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640</w:t>
            </w:r>
          </w:p>
        </w:tc>
        <w:tc>
          <w:tcPr>
            <w:tcW w:w="383" w:type="pct"/>
            <w:vAlign w:val="center"/>
          </w:tcPr>
          <w:p w14:paraId="22EA789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344444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4A6C2A9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苯乙烯</w:t>
            </w:r>
          </w:p>
        </w:tc>
        <w:tc>
          <w:tcPr>
            <w:tcW w:w="528" w:type="pct"/>
            <w:vAlign w:val="center"/>
          </w:tcPr>
          <w:p w14:paraId="32AAC77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5CB3B7B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759BAEE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7091184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3" w:type="pct"/>
            <w:vAlign w:val="center"/>
          </w:tcPr>
          <w:p w14:paraId="095D1F2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5481006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1290</w:t>
            </w:r>
          </w:p>
        </w:tc>
        <w:tc>
          <w:tcPr>
            <w:tcW w:w="383" w:type="pct"/>
            <w:vAlign w:val="center"/>
          </w:tcPr>
          <w:p w14:paraId="73F90BB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1C4C70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3A11338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1,1,2,2-四氯乙烷</w:t>
            </w:r>
          </w:p>
        </w:tc>
        <w:tc>
          <w:tcPr>
            <w:tcW w:w="528" w:type="pct"/>
            <w:vAlign w:val="center"/>
          </w:tcPr>
          <w:p w14:paraId="40F2E34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4106638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2D24FD1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7F0F683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3" w:type="pct"/>
            <w:vAlign w:val="center"/>
          </w:tcPr>
          <w:p w14:paraId="0D1F3ED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02BB4F1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6.8</w:t>
            </w:r>
          </w:p>
        </w:tc>
        <w:tc>
          <w:tcPr>
            <w:tcW w:w="383" w:type="pct"/>
            <w:vAlign w:val="center"/>
          </w:tcPr>
          <w:p w14:paraId="66D5348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4DBA5A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3B8B09E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1,2,3-三氯丙烷</w:t>
            </w:r>
          </w:p>
        </w:tc>
        <w:tc>
          <w:tcPr>
            <w:tcW w:w="528" w:type="pct"/>
            <w:vAlign w:val="center"/>
          </w:tcPr>
          <w:p w14:paraId="60074B6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12E413D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52D9269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6FAB789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3" w:type="pct"/>
            <w:vAlign w:val="center"/>
          </w:tcPr>
          <w:p w14:paraId="203E99C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1C9EBF5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0.5</w:t>
            </w:r>
          </w:p>
        </w:tc>
        <w:tc>
          <w:tcPr>
            <w:tcW w:w="383" w:type="pct"/>
            <w:vAlign w:val="center"/>
          </w:tcPr>
          <w:p w14:paraId="111E2D3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20E317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012CA6B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1,4-二氯苯</w:t>
            </w:r>
          </w:p>
        </w:tc>
        <w:tc>
          <w:tcPr>
            <w:tcW w:w="528" w:type="pct"/>
            <w:vAlign w:val="center"/>
          </w:tcPr>
          <w:p w14:paraId="2904E2D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3B7F57E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1F5D142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50DBC1E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3" w:type="pct"/>
            <w:vAlign w:val="center"/>
          </w:tcPr>
          <w:p w14:paraId="19A9FC8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2948AEF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20</w:t>
            </w:r>
          </w:p>
        </w:tc>
        <w:tc>
          <w:tcPr>
            <w:tcW w:w="383" w:type="pct"/>
            <w:vAlign w:val="center"/>
          </w:tcPr>
          <w:p w14:paraId="646C115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6673CC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4304514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1,2-二氯苯</w:t>
            </w:r>
          </w:p>
        </w:tc>
        <w:tc>
          <w:tcPr>
            <w:tcW w:w="528" w:type="pct"/>
            <w:vAlign w:val="center"/>
          </w:tcPr>
          <w:p w14:paraId="17AF12B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326DF55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3F69AB9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53E7FD3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3" w:type="pct"/>
            <w:vAlign w:val="center"/>
          </w:tcPr>
          <w:p w14:paraId="05EB215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286BF7E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560</w:t>
            </w:r>
          </w:p>
        </w:tc>
        <w:tc>
          <w:tcPr>
            <w:tcW w:w="383" w:type="pct"/>
            <w:vAlign w:val="center"/>
          </w:tcPr>
          <w:p w14:paraId="511324B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2721EB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037B422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苯胺</w:t>
            </w:r>
          </w:p>
        </w:tc>
        <w:tc>
          <w:tcPr>
            <w:tcW w:w="528" w:type="pct"/>
            <w:vAlign w:val="center"/>
          </w:tcPr>
          <w:p w14:paraId="2AA5682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26984F9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3C31538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4B5D4FE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3" w:type="pct"/>
            <w:vAlign w:val="center"/>
          </w:tcPr>
          <w:p w14:paraId="55D0560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3480E19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260</w:t>
            </w:r>
          </w:p>
        </w:tc>
        <w:tc>
          <w:tcPr>
            <w:tcW w:w="383" w:type="pct"/>
            <w:vAlign w:val="center"/>
          </w:tcPr>
          <w:p w14:paraId="4F5C688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47CF24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5B4A5CD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2-氯苯酚</w:t>
            </w:r>
          </w:p>
        </w:tc>
        <w:tc>
          <w:tcPr>
            <w:tcW w:w="528" w:type="pct"/>
            <w:vAlign w:val="center"/>
          </w:tcPr>
          <w:p w14:paraId="4ED8DAE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7053BE1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57B06C3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26338D1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3" w:type="pct"/>
            <w:vAlign w:val="center"/>
          </w:tcPr>
          <w:p w14:paraId="22B947E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390970B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2256</w:t>
            </w:r>
          </w:p>
        </w:tc>
        <w:tc>
          <w:tcPr>
            <w:tcW w:w="383" w:type="pct"/>
            <w:vAlign w:val="center"/>
          </w:tcPr>
          <w:p w14:paraId="3A3614F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706333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70BAAA8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硝基苯</w:t>
            </w:r>
          </w:p>
        </w:tc>
        <w:tc>
          <w:tcPr>
            <w:tcW w:w="528" w:type="pct"/>
            <w:vAlign w:val="center"/>
          </w:tcPr>
          <w:p w14:paraId="442D3E2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16B57BA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4B54FB8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16421F5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3" w:type="pct"/>
            <w:vAlign w:val="center"/>
          </w:tcPr>
          <w:p w14:paraId="01B845E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155DD8A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76</w:t>
            </w:r>
          </w:p>
        </w:tc>
        <w:tc>
          <w:tcPr>
            <w:tcW w:w="383" w:type="pct"/>
            <w:vAlign w:val="center"/>
          </w:tcPr>
          <w:p w14:paraId="4C4E3C1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665CC8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28ADB33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萘</w:t>
            </w:r>
          </w:p>
        </w:tc>
        <w:tc>
          <w:tcPr>
            <w:tcW w:w="528" w:type="pct"/>
            <w:vAlign w:val="center"/>
          </w:tcPr>
          <w:p w14:paraId="2ABFFA7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21F7E89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3EA2C86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05EE6E8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3" w:type="pct"/>
            <w:vAlign w:val="center"/>
          </w:tcPr>
          <w:p w14:paraId="2712445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02D3E87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70</w:t>
            </w:r>
          </w:p>
        </w:tc>
        <w:tc>
          <w:tcPr>
            <w:tcW w:w="383" w:type="pct"/>
            <w:vAlign w:val="center"/>
          </w:tcPr>
          <w:p w14:paraId="168AD01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3BFC96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108BCE6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苯并[a]蒽</w:t>
            </w:r>
          </w:p>
        </w:tc>
        <w:tc>
          <w:tcPr>
            <w:tcW w:w="528" w:type="pct"/>
            <w:vAlign w:val="center"/>
          </w:tcPr>
          <w:p w14:paraId="5E78E27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5E949B7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061BF7F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7A04CE9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3" w:type="pct"/>
            <w:vAlign w:val="center"/>
          </w:tcPr>
          <w:p w14:paraId="25766D7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4B525CC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15</w:t>
            </w:r>
          </w:p>
        </w:tc>
        <w:tc>
          <w:tcPr>
            <w:tcW w:w="383" w:type="pct"/>
            <w:vAlign w:val="center"/>
          </w:tcPr>
          <w:p w14:paraId="31BD088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409C1F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64332BE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䓛</w:t>
            </w:r>
          </w:p>
        </w:tc>
        <w:tc>
          <w:tcPr>
            <w:tcW w:w="528" w:type="pct"/>
            <w:vAlign w:val="center"/>
          </w:tcPr>
          <w:p w14:paraId="1A28953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21F207D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5D23DCA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43D413A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3" w:type="pct"/>
            <w:vAlign w:val="center"/>
          </w:tcPr>
          <w:p w14:paraId="3A0307F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2154A8A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1293</w:t>
            </w:r>
          </w:p>
        </w:tc>
        <w:tc>
          <w:tcPr>
            <w:tcW w:w="383" w:type="pct"/>
            <w:vAlign w:val="center"/>
          </w:tcPr>
          <w:p w14:paraId="47D7E5E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766C2B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4071FF2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苯并[b]荧蒽</w:t>
            </w:r>
          </w:p>
        </w:tc>
        <w:tc>
          <w:tcPr>
            <w:tcW w:w="528" w:type="pct"/>
            <w:vAlign w:val="center"/>
          </w:tcPr>
          <w:p w14:paraId="7056E3E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5071A8C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3364930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3468C73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3" w:type="pct"/>
            <w:vAlign w:val="center"/>
          </w:tcPr>
          <w:p w14:paraId="32AE41E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6222D6A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15</w:t>
            </w:r>
          </w:p>
        </w:tc>
        <w:tc>
          <w:tcPr>
            <w:tcW w:w="383" w:type="pct"/>
            <w:vAlign w:val="center"/>
          </w:tcPr>
          <w:p w14:paraId="6D91335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643F32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2EDA7B4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苯并[k]荧蒽</w:t>
            </w:r>
          </w:p>
        </w:tc>
        <w:tc>
          <w:tcPr>
            <w:tcW w:w="528" w:type="pct"/>
            <w:vAlign w:val="center"/>
          </w:tcPr>
          <w:p w14:paraId="0EB8E24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65CCDB0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7EFBD90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1EC2164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3" w:type="pct"/>
            <w:vAlign w:val="center"/>
          </w:tcPr>
          <w:p w14:paraId="16DD336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3F09C43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151</w:t>
            </w:r>
          </w:p>
        </w:tc>
        <w:tc>
          <w:tcPr>
            <w:tcW w:w="383" w:type="pct"/>
            <w:vAlign w:val="center"/>
          </w:tcPr>
          <w:p w14:paraId="74B87A7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6BE52E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67796C3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苯并[a]芘</w:t>
            </w:r>
          </w:p>
        </w:tc>
        <w:tc>
          <w:tcPr>
            <w:tcW w:w="528" w:type="pct"/>
            <w:vAlign w:val="center"/>
          </w:tcPr>
          <w:p w14:paraId="383A702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34EE262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2F3B25D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0B26E03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3" w:type="pct"/>
            <w:vAlign w:val="center"/>
          </w:tcPr>
          <w:p w14:paraId="6D73E87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12AA9C5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1.5</w:t>
            </w:r>
          </w:p>
        </w:tc>
        <w:tc>
          <w:tcPr>
            <w:tcW w:w="383" w:type="pct"/>
            <w:vAlign w:val="center"/>
          </w:tcPr>
          <w:p w14:paraId="363D61F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66CE84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523CA82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茚并[1,2,3-cd]芘</w:t>
            </w:r>
          </w:p>
        </w:tc>
        <w:tc>
          <w:tcPr>
            <w:tcW w:w="528" w:type="pct"/>
            <w:vAlign w:val="center"/>
          </w:tcPr>
          <w:p w14:paraId="7C0B72A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5E3B2B8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1F014AA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0F9AEC5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3" w:type="pct"/>
            <w:vAlign w:val="center"/>
          </w:tcPr>
          <w:p w14:paraId="4569E4D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0A7C725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15</w:t>
            </w:r>
          </w:p>
        </w:tc>
        <w:tc>
          <w:tcPr>
            <w:tcW w:w="383" w:type="pct"/>
            <w:vAlign w:val="center"/>
          </w:tcPr>
          <w:p w14:paraId="633AEE2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0D0704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1BC1607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二苯并[a,h]蒽</w:t>
            </w:r>
          </w:p>
        </w:tc>
        <w:tc>
          <w:tcPr>
            <w:tcW w:w="528" w:type="pct"/>
            <w:vAlign w:val="center"/>
          </w:tcPr>
          <w:p w14:paraId="649E4CE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27F9496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2181EE8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10A973E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3" w:type="pct"/>
            <w:vAlign w:val="center"/>
          </w:tcPr>
          <w:p w14:paraId="4FD07F9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0CBADA4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1.5</w:t>
            </w:r>
          </w:p>
        </w:tc>
        <w:tc>
          <w:tcPr>
            <w:tcW w:w="383" w:type="pct"/>
            <w:vAlign w:val="center"/>
          </w:tcPr>
          <w:p w14:paraId="7754D89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225A2E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614F4F5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石油烃(C</w:t>
            </w:r>
            <w:r>
              <w:rPr>
                <w:rFonts w:ascii="Times New Roman" w:hAnsi="Times New Roman" w:cs="Times New Roman"/>
                <w:color w:val="000000" w:themeColor="text1"/>
                <w:sz w:val="21"/>
                <w:szCs w:val="21"/>
                <w:vertAlign w:val="subscript"/>
                <w14:textFill>
                  <w14:solidFill>
                    <w14:schemeClr w14:val="tx1"/>
                  </w14:solidFill>
                </w14:textFill>
              </w:rPr>
              <w:t>10</w:t>
            </w:r>
            <w:r>
              <w:rPr>
                <w:rFonts w:ascii="Times New Roman" w:hAnsi="Times New Roman" w:cs="Times New Roman"/>
                <w:color w:val="000000" w:themeColor="text1"/>
                <w:sz w:val="21"/>
                <w:szCs w:val="21"/>
                <w14:textFill>
                  <w14:solidFill>
                    <w14:schemeClr w14:val="tx1"/>
                  </w14:solidFill>
                </w14:textFill>
              </w:rPr>
              <w:t>-C</w:t>
            </w:r>
            <w:r>
              <w:rPr>
                <w:rFonts w:ascii="Times New Roman" w:hAnsi="Times New Roman" w:cs="Times New Roman"/>
                <w:color w:val="000000" w:themeColor="text1"/>
                <w:sz w:val="21"/>
                <w:szCs w:val="21"/>
                <w:vertAlign w:val="subscript"/>
                <w14:textFill>
                  <w14:solidFill>
                    <w14:schemeClr w14:val="tx1"/>
                  </w14:solidFill>
                </w14:textFill>
              </w:rPr>
              <w:t>40</w:t>
            </w:r>
            <w:r>
              <w:rPr>
                <w:rFonts w:ascii="Times New Roman" w:hAnsi="Times New Roman" w:cs="Times New Roman"/>
                <w:color w:val="000000" w:themeColor="text1"/>
                <w:sz w:val="21"/>
                <w:szCs w:val="21"/>
                <w14:textFill>
                  <w14:solidFill>
                    <w14:schemeClr w14:val="tx1"/>
                  </w14:solidFill>
                </w14:textFill>
              </w:rPr>
              <w:t>)</w:t>
            </w:r>
          </w:p>
        </w:tc>
        <w:tc>
          <w:tcPr>
            <w:tcW w:w="528" w:type="pct"/>
            <w:vAlign w:val="center"/>
          </w:tcPr>
          <w:p w14:paraId="3AA3788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2C5478B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7</w:t>
            </w:r>
          </w:p>
        </w:tc>
        <w:tc>
          <w:tcPr>
            <w:tcW w:w="592" w:type="pct"/>
            <w:vAlign w:val="center"/>
          </w:tcPr>
          <w:p w14:paraId="3FA6CC0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10</w:t>
            </w:r>
          </w:p>
        </w:tc>
        <w:tc>
          <w:tcPr>
            <w:tcW w:w="592" w:type="pct"/>
            <w:vAlign w:val="center"/>
          </w:tcPr>
          <w:p w14:paraId="7CED3AE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9</w:t>
            </w:r>
          </w:p>
        </w:tc>
        <w:tc>
          <w:tcPr>
            <w:tcW w:w="593" w:type="pct"/>
            <w:vAlign w:val="center"/>
          </w:tcPr>
          <w:p w14:paraId="33FA538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9</w:t>
            </w:r>
          </w:p>
        </w:tc>
        <w:tc>
          <w:tcPr>
            <w:tcW w:w="627" w:type="pct"/>
            <w:vAlign w:val="center"/>
          </w:tcPr>
          <w:p w14:paraId="2563ACE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4500</w:t>
            </w:r>
          </w:p>
        </w:tc>
        <w:tc>
          <w:tcPr>
            <w:tcW w:w="383" w:type="pct"/>
            <w:vAlign w:val="center"/>
          </w:tcPr>
          <w:p w14:paraId="7BEBDBB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bl>
    <w:p w14:paraId="78B468DC"/>
    <w:p w14:paraId="3C27A886">
      <w:pPr>
        <w:pStyle w:val="28"/>
        <w:rPr>
          <w:rFonts w:hint="eastAsia"/>
        </w:rPr>
      </w:pPr>
      <w:r>
        <w:rPr>
          <w:rFonts w:hint="eastAsia"/>
        </w:rPr>
        <w:t>表5.2-16  土壤监测结果表(2)</w:t>
      </w:r>
    </w:p>
    <w:tbl>
      <w:tblPr>
        <w:tblStyle w:val="3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30"/>
        <w:gridCol w:w="981"/>
        <w:gridCol w:w="1099"/>
        <w:gridCol w:w="1099"/>
        <w:gridCol w:w="1099"/>
        <w:gridCol w:w="1103"/>
        <w:gridCol w:w="1165"/>
        <w:gridCol w:w="710"/>
      </w:tblGrid>
      <w:tr w14:paraId="35E65A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093" w:type="pct"/>
            <w:vMerge w:val="restart"/>
            <w:tcBorders>
              <w:bottom w:val="single" w:color="auto" w:sz="4" w:space="0"/>
            </w:tcBorders>
            <w:vAlign w:val="center"/>
          </w:tcPr>
          <w:p w14:paraId="5878E60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检测项目</w:t>
            </w:r>
          </w:p>
        </w:tc>
        <w:tc>
          <w:tcPr>
            <w:tcW w:w="528" w:type="pct"/>
            <w:vMerge w:val="restart"/>
            <w:tcBorders>
              <w:bottom w:val="single" w:color="auto" w:sz="4" w:space="0"/>
            </w:tcBorders>
            <w:vAlign w:val="center"/>
          </w:tcPr>
          <w:p w14:paraId="311DBA7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单位</w:t>
            </w:r>
          </w:p>
        </w:tc>
        <w:tc>
          <w:tcPr>
            <w:tcW w:w="2370" w:type="pct"/>
            <w:gridSpan w:val="4"/>
            <w:tcBorders>
              <w:bottom w:val="single" w:color="auto" w:sz="4" w:space="0"/>
            </w:tcBorders>
            <w:vAlign w:val="center"/>
          </w:tcPr>
          <w:p w14:paraId="5C864C5A">
            <w:pPr>
              <w:pStyle w:val="82"/>
              <w:spacing w:line="240" w:lineRule="auto"/>
              <w:ind w:firstLine="42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S</w:t>
            </w:r>
            <w:r>
              <w:rPr>
                <w:rFonts w:hint="eastAsia" w:ascii="Times New Roman" w:hAnsi="Times New Roman" w:cs="Times New Roman"/>
                <w:color w:val="000000" w:themeColor="text1"/>
                <w:sz w:val="21"/>
                <w:szCs w:val="21"/>
                <w14:textFill>
                  <w14:solidFill>
                    <w14:schemeClr w14:val="tx1"/>
                  </w14:solidFill>
                </w14:textFill>
              </w:rPr>
              <w:t>2</w:t>
            </w:r>
          </w:p>
        </w:tc>
        <w:tc>
          <w:tcPr>
            <w:tcW w:w="627" w:type="pct"/>
            <w:vMerge w:val="restart"/>
            <w:tcBorders>
              <w:bottom w:val="single" w:color="auto" w:sz="4" w:space="0"/>
            </w:tcBorders>
            <w:vAlign w:val="center"/>
          </w:tcPr>
          <w:p w14:paraId="272C079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第二类用地风险筛选值</w:t>
            </w:r>
          </w:p>
        </w:tc>
        <w:tc>
          <w:tcPr>
            <w:tcW w:w="382" w:type="pct"/>
            <w:vMerge w:val="restart"/>
            <w:tcBorders>
              <w:bottom w:val="single" w:color="auto" w:sz="4" w:space="0"/>
            </w:tcBorders>
            <w:vAlign w:val="center"/>
          </w:tcPr>
          <w:p w14:paraId="5F2BFF1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达标情况</w:t>
            </w:r>
          </w:p>
        </w:tc>
      </w:tr>
      <w:tr w14:paraId="197180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093" w:type="pct"/>
            <w:vMerge w:val="continue"/>
            <w:vAlign w:val="center"/>
          </w:tcPr>
          <w:p w14:paraId="6133094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c>
          <w:tcPr>
            <w:tcW w:w="528" w:type="pct"/>
            <w:vMerge w:val="continue"/>
            <w:vAlign w:val="center"/>
          </w:tcPr>
          <w:p w14:paraId="7DF6D63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c>
          <w:tcPr>
            <w:tcW w:w="592" w:type="pct"/>
            <w:vAlign w:val="center"/>
          </w:tcPr>
          <w:p w14:paraId="01858A8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w:t>
            </w:r>
            <w:r>
              <w:rPr>
                <w:rFonts w:hint="eastAsia" w:ascii="Times New Roman" w:hAnsi="Times New Roman" w:cs="Times New Roman"/>
                <w:color w:val="000000" w:themeColor="text1"/>
                <w:sz w:val="21"/>
                <w:szCs w:val="21"/>
                <w14:textFill>
                  <w14:solidFill>
                    <w14:schemeClr w14:val="tx1"/>
                  </w14:solidFill>
                </w14:textFill>
              </w:rPr>
              <w:t>0.5</w:t>
            </w:r>
            <w:r>
              <w:rPr>
                <w:rFonts w:ascii="Times New Roman" w:hAnsi="Times New Roman" w:cs="Times New Roman"/>
                <w:color w:val="000000" w:themeColor="text1"/>
                <w:sz w:val="21"/>
                <w:szCs w:val="21"/>
                <w14:textFill>
                  <w14:solidFill>
                    <w14:schemeClr w14:val="tx1"/>
                  </w14:solidFill>
                </w14:textFill>
              </w:rPr>
              <w:t>m</w:t>
            </w:r>
          </w:p>
        </w:tc>
        <w:tc>
          <w:tcPr>
            <w:tcW w:w="592" w:type="pct"/>
            <w:vAlign w:val="center"/>
          </w:tcPr>
          <w:p w14:paraId="7B20F31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w:t>
            </w:r>
            <w:r>
              <w:rPr>
                <w:rFonts w:hint="eastAsia" w:ascii="Times New Roman" w:hAnsi="Times New Roman" w:cs="Times New Roman"/>
                <w:color w:val="000000" w:themeColor="text1"/>
                <w:sz w:val="21"/>
                <w:szCs w:val="21"/>
                <w14:textFill>
                  <w14:solidFill>
                    <w14:schemeClr w14:val="tx1"/>
                  </w14:solidFill>
                </w14:textFill>
              </w:rPr>
              <w:t>.</w:t>
            </w:r>
            <w:r>
              <w:rPr>
                <w:rFonts w:ascii="Times New Roman" w:hAnsi="Times New Roman" w:cs="Times New Roman"/>
                <w:color w:val="000000" w:themeColor="text1"/>
                <w:sz w:val="21"/>
                <w:szCs w:val="21"/>
                <w14:textFill>
                  <w14:solidFill>
                    <w14:schemeClr w14:val="tx1"/>
                  </w14:solidFill>
                </w14:textFill>
              </w:rPr>
              <w:t>5-2m</w:t>
            </w:r>
          </w:p>
        </w:tc>
        <w:tc>
          <w:tcPr>
            <w:tcW w:w="592" w:type="pct"/>
            <w:vAlign w:val="center"/>
          </w:tcPr>
          <w:p w14:paraId="3A1B08E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3-4m</w:t>
            </w:r>
          </w:p>
        </w:tc>
        <w:tc>
          <w:tcPr>
            <w:tcW w:w="594" w:type="pct"/>
            <w:vAlign w:val="center"/>
          </w:tcPr>
          <w:p w14:paraId="3A31973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5-6m</w:t>
            </w:r>
          </w:p>
        </w:tc>
        <w:tc>
          <w:tcPr>
            <w:tcW w:w="627" w:type="pct"/>
            <w:vMerge w:val="continue"/>
            <w:vAlign w:val="center"/>
          </w:tcPr>
          <w:p w14:paraId="1B82877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c>
          <w:tcPr>
            <w:tcW w:w="382" w:type="pct"/>
            <w:vMerge w:val="continue"/>
            <w:vAlign w:val="center"/>
          </w:tcPr>
          <w:p w14:paraId="79930D4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r>
      <w:tr w14:paraId="314656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093" w:type="pct"/>
            <w:vMerge w:val="continue"/>
            <w:vAlign w:val="center"/>
          </w:tcPr>
          <w:p w14:paraId="3259172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c>
          <w:tcPr>
            <w:tcW w:w="528" w:type="pct"/>
            <w:vMerge w:val="continue"/>
            <w:vAlign w:val="center"/>
          </w:tcPr>
          <w:p w14:paraId="1ED97A6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c>
          <w:tcPr>
            <w:tcW w:w="2370" w:type="pct"/>
            <w:gridSpan w:val="4"/>
            <w:vAlign w:val="center"/>
          </w:tcPr>
          <w:p w14:paraId="1838747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采样日期：2025.11.2</w:t>
            </w:r>
            <w:r>
              <w:rPr>
                <w:rFonts w:hint="eastAsia" w:ascii="Times New Roman" w:hAnsi="Times New Roman" w:cs="Times New Roman"/>
                <w:color w:val="000000" w:themeColor="text1"/>
                <w:sz w:val="21"/>
                <w:szCs w:val="21"/>
                <w14:textFill>
                  <w14:solidFill>
                    <w14:schemeClr w14:val="tx1"/>
                  </w14:solidFill>
                </w14:textFill>
              </w:rPr>
              <w:t>2</w:t>
            </w:r>
          </w:p>
        </w:tc>
        <w:tc>
          <w:tcPr>
            <w:tcW w:w="627" w:type="pct"/>
            <w:vMerge w:val="continue"/>
            <w:vAlign w:val="center"/>
          </w:tcPr>
          <w:p w14:paraId="48D9C16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c>
          <w:tcPr>
            <w:tcW w:w="382" w:type="pct"/>
            <w:vMerge w:val="continue"/>
            <w:vAlign w:val="center"/>
          </w:tcPr>
          <w:p w14:paraId="64DDEFD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r>
      <w:tr w14:paraId="6CF819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093" w:type="pct"/>
            <w:vAlign w:val="center"/>
          </w:tcPr>
          <w:p w14:paraId="7265FFF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pH值</w:t>
            </w:r>
          </w:p>
        </w:tc>
        <w:tc>
          <w:tcPr>
            <w:tcW w:w="528" w:type="pct"/>
            <w:vAlign w:val="center"/>
          </w:tcPr>
          <w:p w14:paraId="4E18FF2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无量纲</w:t>
            </w:r>
          </w:p>
        </w:tc>
        <w:tc>
          <w:tcPr>
            <w:tcW w:w="592" w:type="pct"/>
          </w:tcPr>
          <w:p w14:paraId="3001F20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8.80</w:t>
            </w:r>
          </w:p>
        </w:tc>
        <w:tc>
          <w:tcPr>
            <w:tcW w:w="592" w:type="pct"/>
          </w:tcPr>
          <w:p w14:paraId="55AFF05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8.95</w:t>
            </w:r>
          </w:p>
        </w:tc>
        <w:tc>
          <w:tcPr>
            <w:tcW w:w="592" w:type="pct"/>
          </w:tcPr>
          <w:p w14:paraId="59A3C04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9.52</w:t>
            </w:r>
          </w:p>
        </w:tc>
        <w:tc>
          <w:tcPr>
            <w:tcW w:w="594" w:type="pct"/>
          </w:tcPr>
          <w:p w14:paraId="7A141DA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9.53</w:t>
            </w:r>
          </w:p>
        </w:tc>
        <w:tc>
          <w:tcPr>
            <w:tcW w:w="627" w:type="pct"/>
            <w:vAlign w:val="center"/>
          </w:tcPr>
          <w:p w14:paraId="70C1D8B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w:t>
            </w:r>
          </w:p>
        </w:tc>
        <w:tc>
          <w:tcPr>
            <w:tcW w:w="382" w:type="pct"/>
            <w:vAlign w:val="center"/>
          </w:tcPr>
          <w:p w14:paraId="57A4EBD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w:t>
            </w:r>
          </w:p>
        </w:tc>
      </w:tr>
      <w:tr w14:paraId="435157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093" w:type="pct"/>
            <w:vAlign w:val="center"/>
          </w:tcPr>
          <w:p w14:paraId="04E8DD2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砷</w:t>
            </w:r>
          </w:p>
        </w:tc>
        <w:tc>
          <w:tcPr>
            <w:tcW w:w="528" w:type="pct"/>
            <w:vAlign w:val="center"/>
          </w:tcPr>
          <w:p w14:paraId="74791D2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tcPr>
          <w:p w14:paraId="6561126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8.39</w:t>
            </w:r>
          </w:p>
        </w:tc>
        <w:tc>
          <w:tcPr>
            <w:tcW w:w="592" w:type="pct"/>
          </w:tcPr>
          <w:p w14:paraId="580CB9B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9.50</w:t>
            </w:r>
          </w:p>
        </w:tc>
        <w:tc>
          <w:tcPr>
            <w:tcW w:w="592" w:type="pct"/>
          </w:tcPr>
          <w:p w14:paraId="7B3E4ED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9.10</w:t>
            </w:r>
          </w:p>
        </w:tc>
        <w:tc>
          <w:tcPr>
            <w:tcW w:w="594" w:type="pct"/>
          </w:tcPr>
          <w:p w14:paraId="20637D6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5.49</w:t>
            </w:r>
          </w:p>
        </w:tc>
        <w:tc>
          <w:tcPr>
            <w:tcW w:w="627" w:type="pct"/>
            <w:vAlign w:val="center"/>
          </w:tcPr>
          <w:p w14:paraId="23CD9BA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60</w:t>
            </w:r>
          </w:p>
        </w:tc>
        <w:tc>
          <w:tcPr>
            <w:tcW w:w="382" w:type="pct"/>
            <w:vAlign w:val="center"/>
          </w:tcPr>
          <w:p w14:paraId="21DA007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1C68DB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093" w:type="pct"/>
            <w:vAlign w:val="center"/>
          </w:tcPr>
          <w:p w14:paraId="228B750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镉</w:t>
            </w:r>
          </w:p>
        </w:tc>
        <w:tc>
          <w:tcPr>
            <w:tcW w:w="528" w:type="pct"/>
            <w:vAlign w:val="center"/>
          </w:tcPr>
          <w:p w14:paraId="5B147EA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tcPr>
          <w:p w14:paraId="3C4BBDF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0.02</w:t>
            </w:r>
          </w:p>
        </w:tc>
        <w:tc>
          <w:tcPr>
            <w:tcW w:w="592" w:type="pct"/>
          </w:tcPr>
          <w:p w14:paraId="40C3526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0.02</w:t>
            </w:r>
          </w:p>
        </w:tc>
        <w:tc>
          <w:tcPr>
            <w:tcW w:w="592" w:type="pct"/>
          </w:tcPr>
          <w:p w14:paraId="203DBAB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0.04</w:t>
            </w:r>
          </w:p>
        </w:tc>
        <w:tc>
          <w:tcPr>
            <w:tcW w:w="594" w:type="pct"/>
          </w:tcPr>
          <w:p w14:paraId="7B311B9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0.03</w:t>
            </w:r>
          </w:p>
        </w:tc>
        <w:tc>
          <w:tcPr>
            <w:tcW w:w="627" w:type="pct"/>
            <w:vAlign w:val="center"/>
          </w:tcPr>
          <w:p w14:paraId="25FCDF5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65</w:t>
            </w:r>
          </w:p>
        </w:tc>
        <w:tc>
          <w:tcPr>
            <w:tcW w:w="382" w:type="pct"/>
            <w:vAlign w:val="center"/>
          </w:tcPr>
          <w:p w14:paraId="7110611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2EDC7E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093" w:type="pct"/>
            <w:vAlign w:val="center"/>
          </w:tcPr>
          <w:p w14:paraId="7DB1612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六价铬</w:t>
            </w:r>
          </w:p>
        </w:tc>
        <w:tc>
          <w:tcPr>
            <w:tcW w:w="528" w:type="pct"/>
            <w:vAlign w:val="center"/>
          </w:tcPr>
          <w:p w14:paraId="18E8E2A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tcPr>
          <w:p w14:paraId="394BA6E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tcPr>
          <w:p w14:paraId="264E2F3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tcPr>
          <w:p w14:paraId="207698F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tcPr>
          <w:p w14:paraId="00D70DD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553B410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5.7</w:t>
            </w:r>
          </w:p>
        </w:tc>
        <w:tc>
          <w:tcPr>
            <w:tcW w:w="382" w:type="pct"/>
            <w:vAlign w:val="center"/>
          </w:tcPr>
          <w:p w14:paraId="5D3AABC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2086FD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5BDBCE1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铜</w:t>
            </w:r>
          </w:p>
        </w:tc>
        <w:tc>
          <w:tcPr>
            <w:tcW w:w="528" w:type="pct"/>
            <w:vAlign w:val="center"/>
          </w:tcPr>
          <w:p w14:paraId="1A7E831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tcPr>
          <w:p w14:paraId="0277629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22</w:t>
            </w:r>
          </w:p>
        </w:tc>
        <w:tc>
          <w:tcPr>
            <w:tcW w:w="592" w:type="pct"/>
          </w:tcPr>
          <w:p w14:paraId="390F24C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25</w:t>
            </w:r>
          </w:p>
        </w:tc>
        <w:tc>
          <w:tcPr>
            <w:tcW w:w="592" w:type="pct"/>
          </w:tcPr>
          <w:p w14:paraId="15020CC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19</w:t>
            </w:r>
          </w:p>
        </w:tc>
        <w:tc>
          <w:tcPr>
            <w:tcW w:w="594" w:type="pct"/>
          </w:tcPr>
          <w:p w14:paraId="0AB036A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22</w:t>
            </w:r>
          </w:p>
        </w:tc>
        <w:tc>
          <w:tcPr>
            <w:tcW w:w="627" w:type="pct"/>
            <w:vAlign w:val="center"/>
          </w:tcPr>
          <w:p w14:paraId="252CBB9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18000</w:t>
            </w:r>
          </w:p>
        </w:tc>
        <w:tc>
          <w:tcPr>
            <w:tcW w:w="382" w:type="pct"/>
            <w:vAlign w:val="center"/>
          </w:tcPr>
          <w:p w14:paraId="4026834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18EDB0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75B164B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铅</w:t>
            </w:r>
          </w:p>
        </w:tc>
        <w:tc>
          <w:tcPr>
            <w:tcW w:w="528" w:type="pct"/>
            <w:vAlign w:val="center"/>
          </w:tcPr>
          <w:p w14:paraId="3172B61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tcPr>
          <w:p w14:paraId="18BFC3D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34.2</w:t>
            </w:r>
          </w:p>
        </w:tc>
        <w:tc>
          <w:tcPr>
            <w:tcW w:w="592" w:type="pct"/>
          </w:tcPr>
          <w:p w14:paraId="0FC970F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32.3</w:t>
            </w:r>
          </w:p>
        </w:tc>
        <w:tc>
          <w:tcPr>
            <w:tcW w:w="592" w:type="pct"/>
          </w:tcPr>
          <w:p w14:paraId="3DFE92D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21.3</w:t>
            </w:r>
          </w:p>
        </w:tc>
        <w:tc>
          <w:tcPr>
            <w:tcW w:w="594" w:type="pct"/>
          </w:tcPr>
          <w:p w14:paraId="6A54DC6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30.2</w:t>
            </w:r>
          </w:p>
        </w:tc>
        <w:tc>
          <w:tcPr>
            <w:tcW w:w="627" w:type="pct"/>
            <w:vAlign w:val="center"/>
          </w:tcPr>
          <w:p w14:paraId="5499785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800</w:t>
            </w:r>
          </w:p>
        </w:tc>
        <w:tc>
          <w:tcPr>
            <w:tcW w:w="382" w:type="pct"/>
            <w:vAlign w:val="center"/>
          </w:tcPr>
          <w:p w14:paraId="1EAAC8F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439178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718EC03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汞</w:t>
            </w:r>
          </w:p>
        </w:tc>
        <w:tc>
          <w:tcPr>
            <w:tcW w:w="528" w:type="pct"/>
            <w:vAlign w:val="center"/>
          </w:tcPr>
          <w:p w14:paraId="0C70F6B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tcPr>
          <w:p w14:paraId="64B4AFC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0.016</w:t>
            </w:r>
          </w:p>
        </w:tc>
        <w:tc>
          <w:tcPr>
            <w:tcW w:w="592" w:type="pct"/>
          </w:tcPr>
          <w:p w14:paraId="02C7559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0.010</w:t>
            </w:r>
          </w:p>
        </w:tc>
        <w:tc>
          <w:tcPr>
            <w:tcW w:w="592" w:type="pct"/>
          </w:tcPr>
          <w:p w14:paraId="342B002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0.015</w:t>
            </w:r>
          </w:p>
        </w:tc>
        <w:tc>
          <w:tcPr>
            <w:tcW w:w="594" w:type="pct"/>
          </w:tcPr>
          <w:p w14:paraId="70B0EB5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0.009</w:t>
            </w:r>
          </w:p>
        </w:tc>
        <w:tc>
          <w:tcPr>
            <w:tcW w:w="627" w:type="pct"/>
            <w:vAlign w:val="center"/>
          </w:tcPr>
          <w:p w14:paraId="4E42963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38</w:t>
            </w:r>
          </w:p>
        </w:tc>
        <w:tc>
          <w:tcPr>
            <w:tcW w:w="382" w:type="pct"/>
            <w:vAlign w:val="center"/>
          </w:tcPr>
          <w:p w14:paraId="6B8AB6B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1284CA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3EC0334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镍</w:t>
            </w:r>
          </w:p>
        </w:tc>
        <w:tc>
          <w:tcPr>
            <w:tcW w:w="528" w:type="pct"/>
            <w:vAlign w:val="center"/>
          </w:tcPr>
          <w:p w14:paraId="6E7D064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tcPr>
          <w:p w14:paraId="4D67EFC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28</w:t>
            </w:r>
          </w:p>
        </w:tc>
        <w:tc>
          <w:tcPr>
            <w:tcW w:w="592" w:type="pct"/>
          </w:tcPr>
          <w:p w14:paraId="2766482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32</w:t>
            </w:r>
          </w:p>
        </w:tc>
        <w:tc>
          <w:tcPr>
            <w:tcW w:w="592" w:type="pct"/>
          </w:tcPr>
          <w:p w14:paraId="19EA2BF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24</w:t>
            </w:r>
          </w:p>
        </w:tc>
        <w:tc>
          <w:tcPr>
            <w:tcW w:w="594" w:type="pct"/>
          </w:tcPr>
          <w:p w14:paraId="47A4DCD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29</w:t>
            </w:r>
          </w:p>
        </w:tc>
        <w:tc>
          <w:tcPr>
            <w:tcW w:w="627" w:type="pct"/>
            <w:vAlign w:val="center"/>
          </w:tcPr>
          <w:p w14:paraId="1AB8527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900</w:t>
            </w:r>
          </w:p>
        </w:tc>
        <w:tc>
          <w:tcPr>
            <w:tcW w:w="382" w:type="pct"/>
            <w:vAlign w:val="center"/>
          </w:tcPr>
          <w:p w14:paraId="2C3F469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1F374C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0B4C213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氯甲烷</w:t>
            </w:r>
          </w:p>
        </w:tc>
        <w:tc>
          <w:tcPr>
            <w:tcW w:w="528" w:type="pct"/>
            <w:vAlign w:val="center"/>
          </w:tcPr>
          <w:p w14:paraId="02A24BA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273C893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5868535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35519A4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16986AB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7041B40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37</w:t>
            </w:r>
          </w:p>
        </w:tc>
        <w:tc>
          <w:tcPr>
            <w:tcW w:w="382" w:type="pct"/>
            <w:vAlign w:val="center"/>
          </w:tcPr>
          <w:p w14:paraId="23A5804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18B3C4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277CF97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氯乙烯</w:t>
            </w:r>
          </w:p>
        </w:tc>
        <w:tc>
          <w:tcPr>
            <w:tcW w:w="528" w:type="pct"/>
            <w:vAlign w:val="center"/>
          </w:tcPr>
          <w:p w14:paraId="007B700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1A86551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2E7A962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2FDEB90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0E6E4BB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385B130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0.43</w:t>
            </w:r>
          </w:p>
        </w:tc>
        <w:tc>
          <w:tcPr>
            <w:tcW w:w="382" w:type="pct"/>
            <w:vAlign w:val="center"/>
          </w:tcPr>
          <w:p w14:paraId="18F561C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45E862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437668D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1,1-二氯乙烯</w:t>
            </w:r>
          </w:p>
        </w:tc>
        <w:tc>
          <w:tcPr>
            <w:tcW w:w="528" w:type="pct"/>
            <w:vAlign w:val="center"/>
          </w:tcPr>
          <w:p w14:paraId="309FF83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0401104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37D90D5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1CE09A6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6F8FD07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7B3DFCE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66</w:t>
            </w:r>
          </w:p>
        </w:tc>
        <w:tc>
          <w:tcPr>
            <w:tcW w:w="382" w:type="pct"/>
            <w:vAlign w:val="center"/>
          </w:tcPr>
          <w:p w14:paraId="141D5F9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0CE676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7F26B28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二氯甲烷</w:t>
            </w:r>
          </w:p>
        </w:tc>
        <w:tc>
          <w:tcPr>
            <w:tcW w:w="528" w:type="pct"/>
            <w:vAlign w:val="center"/>
          </w:tcPr>
          <w:p w14:paraId="0A9B958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0DC3FD3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32D6D28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7657FFF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2903FFB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1976373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616</w:t>
            </w:r>
          </w:p>
        </w:tc>
        <w:tc>
          <w:tcPr>
            <w:tcW w:w="382" w:type="pct"/>
            <w:vAlign w:val="center"/>
          </w:tcPr>
          <w:p w14:paraId="673239F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07160A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005EAD1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反式-1,2-二氯乙烯</w:t>
            </w:r>
          </w:p>
        </w:tc>
        <w:tc>
          <w:tcPr>
            <w:tcW w:w="528" w:type="pct"/>
            <w:vAlign w:val="center"/>
          </w:tcPr>
          <w:p w14:paraId="4B22B86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0E08FC9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09D0204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1073065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27C6A9B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0B6AC71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54</w:t>
            </w:r>
          </w:p>
        </w:tc>
        <w:tc>
          <w:tcPr>
            <w:tcW w:w="382" w:type="pct"/>
            <w:vAlign w:val="center"/>
          </w:tcPr>
          <w:p w14:paraId="1A63F0B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6594B9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7392141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1,1-二氯乙烷</w:t>
            </w:r>
          </w:p>
        </w:tc>
        <w:tc>
          <w:tcPr>
            <w:tcW w:w="528" w:type="pct"/>
            <w:vAlign w:val="center"/>
          </w:tcPr>
          <w:p w14:paraId="46191D0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4C7B86C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39EDABE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6DE968B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2E62B7C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1C3126D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9</w:t>
            </w:r>
          </w:p>
        </w:tc>
        <w:tc>
          <w:tcPr>
            <w:tcW w:w="382" w:type="pct"/>
            <w:vAlign w:val="center"/>
          </w:tcPr>
          <w:p w14:paraId="24AB958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050521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158A4E7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顺式-1,2-二氯乙烯</w:t>
            </w:r>
          </w:p>
        </w:tc>
        <w:tc>
          <w:tcPr>
            <w:tcW w:w="528" w:type="pct"/>
            <w:vAlign w:val="center"/>
          </w:tcPr>
          <w:p w14:paraId="75F091F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291D1BD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5CC27A1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2BD2ED3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55E44D6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327A0EC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596</w:t>
            </w:r>
          </w:p>
        </w:tc>
        <w:tc>
          <w:tcPr>
            <w:tcW w:w="382" w:type="pct"/>
            <w:vAlign w:val="center"/>
          </w:tcPr>
          <w:p w14:paraId="0F95E88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613B13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30EEDB9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氯仿</w:t>
            </w:r>
          </w:p>
        </w:tc>
        <w:tc>
          <w:tcPr>
            <w:tcW w:w="528" w:type="pct"/>
            <w:vAlign w:val="center"/>
          </w:tcPr>
          <w:p w14:paraId="566AFE1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61A2376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2733769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7C58ECA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7A7B70D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6CA4244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0.9</w:t>
            </w:r>
          </w:p>
        </w:tc>
        <w:tc>
          <w:tcPr>
            <w:tcW w:w="382" w:type="pct"/>
            <w:vAlign w:val="center"/>
          </w:tcPr>
          <w:p w14:paraId="701142C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1940C7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3276348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1,1,1-三氯乙烷</w:t>
            </w:r>
          </w:p>
        </w:tc>
        <w:tc>
          <w:tcPr>
            <w:tcW w:w="528" w:type="pct"/>
            <w:vAlign w:val="center"/>
          </w:tcPr>
          <w:p w14:paraId="7BCA8CD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248AE85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0000BE7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3797485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41BF60D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65F3E07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840</w:t>
            </w:r>
          </w:p>
        </w:tc>
        <w:tc>
          <w:tcPr>
            <w:tcW w:w="382" w:type="pct"/>
            <w:vAlign w:val="center"/>
          </w:tcPr>
          <w:p w14:paraId="57F626F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29F9B5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65403AB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四氯化碳</w:t>
            </w:r>
          </w:p>
        </w:tc>
        <w:tc>
          <w:tcPr>
            <w:tcW w:w="528" w:type="pct"/>
            <w:vAlign w:val="center"/>
          </w:tcPr>
          <w:p w14:paraId="6C1A02C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3CE98D3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66DC749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3271A25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4C6EBE0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4F7BD54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2.8</w:t>
            </w:r>
          </w:p>
        </w:tc>
        <w:tc>
          <w:tcPr>
            <w:tcW w:w="382" w:type="pct"/>
            <w:vAlign w:val="center"/>
          </w:tcPr>
          <w:p w14:paraId="5CB1BF0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0DA029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6BA5663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苯</w:t>
            </w:r>
          </w:p>
        </w:tc>
        <w:tc>
          <w:tcPr>
            <w:tcW w:w="528" w:type="pct"/>
            <w:vAlign w:val="center"/>
          </w:tcPr>
          <w:p w14:paraId="434EEF3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463B396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69157E3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789778A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65FD018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3631585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w:t>
            </w:r>
          </w:p>
        </w:tc>
        <w:tc>
          <w:tcPr>
            <w:tcW w:w="382" w:type="pct"/>
            <w:vAlign w:val="center"/>
          </w:tcPr>
          <w:p w14:paraId="1E17AEF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773B02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5451B4B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1,2-二氯乙烷</w:t>
            </w:r>
          </w:p>
        </w:tc>
        <w:tc>
          <w:tcPr>
            <w:tcW w:w="528" w:type="pct"/>
            <w:vAlign w:val="center"/>
          </w:tcPr>
          <w:p w14:paraId="5D8F013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522F477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7AD4A26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4A680A6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14643DA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649F066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w:t>
            </w:r>
          </w:p>
        </w:tc>
        <w:tc>
          <w:tcPr>
            <w:tcW w:w="382" w:type="pct"/>
            <w:vAlign w:val="center"/>
          </w:tcPr>
          <w:p w14:paraId="43C4FD6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64F133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2DEC577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三氯乙烯</w:t>
            </w:r>
          </w:p>
        </w:tc>
        <w:tc>
          <w:tcPr>
            <w:tcW w:w="528" w:type="pct"/>
            <w:vAlign w:val="center"/>
          </w:tcPr>
          <w:p w14:paraId="5EE4B64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07312B7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045D492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09CB22C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5100D63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2827249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2.8</w:t>
            </w:r>
          </w:p>
        </w:tc>
        <w:tc>
          <w:tcPr>
            <w:tcW w:w="382" w:type="pct"/>
            <w:vAlign w:val="center"/>
          </w:tcPr>
          <w:p w14:paraId="00B2C30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3E3FF9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145EBDD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1,2-二氯丙烷</w:t>
            </w:r>
          </w:p>
        </w:tc>
        <w:tc>
          <w:tcPr>
            <w:tcW w:w="528" w:type="pct"/>
            <w:vAlign w:val="center"/>
          </w:tcPr>
          <w:p w14:paraId="11A4996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729E9B4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49B8B55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4E1262E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3269725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12544A7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w:t>
            </w:r>
          </w:p>
        </w:tc>
        <w:tc>
          <w:tcPr>
            <w:tcW w:w="382" w:type="pct"/>
            <w:vAlign w:val="center"/>
          </w:tcPr>
          <w:p w14:paraId="46B8E54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6537BD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375D46B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甲苯</w:t>
            </w:r>
          </w:p>
        </w:tc>
        <w:tc>
          <w:tcPr>
            <w:tcW w:w="528" w:type="pct"/>
            <w:vAlign w:val="center"/>
          </w:tcPr>
          <w:p w14:paraId="106EC00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03C8EB4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4DF7323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1F4DB0D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0285C13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6051E25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1200</w:t>
            </w:r>
          </w:p>
        </w:tc>
        <w:tc>
          <w:tcPr>
            <w:tcW w:w="382" w:type="pct"/>
            <w:vAlign w:val="center"/>
          </w:tcPr>
          <w:p w14:paraId="40645C5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63AB27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265FDCC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1,1,2-三氯乙烷</w:t>
            </w:r>
          </w:p>
        </w:tc>
        <w:tc>
          <w:tcPr>
            <w:tcW w:w="528" w:type="pct"/>
            <w:vAlign w:val="center"/>
          </w:tcPr>
          <w:p w14:paraId="46A4A75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35B381A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4282ACF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2A32D89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7BAB4C8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75A2C72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2.8</w:t>
            </w:r>
          </w:p>
        </w:tc>
        <w:tc>
          <w:tcPr>
            <w:tcW w:w="382" w:type="pct"/>
            <w:vAlign w:val="center"/>
          </w:tcPr>
          <w:p w14:paraId="00C0132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0BF0D2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3813F77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四氯乙烯</w:t>
            </w:r>
          </w:p>
        </w:tc>
        <w:tc>
          <w:tcPr>
            <w:tcW w:w="528" w:type="pct"/>
            <w:vAlign w:val="center"/>
          </w:tcPr>
          <w:p w14:paraId="710922A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0683A17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02D5ED4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63FCAC9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6F75D0A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15D1B50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53</w:t>
            </w:r>
          </w:p>
        </w:tc>
        <w:tc>
          <w:tcPr>
            <w:tcW w:w="382" w:type="pct"/>
            <w:vAlign w:val="center"/>
          </w:tcPr>
          <w:p w14:paraId="291B008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2E53B5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30C38CB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氯苯</w:t>
            </w:r>
          </w:p>
        </w:tc>
        <w:tc>
          <w:tcPr>
            <w:tcW w:w="528" w:type="pct"/>
            <w:vAlign w:val="center"/>
          </w:tcPr>
          <w:p w14:paraId="58F9E1C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055884D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2FEBE56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07CC38A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40A4F8F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13EEEC7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270</w:t>
            </w:r>
          </w:p>
        </w:tc>
        <w:tc>
          <w:tcPr>
            <w:tcW w:w="382" w:type="pct"/>
            <w:vAlign w:val="center"/>
          </w:tcPr>
          <w:p w14:paraId="4FF2BD4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3858DA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5C60AA1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1,1,1,2-四氯乙烷</w:t>
            </w:r>
          </w:p>
        </w:tc>
        <w:tc>
          <w:tcPr>
            <w:tcW w:w="528" w:type="pct"/>
            <w:vAlign w:val="center"/>
          </w:tcPr>
          <w:p w14:paraId="0369116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70CCDA2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7DDB010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55C3868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490C647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7B774CB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10</w:t>
            </w:r>
          </w:p>
        </w:tc>
        <w:tc>
          <w:tcPr>
            <w:tcW w:w="382" w:type="pct"/>
            <w:vAlign w:val="center"/>
          </w:tcPr>
          <w:p w14:paraId="2AC73C1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651754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43C7322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乙苯</w:t>
            </w:r>
          </w:p>
        </w:tc>
        <w:tc>
          <w:tcPr>
            <w:tcW w:w="528" w:type="pct"/>
            <w:vAlign w:val="center"/>
          </w:tcPr>
          <w:p w14:paraId="4BDB740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3CFE3DE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0099A43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213D3E3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4588062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0E61643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28</w:t>
            </w:r>
          </w:p>
        </w:tc>
        <w:tc>
          <w:tcPr>
            <w:tcW w:w="382" w:type="pct"/>
            <w:vAlign w:val="center"/>
          </w:tcPr>
          <w:p w14:paraId="494E8A2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0BAA49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4B14C47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间,对-二甲苯</w:t>
            </w:r>
          </w:p>
        </w:tc>
        <w:tc>
          <w:tcPr>
            <w:tcW w:w="528" w:type="pct"/>
            <w:vAlign w:val="center"/>
          </w:tcPr>
          <w:p w14:paraId="76C248D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16708B9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76A7D78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20042E5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5B7165A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28550F5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570</w:t>
            </w:r>
          </w:p>
        </w:tc>
        <w:tc>
          <w:tcPr>
            <w:tcW w:w="382" w:type="pct"/>
            <w:vAlign w:val="center"/>
          </w:tcPr>
          <w:p w14:paraId="623AFA8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319261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1EE072F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邻-二甲苯</w:t>
            </w:r>
          </w:p>
        </w:tc>
        <w:tc>
          <w:tcPr>
            <w:tcW w:w="528" w:type="pct"/>
            <w:vAlign w:val="center"/>
          </w:tcPr>
          <w:p w14:paraId="23A617E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35EF29D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332611A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567FEBA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047FC05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34032B5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640</w:t>
            </w:r>
          </w:p>
        </w:tc>
        <w:tc>
          <w:tcPr>
            <w:tcW w:w="382" w:type="pct"/>
            <w:vAlign w:val="center"/>
          </w:tcPr>
          <w:p w14:paraId="78A3737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0E727E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57A1CCB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苯乙烯</w:t>
            </w:r>
          </w:p>
        </w:tc>
        <w:tc>
          <w:tcPr>
            <w:tcW w:w="528" w:type="pct"/>
            <w:vAlign w:val="center"/>
          </w:tcPr>
          <w:p w14:paraId="753793F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70357FB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4F7186D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514ECD9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5731A10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25FC33F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1290</w:t>
            </w:r>
          </w:p>
        </w:tc>
        <w:tc>
          <w:tcPr>
            <w:tcW w:w="382" w:type="pct"/>
            <w:vAlign w:val="center"/>
          </w:tcPr>
          <w:p w14:paraId="5763103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054B81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5968F10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1,1,2,2-四氯乙烷</w:t>
            </w:r>
          </w:p>
        </w:tc>
        <w:tc>
          <w:tcPr>
            <w:tcW w:w="528" w:type="pct"/>
            <w:vAlign w:val="center"/>
          </w:tcPr>
          <w:p w14:paraId="29F302F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6AC68A4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5DB30AD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38B31C7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4A56E21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022C20F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6.8</w:t>
            </w:r>
          </w:p>
        </w:tc>
        <w:tc>
          <w:tcPr>
            <w:tcW w:w="382" w:type="pct"/>
            <w:vAlign w:val="center"/>
          </w:tcPr>
          <w:p w14:paraId="71F9555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578B41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3CA6E63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1,2,3-三氯丙烷</w:t>
            </w:r>
          </w:p>
        </w:tc>
        <w:tc>
          <w:tcPr>
            <w:tcW w:w="528" w:type="pct"/>
            <w:vAlign w:val="center"/>
          </w:tcPr>
          <w:p w14:paraId="69DAFAD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10D6C82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1ACA42A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5C6C1ED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3AE808F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72AC533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0.5</w:t>
            </w:r>
          </w:p>
        </w:tc>
        <w:tc>
          <w:tcPr>
            <w:tcW w:w="382" w:type="pct"/>
            <w:vAlign w:val="center"/>
          </w:tcPr>
          <w:p w14:paraId="5801C91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1387DD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1457120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1,4-二氯苯</w:t>
            </w:r>
          </w:p>
        </w:tc>
        <w:tc>
          <w:tcPr>
            <w:tcW w:w="528" w:type="pct"/>
            <w:vAlign w:val="center"/>
          </w:tcPr>
          <w:p w14:paraId="6B5B8BC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320F41F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0E6187C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4EA3A7B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776665C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2E5A9F7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20</w:t>
            </w:r>
          </w:p>
        </w:tc>
        <w:tc>
          <w:tcPr>
            <w:tcW w:w="382" w:type="pct"/>
            <w:vAlign w:val="center"/>
          </w:tcPr>
          <w:p w14:paraId="65A55A5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6FD6F9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5E41AC1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1,2-二氯苯</w:t>
            </w:r>
          </w:p>
        </w:tc>
        <w:tc>
          <w:tcPr>
            <w:tcW w:w="528" w:type="pct"/>
            <w:vAlign w:val="center"/>
          </w:tcPr>
          <w:p w14:paraId="1872BA8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046AA94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0AECF9A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4031AAD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4C73148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75E6670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560</w:t>
            </w:r>
          </w:p>
        </w:tc>
        <w:tc>
          <w:tcPr>
            <w:tcW w:w="382" w:type="pct"/>
            <w:vAlign w:val="center"/>
          </w:tcPr>
          <w:p w14:paraId="230AC93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0DE86E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252AF93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苯胺</w:t>
            </w:r>
          </w:p>
        </w:tc>
        <w:tc>
          <w:tcPr>
            <w:tcW w:w="528" w:type="pct"/>
            <w:vAlign w:val="center"/>
          </w:tcPr>
          <w:p w14:paraId="7CA7F60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5295F06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5D33E66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2B1AA82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38B0C1F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700F1C7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260</w:t>
            </w:r>
          </w:p>
        </w:tc>
        <w:tc>
          <w:tcPr>
            <w:tcW w:w="382" w:type="pct"/>
            <w:vAlign w:val="center"/>
          </w:tcPr>
          <w:p w14:paraId="0EC3F05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6C0D9C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28E630D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2-氯苯酚</w:t>
            </w:r>
          </w:p>
        </w:tc>
        <w:tc>
          <w:tcPr>
            <w:tcW w:w="528" w:type="pct"/>
            <w:vAlign w:val="center"/>
          </w:tcPr>
          <w:p w14:paraId="21EBF66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7459A36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2DDE0D7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3AB77BD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2C172A1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0FB5C02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2256</w:t>
            </w:r>
          </w:p>
        </w:tc>
        <w:tc>
          <w:tcPr>
            <w:tcW w:w="382" w:type="pct"/>
            <w:vAlign w:val="center"/>
          </w:tcPr>
          <w:p w14:paraId="4A99097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354C49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614584F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硝基苯</w:t>
            </w:r>
          </w:p>
        </w:tc>
        <w:tc>
          <w:tcPr>
            <w:tcW w:w="528" w:type="pct"/>
            <w:vAlign w:val="center"/>
          </w:tcPr>
          <w:p w14:paraId="430AFAE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1749585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73CE362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4900536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2C8B889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0003758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76</w:t>
            </w:r>
          </w:p>
        </w:tc>
        <w:tc>
          <w:tcPr>
            <w:tcW w:w="382" w:type="pct"/>
            <w:vAlign w:val="center"/>
          </w:tcPr>
          <w:p w14:paraId="1FC074C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618D73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4ABD4F7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萘</w:t>
            </w:r>
          </w:p>
        </w:tc>
        <w:tc>
          <w:tcPr>
            <w:tcW w:w="528" w:type="pct"/>
            <w:vAlign w:val="center"/>
          </w:tcPr>
          <w:p w14:paraId="5B9E978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6E2811F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124667E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320DF3A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5C48E72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73D846F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70</w:t>
            </w:r>
          </w:p>
        </w:tc>
        <w:tc>
          <w:tcPr>
            <w:tcW w:w="382" w:type="pct"/>
            <w:vAlign w:val="center"/>
          </w:tcPr>
          <w:p w14:paraId="4B283BD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036AE5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0A85F39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苯并[a]蒽</w:t>
            </w:r>
          </w:p>
        </w:tc>
        <w:tc>
          <w:tcPr>
            <w:tcW w:w="528" w:type="pct"/>
            <w:vAlign w:val="center"/>
          </w:tcPr>
          <w:p w14:paraId="4FDF538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45935FA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0.7</w:t>
            </w:r>
          </w:p>
        </w:tc>
        <w:tc>
          <w:tcPr>
            <w:tcW w:w="592" w:type="pct"/>
            <w:vAlign w:val="center"/>
          </w:tcPr>
          <w:p w14:paraId="41C9FAD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7CA9BEA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1704331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172896C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15</w:t>
            </w:r>
          </w:p>
        </w:tc>
        <w:tc>
          <w:tcPr>
            <w:tcW w:w="382" w:type="pct"/>
            <w:vAlign w:val="center"/>
          </w:tcPr>
          <w:p w14:paraId="0B2E1F1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360769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36E9E82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䓛</w:t>
            </w:r>
          </w:p>
        </w:tc>
        <w:tc>
          <w:tcPr>
            <w:tcW w:w="528" w:type="pct"/>
            <w:vAlign w:val="center"/>
          </w:tcPr>
          <w:p w14:paraId="467BC51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15458BB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0.6</w:t>
            </w:r>
          </w:p>
        </w:tc>
        <w:tc>
          <w:tcPr>
            <w:tcW w:w="592" w:type="pct"/>
            <w:vAlign w:val="center"/>
          </w:tcPr>
          <w:p w14:paraId="280D4BA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211B7E7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36D045D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6F135CE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1293</w:t>
            </w:r>
          </w:p>
        </w:tc>
        <w:tc>
          <w:tcPr>
            <w:tcW w:w="382" w:type="pct"/>
            <w:vAlign w:val="center"/>
          </w:tcPr>
          <w:p w14:paraId="54E0256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626939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5577D24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苯并[b]荧蒽</w:t>
            </w:r>
          </w:p>
        </w:tc>
        <w:tc>
          <w:tcPr>
            <w:tcW w:w="528" w:type="pct"/>
            <w:vAlign w:val="center"/>
          </w:tcPr>
          <w:p w14:paraId="70CB19E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3AAD958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0.5</w:t>
            </w:r>
          </w:p>
        </w:tc>
        <w:tc>
          <w:tcPr>
            <w:tcW w:w="592" w:type="pct"/>
            <w:vAlign w:val="center"/>
          </w:tcPr>
          <w:p w14:paraId="304E110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3DEFB06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2F4F331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0C68B54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15</w:t>
            </w:r>
          </w:p>
        </w:tc>
        <w:tc>
          <w:tcPr>
            <w:tcW w:w="382" w:type="pct"/>
            <w:vAlign w:val="center"/>
          </w:tcPr>
          <w:p w14:paraId="27FE50A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35F265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79C69F5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苯并[k]荧蒽</w:t>
            </w:r>
          </w:p>
        </w:tc>
        <w:tc>
          <w:tcPr>
            <w:tcW w:w="528" w:type="pct"/>
            <w:vAlign w:val="center"/>
          </w:tcPr>
          <w:p w14:paraId="53DB00C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13B9B30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0.5</w:t>
            </w:r>
          </w:p>
        </w:tc>
        <w:tc>
          <w:tcPr>
            <w:tcW w:w="592" w:type="pct"/>
            <w:vAlign w:val="center"/>
          </w:tcPr>
          <w:p w14:paraId="5615DA2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1F5DDB8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6EBAFAE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1638EA6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151</w:t>
            </w:r>
          </w:p>
        </w:tc>
        <w:tc>
          <w:tcPr>
            <w:tcW w:w="382" w:type="pct"/>
            <w:vAlign w:val="center"/>
          </w:tcPr>
          <w:p w14:paraId="208553F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5A3323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2F32590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苯并[a]芘</w:t>
            </w:r>
          </w:p>
        </w:tc>
        <w:tc>
          <w:tcPr>
            <w:tcW w:w="528" w:type="pct"/>
            <w:vAlign w:val="center"/>
          </w:tcPr>
          <w:p w14:paraId="398D9B6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088FE46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0.7</w:t>
            </w:r>
          </w:p>
        </w:tc>
        <w:tc>
          <w:tcPr>
            <w:tcW w:w="592" w:type="pct"/>
            <w:vAlign w:val="center"/>
          </w:tcPr>
          <w:p w14:paraId="13396A4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1CAE139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5D3312E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0B68E97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1.5</w:t>
            </w:r>
          </w:p>
        </w:tc>
        <w:tc>
          <w:tcPr>
            <w:tcW w:w="382" w:type="pct"/>
            <w:vAlign w:val="center"/>
          </w:tcPr>
          <w:p w14:paraId="52D1EB0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583D0F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76EA52B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茚并[1,2,3-cd]芘</w:t>
            </w:r>
          </w:p>
        </w:tc>
        <w:tc>
          <w:tcPr>
            <w:tcW w:w="528" w:type="pct"/>
            <w:vAlign w:val="center"/>
          </w:tcPr>
          <w:p w14:paraId="1673388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5D4C5FF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0.4</w:t>
            </w:r>
          </w:p>
        </w:tc>
        <w:tc>
          <w:tcPr>
            <w:tcW w:w="592" w:type="pct"/>
            <w:vAlign w:val="center"/>
          </w:tcPr>
          <w:p w14:paraId="560B820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1287BF2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7CBC092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54B76DB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15</w:t>
            </w:r>
          </w:p>
        </w:tc>
        <w:tc>
          <w:tcPr>
            <w:tcW w:w="382" w:type="pct"/>
            <w:vAlign w:val="center"/>
          </w:tcPr>
          <w:p w14:paraId="1BF9C66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4F5C3B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398D151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二苯并[a,h]蒽</w:t>
            </w:r>
          </w:p>
        </w:tc>
        <w:tc>
          <w:tcPr>
            <w:tcW w:w="528" w:type="pct"/>
            <w:vAlign w:val="center"/>
          </w:tcPr>
          <w:p w14:paraId="746DD98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353F24A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526CEF7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382B337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6C6265D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15EB0FB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1.5</w:t>
            </w:r>
          </w:p>
        </w:tc>
        <w:tc>
          <w:tcPr>
            <w:tcW w:w="382" w:type="pct"/>
            <w:vAlign w:val="center"/>
          </w:tcPr>
          <w:p w14:paraId="75C6313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10388B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205C6EF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石油烃(C</w:t>
            </w:r>
            <w:r>
              <w:rPr>
                <w:rFonts w:ascii="Times New Roman" w:hAnsi="Times New Roman" w:cs="Times New Roman"/>
                <w:color w:val="000000" w:themeColor="text1"/>
                <w:sz w:val="21"/>
                <w:szCs w:val="21"/>
                <w:vertAlign w:val="subscript"/>
                <w14:textFill>
                  <w14:solidFill>
                    <w14:schemeClr w14:val="tx1"/>
                  </w14:solidFill>
                </w14:textFill>
              </w:rPr>
              <w:t>10</w:t>
            </w:r>
            <w:r>
              <w:rPr>
                <w:rFonts w:ascii="Times New Roman" w:hAnsi="Times New Roman" w:cs="Times New Roman"/>
                <w:color w:val="000000" w:themeColor="text1"/>
                <w:sz w:val="21"/>
                <w:szCs w:val="21"/>
                <w14:textFill>
                  <w14:solidFill>
                    <w14:schemeClr w14:val="tx1"/>
                  </w14:solidFill>
                </w14:textFill>
              </w:rPr>
              <w:t>-C</w:t>
            </w:r>
            <w:r>
              <w:rPr>
                <w:rFonts w:ascii="Times New Roman" w:hAnsi="Times New Roman" w:cs="Times New Roman"/>
                <w:color w:val="000000" w:themeColor="text1"/>
                <w:sz w:val="21"/>
                <w:szCs w:val="21"/>
                <w:vertAlign w:val="subscript"/>
                <w14:textFill>
                  <w14:solidFill>
                    <w14:schemeClr w14:val="tx1"/>
                  </w14:solidFill>
                </w14:textFill>
              </w:rPr>
              <w:t>40</w:t>
            </w:r>
            <w:r>
              <w:rPr>
                <w:rFonts w:ascii="Times New Roman" w:hAnsi="Times New Roman" w:cs="Times New Roman"/>
                <w:color w:val="000000" w:themeColor="text1"/>
                <w:sz w:val="21"/>
                <w:szCs w:val="21"/>
                <w14:textFill>
                  <w14:solidFill>
                    <w14:schemeClr w14:val="tx1"/>
                  </w14:solidFill>
                </w14:textFill>
              </w:rPr>
              <w:t>)</w:t>
            </w:r>
          </w:p>
        </w:tc>
        <w:tc>
          <w:tcPr>
            <w:tcW w:w="528" w:type="pct"/>
            <w:vAlign w:val="center"/>
          </w:tcPr>
          <w:p w14:paraId="1519B9B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16F6A65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66</w:t>
            </w:r>
          </w:p>
        </w:tc>
        <w:tc>
          <w:tcPr>
            <w:tcW w:w="592" w:type="pct"/>
            <w:vAlign w:val="center"/>
          </w:tcPr>
          <w:p w14:paraId="0F57C03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10</w:t>
            </w:r>
          </w:p>
        </w:tc>
        <w:tc>
          <w:tcPr>
            <w:tcW w:w="592" w:type="pct"/>
            <w:vAlign w:val="center"/>
          </w:tcPr>
          <w:p w14:paraId="3476578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14</w:t>
            </w:r>
          </w:p>
        </w:tc>
        <w:tc>
          <w:tcPr>
            <w:tcW w:w="594" w:type="pct"/>
            <w:vAlign w:val="center"/>
          </w:tcPr>
          <w:p w14:paraId="3B07889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9</w:t>
            </w:r>
          </w:p>
        </w:tc>
        <w:tc>
          <w:tcPr>
            <w:tcW w:w="627" w:type="pct"/>
            <w:vAlign w:val="center"/>
          </w:tcPr>
          <w:p w14:paraId="2B0FE07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4500</w:t>
            </w:r>
          </w:p>
        </w:tc>
        <w:tc>
          <w:tcPr>
            <w:tcW w:w="382" w:type="pct"/>
            <w:vAlign w:val="center"/>
          </w:tcPr>
          <w:p w14:paraId="1B225C3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bl>
    <w:p w14:paraId="645C52FE"/>
    <w:p w14:paraId="44E8C2F3">
      <w:pPr>
        <w:pStyle w:val="28"/>
        <w:rPr>
          <w:rFonts w:hint="eastAsia"/>
        </w:rPr>
      </w:pPr>
      <w:r>
        <w:rPr>
          <w:rFonts w:hint="eastAsia"/>
        </w:rPr>
        <w:t>表5.2-17  土壤监测结果表(3)</w:t>
      </w:r>
    </w:p>
    <w:tbl>
      <w:tblPr>
        <w:tblStyle w:val="3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30"/>
        <w:gridCol w:w="981"/>
        <w:gridCol w:w="1099"/>
        <w:gridCol w:w="1099"/>
        <w:gridCol w:w="1099"/>
        <w:gridCol w:w="1103"/>
        <w:gridCol w:w="1165"/>
        <w:gridCol w:w="710"/>
      </w:tblGrid>
      <w:tr w14:paraId="368EA1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093" w:type="pct"/>
            <w:vMerge w:val="restart"/>
            <w:tcBorders>
              <w:bottom w:val="single" w:color="auto" w:sz="4" w:space="0"/>
            </w:tcBorders>
            <w:vAlign w:val="center"/>
          </w:tcPr>
          <w:p w14:paraId="308BB49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检测项目</w:t>
            </w:r>
          </w:p>
        </w:tc>
        <w:tc>
          <w:tcPr>
            <w:tcW w:w="528" w:type="pct"/>
            <w:vMerge w:val="restart"/>
            <w:tcBorders>
              <w:bottom w:val="single" w:color="auto" w:sz="4" w:space="0"/>
            </w:tcBorders>
            <w:vAlign w:val="center"/>
          </w:tcPr>
          <w:p w14:paraId="7A9C46F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单位</w:t>
            </w:r>
          </w:p>
        </w:tc>
        <w:tc>
          <w:tcPr>
            <w:tcW w:w="2370" w:type="pct"/>
            <w:gridSpan w:val="4"/>
            <w:tcBorders>
              <w:bottom w:val="single" w:color="auto" w:sz="4" w:space="0"/>
            </w:tcBorders>
            <w:vAlign w:val="center"/>
          </w:tcPr>
          <w:p w14:paraId="585C7050">
            <w:pPr>
              <w:pStyle w:val="82"/>
              <w:spacing w:line="240" w:lineRule="auto"/>
              <w:ind w:firstLine="42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S</w:t>
            </w:r>
            <w:r>
              <w:rPr>
                <w:rFonts w:hint="eastAsia" w:ascii="Times New Roman" w:hAnsi="Times New Roman" w:cs="Times New Roman"/>
                <w:color w:val="000000" w:themeColor="text1"/>
                <w:sz w:val="21"/>
                <w:szCs w:val="21"/>
                <w14:textFill>
                  <w14:solidFill>
                    <w14:schemeClr w14:val="tx1"/>
                  </w14:solidFill>
                </w14:textFill>
              </w:rPr>
              <w:t>3</w:t>
            </w:r>
          </w:p>
        </w:tc>
        <w:tc>
          <w:tcPr>
            <w:tcW w:w="627" w:type="pct"/>
            <w:vMerge w:val="restart"/>
            <w:tcBorders>
              <w:bottom w:val="single" w:color="auto" w:sz="4" w:space="0"/>
            </w:tcBorders>
            <w:vAlign w:val="center"/>
          </w:tcPr>
          <w:p w14:paraId="6D4D989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第二类用地风险筛选值</w:t>
            </w:r>
          </w:p>
        </w:tc>
        <w:tc>
          <w:tcPr>
            <w:tcW w:w="382" w:type="pct"/>
            <w:vMerge w:val="restart"/>
            <w:tcBorders>
              <w:bottom w:val="single" w:color="auto" w:sz="4" w:space="0"/>
            </w:tcBorders>
            <w:vAlign w:val="center"/>
          </w:tcPr>
          <w:p w14:paraId="54E37F1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达标情况</w:t>
            </w:r>
          </w:p>
        </w:tc>
      </w:tr>
      <w:tr w14:paraId="5D2201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093" w:type="pct"/>
            <w:vMerge w:val="continue"/>
            <w:vAlign w:val="center"/>
          </w:tcPr>
          <w:p w14:paraId="18DA05B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c>
          <w:tcPr>
            <w:tcW w:w="528" w:type="pct"/>
            <w:vMerge w:val="continue"/>
            <w:vAlign w:val="center"/>
          </w:tcPr>
          <w:p w14:paraId="7F19C12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c>
          <w:tcPr>
            <w:tcW w:w="592" w:type="pct"/>
            <w:vAlign w:val="center"/>
          </w:tcPr>
          <w:p w14:paraId="1A13CB3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w:t>
            </w:r>
            <w:r>
              <w:rPr>
                <w:rFonts w:hint="eastAsia" w:ascii="Times New Roman" w:hAnsi="Times New Roman" w:cs="Times New Roman"/>
                <w:color w:val="000000" w:themeColor="text1"/>
                <w:sz w:val="21"/>
                <w:szCs w:val="21"/>
                <w14:textFill>
                  <w14:solidFill>
                    <w14:schemeClr w14:val="tx1"/>
                  </w14:solidFill>
                </w14:textFill>
              </w:rPr>
              <w:t>0.5</w:t>
            </w:r>
            <w:r>
              <w:rPr>
                <w:rFonts w:ascii="Times New Roman" w:hAnsi="Times New Roman" w:cs="Times New Roman"/>
                <w:color w:val="000000" w:themeColor="text1"/>
                <w:sz w:val="21"/>
                <w:szCs w:val="21"/>
                <w14:textFill>
                  <w14:solidFill>
                    <w14:schemeClr w14:val="tx1"/>
                  </w14:solidFill>
                </w14:textFill>
              </w:rPr>
              <w:t>m</w:t>
            </w:r>
          </w:p>
        </w:tc>
        <w:tc>
          <w:tcPr>
            <w:tcW w:w="592" w:type="pct"/>
            <w:vAlign w:val="center"/>
          </w:tcPr>
          <w:p w14:paraId="0466B7F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w:t>
            </w:r>
            <w:r>
              <w:rPr>
                <w:rFonts w:hint="eastAsia" w:ascii="Times New Roman" w:hAnsi="Times New Roman" w:cs="Times New Roman"/>
                <w:color w:val="000000" w:themeColor="text1"/>
                <w:sz w:val="21"/>
                <w:szCs w:val="21"/>
                <w14:textFill>
                  <w14:solidFill>
                    <w14:schemeClr w14:val="tx1"/>
                  </w14:solidFill>
                </w14:textFill>
              </w:rPr>
              <w:t>.</w:t>
            </w:r>
            <w:r>
              <w:rPr>
                <w:rFonts w:ascii="Times New Roman" w:hAnsi="Times New Roman" w:cs="Times New Roman"/>
                <w:color w:val="000000" w:themeColor="text1"/>
                <w:sz w:val="21"/>
                <w:szCs w:val="21"/>
                <w14:textFill>
                  <w14:solidFill>
                    <w14:schemeClr w14:val="tx1"/>
                  </w14:solidFill>
                </w14:textFill>
              </w:rPr>
              <w:t>5-2m</w:t>
            </w:r>
          </w:p>
        </w:tc>
        <w:tc>
          <w:tcPr>
            <w:tcW w:w="592" w:type="pct"/>
            <w:vAlign w:val="center"/>
          </w:tcPr>
          <w:p w14:paraId="73AD770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3-4m</w:t>
            </w:r>
          </w:p>
        </w:tc>
        <w:tc>
          <w:tcPr>
            <w:tcW w:w="594" w:type="pct"/>
            <w:vAlign w:val="center"/>
          </w:tcPr>
          <w:p w14:paraId="60BBDC4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5-6m</w:t>
            </w:r>
          </w:p>
        </w:tc>
        <w:tc>
          <w:tcPr>
            <w:tcW w:w="627" w:type="pct"/>
            <w:vMerge w:val="continue"/>
            <w:vAlign w:val="center"/>
          </w:tcPr>
          <w:p w14:paraId="21FF359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c>
          <w:tcPr>
            <w:tcW w:w="382" w:type="pct"/>
            <w:vMerge w:val="continue"/>
            <w:vAlign w:val="center"/>
          </w:tcPr>
          <w:p w14:paraId="56B79D7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r>
      <w:tr w14:paraId="4CD403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093" w:type="pct"/>
            <w:vMerge w:val="continue"/>
            <w:vAlign w:val="center"/>
          </w:tcPr>
          <w:p w14:paraId="7C9EA3B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c>
          <w:tcPr>
            <w:tcW w:w="528" w:type="pct"/>
            <w:vMerge w:val="continue"/>
            <w:vAlign w:val="center"/>
          </w:tcPr>
          <w:p w14:paraId="6CFAB45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c>
          <w:tcPr>
            <w:tcW w:w="2370" w:type="pct"/>
            <w:gridSpan w:val="4"/>
            <w:vAlign w:val="center"/>
          </w:tcPr>
          <w:p w14:paraId="68E61F6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采样日期：2025.11.2</w:t>
            </w:r>
            <w:r>
              <w:rPr>
                <w:rFonts w:hint="eastAsia" w:ascii="Times New Roman" w:hAnsi="Times New Roman" w:cs="Times New Roman"/>
                <w:color w:val="000000" w:themeColor="text1"/>
                <w:sz w:val="21"/>
                <w:szCs w:val="21"/>
                <w14:textFill>
                  <w14:solidFill>
                    <w14:schemeClr w14:val="tx1"/>
                  </w14:solidFill>
                </w14:textFill>
              </w:rPr>
              <w:t>2</w:t>
            </w:r>
          </w:p>
        </w:tc>
        <w:tc>
          <w:tcPr>
            <w:tcW w:w="627" w:type="pct"/>
            <w:vMerge w:val="continue"/>
            <w:vAlign w:val="center"/>
          </w:tcPr>
          <w:p w14:paraId="5F4EFD7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c>
          <w:tcPr>
            <w:tcW w:w="382" w:type="pct"/>
            <w:vMerge w:val="continue"/>
            <w:vAlign w:val="center"/>
          </w:tcPr>
          <w:p w14:paraId="745DC82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r>
      <w:tr w14:paraId="48F45C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093" w:type="pct"/>
            <w:vAlign w:val="center"/>
          </w:tcPr>
          <w:p w14:paraId="7C87667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pH值</w:t>
            </w:r>
          </w:p>
        </w:tc>
        <w:tc>
          <w:tcPr>
            <w:tcW w:w="528" w:type="pct"/>
            <w:vAlign w:val="center"/>
          </w:tcPr>
          <w:p w14:paraId="7173C12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无量纲</w:t>
            </w:r>
          </w:p>
        </w:tc>
        <w:tc>
          <w:tcPr>
            <w:tcW w:w="592" w:type="pct"/>
            <w:vAlign w:val="center"/>
          </w:tcPr>
          <w:p w14:paraId="00C58C7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8.42</w:t>
            </w:r>
          </w:p>
        </w:tc>
        <w:tc>
          <w:tcPr>
            <w:tcW w:w="592" w:type="pct"/>
            <w:vAlign w:val="center"/>
          </w:tcPr>
          <w:p w14:paraId="35AAC45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8.50</w:t>
            </w:r>
          </w:p>
        </w:tc>
        <w:tc>
          <w:tcPr>
            <w:tcW w:w="592" w:type="pct"/>
            <w:vAlign w:val="center"/>
          </w:tcPr>
          <w:p w14:paraId="733A206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8.56</w:t>
            </w:r>
          </w:p>
        </w:tc>
        <w:tc>
          <w:tcPr>
            <w:tcW w:w="594" w:type="pct"/>
            <w:vAlign w:val="center"/>
          </w:tcPr>
          <w:p w14:paraId="17FA17F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8.57</w:t>
            </w:r>
          </w:p>
        </w:tc>
        <w:tc>
          <w:tcPr>
            <w:tcW w:w="627" w:type="pct"/>
            <w:vAlign w:val="center"/>
          </w:tcPr>
          <w:p w14:paraId="70752A3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w:t>
            </w:r>
          </w:p>
        </w:tc>
        <w:tc>
          <w:tcPr>
            <w:tcW w:w="382" w:type="pct"/>
            <w:vAlign w:val="center"/>
          </w:tcPr>
          <w:p w14:paraId="59E1DD5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w:t>
            </w:r>
          </w:p>
        </w:tc>
      </w:tr>
      <w:tr w14:paraId="205F16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093" w:type="pct"/>
            <w:vAlign w:val="center"/>
          </w:tcPr>
          <w:p w14:paraId="617FCA9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砷</w:t>
            </w:r>
          </w:p>
        </w:tc>
        <w:tc>
          <w:tcPr>
            <w:tcW w:w="528" w:type="pct"/>
            <w:vAlign w:val="center"/>
          </w:tcPr>
          <w:p w14:paraId="7E8CB45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76EF362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11.1</w:t>
            </w:r>
          </w:p>
        </w:tc>
        <w:tc>
          <w:tcPr>
            <w:tcW w:w="592" w:type="pct"/>
            <w:vAlign w:val="center"/>
          </w:tcPr>
          <w:p w14:paraId="51FCAFF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9.46</w:t>
            </w:r>
          </w:p>
        </w:tc>
        <w:tc>
          <w:tcPr>
            <w:tcW w:w="592" w:type="pct"/>
            <w:vAlign w:val="center"/>
          </w:tcPr>
          <w:p w14:paraId="65F742B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19.8</w:t>
            </w:r>
          </w:p>
        </w:tc>
        <w:tc>
          <w:tcPr>
            <w:tcW w:w="594" w:type="pct"/>
            <w:vAlign w:val="center"/>
          </w:tcPr>
          <w:p w14:paraId="59C731D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8.93</w:t>
            </w:r>
          </w:p>
        </w:tc>
        <w:tc>
          <w:tcPr>
            <w:tcW w:w="627" w:type="pct"/>
            <w:vAlign w:val="center"/>
          </w:tcPr>
          <w:p w14:paraId="49D0946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60</w:t>
            </w:r>
          </w:p>
        </w:tc>
        <w:tc>
          <w:tcPr>
            <w:tcW w:w="382" w:type="pct"/>
            <w:vAlign w:val="center"/>
          </w:tcPr>
          <w:p w14:paraId="61DAC25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1DB878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093" w:type="pct"/>
            <w:vAlign w:val="center"/>
          </w:tcPr>
          <w:p w14:paraId="7ADE716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镉</w:t>
            </w:r>
          </w:p>
        </w:tc>
        <w:tc>
          <w:tcPr>
            <w:tcW w:w="528" w:type="pct"/>
            <w:vAlign w:val="center"/>
          </w:tcPr>
          <w:p w14:paraId="42B247F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4C80128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0.03</w:t>
            </w:r>
          </w:p>
        </w:tc>
        <w:tc>
          <w:tcPr>
            <w:tcW w:w="592" w:type="pct"/>
            <w:vAlign w:val="center"/>
          </w:tcPr>
          <w:p w14:paraId="685343D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0.04</w:t>
            </w:r>
          </w:p>
        </w:tc>
        <w:tc>
          <w:tcPr>
            <w:tcW w:w="592" w:type="pct"/>
            <w:vAlign w:val="center"/>
          </w:tcPr>
          <w:p w14:paraId="5D5E92E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0.08</w:t>
            </w:r>
          </w:p>
        </w:tc>
        <w:tc>
          <w:tcPr>
            <w:tcW w:w="594" w:type="pct"/>
            <w:vAlign w:val="center"/>
          </w:tcPr>
          <w:p w14:paraId="1036952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0.05</w:t>
            </w:r>
          </w:p>
        </w:tc>
        <w:tc>
          <w:tcPr>
            <w:tcW w:w="627" w:type="pct"/>
            <w:vAlign w:val="center"/>
          </w:tcPr>
          <w:p w14:paraId="19053FA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65</w:t>
            </w:r>
          </w:p>
        </w:tc>
        <w:tc>
          <w:tcPr>
            <w:tcW w:w="382" w:type="pct"/>
            <w:vAlign w:val="center"/>
          </w:tcPr>
          <w:p w14:paraId="7967C9D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3EFC43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093" w:type="pct"/>
            <w:vAlign w:val="center"/>
          </w:tcPr>
          <w:p w14:paraId="490330B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六价铬</w:t>
            </w:r>
          </w:p>
        </w:tc>
        <w:tc>
          <w:tcPr>
            <w:tcW w:w="528" w:type="pct"/>
            <w:vAlign w:val="center"/>
          </w:tcPr>
          <w:p w14:paraId="1A711E3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00A2261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679BF39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64DD647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1C630DE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1F19425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5.7</w:t>
            </w:r>
          </w:p>
        </w:tc>
        <w:tc>
          <w:tcPr>
            <w:tcW w:w="382" w:type="pct"/>
            <w:vAlign w:val="center"/>
          </w:tcPr>
          <w:p w14:paraId="2713D5C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26A739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6EB65F0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铜</w:t>
            </w:r>
          </w:p>
        </w:tc>
        <w:tc>
          <w:tcPr>
            <w:tcW w:w="528" w:type="pct"/>
            <w:vAlign w:val="center"/>
          </w:tcPr>
          <w:p w14:paraId="6568DEC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0337FBC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26</w:t>
            </w:r>
          </w:p>
        </w:tc>
        <w:tc>
          <w:tcPr>
            <w:tcW w:w="592" w:type="pct"/>
            <w:vAlign w:val="center"/>
          </w:tcPr>
          <w:p w14:paraId="15C28F3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24</w:t>
            </w:r>
          </w:p>
        </w:tc>
        <w:tc>
          <w:tcPr>
            <w:tcW w:w="592" w:type="pct"/>
            <w:vAlign w:val="center"/>
          </w:tcPr>
          <w:p w14:paraId="63FD9C0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41</w:t>
            </w:r>
          </w:p>
        </w:tc>
        <w:tc>
          <w:tcPr>
            <w:tcW w:w="594" w:type="pct"/>
            <w:vAlign w:val="center"/>
          </w:tcPr>
          <w:p w14:paraId="1357C85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26</w:t>
            </w:r>
          </w:p>
        </w:tc>
        <w:tc>
          <w:tcPr>
            <w:tcW w:w="627" w:type="pct"/>
            <w:vAlign w:val="center"/>
          </w:tcPr>
          <w:p w14:paraId="29AD2E2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18000</w:t>
            </w:r>
          </w:p>
        </w:tc>
        <w:tc>
          <w:tcPr>
            <w:tcW w:w="382" w:type="pct"/>
            <w:vAlign w:val="center"/>
          </w:tcPr>
          <w:p w14:paraId="73D0A71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476069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7855F86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铅</w:t>
            </w:r>
          </w:p>
        </w:tc>
        <w:tc>
          <w:tcPr>
            <w:tcW w:w="528" w:type="pct"/>
            <w:vAlign w:val="center"/>
          </w:tcPr>
          <w:p w14:paraId="15269E5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0596632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30.7</w:t>
            </w:r>
          </w:p>
        </w:tc>
        <w:tc>
          <w:tcPr>
            <w:tcW w:w="592" w:type="pct"/>
            <w:vAlign w:val="center"/>
          </w:tcPr>
          <w:p w14:paraId="756785D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29.4</w:t>
            </w:r>
          </w:p>
        </w:tc>
        <w:tc>
          <w:tcPr>
            <w:tcW w:w="592" w:type="pct"/>
            <w:vAlign w:val="center"/>
          </w:tcPr>
          <w:p w14:paraId="1F85A64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53.2</w:t>
            </w:r>
          </w:p>
        </w:tc>
        <w:tc>
          <w:tcPr>
            <w:tcW w:w="594" w:type="pct"/>
            <w:vAlign w:val="center"/>
          </w:tcPr>
          <w:p w14:paraId="6548B54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35.1</w:t>
            </w:r>
          </w:p>
        </w:tc>
        <w:tc>
          <w:tcPr>
            <w:tcW w:w="627" w:type="pct"/>
            <w:vAlign w:val="center"/>
          </w:tcPr>
          <w:p w14:paraId="31603E1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800</w:t>
            </w:r>
          </w:p>
        </w:tc>
        <w:tc>
          <w:tcPr>
            <w:tcW w:w="382" w:type="pct"/>
            <w:vAlign w:val="center"/>
          </w:tcPr>
          <w:p w14:paraId="5439C5A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398BDD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58B607F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汞</w:t>
            </w:r>
          </w:p>
        </w:tc>
        <w:tc>
          <w:tcPr>
            <w:tcW w:w="528" w:type="pct"/>
            <w:vAlign w:val="center"/>
          </w:tcPr>
          <w:p w14:paraId="5A5D8FD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5264DD0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0.009</w:t>
            </w:r>
          </w:p>
        </w:tc>
        <w:tc>
          <w:tcPr>
            <w:tcW w:w="592" w:type="pct"/>
            <w:vAlign w:val="center"/>
          </w:tcPr>
          <w:p w14:paraId="0280949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0.009</w:t>
            </w:r>
          </w:p>
        </w:tc>
        <w:tc>
          <w:tcPr>
            <w:tcW w:w="592" w:type="pct"/>
            <w:vAlign w:val="center"/>
          </w:tcPr>
          <w:p w14:paraId="19D2058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0.025</w:t>
            </w:r>
          </w:p>
        </w:tc>
        <w:tc>
          <w:tcPr>
            <w:tcW w:w="594" w:type="pct"/>
            <w:vAlign w:val="center"/>
          </w:tcPr>
          <w:p w14:paraId="292BED1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0.014</w:t>
            </w:r>
          </w:p>
        </w:tc>
        <w:tc>
          <w:tcPr>
            <w:tcW w:w="627" w:type="pct"/>
            <w:vAlign w:val="center"/>
          </w:tcPr>
          <w:p w14:paraId="1534117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38</w:t>
            </w:r>
          </w:p>
        </w:tc>
        <w:tc>
          <w:tcPr>
            <w:tcW w:w="382" w:type="pct"/>
            <w:vAlign w:val="center"/>
          </w:tcPr>
          <w:p w14:paraId="098E778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6CA40D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45C787B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镍</w:t>
            </w:r>
          </w:p>
        </w:tc>
        <w:tc>
          <w:tcPr>
            <w:tcW w:w="528" w:type="pct"/>
            <w:vAlign w:val="center"/>
          </w:tcPr>
          <w:p w14:paraId="12AF27D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6498363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35</w:t>
            </w:r>
          </w:p>
        </w:tc>
        <w:tc>
          <w:tcPr>
            <w:tcW w:w="592" w:type="pct"/>
            <w:vAlign w:val="center"/>
          </w:tcPr>
          <w:p w14:paraId="3E642D3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32</w:t>
            </w:r>
          </w:p>
        </w:tc>
        <w:tc>
          <w:tcPr>
            <w:tcW w:w="592" w:type="pct"/>
            <w:vAlign w:val="center"/>
          </w:tcPr>
          <w:p w14:paraId="2427D6B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45</w:t>
            </w:r>
          </w:p>
        </w:tc>
        <w:tc>
          <w:tcPr>
            <w:tcW w:w="594" w:type="pct"/>
            <w:vAlign w:val="center"/>
          </w:tcPr>
          <w:p w14:paraId="27654A1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33</w:t>
            </w:r>
          </w:p>
        </w:tc>
        <w:tc>
          <w:tcPr>
            <w:tcW w:w="627" w:type="pct"/>
            <w:vAlign w:val="center"/>
          </w:tcPr>
          <w:p w14:paraId="73D7B70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900</w:t>
            </w:r>
          </w:p>
        </w:tc>
        <w:tc>
          <w:tcPr>
            <w:tcW w:w="382" w:type="pct"/>
            <w:vAlign w:val="center"/>
          </w:tcPr>
          <w:p w14:paraId="3596937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1A17A2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6CB9102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氯甲烷</w:t>
            </w:r>
          </w:p>
        </w:tc>
        <w:tc>
          <w:tcPr>
            <w:tcW w:w="528" w:type="pct"/>
            <w:vAlign w:val="center"/>
          </w:tcPr>
          <w:p w14:paraId="12AE7EF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4B49A3D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6320693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6D706C1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0CEEBE4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3E05F45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37</w:t>
            </w:r>
          </w:p>
        </w:tc>
        <w:tc>
          <w:tcPr>
            <w:tcW w:w="382" w:type="pct"/>
            <w:vAlign w:val="center"/>
          </w:tcPr>
          <w:p w14:paraId="057CA6C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0C6640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17B35A1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氯乙烯</w:t>
            </w:r>
          </w:p>
        </w:tc>
        <w:tc>
          <w:tcPr>
            <w:tcW w:w="528" w:type="pct"/>
            <w:vAlign w:val="center"/>
          </w:tcPr>
          <w:p w14:paraId="56936A6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706714D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3D985BB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190472C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5AB4CFB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659207A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0.43</w:t>
            </w:r>
          </w:p>
        </w:tc>
        <w:tc>
          <w:tcPr>
            <w:tcW w:w="382" w:type="pct"/>
            <w:vAlign w:val="center"/>
          </w:tcPr>
          <w:p w14:paraId="2E3D9AB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13AD22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49C5EB7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1,1-二氯乙烯</w:t>
            </w:r>
          </w:p>
        </w:tc>
        <w:tc>
          <w:tcPr>
            <w:tcW w:w="528" w:type="pct"/>
            <w:vAlign w:val="center"/>
          </w:tcPr>
          <w:p w14:paraId="48E6C9B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58D6102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2736A6B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76A6D90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79E0C8D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3F86D91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66</w:t>
            </w:r>
          </w:p>
        </w:tc>
        <w:tc>
          <w:tcPr>
            <w:tcW w:w="382" w:type="pct"/>
            <w:vAlign w:val="center"/>
          </w:tcPr>
          <w:p w14:paraId="33425B1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001234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741BE03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二氯甲烷</w:t>
            </w:r>
          </w:p>
        </w:tc>
        <w:tc>
          <w:tcPr>
            <w:tcW w:w="528" w:type="pct"/>
            <w:vAlign w:val="center"/>
          </w:tcPr>
          <w:p w14:paraId="6C75997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768D2AE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20B363B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1D062DB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1113A59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39C42D8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616</w:t>
            </w:r>
          </w:p>
        </w:tc>
        <w:tc>
          <w:tcPr>
            <w:tcW w:w="382" w:type="pct"/>
            <w:vAlign w:val="center"/>
          </w:tcPr>
          <w:p w14:paraId="361288A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5E48F0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55705DC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反式-1,2-二氯乙烯</w:t>
            </w:r>
          </w:p>
        </w:tc>
        <w:tc>
          <w:tcPr>
            <w:tcW w:w="528" w:type="pct"/>
            <w:vAlign w:val="center"/>
          </w:tcPr>
          <w:p w14:paraId="52CA94C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40B9821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27C054E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188592E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5762A81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7ED6C52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54</w:t>
            </w:r>
          </w:p>
        </w:tc>
        <w:tc>
          <w:tcPr>
            <w:tcW w:w="382" w:type="pct"/>
            <w:vAlign w:val="center"/>
          </w:tcPr>
          <w:p w14:paraId="10566AB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7B9A95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2F4FBD5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1,1-二氯乙烷</w:t>
            </w:r>
          </w:p>
        </w:tc>
        <w:tc>
          <w:tcPr>
            <w:tcW w:w="528" w:type="pct"/>
            <w:vAlign w:val="center"/>
          </w:tcPr>
          <w:p w14:paraId="2120900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7941031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4E20D1A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5C17484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043CEBD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3030705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9</w:t>
            </w:r>
          </w:p>
        </w:tc>
        <w:tc>
          <w:tcPr>
            <w:tcW w:w="382" w:type="pct"/>
            <w:vAlign w:val="center"/>
          </w:tcPr>
          <w:p w14:paraId="4D52C69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08D620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746FFEB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顺式-1,2-二氯乙烯</w:t>
            </w:r>
          </w:p>
        </w:tc>
        <w:tc>
          <w:tcPr>
            <w:tcW w:w="528" w:type="pct"/>
            <w:vAlign w:val="center"/>
          </w:tcPr>
          <w:p w14:paraId="078B275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007025D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69698E8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118D21C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6E5529E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54356A9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596</w:t>
            </w:r>
          </w:p>
        </w:tc>
        <w:tc>
          <w:tcPr>
            <w:tcW w:w="382" w:type="pct"/>
            <w:vAlign w:val="center"/>
          </w:tcPr>
          <w:p w14:paraId="2048183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23DC3F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19BB90E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氯仿</w:t>
            </w:r>
          </w:p>
        </w:tc>
        <w:tc>
          <w:tcPr>
            <w:tcW w:w="528" w:type="pct"/>
            <w:vAlign w:val="center"/>
          </w:tcPr>
          <w:p w14:paraId="4BB2BA5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22A3A64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7B2F93C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6B449E1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4271DB1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24EF734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0.9</w:t>
            </w:r>
          </w:p>
        </w:tc>
        <w:tc>
          <w:tcPr>
            <w:tcW w:w="382" w:type="pct"/>
            <w:vAlign w:val="center"/>
          </w:tcPr>
          <w:p w14:paraId="1127184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5C4C69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53708F3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1,1,1-三氯乙烷</w:t>
            </w:r>
          </w:p>
        </w:tc>
        <w:tc>
          <w:tcPr>
            <w:tcW w:w="528" w:type="pct"/>
            <w:vAlign w:val="center"/>
          </w:tcPr>
          <w:p w14:paraId="20322F9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4058265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10C4C9A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6879D06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243D087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547A792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840</w:t>
            </w:r>
          </w:p>
        </w:tc>
        <w:tc>
          <w:tcPr>
            <w:tcW w:w="382" w:type="pct"/>
            <w:vAlign w:val="center"/>
          </w:tcPr>
          <w:p w14:paraId="798772C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4509AD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7A7D3E3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四氯化碳</w:t>
            </w:r>
          </w:p>
        </w:tc>
        <w:tc>
          <w:tcPr>
            <w:tcW w:w="528" w:type="pct"/>
            <w:vAlign w:val="center"/>
          </w:tcPr>
          <w:p w14:paraId="31C7F5E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5F3194E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0C2B4B8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73FD1E1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5077F3A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24CA45D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2.8</w:t>
            </w:r>
          </w:p>
        </w:tc>
        <w:tc>
          <w:tcPr>
            <w:tcW w:w="382" w:type="pct"/>
            <w:vAlign w:val="center"/>
          </w:tcPr>
          <w:p w14:paraId="7EE57D6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702D35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1F48EE7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苯</w:t>
            </w:r>
          </w:p>
        </w:tc>
        <w:tc>
          <w:tcPr>
            <w:tcW w:w="528" w:type="pct"/>
            <w:vAlign w:val="center"/>
          </w:tcPr>
          <w:p w14:paraId="4BF1CA4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15EA380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557502E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04FDD40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18BCD90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1FDEC75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w:t>
            </w:r>
          </w:p>
        </w:tc>
        <w:tc>
          <w:tcPr>
            <w:tcW w:w="382" w:type="pct"/>
            <w:vAlign w:val="center"/>
          </w:tcPr>
          <w:p w14:paraId="40935B9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1E1DB8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116394F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1,2-二氯乙烷</w:t>
            </w:r>
          </w:p>
        </w:tc>
        <w:tc>
          <w:tcPr>
            <w:tcW w:w="528" w:type="pct"/>
            <w:vAlign w:val="center"/>
          </w:tcPr>
          <w:p w14:paraId="345652B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6EB137C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1FB50D8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7FD4DE3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245DCC9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3D7E397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w:t>
            </w:r>
          </w:p>
        </w:tc>
        <w:tc>
          <w:tcPr>
            <w:tcW w:w="382" w:type="pct"/>
            <w:vAlign w:val="center"/>
          </w:tcPr>
          <w:p w14:paraId="2E701D3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7F61F7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754180D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三氯乙烯</w:t>
            </w:r>
          </w:p>
        </w:tc>
        <w:tc>
          <w:tcPr>
            <w:tcW w:w="528" w:type="pct"/>
            <w:vAlign w:val="center"/>
          </w:tcPr>
          <w:p w14:paraId="6CF864F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1047104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11477F6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7EF0756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69D5C7F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496521D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2.8</w:t>
            </w:r>
          </w:p>
        </w:tc>
        <w:tc>
          <w:tcPr>
            <w:tcW w:w="382" w:type="pct"/>
            <w:vAlign w:val="center"/>
          </w:tcPr>
          <w:p w14:paraId="47CF865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5FCCAC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6C5AE43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1,2-二氯丙烷</w:t>
            </w:r>
          </w:p>
        </w:tc>
        <w:tc>
          <w:tcPr>
            <w:tcW w:w="528" w:type="pct"/>
            <w:vAlign w:val="center"/>
          </w:tcPr>
          <w:p w14:paraId="75F174D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4B1BF66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0AC8C45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5320AE7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27D2174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41D39E9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w:t>
            </w:r>
          </w:p>
        </w:tc>
        <w:tc>
          <w:tcPr>
            <w:tcW w:w="382" w:type="pct"/>
            <w:vAlign w:val="center"/>
          </w:tcPr>
          <w:p w14:paraId="6E76D4C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393DE7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4A0E39C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甲苯</w:t>
            </w:r>
          </w:p>
        </w:tc>
        <w:tc>
          <w:tcPr>
            <w:tcW w:w="528" w:type="pct"/>
            <w:vAlign w:val="center"/>
          </w:tcPr>
          <w:p w14:paraId="1ECB19B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70A6C24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4877B8C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33F8200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50F18AC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5D66C7A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1200</w:t>
            </w:r>
          </w:p>
        </w:tc>
        <w:tc>
          <w:tcPr>
            <w:tcW w:w="382" w:type="pct"/>
            <w:vAlign w:val="center"/>
          </w:tcPr>
          <w:p w14:paraId="4B05D15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0A5C46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16E6157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1,1,2-三氯乙烷</w:t>
            </w:r>
          </w:p>
        </w:tc>
        <w:tc>
          <w:tcPr>
            <w:tcW w:w="528" w:type="pct"/>
            <w:vAlign w:val="center"/>
          </w:tcPr>
          <w:p w14:paraId="13D2C13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174B10E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35D54BE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52CDEE2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4135429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3347F26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2.8</w:t>
            </w:r>
          </w:p>
        </w:tc>
        <w:tc>
          <w:tcPr>
            <w:tcW w:w="382" w:type="pct"/>
            <w:vAlign w:val="center"/>
          </w:tcPr>
          <w:p w14:paraId="6A2AE33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0047F4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1113C27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四氯乙烯</w:t>
            </w:r>
          </w:p>
        </w:tc>
        <w:tc>
          <w:tcPr>
            <w:tcW w:w="528" w:type="pct"/>
            <w:vAlign w:val="center"/>
          </w:tcPr>
          <w:p w14:paraId="3E18335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4176377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6F3BC10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626904B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71E7560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52DBE0B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53</w:t>
            </w:r>
          </w:p>
        </w:tc>
        <w:tc>
          <w:tcPr>
            <w:tcW w:w="382" w:type="pct"/>
            <w:vAlign w:val="center"/>
          </w:tcPr>
          <w:p w14:paraId="5848EA0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346FC2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637D9A6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氯苯</w:t>
            </w:r>
          </w:p>
        </w:tc>
        <w:tc>
          <w:tcPr>
            <w:tcW w:w="528" w:type="pct"/>
            <w:vAlign w:val="center"/>
          </w:tcPr>
          <w:p w14:paraId="6499C28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79C7A99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7BC2518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68BDDD0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56D5A95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5DCF41B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270</w:t>
            </w:r>
          </w:p>
        </w:tc>
        <w:tc>
          <w:tcPr>
            <w:tcW w:w="382" w:type="pct"/>
            <w:vAlign w:val="center"/>
          </w:tcPr>
          <w:p w14:paraId="731980D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2B3880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3E8A086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1,1,1,2-四氯乙烷</w:t>
            </w:r>
          </w:p>
        </w:tc>
        <w:tc>
          <w:tcPr>
            <w:tcW w:w="528" w:type="pct"/>
            <w:vAlign w:val="center"/>
          </w:tcPr>
          <w:p w14:paraId="5072466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4B04444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7DBBFD4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2FEF9FE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16D6FD9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50CAA5E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10</w:t>
            </w:r>
          </w:p>
        </w:tc>
        <w:tc>
          <w:tcPr>
            <w:tcW w:w="382" w:type="pct"/>
            <w:vAlign w:val="center"/>
          </w:tcPr>
          <w:p w14:paraId="094B5CE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708090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31A9AC7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乙苯</w:t>
            </w:r>
          </w:p>
        </w:tc>
        <w:tc>
          <w:tcPr>
            <w:tcW w:w="528" w:type="pct"/>
            <w:vAlign w:val="center"/>
          </w:tcPr>
          <w:p w14:paraId="554A575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2005F6C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1FD91D6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67494AC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0.0658</w:t>
            </w:r>
          </w:p>
        </w:tc>
        <w:tc>
          <w:tcPr>
            <w:tcW w:w="594" w:type="pct"/>
            <w:vAlign w:val="center"/>
          </w:tcPr>
          <w:p w14:paraId="01C6E97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46F7826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28</w:t>
            </w:r>
          </w:p>
        </w:tc>
        <w:tc>
          <w:tcPr>
            <w:tcW w:w="382" w:type="pct"/>
            <w:vAlign w:val="center"/>
          </w:tcPr>
          <w:p w14:paraId="2051784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30874A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0F32059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间,对-二甲苯</w:t>
            </w:r>
          </w:p>
        </w:tc>
        <w:tc>
          <w:tcPr>
            <w:tcW w:w="528" w:type="pct"/>
            <w:vAlign w:val="center"/>
          </w:tcPr>
          <w:p w14:paraId="0D0C15F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23B293F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14E36DA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73F19FD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0.0780</w:t>
            </w:r>
          </w:p>
        </w:tc>
        <w:tc>
          <w:tcPr>
            <w:tcW w:w="594" w:type="pct"/>
            <w:vAlign w:val="center"/>
          </w:tcPr>
          <w:p w14:paraId="178DD99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37E151A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570</w:t>
            </w:r>
          </w:p>
        </w:tc>
        <w:tc>
          <w:tcPr>
            <w:tcW w:w="382" w:type="pct"/>
            <w:vAlign w:val="center"/>
          </w:tcPr>
          <w:p w14:paraId="5A05EDF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701E3A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514CFF5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邻-二甲苯</w:t>
            </w:r>
          </w:p>
        </w:tc>
        <w:tc>
          <w:tcPr>
            <w:tcW w:w="528" w:type="pct"/>
            <w:vAlign w:val="center"/>
          </w:tcPr>
          <w:p w14:paraId="11ECDC9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46D8405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7129F4A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719B350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6A4D6A4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36F272C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640</w:t>
            </w:r>
          </w:p>
        </w:tc>
        <w:tc>
          <w:tcPr>
            <w:tcW w:w="382" w:type="pct"/>
            <w:vAlign w:val="center"/>
          </w:tcPr>
          <w:p w14:paraId="0E29AEA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7F28C7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52BBCC9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苯乙烯</w:t>
            </w:r>
          </w:p>
        </w:tc>
        <w:tc>
          <w:tcPr>
            <w:tcW w:w="528" w:type="pct"/>
            <w:vAlign w:val="center"/>
          </w:tcPr>
          <w:p w14:paraId="09A3923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632E3DD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00087CB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60A43C4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17A8A56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3BDDC6A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1290</w:t>
            </w:r>
          </w:p>
        </w:tc>
        <w:tc>
          <w:tcPr>
            <w:tcW w:w="382" w:type="pct"/>
            <w:vAlign w:val="center"/>
          </w:tcPr>
          <w:p w14:paraId="461A6F3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2565A8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5A76860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1,1,2,2-四氯乙烷</w:t>
            </w:r>
          </w:p>
        </w:tc>
        <w:tc>
          <w:tcPr>
            <w:tcW w:w="528" w:type="pct"/>
            <w:vAlign w:val="center"/>
          </w:tcPr>
          <w:p w14:paraId="1000524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7761F75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045A944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21F65EC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039DBD2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556D322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6.8</w:t>
            </w:r>
          </w:p>
        </w:tc>
        <w:tc>
          <w:tcPr>
            <w:tcW w:w="382" w:type="pct"/>
            <w:vAlign w:val="center"/>
          </w:tcPr>
          <w:p w14:paraId="59296DC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79C7FD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48034F4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1,2,3-三氯丙烷</w:t>
            </w:r>
          </w:p>
        </w:tc>
        <w:tc>
          <w:tcPr>
            <w:tcW w:w="528" w:type="pct"/>
            <w:vAlign w:val="center"/>
          </w:tcPr>
          <w:p w14:paraId="42053D5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5E10328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2E6FA77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0C79013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193135B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0FE5611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0.5</w:t>
            </w:r>
          </w:p>
        </w:tc>
        <w:tc>
          <w:tcPr>
            <w:tcW w:w="382" w:type="pct"/>
            <w:vAlign w:val="center"/>
          </w:tcPr>
          <w:p w14:paraId="6DCA025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4ACD08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0859A41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1,4-二氯苯</w:t>
            </w:r>
          </w:p>
        </w:tc>
        <w:tc>
          <w:tcPr>
            <w:tcW w:w="528" w:type="pct"/>
            <w:vAlign w:val="center"/>
          </w:tcPr>
          <w:p w14:paraId="71F8CC6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70C6D1F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16724B2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39B9B6D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24A90FC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04CE464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20</w:t>
            </w:r>
          </w:p>
        </w:tc>
        <w:tc>
          <w:tcPr>
            <w:tcW w:w="382" w:type="pct"/>
            <w:vAlign w:val="center"/>
          </w:tcPr>
          <w:p w14:paraId="786B634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1807DA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36DEBC8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1,2-二氯苯</w:t>
            </w:r>
          </w:p>
        </w:tc>
        <w:tc>
          <w:tcPr>
            <w:tcW w:w="528" w:type="pct"/>
            <w:vAlign w:val="center"/>
          </w:tcPr>
          <w:p w14:paraId="19F3997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3152CE2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50BAC3C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27F5391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059C80C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6005F09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560</w:t>
            </w:r>
          </w:p>
        </w:tc>
        <w:tc>
          <w:tcPr>
            <w:tcW w:w="382" w:type="pct"/>
            <w:vAlign w:val="center"/>
          </w:tcPr>
          <w:p w14:paraId="5EEBD2E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1D6B26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00651BE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苯胺</w:t>
            </w:r>
          </w:p>
        </w:tc>
        <w:tc>
          <w:tcPr>
            <w:tcW w:w="528" w:type="pct"/>
            <w:vAlign w:val="center"/>
          </w:tcPr>
          <w:p w14:paraId="41ECDDF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370C0D2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64621AF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22B04DB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60A342B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72437EB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260</w:t>
            </w:r>
          </w:p>
        </w:tc>
        <w:tc>
          <w:tcPr>
            <w:tcW w:w="382" w:type="pct"/>
            <w:vAlign w:val="center"/>
          </w:tcPr>
          <w:p w14:paraId="2261CFB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02C9BA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32A765F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2-氯苯酚</w:t>
            </w:r>
          </w:p>
        </w:tc>
        <w:tc>
          <w:tcPr>
            <w:tcW w:w="528" w:type="pct"/>
            <w:vAlign w:val="center"/>
          </w:tcPr>
          <w:p w14:paraId="5B0003E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2AA2BE3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4067084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4BB5B1F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1479E5B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236F71A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2256</w:t>
            </w:r>
          </w:p>
        </w:tc>
        <w:tc>
          <w:tcPr>
            <w:tcW w:w="382" w:type="pct"/>
            <w:vAlign w:val="center"/>
          </w:tcPr>
          <w:p w14:paraId="0568066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0CA662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101655A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硝基苯</w:t>
            </w:r>
          </w:p>
        </w:tc>
        <w:tc>
          <w:tcPr>
            <w:tcW w:w="528" w:type="pct"/>
            <w:vAlign w:val="center"/>
          </w:tcPr>
          <w:p w14:paraId="43E0727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1493E95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096B8B9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7DD709A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3D9A37C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605B1E6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76</w:t>
            </w:r>
          </w:p>
        </w:tc>
        <w:tc>
          <w:tcPr>
            <w:tcW w:w="382" w:type="pct"/>
            <w:vAlign w:val="center"/>
          </w:tcPr>
          <w:p w14:paraId="22AAC72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400E12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661DD21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萘</w:t>
            </w:r>
          </w:p>
        </w:tc>
        <w:tc>
          <w:tcPr>
            <w:tcW w:w="528" w:type="pct"/>
            <w:vAlign w:val="center"/>
          </w:tcPr>
          <w:p w14:paraId="2110C2E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1B11BA8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122DF07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076EBEC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3E999EF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2673B52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70</w:t>
            </w:r>
          </w:p>
        </w:tc>
        <w:tc>
          <w:tcPr>
            <w:tcW w:w="382" w:type="pct"/>
            <w:vAlign w:val="center"/>
          </w:tcPr>
          <w:p w14:paraId="3FF89F8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37D6F8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76E30BF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苯并[a]蒽</w:t>
            </w:r>
          </w:p>
        </w:tc>
        <w:tc>
          <w:tcPr>
            <w:tcW w:w="528" w:type="pct"/>
            <w:vAlign w:val="center"/>
          </w:tcPr>
          <w:p w14:paraId="7F4FEE6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387AE62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5DDD1BB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067C633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6CF70FD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5D289E2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15</w:t>
            </w:r>
          </w:p>
        </w:tc>
        <w:tc>
          <w:tcPr>
            <w:tcW w:w="382" w:type="pct"/>
            <w:vAlign w:val="center"/>
          </w:tcPr>
          <w:p w14:paraId="7A48043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65F50B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4D09AD7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䓛</w:t>
            </w:r>
          </w:p>
        </w:tc>
        <w:tc>
          <w:tcPr>
            <w:tcW w:w="528" w:type="pct"/>
            <w:vAlign w:val="center"/>
          </w:tcPr>
          <w:p w14:paraId="07504DD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2EC770B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343B47F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6144866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1CE4F5B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16B2135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1293</w:t>
            </w:r>
          </w:p>
        </w:tc>
        <w:tc>
          <w:tcPr>
            <w:tcW w:w="382" w:type="pct"/>
            <w:vAlign w:val="center"/>
          </w:tcPr>
          <w:p w14:paraId="489DB9F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40F839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04CC0ED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苯并[b]荧蒽</w:t>
            </w:r>
          </w:p>
        </w:tc>
        <w:tc>
          <w:tcPr>
            <w:tcW w:w="528" w:type="pct"/>
            <w:vAlign w:val="center"/>
          </w:tcPr>
          <w:p w14:paraId="2361D81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7BAB0A7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6BBCA46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3EFD1B4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0F0B59D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4183578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15</w:t>
            </w:r>
          </w:p>
        </w:tc>
        <w:tc>
          <w:tcPr>
            <w:tcW w:w="382" w:type="pct"/>
            <w:vAlign w:val="center"/>
          </w:tcPr>
          <w:p w14:paraId="66C2245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4DEA40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0DCE496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苯并[k]荧蒽</w:t>
            </w:r>
          </w:p>
        </w:tc>
        <w:tc>
          <w:tcPr>
            <w:tcW w:w="528" w:type="pct"/>
            <w:vAlign w:val="center"/>
          </w:tcPr>
          <w:p w14:paraId="3DE3161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4BD42FA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2633E5D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3005455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55420B7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61BE036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151</w:t>
            </w:r>
          </w:p>
        </w:tc>
        <w:tc>
          <w:tcPr>
            <w:tcW w:w="382" w:type="pct"/>
            <w:vAlign w:val="center"/>
          </w:tcPr>
          <w:p w14:paraId="5194A0D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34FD19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2EA9040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苯并[a]芘</w:t>
            </w:r>
          </w:p>
        </w:tc>
        <w:tc>
          <w:tcPr>
            <w:tcW w:w="528" w:type="pct"/>
            <w:vAlign w:val="center"/>
          </w:tcPr>
          <w:p w14:paraId="250D36D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06FCF6C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3194C82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33CF440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3172964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13FC807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1.5</w:t>
            </w:r>
          </w:p>
        </w:tc>
        <w:tc>
          <w:tcPr>
            <w:tcW w:w="382" w:type="pct"/>
            <w:vAlign w:val="center"/>
          </w:tcPr>
          <w:p w14:paraId="58D9C23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072929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6CBD2D4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茚并[1,2,3-cd]芘</w:t>
            </w:r>
          </w:p>
        </w:tc>
        <w:tc>
          <w:tcPr>
            <w:tcW w:w="528" w:type="pct"/>
            <w:vAlign w:val="center"/>
          </w:tcPr>
          <w:p w14:paraId="307E853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00C8431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1DC30CE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5ED3705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708A485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0406C5C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15</w:t>
            </w:r>
          </w:p>
        </w:tc>
        <w:tc>
          <w:tcPr>
            <w:tcW w:w="382" w:type="pct"/>
            <w:vAlign w:val="center"/>
          </w:tcPr>
          <w:p w14:paraId="12DEC49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02A63E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511E80E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二苯并[a,h]蒽</w:t>
            </w:r>
          </w:p>
        </w:tc>
        <w:tc>
          <w:tcPr>
            <w:tcW w:w="528" w:type="pct"/>
            <w:vAlign w:val="center"/>
          </w:tcPr>
          <w:p w14:paraId="1A436BD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278DF09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0B540C5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3269B7D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1CBDF42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3E4CD94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1.5</w:t>
            </w:r>
          </w:p>
        </w:tc>
        <w:tc>
          <w:tcPr>
            <w:tcW w:w="382" w:type="pct"/>
            <w:vAlign w:val="center"/>
          </w:tcPr>
          <w:p w14:paraId="253879D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603D86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3EC75CE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石油烃(C</w:t>
            </w:r>
            <w:r>
              <w:rPr>
                <w:rFonts w:ascii="Times New Roman" w:hAnsi="Times New Roman" w:cs="Times New Roman"/>
                <w:color w:val="000000" w:themeColor="text1"/>
                <w:sz w:val="21"/>
                <w:szCs w:val="21"/>
                <w:vertAlign w:val="subscript"/>
                <w14:textFill>
                  <w14:solidFill>
                    <w14:schemeClr w14:val="tx1"/>
                  </w14:solidFill>
                </w14:textFill>
              </w:rPr>
              <w:t>10</w:t>
            </w:r>
            <w:r>
              <w:rPr>
                <w:rFonts w:ascii="Times New Roman" w:hAnsi="Times New Roman" w:cs="Times New Roman"/>
                <w:color w:val="000000" w:themeColor="text1"/>
                <w:sz w:val="21"/>
                <w:szCs w:val="21"/>
                <w14:textFill>
                  <w14:solidFill>
                    <w14:schemeClr w14:val="tx1"/>
                  </w14:solidFill>
                </w14:textFill>
              </w:rPr>
              <w:t>-C</w:t>
            </w:r>
            <w:r>
              <w:rPr>
                <w:rFonts w:ascii="Times New Roman" w:hAnsi="Times New Roman" w:cs="Times New Roman"/>
                <w:color w:val="000000" w:themeColor="text1"/>
                <w:sz w:val="21"/>
                <w:szCs w:val="21"/>
                <w:vertAlign w:val="subscript"/>
                <w14:textFill>
                  <w14:solidFill>
                    <w14:schemeClr w14:val="tx1"/>
                  </w14:solidFill>
                </w14:textFill>
              </w:rPr>
              <w:t>40</w:t>
            </w:r>
            <w:r>
              <w:rPr>
                <w:rFonts w:ascii="Times New Roman" w:hAnsi="Times New Roman" w:cs="Times New Roman"/>
                <w:color w:val="000000" w:themeColor="text1"/>
                <w:sz w:val="21"/>
                <w:szCs w:val="21"/>
                <w14:textFill>
                  <w14:solidFill>
                    <w14:schemeClr w14:val="tx1"/>
                  </w14:solidFill>
                </w14:textFill>
              </w:rPr>
              <w:t>)</w:t>
            </w:r>
          </w:p>
        </w:tc>
        <w:tc>
          <w:tcPr>
            <w:tcW w:w="528" w:type="pct"/>
            <w:vAlign w:val="center"/>
          </w:tcPr>
          <w:p w14:paraId="014342D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0C6707F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15</w:t>
            </w:r>
          </w:p>
        </w:tc>
        <w:tc>
          <w:tcPr>
            <w:tcW w:w="592" w:type="pct"/>
            <w:vAlign w:val="center"/>
          </w:tcPr>
          <w:p w14:paraId="67A8955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497652C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15</w:t>
            </w:r>
          </w:p>
        </w:tc>
        <w:tc>
          <w:tcPr>
            <w:tcW w:w="594" w:type="pct"/>
            <w:vAlign w:val="center"/>
          </w:tcPr>
          <w:p w14:paraId="5B52A3E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9</w:t>
            </w:r>
          </w:p>
        </w:tc>
        <w:tc>
          <w:tcPr>
            <w:tcW w:w="627" w:type="pct"/>
            <w:vAlign w:val="center"/>
          </w:tcPr>
          <w:p w14:paraId="0C67190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4500</w:t>
            </w:r>
          </w:p>
        </w:tc>
        <w:tc>
          <w:tcPr>
            <w:tcW w:w="382" w:type="pct"/>
            <w:vAlign w:val="center"/>
          </w:tcPr>
          <w:p w14:paraId="6A3722C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bl>
    <w:p w14:paraId="335074EA"/>
    <w:p w14:paraId="30A1FA51">
      <w:pPr>
        <w:pStyle w:val="28"/>
        <w:rPr>
          <w:rFonts w:hint="eastAsia"/>
        </w:rPr>
      </w:pPr>
    </w:p>
    <w:p w14:paraId="510CCFF0">
      <w:pPr>
        <w:pStyle w:val="28"/>
        <w:rPr>
          <w:rFonts w:hint="eastAsia"/>
        </w:rPr>
      </w:pPr>
    </w:p>
    <w:p w14:paraId="73921435">
      <w:pPr>
        <w:pStyle w:val="28"/>
        <w:rPr>
          <w:rFonts w:hint="eastAsia"/>
        </w:rPr>
      </w:pPr>
      <w:r>
        <w:rPr>
          <w:rFonts w:hint="eastAsia"/>
        </w:rPr>
        <w:t>表5.2-18  土壤监测结果表(4)</w:t>
      </w:r>
    </w:p>
    <w:tbl>
      <w:tblPr>
        <w:tblStyle w:val="3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30"/>
        <w:gridCol w:w="981"/>
        <w:gridCol w:w="1099"/>
        <w:gridCol w:w="1099"/>
        <w:gridCol w:w="1099"/>
        <w:gridCol w:w="1103"/>
        <w:gridCol w:w="1165"/>
        <w:gridCol w:w="710"/>
      </w:tblGrid>
      <w:tr w14:paraId="2AC1ED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093" w:type="pct"/>
            <w:vMerge w:val="restart"/>
            <w:tcBorders>
              <w:bottom w:val="single" w:color="auto" w:sz="4" w:space="0"/>
            </w:tcBorders>
            <w:vAlign w:val="center"/>
          </w:tcPr>
          <w:p w14:paraId="461E364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检测项目</w:t>
            </w:r>
          </w:p>
        </w:tc>
        <w:tc>
          <w:tcPr>
            <w:tcW w:w="528" w:type="pct"/>
            <w:vMerge w:val="restart"/>
            <w:tcBorders>
              <w:bottom w:val="single" w:color="auto" w:sz="4" w:space="0"/>
            </w:tcBorders>
            <w:vAlign w:val="center"/>
          </w:tcPr>
          <w:p w14:paraId="101539E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单位</w:t>
            </w:r>
          </w:p>
        </w:tc>
        <w:tc>
          <w:tcPr>
            <w:tcW w:w="2370" w:type="pct"/>
            <w:gridSpan w:val="4"/>
            <w:tcBorders>
              <w:bottom w:val="single" w:color="auto" w:sz="4" w:space="0"/>
            </w:tcBorders>
            <w:vAlign w:val="center"/>
          </w:tcPr>
          <w:p w14:paraId="195B3347">
            <w:pPr>
              <w:pStyle w:val="82"/>
              <w:spacing w:line="240" w:lineRule="auto"/>
              <w:ind w:firstLine="42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S</w:t>
            </w:r>
            <w:r>
              <w:rPr>
                <w:rFonts w:hint="eastAsia" w:ascii="Times New Roman" w:hAnsi="Times New Roman" w:cs="Times New Roman"/>
                <w:color w:val="000000" w:themeColor="text1"/>
                <w:sz w:val="21"/>
                <w:szCs w:val="21"/>
                <w14:textFill>
                  <w14:solidFill>
                    <w14:schemeClr w14:val="tx1"/>
                  </w14:solidFill>
                </w14:textFill>
              </w:rPr>
              <w:t>4</w:t>
            </w:r>
          </w:p>
        </w:tc>
        <w:tc>
          <w:tcPr>
            <w:tcW w:w="627" w:type="pct"/>
            <w:vMerge w:val="restart"/>
            <w:tcBorders>
              <w:bottom w:val="single" w:color="auto" w:sz="4" w:space="0"/>
            </w:tcBorders>
            <w:vAlign w:val="center"/>
          </w:tcPr>
          <w:p w14:paraId="5ACAF4E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第二类用地风险筛选值</w:t>
            </w:r>
          </w:p>
        </w:tc>
        <w:tc>
          <w:tcPr>
            <w:tcW w:w="382" w:type="pct"/>
            <w:vMerge w:val="restart"/>
            <w:tcBorders>
              <w:bottom w:val="single" w:color="auto" w:sz="4" w:space="0"/>
            </w:tcBorders>
            <w:vAlign w:val="center"/>
          </w:tcPr>
          <w:p w14:paraId="3721E7A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达标情况</w:t>
            </w:r>
          </w:p>
        </w:tc>
      </w:tr>
      <w:tr w14:paraId="11D7F0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093" w:type="pct"/>
            <w:vMerge w:val="continue"/>
            <w:vAlign w:val="center"/>
          </w:tcPr>
          <w:p w14:paraId="6CAF182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c>
          <w:tcPr>
            <w:tcW w:w="528" w:type="pct"/>
            <w:vMerge w:val="continue"/>
            <w:vAlign w:val="center"/>
          </w:tcPr>
          <w:p w14:paraId="143F997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c>
          <w:tcPr>
            <w:tcW w:w="592" w:type="pct"/>
            <w:vAlign w:val="center"/>
          </w:tcPr>
          <w:p w14:paraId="66EF54B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w:t>
            </w:r>
            <w:r>
              <w:rPr>
                <w:rFonts w:hint="eastAsia" w:ascii="Times New Roman" w:hAnsi="Times New Roman" w:cs="Times New Roman"/>
                <w:color w:val="000000" w:themeColor="text1"/>
                <w:sz w:val="21"/>
                <w:szCs w:val="21"/>
                <w14:textFill>
                  <w14:solidFill>
                    <w14:schemeClr w14:val="tx1"/>
                  </w14:solidFill>
                </w14:textFill>
              </w:rPr>
              <w:t>0.5</w:t>
            </w:r>
            <w:r>
              <w:rPr>
                <w:rFonts w:ascii="Times New Roman" w:hAnsi="Times New Roman" w:cs="Times New Roman"/>
                <w:color w:val="000000" w:themeColor="text1"/>
                <w:sz w:val="21"/>
                <w:szCs w:val="21"/>
                <w14:textFill>
                  <w14:solidFill>
                    <w14:schemeClr w14:val="tx1"/>
                  </w14:solidFill>
                </w14:textFill>
              </w:rPr>
              <w:t>m</w:t>
            </w:r>
          </w:p>
        </w:tc>
        <w:tc>
          <w:tcPr>
            <w:tcW w:w="592" w:type="pct"/>
            <w:vAlign w:val="center"/>
          </w:tcPr>
          <w:p w14:paraId="06915B8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w:t>
            </w:r>
            <w:r>
              <w:rPr>
                <w:rFonts w:hint="eastAsia" w:ascii="Times New Roman" w:hAnsi="Times New Roman" w:cs="Times New Roman"/>
                <w:color w:val="000000" w:themeColor="text1"/>
                <w:sz w:val="21"/>
                <w:szCs w:val="21"/>
                <w14:textFill>
                  <w14:solidFill>
                    <w14:schemeClr w14:val="tx1"/>
                  </w14:solidFill>
                </w14:textFill>
              </w:rPr>
              <w:t>.</w:t>
            </w:r>
            <w:r>
              <w:rPr>
                <w:rFonts w:ascii="Times New Roman" w:hAnsi="Times New Roman" w:cs="Times New Roman"/>
                <w:color w:val="000000" w:themeColor="text1"/>
                <w:sz w:val="21"/>
                <w:szCs w:val="21"/>
                <w14:textFill>
                  <w14:solidFill>
                    <w14:schemeClr w14:val="tx1"/>
                  </w14:solidFill>
                </w14:textFill>
              </w:rPr>
              <w:t>5-2m</w:t>
            </w:r>
          </w:p>
        </w:tc>
        <w:tc>
          <w:tcPr>
            <w:tcW w:w="592" w:type="pct"/>
            <w:vAlign w:val="center"/>
          </w:tcPr>
          <w:p w14:paraId="11701CB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3-4m</w:t>
            </w:r>
          </w:p>
        </w:tc>
        <w:tc>
          <w:tcPr>
            <w:tcW w:w="594" w:type="pct"/>
            <w:vAlign w:val="center"/>
          </w:tcPr>
          <w:p w14:paraId="150B2CF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5-6m</w:t>
            </w:r>
          </w:p>
        </w:tc>
        <w:tc>
          <w:tcPr>
            <w:tcW w:w="627" w:type="pct"/>
            <w:vMerge w:val="continue"/>
            <w:vAlign w:val="center"/>
          </w:tcPr>
          <w:p w14:paraId="68C8E34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c>
          <w:tcPr>
            <w:tcW w:w="382" w:type="pct"/>
            <w:vMerge w:val="continue"/>
            <w:vAlign w:val="center"/>
          </w:tcPr>
          <w:p w14:paraId="7DC536E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r>
      <w:tr w14:paraId="4543BD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093" w:type="pct"/>
            <w:vMerge w:val="continue"/>
            <w:vAlign w:val="center"/>
          </w:tcPr>
          <w:p w14:paraId="242A45E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c>
          <w:tcPr>
            <w:tcW w:w="528" w:type="pct"/>
            <w:vMerge w:val="continue"/>
            <w:vAlign w:val="center"/>
          </w:tcPr>
          <w:p w14:paraId="04C7EAB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c>
          <w:tcPr>
            <w:tcW w:w="2370" w:type="pct"/>
            <w:gridSpan w:val="4"/>
            <w:vAlign w:val="center"/>
          </w:tcPr>
          <w:p w14:paraId="0484FCE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采样日期：2025.11.2</w:t>
            </w:r>
            <w:r>
              <w:rPr>
                <w:rFonts w:hint="eastAsia" w:ascii="Times New Roman" w:hAnsi="Times New Roman" w:cs="Times New Roman"/>
                <w:color w:val="000000" w:themeColor="text1"/>
                <w:sz w:val="21"/>
                <w:szCs w:val="21"/>
                <w14:textFill>
                  <w14:solidFill>
                    <w14:schemeClr w14:val="tx1"/>
                  </w14:solidFill>
                </w14:textFill>
              </w:rPr>
              <w:t>2</w:t>
            </w:r>
          </w:p>
        </w:tc>
        <w:tc>
          <w:tcPr>
            <w:tcW w:w="627" w:type="pct"/>
            <w:vMerge w:val="continue"/>
            <w:vAlign w:val="center"/>
          </w:tcPr>
          <w:p w14:paraId="7CE6CBC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c>
          <w:tcPr>
            <w:tcW w:w="382" w:type="pct"/>
            <w:vMerge w:val="continue"/>
            <w:vAlign w:val="center"/>
          </w:tcPr>
          <w:p w14:paraId="3D24BBC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r>
      <w:tr w14:paraId="5ABB09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093" w:type="pct"/>
            <w:vAlign w:val="center"/>
          </w:tcPr>
          <w:p w14:paraId="52DAB6C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pH值</w:t>
            </w:r>
          </w:p>
        </w:tc>
        <w:tc>
          <w:tcPr>
            <w:tcW w:w="528" w:type="pct"/>
            <w:vAlign w:val="center"/>
          </w:tcPr>
          <w:p w14:paraId="2BA3675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无量纲</w:t>
            </w:r>
          </w:p>
        </w:tc>
        <w:tc>
          <w:tcPr>
            <w:tcW w:w="592" w:type="pct"/>
            <w:vAlign w:val="center"/>
          </w:tcPr>
          <w:p w14:paraId="36BFFCB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8.62</w:t>
            </w:r>
          </w:p>
        </w:tc>
        <w:tc>
          <w:tcPr>
            <w:tcW w:w="592" w:type="pct"/>
            <w:vAlign w:val="center"/>
          </w:tcPr>
          <w:p w14:paraId="7E4E2A2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8.64</w:t>
            </w:r>
          </w:p>
        </w:tc>
        <w:tc>
          <w:tcPr>
            <w:tcW w:w="592" w:type="pct"/>
            <w:vAlign w:val="center"/>
          </w:tcPr>
          <w:p w14:paraId="17B507A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8.64</w:t>
            </w:r>
          </w:p>
        </w:tc>
        <w:tc>
          <w:tcPr>
            <w:tcW w:w="594" w:type="pct"/>
            <w:vAlign w:val="center"/>
          </w:tcPr>
          <w:p w14:paraId="16F406C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8.56</w:t>
            </w:r>
          </w:p>
        </w:tc>
        <w:tc>
          <w:tcPr>
            <w:tcW w:w="627" w:type="pct"/>
            <w:vAlign w:val="center"/>
          </w:tcPr>
          <w:p w14:paraId="2AB41FF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w:t>
            </w:r>
          </w:p>
        </w:tc>
        <w:tc>
          <w:tcPr>
            <w:tcW w:w="382" w:type="pct"/>
            <w:vAlign w:val="center"/>
          </w:tcPr>
          <w:p w14:paraId="5B39FD6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w:t>
            </w:r>
          </w:p>
        </w:tc>
      </w:tr>
      <w:tr w14:paraId="577369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093" w:type="pct"/>
            <w:vAlign w:val="center"/>
          </w:tcPr>
          <w:p w14:paraId="545F866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砷</w:t>
            </w:r>
          </w:p>
        </w:tc>
        <w:tc>
          <w:tcPr>
            <w:tcW w:w="528" w:type="pct"/>
            <w:vAlign w:val="center"/>
          </w:tcPr>
          <w:p w14:paraId="6FB37A8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536F67F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7.78</w:t>
            </w:r>
          </w:p>
        </w:tc>
        <w:tc>
          <w:tcPr>
            <w:tcW w:w="592" w:type="pct"/>
            <w:vAlign w:val="center"/>
          </w:tcPr>
          <w:p w14:paraId="73F4B5D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10.6</w:t>
            </w:r>
          </w:p>
        </w:tc>
        <w:tc>
          <w:tcPr>
            <w:tcW w:w="592" w:type="pct"/>
            <w:vAlign w:val="center"/>
          </w:tcPr>
          <w:p w14:paraId="0DEFDE2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19.6</w:t>
            </w:r>
          </w:p>
        </w:tc>
        <w:tc>
          <w:tcPr>
            <w:tcW w:w="594" w:type="pct"/>
            <w:vAlign w:val="center"/>
          </w:tcPr>
          <w:p w14:paraId="462A661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6.63</w:t>
            </w:r>
          </w:p>
        </w:tc>
        <w:tc>
          <w:tcPr>
            <w:tcW w:w="627" w:type="pct"/>
            <w:vAlign w:val="center"/>
          </w:tcPr>
          <w:p w14:paraId="639B7E1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60</w:t>
            </w:r>
          </w:p>
        </w:tc>
        <w:tc>
          <w:tcPr>
            <w:tcW w:w="382" w:type="pct"/>
            <w:vAlign w:val="center"/>
          </w:tcPr>
          <w:p w14:paraId="5F40E3E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6EF695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093" w:type="pct"/>
            <w:vAlign w:val="center"/>
          </w:tcPr>
          <w:p w14:paraId="01AD1FB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镉</w:t>
            </w:r>
          </w:p>
        </w:tc>
        <w:tc>
          <w:tcPr>
            <w:tcW w:w="528" w:type="pct"/>
            <w:vAlign w:val="center"/>
          </w:tcPr>
          <w:p w14:paraId="69A6094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21BE5D7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0.03</w:t>
            </w:r>
          </w:p>
        </w:tc>
        <w:tc>
          <w:tcPr>
            <w:tcW w:w="592" w:type="pct"/>
            <w:vAlign w:val="center"/>
          </w:tcPr>
          <w:p w14:paraId="1F15181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0.04</w:t>
            </w:r>
          </w:p>
        </w:tc>
        <w:tc>
          <w:tcPr>
            <w:tcW w:w="592" w:type="pct"/>
            <w:vAlign w:val="center"/>
          </w:tcPr>
          <w:p w14:paraId="074B07F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0.08</w:t>
            </w:r>
          </w:p>
        </w:tc>
        <w:tc>
          <w:tcPr>
            <w:tcW w:w="594" w:type="pct"/>
            <w:vAlign w:val="center"/>
          </w:tcPr>
          <w:p w14:paraId="647DA37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0.03</w:t>
            </w:r>
          </w:p>
        </w:tc>
        <w:tc>
          <w:tcPr>
            <w:tcW w:w="627" w:type="pct"/>
            <w:vAlign w:val="center"/>
          </w:tcPr>
          <w:p w14:paraId="42F4D51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65</w:t>
            </w:r>
          </w:p>
        </w:tc>
        <w:tc>
          <w:tcPr>
            <w:tcW w:w="382" w:type="pct"/>
            <w:vAlign w:val="center"/>
          </w:tcPr>
          <w:p w14:paraId="459E8F9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294EF3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093" w:type="pct"/>
            <w:vAlign w:val="center"/>
          </w:tcPr>
          <w:p w14:paraId="04DEABE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六价铬</w:t>
            </w:r>
          </w:p>
        </w:tc>
        <w:tc>
          <w:tcPr>
            <w:tcW w:w="528" w:type="pct"/>
            <w:vAlign w:val="center"/>
          </w:tcPr>
          <w:p w14:paraId="6D7668B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729BB7C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5AE626D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4A6C959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42B498E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2559B85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5.7</w:t>
            </w:r>
          </w:p>
        </w:tc>
        <w:tc>
          <w:tcPr>
            <w:tcW w:w="382" w:type="pct"/>
            <w:vAlign w:val="center"/>
          </w:tcPr>
          <w:p w14:paraId="7E01E22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3D0608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54D5BCE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铜</w:t>
            </w:r>
          </w:p>
        </w:tc>
        <w:tc>
          <w:tcPr>
            <w:tcW w:w="528" w:type="pct"/>
            <w:vAlign w:val="center"/>
          </w:tcPr>
          <w:p w14:paraId="26BDCD8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5A82906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24</w:t>
            </w:r>
          </w:p>
        </w:tc>
        <w:tc>
          <w:tcPr>
            <w:tcW w:w="592" w:type="pct"/>
            <w:vAlign w:val="center"/>
          </w:tcPr>
          <w:p w14:paraId="5DEBA46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26</w:t>
            </w:r>
          </w:p>
        </w:tc>
        <w:tc>
          <w:tcPr>
            <w:tcW w:w="592" w:type="pct"/>
            <w:vAlign w:val="center"/>
          </w:tcPr>
          <w:p w14:paraId="340DDD9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40</w:t>
            </w:r>
          </w:p>
        </w:tc>
        <w:tc>
          <w:tcPr>
            <w:tcW w:w="594" w:type="pct"/>
            <w:vAlign w:val="center"/>
          </w:tcPr>
          <w:p w14:paraId="12FB37E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24</w:t>
            </w:r>
          </w:p>
        </w:tc>
        <w:tc>
          <w:tcPr>
            <w:tcW w:w="627" w:type="pct"/>
            <w:vAlign w:val="center"/>
          </w:tcPr>
          <w:p w14:paraId="4A9CACC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18000</w:t>
            </w:r>
          </w:p>
        </w:tc>
        <w:tc>
          <w:tcPr>
            <w:tcW w:w="382" w:type="pct"/>
            <w:vAlign w:val="center"/>
          </w:tcPr>
          <w:p w14:paraId="779C2A0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5AFC33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2B83866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铅</w:t>
            </w:r>
          </w:p>
        </w:tc>
        <w:tc>
          <w:tcPr>
            <w:tcW w:w="528" w:type="pct"/>
            <w:vAlign w:val="center"/>
          </w:tcPr>
          <w:p w14:paraId="6FC8148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69C95E1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30.2</w:t>
            </w:r>
          </w:p>
        </w:tc>
        <w:tc>
          <w:tcPr>
            <w:tcW w:w="592" w:type="pct"/>
            <w:vAlign w:val="center"/>
          </w:tcPr>
          <w:p w14:paraId="6D2B250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31.1</w:t>
            </w:r>
          </w:p>
        </w:tc>
        <w:tc>
          <w:tcPr>
            <w:tcW w:w="592" w:type="pct"/>
            <w:vAlign w:val="center"/>
          </w:tcPr>
          <w:p w14:paraId="2B37FF0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37.4</w:t>
            </w:r>
          </w:p>
        </w:tc>
        <w:tc>
          <w:tcPr>
            <w:tcW w:w="594" w:type="pct"/>
            <w:vAlign w:val="center"/>
          </w:tcPr>
          <w:p w14:paraId="1E4014C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23.3</w:t>
            </w:r>
          </w:p>
        </w:tc>
        <w:tc>
          <w:tcPr>
            <w:tcW w:w="627" w:type="pct"/>
            <w:vAlign w:val="center"/>
          </w:tcPr>
          <w:p w14:paraId="1B68D5B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800</w:t>
            </w:r>
          </w:p>
        </w:tc>
        <w:tc>
          <w:tcPr>
            <w:tcW w:w="382" w:type="pct"/>
            <w:vAlign w:val="center"/>
          </w:tcPr>
          <w:p w14:paraId="1FDC217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7D3159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1856B00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汞</w:t>
            </w:r>
          </w:p>
        </w:tc>
        <w:tc>
          <w:tcPr>
            <w:tcW w:w="528" w:type="pct"/>
            <w:vAlign w:val="center"/>
          </w:tcPr>
          <w:p w14:paraId="50AC3AB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7A55321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0.013</w:t>
            </w:r>
          </w:p>
        </w:tc>
        <w:tc>
          <w:tcPr>
            <w:tcW w:w="592" w:type="pct"/>
            <w:vAlign w:val="center"/>
          </w:tcPr>
          <w:p w14:paraId="3170156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0.010</w:t>
            </w:r>
          </w:p>
        </w:tc>
        <w:tc>
          <w:tcPr>
            <w:tcW w:w="592" w:type="pct"/>
            <w:vAlign w:val="center"/>
          </w:tcPr>
          <w:p w14:paraId="33F27B0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0.025</w:t>
            </w:r>
          </w:p>
        </w:tc>
        <w:tc>
          <w:tcPr>
            <w:tcW w:w="594" w:type="pct"/>
            <w:vAlign w:val="center"/>
          </w:tcPr>
          <w:p w14:paraId="78663DC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0.010</w:t>
            </w:r>
          </w:p>
        </w:tc>
        <w:tc>
          <w:tcPr>
            <w:tcW w:w="627" w:type="pct"/>
            <w:vAlign w:val="center"/>
          </w:tcPr>
          <w:p w14:paraId="055D597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38</w:t>
            </w:r>
          </w:p>
        </w:tc>
        <w:tc>
          <w:tcPr>
            <w:tcW w:w="382" w:type="pct"/>
            <w:vAlign w:val="center"/>
          </w:tcPr>
          <w:p w14:paraId="693DA6B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4431E0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693DA53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镍</w:t>
            </w:r>
          </w:p>
        </w:tc>
        <w:tc>
          <w:tcPr>
            <w:tcW w:w="528" w:type="pct"/>
            <w:vAlign w:val="center"/>
          </w:tcPr>
          <w:p w14:paraId="7CF9036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7803817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33</w:t>
            </w:r>
          </w:p>
        </w:tc>
        <w:tc>
          <w:tcPr>
            <w:tcW w:w="592" w:type="pct"/>
            <w:vAlign w:val="center"/>
          </w:tcPr>
          <w:p w14:paraId="398BB64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35</w:t>
            </w:r>
          </w:p>
        </w:tc>
        <w:tc>
          <w:tcPr>
            <w:tcW w:w="592" w:type="pct"/>
            <w:vAlign w:val="center"/>
          </w:tcPr>
          <w:p w14:paraId="3FDCDD9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42</w:t>
            </w:r>
          </w:p>
        </w:tc>
        <w:tc>
          <w:tcPr>
            <w:tcW w:w="594" w:type="pct"/>
            <w:vAlign w:val="center"/>
          </w:tcPr>
          <w:p w14:paraId="172CF5B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29</w:t>
            </w:r>
          </w:p>
        </w:tc>
        <w:tc>
          <w:tcPr>
            <w:tcW w:w="627" w:type="pct"/>
            <w:vAlign w:val="center"/>
          </w:tcPr>
          <w:p w14:paraId="32DB58D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900</w:t>
            </w:r>
          </w:p>
        </w:tc>
        <w:tc>
          <w:tcPr>
            <w:tcW w:w="382" w:type="pct"/>
            <w:vAlign w:val="center"/>
          </w:tcPr>
          <w:p w14:paraId="23EC883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1730A3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4884FFA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氯甲烷</w:t>
            </w:r>
          </w:p>
        </w:tc>
        <w:tc>
          <w:tcPr>
            <w:tcW w:w="528" w:type="pct"/>
            <w:vAlign w:val="center"/>
          </w:tcPr>
          <w:p w14:paraId="315062F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73F25C0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33C1436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1843653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6C8EBB8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3ABE28D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37</w:t>
            </w:r>
          </w:p>
        </w:tc>
        <w:tc>
          <w:tcPr>
            <w:tcW w:w="382" w:type="pct"/>
            <w:vAlign w:val="center"/>
          </w:tcPr>
          <w:p w14:paraId="2C320D3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42AF23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400441B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氯乙烯</w:t>
            </w:r>
          </w:p>
        </w:tc>
        <w:tc>
          <w:tcPr>
            <w:tcW w:w="528" w:type="pct"/>
            <w:vAlign w:val="center"/>
          </w:tcPr>
          <w:p w14:paraId="7E5A252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635140C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3F2F283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0F26FE4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65F6C9E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47ABAAE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0.43</w:t>
            </w:r>
          </w:p>
        </w:tc>
        <w:tc>
          <w:tcPr>
            <w:tcW w:w="382" w:type="pct"/>
            <w:vAlign w:val="center"/>
          </w:tcPr>
          <w:p w14:paraId="1FC77A6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578027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53EFB37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1,1-二氯乙烯</w:t>
            </w:r>
          </w:p>
        </w:tc>
        <w:tc>
          <w:tcPr>
            <w:tcW w:w="528" w:type="pct"/>
            <w:vAlign w:val="center"/>
          </w:tcPr>
          <w:p w14:paraId="2DC3C68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4AA3DFA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0BC8668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221341B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57CC9AB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5F582FC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66</w:t>
            </w:r>
          </w:p>
        </w:tc>
        <w:tc>
          <w:tcPr>
            <w:tcW w:w="382" w:type="pct"/>
            <w:vAlign w:val="center"/>
          </w:tcPr>
          <w:p w14:paraId="552DC23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50DB97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6A80AE1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二氯甲烷</w:t>
            </w:r>
          </w:p>
        </w:tc>
        <w:tc>
          <w:tcPr>
            <w:tcW w:w="528" w:type="pct"/>
            <w:vAlign w:val="center"/>
          </w:tcPr>
          <w:p w14:paraId="65A35F9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4796859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748F96A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439318E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7D2F0B3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10CD364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616</w:t>
            </w:r>
          </w:p>
        </w:tc>
        <w:tc>
          <w:tcPr>
            <w:tcW w:w="382" w:type="pct"/>
            <w:vAlign w:val="center"/>
          </w:tcPr>
          <w:p w14:paraId="2BA76BB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020D0C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1343A1C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反式-1,2-二氯乙烯</w:t>
            </w:r>
          </w:p>
        </w:tc>
        <w:tc>
          <w:tcPr>
            <w:tcW w:w="528" w:type="pct"/>
            <w:vAlign w:val="center"/>
          </w:tcPr>
          <w:p w14:paraId="24A2B9A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11B9B58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1C76D9A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1688F06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1E7B684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7F5B280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54</w:t>
            </w:r>
          </w:p>
        </w:tc>
        <w:tc>
          <w:tcPr>
            <w:tcW w:w="382" w:type="pct"/>
            <w:vAlign w:val="center"/>
          </w:tcPr>
          <w:p w14:paraId="671A968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0ED9A3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4992A28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1,1-二氯乙烷</w:t>
            </w:r>
          </w:p>
        </w:tc>
        <w:tc>
          <w:tcPr>
            <w:tcW w:w="528" w:type="pct"/>
            <w:vAlign w:val="center"/>
          </w:tcPr>
          <w:p w14:paraId="19732F2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72E3D40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294A4F5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22D1753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588AD84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6198346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9</w:t>
            </w:r>
          </w:p>
        </w:tc>
        <w:tc>
          <w:tcPr>
            <w:tcW w:w="382" w:type="pct"/>
            <w:vAlign w:val="center"/>
          </w:tcPr>
          <w:p w14:paraId="271FED2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363FE9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4E6021A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顺式-1,2-二氯乙烯</w:t>
            </w:r>
          </w:p>
        </w:tc>
        <w:tc>
          <w:tcPr>
            <w:tcW w:w="528" w:type="pct"/>
            <w:vAlign w:val="center"/>
          </w:tcPr>
          <w:p w14:paraId="58F9052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6448579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4654A68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38845F4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494729E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4A1ECB2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596</w:t>
            </w:r>
          </w:p>
        </w:tc>
        <w:tc>
          <w:tcPr>
            <w:tcW w:w="382" w:type="pct"/>
            <w:vAlign w:val="center"/>
          </w:tcPr>
          <w:p w14:paraId="1A652B6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47C48E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4CF2E16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氯仿</w:t>
            </w:r>
          </w:p>
        </w:tc>
        <w:tc>
          <w:tcPr>
            <w:tcW w:w="528" w:type="pct"/>
            <w:vAlign w:val="center"/>
          </w:tcPr>
          <w:p w14:paraId="1CBE792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52397D6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028C4B1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5B2931B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5665A94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151AF6B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0.9</w:t>
            </w:r>
          </w:p>
        </w:tc>
        <w:tc>
          <w:tcPr>
            <w:tcW w:w="382" w:type="pct"/>
            <w:vAlign w:val="center"/>
          </w:tcPr>
          <w:p w14:paraId="467669C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2F5CD6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5A96AA4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1,1,1-三氯乙烷</w:t>
            </w:r>
          </w:p>
        </w:tc>
        <w:tc>
          <w:tcPr>
            <w:tcW w:w="528" w:type="pct"/>
            <w:vAlign w:val="center"/>
          </w:tcPr>
          <w:p w14:paraId="610E4DF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7CD2BC9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3B9A23A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2357ABD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75684AF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3D0FF8B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840</w:t>
            </w:r>
          </w:p>
        </w:tc>
        <w:tc>
          <w:tcPr>
            <w:tcW w:w="382" w:type="pct"/>
            <w:vAlign w:val="center"/>
          </w:tcPr>
          <w:p w14:paraId="28C52D0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1B92F0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179FF93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四氯化碳</w:t>
            </w:r>
          </w:p>
        </w:tc>
        <w:tc>
          <w:tcPr>
            <w:tcW w:w="528" w:type="pct"/>
            <w:vAlign w:val="center"/>
          </w:tcPr>
          <w:p w14:paraId="6F27FDC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6C3FBCD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643C868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0102D89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653B0A7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250E591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2.8</w:t>
            </w:r>
          </w:p>
        </w:tc>
        <w:tc>
          <w:tcPr>
            <w:tcW w:w="382" w:type="pct"/>
            <w:vAlign w:val="center"/>
          </w:tcPr>
          <w:p w14:paraId="327DB4E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549354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6F3134C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苯</w:t>
            </w:r>
          </w:p>
        </w:tc>
        <w:tc>
          <w:tcPr>
            <w:tcW w:w="528" w:type="pct"/>
            <w:vAlign w:val="center"/>
          </w:tcPr>
          <w:p w14:paraId="4DC25BC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3446F46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211BAFF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3E3B9E8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103D998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2637ACE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w:t>
            </w:r>
          </w:p>
        </w:tc>
        <w:tc>
          <w:tcPr>
            <w:tcW w:w="382" w:type="pct"/>
            <w:vAlign w:val="center"/>
          </w:tcPr>
          <w:p w14:paraId="40F00F9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5A46BB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332EA52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1,2-二氯乙烷</w:t>
            </w:r>
          </w:p>
        </w:tc>
        <w:tc>
          <w:tcPr>
            <w:tcW w:w="528" w:type="pct"/>
            <w:vAlign w:val="center"/>
          </w:tcPr>
          <w:p w14:paraId="1F8194F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493CA77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36F2457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0760DFD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2A79337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06B86B0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w:t>
            </w:r>
          </w:p>
        </w:tc>
        <w:tc>
          <w:tcPr>
            <w:tcW w:w="382" w:type="pct"/>
            <w:vAlign w:val="center"/>
          </w:tcPr>
          <w:p w14:paraId="6BEF66C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39B601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669BD94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三氯乙烯</w:t>
            </w:r>
          </w:p>
        </w:tc>
        <w:tc>
          <w:tcPr>
            <w:tcW w:w="528" w:type="pct"/>
            <w:vAlign w:val="center"/>
          </w:tcPr>
          <w:p w14:paraId="03EC7B4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2242028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59679D3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7706BB8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585498C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40771FB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2.8</w:t>
            </w:r>
          </w:p>
        </w:tc>
        <w:tc>
          <w:tcPr>
            <w:tcW w:w="382" w:type="pct"/>
            <w:vAlign w:val="center"/>
          </w:tcPr>
          <w:p w14:paraId="35091D4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5C8E19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1652D65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1,2-二氯丙烷</w:t>
            </w:r>
          </w:p>
        </w:tc>
        <w:tc>
          <w:tcPr>
            <w:tcW w:w="528" w:type="pct"/>
            <w:vAlign w:val="center"/>
          </w:tcPr>
          <w:p w14:paraId="02F4BAA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01A9F26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6FC57A2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05EB994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3A65111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524D6B5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w:t>
            </w:r>
          </w:p>
        </w:tc>
        <w:tc>
          <w:tcPr>
            <w:tcW w:w="382" w:type="pct"/>
            <w:vAlign w:val="center"/>
          </w:tcPr>
          <w:p w14:paraId="7F1B7CC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61BEE9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526FB41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甲苯</w:t>
            </w:r>
          </w:p>
        </w:tc>
        <w:tc>
          <w:tcPr>
            <w:tcW w:w="528" w:type="pct"/>
            <w:vAlign w:val="center"/>
          </w:tcPr>
          <w:p w14:paraId="225BBB4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342B869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04D7A18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5F5D95B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24461C4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30B76E2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1200</w:t>
            </w:r>
          </w:p>
        </w:tc>
        <w:tc>
          <w:tcPr>
            <w:tcW w:w="382" w:type="pct"/>
            <w:vAlign w:val="center"/>
          </w:tcPr>
          <w:p w14:paraId="0809243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6BED96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741F5AC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1,1,2-三氯乙烷</w:t>
            </w:r>
          </w:p>
        </w:tc>
        <w:tc>
          <w:tcPr>
            <w:tcW w:w="528" w:type="pct"/>
            <w:vAlign w:val="center"/>
          </w:tcPr>
          <w:p w14:paraId="71E9FEF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38E7745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22671E6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69050A8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017121E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6C2F4ED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2.8</w:t>
            </w:r>
          </w:p>
        </w:tc>
        <w:tc>
          <w:tcPr>
            <w:tcW w:w="382" w:type="pct"/>
            <w:vAlign w:val="center"/>
          </w:tcPr>
          <w:p w14:paraId="6DF1AFA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54DD01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14B49DA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四氯乙烯</w:t>
            </w:r>
          </w:p>
        </w:tc>
        <w:tc>
          <w:tcPr>
            <w:tcW w:w="528" w:type="pct"/>
            <w:vAlign w:val="center"/>
          </w:tcPr>
          <w:p w14:paraId="7011A73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70492A7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41EE314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69E45C5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78B815C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492863C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53</w:t>
            </w:r>
          </w:p>
        </w:tc>
        <w:tc>
          <w:tcPr>
            <w:tcW w:w="382" w:type="pct"/>
            <w:vAlign w:val="center"/>
          </w:tcPr>
          <w:p w14:paraId="2D87FC0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6D6E26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3D8C546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氯苯</w:t>
            </w:r>
          </w:p>
        </w:tc>
        <w:tc>
          <w:tcPr>
            <w:tcW w:w="528" w:type="pct"/>
            <w:vAlign w:val="center"/>
          </w:tcPr>
          <w:p w14:paraId="4B8E571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2EB01A9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34F9221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549EBE2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68F0BAA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76364BA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270</w:t>
            </w:r>
          </w:p>
        </w:tc>
        <w:tc>
          <w:tcPr>
            <w:tcW w:w="382" w:type="pct"/>
            <w:vAlign w:val="center"/>
          </w:tcPr>
          <w:p w14:paraId="1C01001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11B3A6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35B7F3C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1,1,1,2-四氯乙烷</w:t>
            </w:r>
          </w:p>
        </w:tc>
        <w:tc>
          <w:tcPr>
            <w:tcW w:w="528" w:type="pct"/>
            <w:vAlign w:val="center"/>
          </w:tcPr>
          <w:p w14:paraId="6D0F245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78F195F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6712EA7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5BBA9B7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20EA3CA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5526B80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10</w:t>
            </w:r>
          </w:p>
        </w:tc>
        <w:tc>
          <w:tcPr>
            <w:tcW w:w="382" w:type="pct"/>
            <w:vAlign w:val="center"/>
          </w:tcPr>
          <w:p w14:paraId="496DBB3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072AC6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340B9E0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乙苯</w:t>
            </w:r>
          </w:p>
        </w:tc>
        <w:tc>
          <w:tcPr>
            <w:tcW w:w="528" w:type="pct"/>
            <w:vAlign w:val="center"/>
          </w:tcPr>
          <w:p w14:paraId="3CB9D62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4059295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3794285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49DCE98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3AF88C6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6C30395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28</w:t>
            </w:r>
          </w:p>
        </w:tc>
        <w:tc>
          <w:tcPr>
            <w:tcW w:w="382" w:type="pct"/>
            <w:vAlign w:val="center"/>
          </w:tcPr>
          <w:p w14:paraId="1115AA1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48D78E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0F1BE0F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间,对-二甲苯</w:t>
            </w:r>
          </w:p>
        </w:tc>
        <w:tc>
          <w:tcPr>
            <w:tcW w:w="528" w:type="pct"/>
            <w:vAlign w:val="center"/>
          </w:tcPr>
          <w:p w14:paraId="3B91D43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6487518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36501C3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3A58025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5D5F781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328EB6B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570</w:t>
            </w:r>
          </w:p>
        </w:tc>
        <w:tc>
          <w:tcPr>
            <w:tcW w:w="382" w:type="pct"/>
            <w:vAlign w:val="center"/>
          </w:tcPr>
          <w:p w14:paraId="2804525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289D17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1082958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邻-二甲苯</w:t>
            </w:r>
          </w:p>
        </w:tc>
        <w:tc>
          <w:tcPr>
            <w:tcW w:w="528" w:type="pct"/>
            <w:vAlign w:val="center"/>
          </w:tcPr>
          <w:p w14:paraId="7CAE108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3CBD4B1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44F6537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38EC2F0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57D6027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4829ECB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640</w:t>
            </w:r>
          </w:p>
        </w:tc>
        <w:tc>
          <w:tcPr>
            <w:tcW w:w="382" w:type="pct"/>
            <w:vAlign w:val="center"/>
          </w:tcPr>
          <w:p w14:paraId="0B6B25F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0E2642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2DAACD3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苯乙烯</w:t>
            </w:r>
          </w:p>
        </w:tc>
        <w:tc>
          <w:tcPr>
            <w:tcW w:w="528" w:type="pct"/>
            <w:vAlign w:val="center"/>
          </w:tcPr>
          <w:p w14:paraId="0C8F77B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76F0A54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0901BA6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22582BE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2B99F34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4C16858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1290</w:t>
            </w:r>
          </w:p>
        </w:tc>
        <w:tc>
          <w:tcPr>
            <w:tcW w:w="382" w:type="pct"/>
            <w:vAlign w:val="center"/>
          </w:tcPr>
          <w:p w14:paraId="170DF96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6E98C3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6CC3D80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1,1,2,2-四氯乙烷</w:t>
            </w:r>
          </w:p>
        </w:tc>
        <w:tc>
          <w:tcPr>
            <w:tcW w:w="528" w:type="pct"/>
            <w:vAlign w:val="center"/>
          </w:tcPr>
          <w:p w14:paraId="3043A84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2E9AE7D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07BCB9E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6E33F55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5A579CB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6E24D70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6.8</w:t>
            </w:r>
          </w:p>
        </w:tc>
        <w:tc>
          <w:tcPr>
            <w:tcW w:w="382" w:type="pct"/>
            <w:vAlign w:val="center"/>
          </w:tcPr>
          <w:p w14:paraId="1658FAC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79F3F6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7598F1C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1,2,3-三氯丙烷</w:t>
            </w:r>
          </w:p>
        </w:tc>
        <w:tc>
          <w:tcPr>
            <w:tcW w:w="528" w:type="pct"/>
            <w:vAlign w:val="center"/>
          </w:tcPr>
          <w:p w14:paraId="07808FC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6A17899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24068C0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2A377D8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2DD8783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6488C8B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0.5</w:t>
            </w:r>
          </w:p>
        </w:tc>
        <w:tc>
          <w:tcPr>
            <w:tcW w:w="382" w:type="pct"/>
            <w:vAlign w:val="center"/>
          </w:tcPr>
          <w:p w14:paraId="6E88320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66B871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1F42BE1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1,4-二氯苯</w:t>
            </w:r>
          </w:p>
        </w:tc>
        <w:tc>
          <w:tcPr>
            <w:tcW w:w="528" w:type="pct"/>
            <w:vAlign w:val="center"/>
          </w:tcPr>
          <w:p w14:paraId="5E83859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76A9011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4C9CC12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34A9D1C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71E0868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4D95790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20</w:t>
            </w:r>
          </w:p>
        </w:tc>
        <w:tc>
          <w:tcPr>
            <w:tcW w:w="382" w:type="pct"/>
            <w:vAlign w:val="center"/>
          </w:tcPr>
          <w:p w14:paraId="7A4FE95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6FF104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4CFA1BF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1,2-二氯苯</w:t>
            </w:r>
          </w:p>
        </w:tc>
        <w:tc>
          <w:tcPr>
            <w:tcW w:w="528" w:type="pct"/>
            <w:vAlign w:val="center"/>
          </w:tcPr>
          <w:p w14:paraId="3210259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307E7DD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7FAEDAE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7211A1E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297D9CE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52F8E60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560</w:t>
            </w:r>
          </w:p>
        </w:tc>
        <w:tc>
          <w:tcPr>
            <w:tcW w:w="382" w:type="pct"/>
            <w:vAlign w:val="center"/>
          </w:tcPr>
          <w:p w14:paraId="319D05B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28A086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0C3E575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苯胺</w:t>
            </w:r>
          </w:p>
        </w:tc>
        <w:tc>
          <w:tcPr>
            <w:tcW w:w="528" w:type="pct"/>
            <w:vAlign w:val="center"/>
          </w:tcPr>
          <w:p w14:paraId="4EA8560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2AF92CB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3434A6E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62F461A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5454480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405BD2A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260</w:t>
            </w:r>
          </w:p>
        </w:tc>
        <w:tc>
          <w:tcPr>
            <w:tcW w:w="382" w:type="pct"/>
            <w:vAlign w:val="center"/>
          </w:tcPr>
          <w:p w14:paraId="1DAD9E5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4F4AA3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316661E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2-氯苯酚</w:t>
            </w:r>
          </w:p>
        </w:tc>
        <w:tc>
          <w:tcPr>
            <w:tcW w:w="528" w:type="pct"/>
            <w:vAlign w:val="center"/>
          </w:tcPr>
          <w:p w14:paraId="3FC6F99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4F62F14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21CFD4B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3D203DB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18ED133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5A05F3A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2256</w:t>
            </w:r>
          </w:p>
        </w:tc>
        <w:tc>
          <w:tcPr>
            <w:tcW w:w="382" w:type="pct"/>
            <w:vAlign w:val="center"/>
          </w:tcPr>
          <w:p w14:paraId="31601D2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5634A4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7D7512A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硝基苯</w:t>
            </w:r>
          </w:p>
        </w:tc>
        <w:tc>
          <w:tcPr>
            <w:tcW w:w="528" w:type="pct"/>
            <w:vAlign w:val="center"/>
          </w:tcPr>
          <w:p w14:paraId="0F58D04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5D3C192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659CC3D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4A1188B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1DB783A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2442014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76</w:t>
            </w:r>
          </w:p>
        </w:tc>
        <w:tc>
          <w:tcPr>
            <w:tcW w:w="382" w:type="pct"/>
            <w:vAlign w:val="center"/>
          </w:tcPr>
          <w:p w14:paraId="133793F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7B1EE0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3C96C12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萘</w:t>
            </w:r>
          </w:p>
        </w:tc>
        <w:tc>
          <w:tcPr>
            <w:tcW w:w="528" w:type="pct"/>
            <w:vAlign w:val="center"/>
          </w:tcPr>
          <w:p w14:paraId="7E7DA18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34ABA5F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380BE03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3AA5306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6E3F203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06C378F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70</w:t>
            </w:r>
          </w:p>
        </w:tc>
        <w:tc>
          <w:tcPr>
            <w:tcW w:w="382" w:type="pct"/>
            <w:vAlign w:val="center"/>
          </w:tcPr>
          <w:p w14:paraId="1404117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31D846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6A97089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苯并[a]蒽</w:t>
            </w:r>
          </w:p>
        </w:tc>
        <w:tc>
          <w:tcPr>
            <w:tcW w:w="528" w:type="pct"/>
            <w:vAlign w:val="center"/>
          </w:tcPr>
          <w:p w14:paraId="3F3108A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5724F3C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3FA9440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5BA4A55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5668467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7964E64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15</w:t>
            </w:r>
          </w:p>
        </w:tc>
        <w:tc>
          <w:tcPr>
            <w:tcW w:w="382" w:type="pct"/>
            <w:vAlign w:val="center"/>
          </w:tcPr>
          <w:p w14:paraId="2EE211F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442801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5115ED4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䓛</w:t>
            </w:r>
          </w:p>
        </w:tc>
        <w:tc>
          <w:tcPr>
            <w:tcW w:w="528" w:type="pct"/>
            <w:vAlign w:val="center"/>
          </w:tcPr>
          <w:p w14:paraId="513B8C0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747822A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3FD6B51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2AEE0B6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09380BF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462EE5C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1293</w:t>
            </w:r>
          </w:p>
        </w:tc>
        <w:tc>
          <w:tcPr>
            <w:tcW w:w="382" w:type="pct"/>
            <w:vAlign w:val="center"/>
          </w:tcPr>
          <w:p w14:paraId="103108B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528B97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4DD49E8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苯并[b]荧蒽</w:t>
            </w:r>
          </w:p>
        </w:tc>
        <w:tc>
          <w:tcPr>
            <w:tcW w:w="528" w:type="pct"/>
            <w:vAlign w:val="center"/>
          </w:tcPr>
          <w:p w14:paraId="70D2EE6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67117A5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248FB5B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383B4AA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55ACD23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6208B1F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15</w:t>
            </w:r>
          </w:p>
        </w:tc>
        <w:tc>
          <w:tcPr>
            <w:tcW w:w="382" w:type="pct"/>
            <w:vAlign w:val="center"/>
          </w:tcPr>
          <w:p w14:paraId="02A0167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28450E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503AE8D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苯并[k]荧蒽</w:t>
            </w:r>
          </w:p>
        </w:tc>
        <w:tc>
          <w:tcPr>
            <w:tcW w:w="528" w:type="pct"/>
            <w:vAlign w:val="center"/>
          </w:tcPr>
          <w:p w14:paraId="7F02411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1488CF4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5F8587D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20B8951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643CCC0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0B6D051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151</w:t>
            </w:r>
          </w:p>
        </w:tc>
        <w:tc>
          <w:tcPr>
            <w:tcW w:w="382" w:type="pct"/>
            <w:vAlign w:val="center"/>
          </w:tcPr>
          <w:p w14:paraId="7069DCB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261CF4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7C41A3D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苯并[a]芘</w:t>
            </w:r>
          </w:p>
        </w:tc>
        <w:tc>
          <w:tcPr>
            <w:tcW w:w="528" w:type="pct"/>
            <w:vAlign w:val="center"/>
          </w:tcPr>
          <w:p w14:paraId="7D36639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2A97699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0DBB196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5DC96F4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13C0181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4B68335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1.5</w:t>
            </w:r>
          </w:p>
        </w:tc>
        <w:tc>
          <w:tcPr>
            <w:tcW w:w="382" w:type="pct"/>
            <w:vAlign w:val="center"/>
          </w:tcPr>
          <w:p w14:paraId="77878C4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19A083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3FEA3B9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茚并[1,2,3-cd]芘</w:t>
            </w:r>
          </w:p>
        </w:tc>
        <w:tc>
          <w:tcPr>
            <w:tcW w:w="528" w:type="pct"/>
            <w:vAlign w:val="center"/>
          </w:tcPr>
          <w:p w14:paraId="17FDEFD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03E7FED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7627C30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6E73118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4F755F3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64D2606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15</w:t>
            </w:r>
          </w:p>
        </w:tc>
        <w:tc>
          <w:tcPr>
            <w:tcW w:w="382" w:type="pct"/>
            <w:vAlign w:val="center"/>
          </w:tcPr>
          <w:p w14:paraId="75C820D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37B278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3DCFF39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二苯并[a,h]蒽</w:t>
            </w:r>
          </w:p>
        </w:tc>
        <w:tc>
          <w:tcPr>
            <w:tcW w:w="528" w:type="pct"/>
            <w:vAlign w:val="center"/>
          </w:tcPr>
          <w:p w14:paraId="6DC1DE3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4176104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695B9E8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7ADE85D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45C1D4F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3814AAD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1.5</w:t>
            </w:r>
          </w:p>
        </w:tc>
        <w:tc>
          <w:tcPr>
            <w:tcW w:w="382" w:type="pct"/>
            <w:vAlign w:val="center"/>
          </w:tcPr>
          <w:p w14:paraId="0BEA545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363DD5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54D2341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石油烃(C</w:t>
            </w:r>
            <w:r>
              <w:rPr>
                <w:rFonts w:ascii="Times New Roman" w:hAnsi="Times New Roman" w:cs="Times New Roman"/>
                <w:color w:val="000000" w:themeColor="text1"/>
                <w:sz w:val="21"/>
                <w:szCs w:val="21"/>
                <w:vertAlign w:val="subscript"/>
                <w14:textFill>
                  <w14:solidFill>
                    <w14:schemeClr w14:val="tx1"/>
                  </w14:solidFill>
                </w14:textFill>
              </w:rPr>
              <w:t>10</w:t>
            </w:r>
            <w:r>
              <w:rPr>
                <w:rFonts w:ascii="Times New Roman" w:hAnsi="Times New Roman" w:cs="Times New Roman"/>
                <w:color w:val="000000" w:themeColor="text1"/>
                <w:sz w:val="21"/>
                <w:szCs w:val="21"/>
                <w14:textFill>
                  <w14:solidFill>
                    <w14:schemeClr w14:val="tx1"/>
                  </w14:solidFill>
                </w14:textFill>
              </w:rPr>
              <w:t>-C</w:t>
            </w:r>
            <w:r>
              <w:rPr>
                <w:rFonts w:ascii="Times New Roman" w:hAnsi="Times New Roman" w:cs="Times New Roman"/>
                <w:color w:val="000000" w:themeColor="text1"/>
                <w:sz w:val="21"/>
                <w:szCs w:val="21"/>
                <w:vertAlign w:val="subscript"/>
                <w14:textFill>
                  <w14:solidFill>
                    <w14:schemeClr w14:val="tx1"/>
                  </w14:solidFill>
                </w14:textFill>
              </w:rPr>
              <w:t>40</w:t>
            </w:r>
            <w:r>
              <w:rPr>
                <w:rFonts w:ascii="Times New Roman" w:hAnsi="Times New Roman" w:cs="Times New Roman"/>
                <w:color w:val="000000" w:themeColor="text1"/>
                <w:sz w:val="21"/>
                <w:szCs w:val="21"/>
                <w14:textFill>
                  <w14:solidFill>
                    <w14:schemeClr w14:val="tx1"/>
                  </w14:solidFill>
                </w14:textFill>
              </w:rPr>
              <w:t>)</w:t>
            </w:r>
          </w:p>
        </w:tc>
        <w:tc>
          <w:tcPr>
            <w:tcW w:w="528" w:type="pct"/>
            <w:vAlign w:val="center"/>
          </w:tcPr>
          <w:p w14:paraId="1F24E60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6598FFD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17</w:t>
            </w:r>
          </w:p>
        </w:tc>
        <w:tc>
          <w:tcPr>
            <w:tcW w:w="592" w:type="pct"/>
            <w:vAlign w:val="center"/>
          </w:tcPr>
          <w:p w14:paraId="399CCE6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7</w:t>
            </w:r>
          </w:p>
        </w:tc>
        <w:tc>
          <w:tcPr>
            <w:tcW w:w="592" w:type="pct"/>
            <w:vAlign w:val="center"/>
          </w:tcPr>
          <w:p w14:paraId="4FA613D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11</w:t>
            </w:r>
          </w:p>
        </w:tc>
        <w:tc>
          <w:tcPr>
            <w:tcW w:w="594" w:type="pct"/>
            <w:vAlign w:val="center"/>
          </w:tcPr>
          <w:p w14:paraId="3153E63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10</w:t>
            </w:r>
          </w:p>
        </w:tc>
        <w:tc>
          <w:tcPr>
            <w:tcW w:w="627" w:type="pct"/>
            <w:vAlign w:val="center"/>
          </w:tcPr>
          <w:p w14:paraId="7AB38DE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4500</w:t>
            </w:r>
          </w:p>
        </w:tc>
        <w:tc>
          <w:tcPr>
            <w:tcW w:w="382" w:type="pct"/>
            <w:vAlign w:val="center"/>
          </w:tcPr>
          <w:p w14:paraId="5558443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bl>
    <w:p w14:paraId="7D3C77E3"/>
    <w:p w14:paraId="13D03854">
      <w:pPr>
        <w:pStyle w:val="28"/>
        <w:rPr>
          <w:rFonts w:hint="eastAsia"/>
        </w:rPr>
      </w:pPr>
      <w:r>
        <w:rPr>
          <w:rFonts w:hint="eastAsia"/>
        </w:rPr>
        <w:t>表5.2-19  土壤监测结果表(5)</w:t>
      </w:r>
    </w:p>
    <w:tbl>
      <w:tblPr>
        <w:tblStyle w:val="3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30"/>
        <w:gridCol w:w="981"/>
        <w:gridCol w:w="1099"/>
        <w:gridCol w:w="1099"/>
        <w:gridCol w:w="1099"/>
        <w:gridCol w:w="1103"/>
        <w:gridCol w:w="1165"/>
        <w:gridCol w:w="710"/>
      </w:tblGrid>
      <w:tr w14:paraId="512FE3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093" w:type="pct"/>
            <w:vMerge w:val="restart"/>
            <w:tcBorders>
              <w:bottom w:val="single" w:color="auto" w:sz="4" w:space="0"/>
            </w:tcBorders>
            <w:vAlign w:val="center"/>
          </w:tcPr>
          <w:p w14:paraId="360DA18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检测项目</w:t>
            </w:r>
          </w:p>
        </w:tc>
        <w:tc>
          <w:tcPr>
            <w:tcW w:w="528" w:type="pct"/>
            <w:vMerge w:val="restart"/>
            <w:tcBorders>
              <w:bottom w:val="single" w:color="auto" w:sz="4" w:space="0"/>
            </w:tcBorders>
            <w:vAlign w:val="center"/>
          </w:tcPr>
          <w:p w14:paraId="43FB1FB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单位</w:t>
            </w:r>
          </w:p>
        </w:tc>
        <w:tc>
          <w:tcPr>
            <w:tcW w:w="2370" w:type="pct"/>
            <w:gridSpan w:val="4"/>
            <w:tcBorders>
              <w:bottom w:val="single" w:color="auto" w:sz="4" w:space="0"/>
            </w:tcBorders>
            <w:vAlign w:val="center"/>
          </w:tcPr>
          <w:p w14:paraId="13FCC7F6">
            <w:pPr>
              <w:pStyle w:val="82"/>
              <w:spacing w:line="240" w:lineRule="auto"/>
              <w:ind w:firstLine="42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S</w:t>
            </w:r>
            <w:r>
              <w:rPr>
                <w:rFonts w:hint="eastAsia" w:ascii="Times New Roman" w:hAnsi="Times New Roman" w:cs="Times New Roman"/>
                <w:color w:val="000000" w:themeColor="text1"/>
                <w:sz w:val="21"/>
                <w:szCs w:val="21"/>
                <w14:textFill>
                  <w14:solidFill>
                    <w14:schemeClr w14:val="tx1"/>
                  </w14:solidFill>
                </w14:textFill>
              </w:rPr>
              <w:t>5</w:t>
            </w:r>
          </w:p>
        </w:tc>
        <w:tc>
          <w:tcPr>
            <w:tcW w:w="627" w:type="pct"/>
            <w:vMerge w:val="restart"/>
            <w:tcBorders>
              <w:bottom w:val="single" w:color="auto" w:sz="4" w:space="0"/>
            </w:tcBorders>
            <w:vAlign w:val="center"/>
          </w:tcPr>
          <w:p w14:paraId="638FF45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第二类用地风险筛选值</w:t>
            </w:r>
          </w:p>
        </w:tc>
        <w:tc>
          <w:tcPr>
            <w:tcW w:w="382" w:type="pct"/>
            <w:vMerge w:val="restart"/>
            <w:tcBorders>
              <w:bottom w:val="single" w:color="auto" w:sz="4" w:space="0"/>
            </w:tcBorders>
            <w:vAlign w:val="center"/>
          </w:tcPr>
          <w:p w14:paraId="249DB4D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达标情况</w:t>
            </w:r>
          </w:p>
        </w:tc>
      </w:tr>
      <w:tr w14:paraId="1E0DC0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093" w:type="pct"/>
            <w:vMerge w:val="continue"/>
            <w:vAlign w:val="center"/>
          </w:tcPr>
          <w:p w14:paraId="353FB92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c>
          <w:tcPr>
            <w:tcW w:w="528" w:type="pct"/>
            <w:vMerge w:val="continue"/>
            <w:vAlign w:val="center"/>
          </w:tcPr>
          <w:p w14:paraId="68ADCBB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c>
          <w:tcPr>
            <w:tcW w:w="592" w:type="pct"/>
            <w:vAlign w:val="center"/>
          </w:tcPr>
          <w:p w14:paraId="6E6C926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w:t>
            </w:r>
            <w:r>
              <w:rPr>
                <w:rFonts w:hint="eastAsia" w:ascii="Times New Roman" w:hAnsi="Times New Roman" w:cs="Times New Roman"/>
                <w:color w:val="000000" w:themeColor="text1"/>
                <w:sz w:val="21"/>
                <w:szCs w:val="21"/>
                <w14:textFill>
                  <w14:solidFill>
                    <w14:schemeClr w14:val="tx1"/>
                  </w14:solidFill>
                </w14:textFill>
              </w:rPr>
              <w:t>0.5</w:t>
            </w:r>
            <w:r>
              <w:rPr>
                <w:rFonts w:ascii="Times New Roman" w:hAnsi="Times New Roman" w:cs="Times New Roman"/>
                <w:color w:val="000000" w:themeColor="text1"/>
                <w:sz w:val="21"/>
                <w:szCs w:val="21"/>
                <w14:textFill>
                  <w14:solidFill>
                    <w14:schemeClr w14:val="tx1"/>
                  </w14:solidFill>
                </w14:textFill>
              </w:rPr>
              <w:t>m</w:t>
            </w:r>
          </w:p>
        </w:tc>
        <w:tc>
          <w:tcPr>
            <w:tcW w:w="592" w:type="pct"/>
            <w:vAlign w:val="center"/>
          </w:tcPr>
          <w:p w14:paraId="563872D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w:t>
            </w:r>
            <w:r>
              <w:rPr>
                <w:rFonts w:hint="eastAsia" w:ascii="Times New Roman" w:hAnsi="Times New Roman" w:cs="Times New Roman"/>
                <w:color w:val="000000" w:themeColor="text1"/>
                <w:sz w:val="21"/>
                <w:szCs w:val="21"/>
                <w14:textFill>
                  <w14:solidFill>
                    <w14:schemeClr w14:val="tx1"/>
                  </w14:solidFill>
                </w14:textFill>
              </w:rPr>
              <w:t>.</w:t>
            </w:r>
            <w:r>
              <w:rPr>
                <w:rFonts w:ascii="Times New Roman" w:hAnsi="Times New Roman" w:cs="Times New Roman"/>
                <w:color w:val="000000" w:themeColor="text1"/>
                <w:sz w:val="21"/>
                <w:szCs w:val="21"/>
                <w14:textFill>
                  <w14:solidFill>
                    <w14:schemeClr w14:val="tx1"/>
                  </w14:solidFill>
                </w14:textFill>
              </w:rPr>
              <w:t>5-2m</w:t>
            </w:r>
          </w:p>
        </w:tc>
        <w:tc>
          <w:tcPr>
            <w:tcW w:w="592" w:type="pct"/>
            <w:vAlign w:val="center"/>
          </w:tcPr>
          <w:p w14:paraId="4E9ABFF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3-4m</w:t>
            </w:r>
          </w:p>
        </w:tc>
        <w:tc>
          <w:tcPr>
            <w:tcW w:w="594" w:type="pct"/>
            <w:vAlign w:val="center"/>
          </w:tcPr>
          <w:p w14:paraId="21C3CF2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5-6m</w:t>
            </w:r>
          </w:p>
        </w:tc>
        <w:tc>
          <w:tcPr>
            <w:tcW w:w="627" w:type="pct"/>
            <w:vMerge w:val="continue"/>
            <w:vAlign w:val="center"/>
          </w:tcPr>
          <w:p w14:paraId="6FEF1C9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c>
          <w:tcPr>
            <w:tcW w:w="382" w:type="pct"/>
            <w:vMerge w:val="continue"/>
            <w:vAlign w:val="center"/>
          </w:tcPr>
          <w:p w14:paraId="43292F7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r>
      <w:tr w14:paraId="5D7968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093" w:type="pct"/>
            <w:vMerge w:val="continue"/>
            <w:vAlign w:val="center"/>
          </w:tcPr>
          <w:p w14:paraId="1097BB1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c>
          <w:tcPr>
            <w:tcW w:w="528" w:type="pct"/>
            <w:vMerge w:val="continue"/>
            <w:vAlign w:val="center"/>
          </w:tcPr>
          <w:p w14:paraId="27F14F2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c>
          <w:tcPr>
            <w:tcW w:w="2370" w:type="pct"/>
            <w:gridSpan w:val="4"/>
            <w:vAlign w:val="center"/>
          </w:tcPr>
          <w:p w14:paraId="6F755C6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采样日期：2025.11.2</w:t>
            </w:r>
            <w:r>
              <w:rPr>
                <w:rFonts w:hint="eastAsia" w:ascii="Times New Roman" w:hAnsi="Times New Roman" w:cs="Times New Roman"/>
                <w:color w:val="000000" w:themeColor="text1"/>
                <w:sz w:val="21"/>
                <w:szCs w:val="21"/>
                <w14:textFill>
                  <w14:solidFill>
                    <w14:schemeClr w14:val="tx1"/>
                  </w14:solidFill>
                </w14:textFill>
              </w:rPr>
              <w:t>2</w:t>
            </w:r>
          </w:p>
        </w:tc>
        <w:tc>
          <w:tcPr>
            <w:tcW w:w="627" w:type="pct"/>
            <w:vMerge w:val="continue"/>
            <w:vAlign w:val="center"/>
          </w:tcPr>
          <w:p w14:paraId="0467F80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c>
          <w:tcPr>
            <w:tcW w:w="382" w:type="pct"/>
            <w:vMerge w:val="continue"/>
            <w:vAlign w:val="center"/>
          </w:tcPr>
          <w:p w14:paraId="23A3C99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r>
      <w:tr w14:paraId="121B8F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093" w:type="pct"/>
            <w:vAlign w:val="center"/>
          </w:tcPr>
          <w:p w14:paraId="15AC694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pH值</w:t>
            </w:r>
          </w:p>
        </w:tc>
        <w:tc>
          <w:tcPr>
            <w:tcW w:w="528" w:type="pct"/>
            <w:vAlign w:val="center"/>
          </w:tcPr>
          <w:p w14:paraId="1250696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无量纲</w:t>
            </w:r>
          </w:p>
        </w:tc>
        <w:tc>
          <w:tcPr>
            <w:tcW w:w="592" w:type="pct"/>
            <w:vAlign w:val="center"/>
          </w:tcPr>
          <w:p w14:paraId="31E8FB6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9.46</w:t>
            </w:r>
          </w:p>
        </w:tc>
        <w:tc>
          <w:tcPr>
            <w:tcW w:w="592" w:type="pct"/>
            <w:vAlign w:val="center"/>
          </w:tcPr>
          <w:p w14:paraId="520237F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9.27</w:t>
            </w:r>
          </w:p>
        </w:tc>
        <w:tc>
          <w:tcPr>
            <w:tcW w:w="592" w:type="pct"/>
            <w:vAlign w:val="center"/>
          </w:tcPr>
          <w:p w14:paraId="3A2B22B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8.82</w:t>
            </w:r>
          </w:p>
        </w:tc>
        <w:tc>
          <w:tcPr>
            <w:tcW w:w="594" w:type="pct"/>
            <w:vAlign w:val="center"/>
          </w:tcPr>
          <w:p w14:paraId="23DF30E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8.74</w:t>
            </w:r>
          </w:p>
        </w:tc>
        <w:tc>
          <w:tcPr>
            <w:tcW w:w="627" w:type="pct"/>
            <w:vAlign w:val="center"/>
          </w:tcPr>
          <w:p w14:paraId="4463DBC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w:t>
            </w:r>
          </w:p>
        </w:tc>
        <w:tc>
          <w:tcPr>
            <w:tcW w:w="382" w:type="pct"/>
            <w:vAlign w:val="center"/>
          </w:tcPr>
          <w:p w14:paraId="45F2E3D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w:t>
            </w:r>
          </w:p>
        </w:tc>
      </w:tr>
      <w:tr w14:paraId="740BC5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093" w:type="pct"/>
            <w:vAlign w:val="center"/>
          </w:tcPr>
          <w:p w14:paraId="466431F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砷</w:t>
            </w:r>
          </w:p>
        </w:tc>
        <w:tc>
          <w:tcPr>
            <w:tcW w:w="528" w:type="pct"/>
            <w:vAlign w:val="center"/>
          </w:tcPr>
          <w:p w14:paraId="0CDCF70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13FE2A9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8.74</w:t>
            </w:r>
          </w:p>
        </w:tc>
        <w:tc>
          <w:tcPr>
            <w:tcW w:w="592" w:type="pct"/>
            <w:vAlign w:val="center"/>
          </w:tcPr>
          <w:p w14:paraId="18B4317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9.22</w:t>
            </w:r>
          </w:p>
        </w:tc>
        <w:tc>
          <w:tcPr>
            <w:tcW w:w="592" w:type="pct"/>
            <w:vAlign w:val="center"/>
          </w:tcPr>
          <w:p w14:paraId="53DAFA9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18.4</w:t>
            </w:r>
          </w:p>
        </w:tc>
        <w:tc>
          <w:tcPr>
            <w:tcW w:w="594" w:type="pct"/>
            <w:vAlign w:val="center"/>
          </w:tcPr>
          <w:p w14:paraId="12CD95C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8.74</w:t>
            </w:r>
          </w:p>
        </w:tc>
        <w:tc>
          <w:tcPr>
            <w:tcW w:w="627" w:type="pct"/>
            <w:vAlign w:val="center"/>
          </w:tcPr>
          <w:p w14:paraId="73F7E25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60</w:t>
            </w:r>
          </w:p>
        </w:tc>
        <w:tc>
          <w:tcPr>
            <w:tcW w:w="382" w:type="pct"/>
            <w:vAlign w:val="center"/>
          </w:tcPr>
          <w:p w14:paraId="07B2DE6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76C48C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093" w:type="pct"/>
            <w:vAlign w:val="center"/>
          </w:tcPr>
          <w:p w14:paraId="02AC568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镉</w:t>
            </w:r>
          </w:p>
        </w:tc>
        <w:tc>
          <w:tcPr>
            <w:tcW w:w="528" w:type="pct"/>
            <w:vAlign w:val="center"/>
          </w:tcPr>
          <w:p w14:paraId="287FF4C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4FDE1C3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0.03</w:t>
            </w:r>
          </w:p>
        </w:tc>
        <w:tc>
          <w:tcPr>
            <w:tcW w:w="592" w:type="pct"/>
            <w:vAlign w:val="center"/>
          </w:tcPr>
          <w:p w14:paraId="16ED0AA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0.03</w:t>
            </w:r>
          </w:p>
        </w:tc>
        <w:tc>
          <w:tcPr>
            <w:tcW w:w="592" w:type="pct"/>
            <w:vAlign w:val="center"/>
          </w:tcPr>
          <w:p w14:paraId="1EBE63A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0.06</w:t>
            </w:r>
          </w:p>
        </w:tc>
        <w:tc>
          <w:tcPr>
            <w:tcW w:w="594" w:type="pct"/>
            <w:vAlign w:val="center"/>
          </w:tcPr>
          <w:p w14:paraId="09013C2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0.01</w:t>
            </w:r>
          </w:p>
        </w:tc>
        <w:tc>
          <w:tcPr>
            <w:tcW w:w="627" w:type="pct"/>
            <w:vAlign w:val="center"/>
          </w:tcPr>
          <w:p w14:paraId="0F6E93F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65</w:t>
            </w:r>
          </w:p>
        </w:tc>
        <w:tc>
          <w:tcPr>
            <w:tcW w:w="382" w:type="pct"/>
            <w:vAlign w:val="center"/>
          </w:tcPr>
          <w:p w14:paraId="2030449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3A2EA3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093" w:type="pct"/>
            <w:vAlign w:val="center"/>
          </w:tcPr>
          <w:p w14:paraId="6D5A91E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六价铬</w:t>
            </w:r>
          </w:p>
        </w:tc>
        <w:tc>
          <w:tcPr>
            <w:tcW w:w="528" w:type="pct"/>
            <w:vAlign w:val="center"/>
          </w:tcPr>
          <w:p w14:paraId="469C277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6FA2739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4638672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7CD934B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33C8B84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3653888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5.7</w:t>
            </w:r>
          </w:p>
        </w:tc>
        <w:tc>
          <w:tcPr>
            <w:tcW w:w="382" w:type="pct"/>
            <w:vAlign w:val="center"/>
          </w:tcPr>
          <w:p w14:paraId="3DA9E7C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2E6197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2A38B64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铜</w:t>
            </w:r>
          </w:p>
        </w:tc>
        <w:tc>
          <w:tcPr>
            <w:tcW w:w="528" w:type="pct"/>
            <w:vAlign w:val="center"/>
          </w:tcPr>
          <w:p w14:paraId="5CB64D5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58C2B4C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25</w:t>
            </w:r>
          </w:p>
        </w:tc>
        <w:tc>
          <w:tcPr>
            <w:tcW w:w="592" w:type="pct"/>
            <w:vAlign w:val="center"/>
          </w:tcPr>
          <w:p w14:paraId="409D7DB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25</w:t>
            </w:r>
          </w:p>
        </w:tc>
        <w:tc>
          <w:tcPr>
            <w:tcW w:w="592" w:type="pct"/>
            <w:vAlign w:val="center"/>
          </w:tcPr>
          <w:p w14:paraId="74ECF6B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35</w:t>
            </w:r>
          </w:p>
        </w:tc>
        <w:tc>
          <w:tcPr>
            <w:tcW w:w="594" w:type="pct"/>
            <w:vAlign w:val="center"/>
          </w:tcPr>
          <w:p w14:paraId="41C2133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25</w:t>
            </w:r>
          </w:p>
        </w:tc>
        <w:tc>
          <w:tcPr>
            <w:tcW w:w="627" w:type="pct"/>
            <w:vAlign w:val="center"/>
          </w:tcPr>
          <w:p w14:paraId="4D67F02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18000</w:t>
            </w:r>
          </w:p>
        </w:tc>
        <w:tc>
          <w:tcPr>
            <w:tcW w:w="382" w:type="pct"/>
            <w:vAlign w:val="center"/>
          </w:tcPr>
          <w:p w14:paraId="2774295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30364A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70F1DDF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铅</w:t>
            </w:r>
          </w:p>
        </w:tc>
        <w:tc>
          <w:tcPr>
            <w:tcW w:w="528" w:type="pct"/>
            <w:vAlign w:val="center"/>
          </w:tcPr>
          <w:p w14:paraId="09DCF1D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7C35DBD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28.8</w:t>
            </w:r>
          </w:p>
        </w:tc>
        <w:tc>
          <w:tcPr>
            <w:tcW w:w="592" w:type="pct"/>
            <w:vAlign w:val="center"/>
          </w:tcPr>
          <w:p w14:paraId="393F4C5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33.4</w:t>
            </w:r>
          </w:p>
        </w:tc>
        <w:tc>
          <w:tcPr>
            <w:tcW w:w="592" w:type="pct"/>
            <w:vAlign w:val="center"/>
          </w:tcPr>
          <w:p w14:paraId="4C60E7B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41.6</w:t>
            </w:r>
          </w:p>
        </w:tc>
        <w:tc>
          <w:tcPr>
            <w:tcW w:w="594" w:type="pct"/>
            <w:vAlign w:val="center"/>
          </w:tcPr>
          <w:p w14:paraId="3CA7561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19.9</w:t>
            </w:r>
          </w:p>
        </w:tc>
        <w:tc>
          <w:tcPr>
            <w:tcW w:w="627" w:type="pct"/>
            <w:vAlign w:val="center"/>
          </w:tcPr>
          <w:p w14:paraId="7A9D8F2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800</w:t>
            </w:r>
          </w:p>
        </w:tc>
        <w:tc>
          <w:tcPr>
            <w:tcW w:w="382" w:type="pct"/>
            <w:vAlign w:val="center"/>
          </w:tcPr>
          <w:p w14:paraId="098AE31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61F466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2DD1775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汞</w:t>
            </w:r>
          </w:p>
        </w:tc>
        <w:tc>
          <w:tcPr>
            <w:tcW w:w="528" w:type="pct"/>
            <w:vAlign w:val="center"/>
          </w:tcPr>
          <w:p w14:paraId="57DAF16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056B14B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0.015</w:t>
            </w:r>
          </w:p>
        </w:tc>
        <w:tc>
          <w:tcPr>
            <w:tcW w:w="592" w:type="pct"/>
            <w:vAlign w:val="center"/>
          </w:tcPr>
          <w:p w14:paraId="7806A1B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0.014</w:t>
            </w:r>
          </w:p>
        </w:tc>
        <w:tc>
          <w:tcPr>
            <w:tcW w:w="592" w:type="pct"/>
            <w:vAlign w:val="center"/>
          </w:tcPr>
          <w:p w14:paraId="3176151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0.022</w:t>
            </w:r>
          </w:p>
        </w:tc>
        <w:tc>
          <w:tcPr>
            <w:tcW w:w="594" w:type="pct"/>
            <w:vAlign w:val="center"/>
          </w:tcPr>
          <w:p w14:paraId="1A14BF4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0.013</w:t>
            </w:r>
          </w:p>
        </w:tc>
        <w:tc>
          <w:tcPr>
            <w:tcW w:w="627" w:type="pct"/>
            <w:vAlign w:val="center"/>
          </w:tcPr>
          <w:p w14:paraId="28FB7E3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38</w:t>
            </w:r>
          </w:p>
        </w:tc>
        <w:tc>
          <w:tcPr>
            <w:tcW w:w="382" w:type="pct"/>
            <w:vAlign w:val="center"/>
          </w:tcPr>
          <w:p w14:paraId="5325888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6F5173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77FF092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镍</w:t>
            </w:r>
          </w:p>
        </w:tc>
        <w:tc>
          <w:tcPr>
            <w:tcW w:w="528" w:type="pct"/>
            <w:vAlign w:val="center"/>
          </w:tcPr>
          <w:p w14:paraId="0E1019F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1AC0836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35</w:t>
            </w:r>
          </w:p>
        </w:tc>
        <w:tc>
          <w:tcPr>
            <w:tcW w:w="592" w:type="pct"/>
            <w:vAlign w:val="center"/>
          </w:tcPr>
          <w:p w14:paraId="667CDCA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34</w:t>
            </w:r>
          </w:p>
        </w:tc>
        <w:tc>
          <w:tcPr>
            <w:tcW w:w="592" w:type="pct"/>
            <w:vAlign w:val="center"/>
          </w:tcPr>
          <w:p w14:paraId="5F28F5C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38</w:t>
            </w:r>
          </w:p>
        </w:tc>
        <w:tc>
          <w:tcPr>
            <w:tcW w:w="594" w:type="pct"/>
            <w:vAlign w:val="center"/>
          </w:tcPr>
          <w:p w14:paraId="41691B8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34</w:t>
            </w:r>
          </w:p>
        </w:tc>
        <w:tc>
          <w:tcPr>
            <w:tcW w:w="627" w:type="pct"/>
            <w:vAlign w:val="center"/>
          </w:tcPr>
          <w:p w14:paraId="78529E4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900</w:t>
            </w:r>
          </w:p>
        </w:tc>
        <w:tc>
          <w:tcPr>
            <w:tcW w:w="382" w:type="pct"/>
            <w:vAlign w:val="center"/>
          </w:tcPr>
          <w:p w14:paraId="148FE50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3F53A9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22C6773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氯甲烷</w:t>
            </w:r>
          </w:p>
        </w:tc>
        <w:tc>
          <w:tcPr>
            <w:tcW w:w="528" w:type="pct"/>
            <w:vAlign w:val="center"/>
          </w:tcPr>
          <w:p w14:paraId="32D93A3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529A849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0CDDEC2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38B85BD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13A84D9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3AB5E88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37</w:t>
            </w:r>
          </w:p>
        </w:tc>
        <w:tc>
          <w:tcPr>
            <w:tcW w:w="382" w:type="pct"/>
            <w:vAlign w:val="center"/>
          </w:tcPr>
          <w:p w14:paraId="6FA59BB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4B89DA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078DFA3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氯乙烯</w:t>
            </w:r>
          </w:p>
        </w:tc>
        <w:tc>
          <w:tcPr>
            <w:tcW w:w="528" w:type="pct"/>
            <w:vAlign w:val="center"/>
          </w:tcPr>
          <w:p w14:paraId="6CC3F14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340C3BF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5464258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20FF8C0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06AA901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58660BF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0.43</w:t>
            </w:r>
          </w:p>
        </w:tc>
        <w:tc>
          <w:tcPr>
            <w:tcW w:w="382" w:type="pct"/>
            <w:vAlign w:val="center"/>
          </w:tcPr>
          <w:p w14:paraId="5DE594C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0F9EBA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0294424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1,1-二氯乙烯</w:t>
            </w:r>
          </w:p>
        </w:tc>
        <w:tc>
          <w:tcPr>
            <w:tcW w:w="528" w:type="pct"/>
            <w:vAlign w:val="center"/>
          </w:tcPr>
          <w:p w14:paraId="0CBE783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02162C6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27B216C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76213AD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73DB7D4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4661328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66</w:t>
            </w:r>
          </w:p>
        </w:tc>
        <w:tc>
          <w:tcPr>
            <w:tcW w:w="382" w:type="pct"/>
            <w:vAlign w:val="center"/>
          </w:tcPr>
          <w:p w14:paraId="19DB5D8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6111C7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57708F3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二氯甲烷</w:t>
            </w:r>
          </w:p>
        </w:tc>
        <w:tc>
          <w:tcPr>
            <w:tcW w:w="528" w:type="pct"/>
            <w:vAlign w:val="center"/>
          </w:tcPr>
          <w:p w14:paraId="1432A41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75CDFD4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7A79FDA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3504FBD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1B3EFB1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5A32945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616</w:t>
            </w:r>
          </w:p>
        </w:tc>
        <w:tc>
          <w:tcPr>
            <w:tcW w:w="382" w:type="pct"/>
            <w:vAlign w:val="center"/>
          </w:tcPr>
          <w:p w14:paraId="6171AD4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6429A0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023272D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反式-1,2-二氯乙烯</w:t>
            </w:r>
          </w:p>
        </w:tc>
        <w:tc>
          <w:tcPr>
            <w:tcW w:w="528" w:type="pct"/>
            <w:vAlign w:val="center"/>
          </w:tcPr>
          <w:p w14:paraId="646D00A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44BE7F8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5B302B3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61F806B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0326C43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0141759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54</w:t>
            </w:r>
          </w:p>
        </w:tc>
        <w:tc>
          <w:tcPr>
            <w:tcW w:w="382" w:type="pct"/>
            <w:vAlign w:val="center"/>
          </w:tcPr>
          <w:p w14:paraId="47495AB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3CC30F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2BF951D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1,1-二氯乙烷</w:t>
            </w:r>
          </w:p>
        </w:tc>
        <w:tc>
          <w:tcPr>
            <w:tcW w:w="528" w:type="pct"/>
            <w:vAlign w:val="center"/>
          </w:tcPr>
          <w:p w14:paraId="16C4B6D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13A6150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658110E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2372F8B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0CBD3DA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52F41FF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9</w:t>
            </w:r>
          </w:p>
        </w:tc>
        <w:tc>
          <w:tcPr>
            <w:tcW w:w="382" w:type="pct"/>
            <w:vAlign w:val="center"/>
          </w:tcPr>
          <w:p w14:paraId="7A7A315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25B118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223C2CB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顺式-1,2-二氯乙烯</w:t>
            </w:r>
          </w:p>
        </w:tc>
        <w:tc>
          <w:tcPr>
            <w:tcW w:w="528" w:type="pct"/>
            <w:vAlign w:val="center"/>
          </w:tcPr>
          <w:p w14:paraId="798B76E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765CD49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6254242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50FCE0A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1042A49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67B0BA0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596</w:t>
            </w:r>
          </w:p>
        </w:tc>
        <w:tc>
          <w:tcPr>
            <w:tcW w:w="382" w:type="pct"/>
            <w:vAlign w:val="center"/>
          </w:tcPr>
          <w:p w14:paraId="01DD667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2F9590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15F98FF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氯仿</w:t>
            </w:r>
          </w:p>
        </w:tc>
        <w:tc>
          <w:tcPr>
            <w:tcW w:w="528" w:type="pct"/>
            <w:vAlign w:val="center"/>
          </w:tcPr>
          <w:p w14:paraId="22145C0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021C6BD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1760E58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7B52332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1B81381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4752550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0.9</w:t>
            </w:r>
          </w:p>
        </w:tc>
        <w:tc>
          <w:tcPr>
            <w:tcW w:w="382" w:type="pct"/>
            <w:vAlign w:val="center"/>
          </w:tcPr>
          <w:p w14:paraId="3C94B2A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62D233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17C5DF1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1,1,1-三氯乙烷</w:t>
            </w:r>
          </w:p>
        </w:tc>
        <w:tc>
          <w:tcPr>
            <w:tcW w:w="528" w:type="pct"/>
            <w:vAlign w:val="center"/>
          </w:tcPr>
          <w:p w14:paraId="1D0CE85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133A7A7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457A1DA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78D0360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66B5AAB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6264332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840</w:t>
            </w:r>
          </w:p>
        </w:tc>
        <w:tc>
          <w:tcPr>
            <w:tcW w:w="382" w:type="pct"/>
            <w:vAlign w:val="center"/>
          </w:tcPr>
          <w:p w14:paraId="390A7FB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18F11F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3503DDD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四氯化碳</w:t>
            </w:r>
          </w:p>
        </w:tc>
        <w:tc>
          <w:tcPr>
            <w:tcW w:w="528" w:type="pct"/>
            <w:vAlign w:val="center"/>
          </w:tcPr>
          <w:p w14:paraId="7062233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7FED27C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481CE06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16D8BB4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1395B56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715C76F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2.8</w:t>
            </w:r>
          </w:p>
        </w:tc>
        <w:tc>
          <w:tcPr>
            <w:tcW w:w="382" w:type="pct"/>
            <w:vAlign w:val="center"/>
          </w:tcPr>
          <w:p w14:paraId="034C15E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3D2A76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7558104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苯</w:t>
            </w:r>
          </w:p>
        </w:tc>
        <w:tc>
          <w:tcPr>
            <w:tcW w:w="528" w:type="pct"/>
            <w:vAlign w:val="center"/>
          </w:tcPr>
          <w:p w14:paraId="4E745C2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60FF925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479DF57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11DE924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229D67A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0B9F748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w:t>
            </w:r>
          </w:p>
        </w:tc>
        <w:tc>
          <w:tcPr>
            <w:tcW w:w="382" w:type="pct"/>
            <w:vAlign w:val="center"/>
          </w:tcPr>
          <w:p w14:paraId="7F460B3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63D54E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211228F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1,2-二氯乙烷</w:t>
            </w:r>
          </w:p>
        </w:tc>
        <w:tc>
          <w:tcPr>
            <w:tcW w:w="528" w:type="pct"/>
            <w:vAlign w:val="center"/>
          </w:tcPr>
          <w:p w14:paraId="50BAFC6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3071BF6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16C7BC6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0793EFA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515C7AA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63DB4FD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w:t>
            </w:r>
          </w:p>
        </w:tc>
        <w:tc>
          <w:tcPr>
            <w:tcW w:w="382" w:type="pct"/>
            <w:vAlign w:val="center"/>
          </w:tcPr>
          <w:p w14:paraId="6F928A6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62A09C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0934CC5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三氯乙烯</w:t>
            </w:r>
          </w:p>
        </w:tc>
        <w:tc>
          <w:tcPr>
            <w:tcW w:w="528" w:type="pct"/>
            <w:vAlign w:val="center"/>
          </w:tcPr>
          <w:p w14:paraId="499055D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4139D4F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62AC335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0339829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5054B93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5D5280A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2.8</w:t>
            </w:r>
          </w:p>
        </w:tc>
        <w:tc>
          <w:tcPr>
            <w:tcW w:w="382" w:type="pct"/>
            <w:vAlign w:val="center"/>
          </w:tcPr>
          <w:p w14:paraId="411F237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497A7C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469C947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1,2-二氯丙烷</w:t>
            </w:r>
          </w:p>
        </w:tc>
        <w:tc>
          <w:tcPr>
            <w:tcW w:w="528" w:type="pct"/>
            <w:vAlign w:val="center"/>
          </w:tcPr>
          <w:p w14:paraId="7FF7DDB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63026CF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6F1ACFF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72AA06B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7FD039D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7249246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w:t>
            </w:r>
          </w:p>
        </w:tc>
        <w:tc>
          <w:tcPr>
            <w:tcW w:w="382" w:type="pct"/>
            <w:vAlign w:val="center"/>
          </w:tcPr>
          <w:p w14:paraId="7B06A87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59B875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7B15A9D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甲苯</w:t>
            </w:r>
          </w:p>
        </w:tc>
        <w:tc>
          <w:tcPr>
            <w:tcW w:w="528" w:type="pct"/>
            <w:vAlign w:val="center"/>
          </w:tcPr>
          <w:p w14:paraId="0922733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09AB604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0E9A107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47774CD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46CB041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756873C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1200</w:t>
            </w:r>
          </w:p>
        </w:tc>
        <w:tc>
          <w:tcPr>
            <w:tcW w:w="382" w:type="pct"/>
            <w:vAlign w:val="center"/>
          </w:tcPr>
          <w:p w14:paraId="432E13C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058BC9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148C3D8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1,1,2-三氯乙烷</w:t>
            </w:r>
          </w:p>
        </w:tc>
        <w:tc>
          <w:tcPr>
            <w:tcW w:w="528" w:type="pct"/>
            <w:vAlign w:val="center"/>
          </w:tcPr>
          <w:p w14:paraId="63200CE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5F9CA72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17C47E5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682EE7C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6A7DBA6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7464820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2.8</w:t>
            </w:r>
          </w:p>
        </w:tc>
        <w:tc>
          <w:tcPr>
            <w:tcW w:w="382" w:type="pct"/>
            <w:vAlign w:val="center"/>
          </w:tcPr>
          <w:p w14:paraId="4EDCBEA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599105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5ED0D24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四氯乙烯</w:t>
            </w:r>
          </w:p>
        </w:tc>
        <w:tc>
          <w:tcPr>
            <w:tcW w:w="528" w:type="pct"/>
            <w:vAlign w:val="center"/>
          </w:tcPr>
          <w:p w14:paraId="0C1F4F0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282673B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6632F11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4B584B4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154DFFE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6C5DF69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53</w:t>
            </w:r>
          </w:p>
        </w:tc>
        <w:tc>
          <w:tcPr>
            <w:tcW w:w="382" w:type="pct"/>
            <w:vAlign w:val="center"/>
          </w:tcPr>
          <w:p w14:paraId="6BCAAE6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0A5EB9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2B8FAAC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氯苯</w:t>
            </w:r>
          </w:p>
        </w:tc>
        <w:tc>
          <w:tcPr>
            <w:tcW w:w="528" w:type="pct"/>
            <w:vAlign w:val="center"/>
          </w:tcPr>
          <w:p w14:paraId="4196532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3EFFE87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7A86D28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2147A46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547B5DD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1BCBA0B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270</w:t>
            </w:r>
          </w:p>
        </w:tc>
        <w:tc>
          <w:tcPr>
            <w:tcW w:w="382" w:type="pct"/>
            <w:vAlign w:val="center"/>
          </w:tcPr>
          <w:p w14:paraId="6DE1CC1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2971BF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6F0C24C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1,1,1,2-四氯乙烷</w:t>
            </w:r>
          </w:p>
        </w:tc>
        <w:tc>
          <w:tcPr>
            <w:tcW w:w="528" w:type="pct"/>
            <w:vAlign w:val="center"/>
          </w:tcPr>
          <w:p w14:paraId="3FEBBE8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51FA4CE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0A64919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4F32CBC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6AC0CE1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01AFFE3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10</w:t>
            </w:r>
          </w:p>
        </w:tc>
        <w:tc>
          <w:tcPr>
            <w:tcW w:w="382" w:type="pct"/>
            <w:vAlign w:val="center"/>
          </w:tcPr>
          <w:p w14:paraId="57B72E2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1F073D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0BBDE0E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乙苯</w:t>
            </w:r>
          </w:p>
        </w:tc>
        <w:tc>
          <w:tcPr>
            <w:tcW w:w="528" w:type="pct"/>
            <w:vAlign w:val="center"/>
          </w:tcPr>
          <w:p w14:paraId="0E69D33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0CD7A70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482FF2D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7284E60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6F79309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17493A7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28</w:t>
            </w:r>
          </w:p>
        </w:tc>
        <w:tc>
          <w:tcPr>
            <w:tcW w:w="382" w:type="pct"/>
            <w:vAlign w:val="center"/>
          </w:tcPr>
          <w:p w14:paraId="6F54B09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711D5F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73D56E3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间,对-二甲苯</w:t>
            </w:r>
          </w:p>
        </w:tc>
        <w:tc>
          <w:tcPr>
            <w:tcW w:w="528" w:type="pct"/>
            <w:vAlign w:val="center"/>
          </w:tcPr>
          <w:p w14:paraId="5DF1E41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23C7EB2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4794CB6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324BE38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24651D0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5617144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570</w:t>
            </w:r>
          </w:p>
        </w:tc>
        <w:tc>
          <w:tcPr>
            <w:tcW w:w="382" w:type="pct"/>
            <w:vAlign w:val="center"/>
          </w:tcPr>
          <w:p w14:paraId="4E71718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111162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0EF001F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邻-二甲苯</w:t>
            </w:r>
          </w:p>
        </w:tc>
        <w:tc>
          <w:tcPr>
            <w:tcW w:w="528" w:type="pct"/>
            <w:vAlign w:val="center"/>
          </w:tcPr>
          <w:p w14:paraId="2887AB0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77B83C7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71F5CCF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7DC62C0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3693D6D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60A5EF4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640</w:t>
            </w:r>
          </w:p>
        </w:tc>
        <w:tc>
          <w:tcPr>
            <w:tcW w:w="382" w:type="pct"/>
            <w:vAlign w:val="center"/>
          </w:tcPr>
          <w:p w14:paraId="58D8D28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0CECFD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62F0501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苯乙烯</w:t>
            </w:r>
          </w:p>
        </w:tc>
        <w:tc>
          <w:tcPr>
            <w:tcW w:w="528" w:type="pct"/>
            <w:vAlign w:val="center"/>
          </w:tcPr>
          <w:p w14:paraId="383D198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1B086EF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2D94B77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3D4E441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7E97F31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26566C9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1290</w:t>
            </w:r>
          </w:p>
        </w:tc>
        <w:tc>
          <w:tcPr>
            <w:tcW w:w="382" w:type="pct"/>
            <w:vAlign w:val="center"/>
          </w:tcPr>
          <w:p w14:paraId="5C8F9FA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2A266C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7AD707C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1,1,2,2-四氯乙烷</w:t>
            </w:r>
          </w:p>
        </w:tc>
        <w:tc>
          <w:tcPr>
            <w:tcW w:w="528" w:type="pct"/>
            <w:vAlign w:val="center"/>
          </w:tcPr>
          <w:p w14:paraId="265329F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5F7E21E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04E6883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1B04406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0D289A6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69B7034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6.8</w:t>
            </w:r>
          </w:p>
        </w:tc>
        <w:tc>
          <w:tcPr>
            <w:tcW w:w="382" w:type="pct"/>
            <w:vAlign w:val="center"/>
          </w:tcPr>
          <w:p w14:paraId="2D04BF2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032ED9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1F2F679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1,2,3-三氯丙烷</w:t>
            </w:r>
          </w:p>
        </w:tc>
        <w:tc>
          <w:tcPr>
            <w:tcW w:w="528" w:type="pct"/>
            <w:vAlign w:val="center"/>
          </w:tcPr>
          <w:p w14:paraId="78A5211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71F302A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12BAEEA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286373D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0A5F9E6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114D929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0.5</w:t>
            </w:r>
          </w:p>
        </w:tc>
        <w:tc>
          <w:tcPr>
            <w:tcW w:w="382" w:type="pct"/>
            <w:vAlign w:val="center"/>
          </w:tcPr>
          <w:p w14:paraId="67FD804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415099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376CBF1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1,4-二氯苯</w:t>
            </w:r>
          </w:p>
        </w:tc>
        <w:tc>
          <w:tcPr>
            <w:tcW w:w="528" w:type="pct"/>
            <w:vAlign w:val="center"/>
          </w:tcPr>
          <w:p w14:paraId="61EB671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1EDFB64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075F929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788850F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209651C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41CCB89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20</w:t>
            </w:r>
          </w:p>
        </w:tc>
        <w:tc>
          <w:tcPr>
            <w:tcW w:w="382" w:type="pct"/>
            <w:vAlign w:val="center"/>
          </w:tcPr>
          <w:p w14:paraId="65D1EBD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6E7E54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4C2CF8C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1,2-二氯苯</w:t>
            </w:r>
          </w:p>
        </w:tc>
        <w:tc>
          <w:tcPr>
            <w:tcW w:w="528" w:type="pct"/>
            <w:vAlign w:val="center"/>
          </w:tcPr>
          <w:p w14:paraId="744FC2A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32EC5A6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3054656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30C2E74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4030485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17551E5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560</w:t>
            </w:r>
          </w:p>
        </w:tc>
        <w:tc>
          <w:tcPr>
            <w:tcW w:w="382" w:type="pct"/>
            <w:vAlign w:val="center"/>
          </w:tcPr>
          <w:p w14:paraId="377A6B9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78FB4A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7F71FCC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苯胺</w:t>
            </w:r>
          </w:p>
        </w:tc>
        <w:tc>
          <w:tcPr>
            <w:tcW w:w="528" w:type="pct"/>
            <w:vAlign w:val="center"/>
          </w:tcPr>
          <w:p w14:paraId="52FB31B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09AE0D3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753E06D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67995CB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0186C70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2A8D21C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260</w:t>
            </w:r>
          </w:p>
        </w:tc>
        <w:tc>
          <w:tcPr>
            <w:tcW w:w="382" w:type="pct"/>
            <w:vAlign w:val="center"/>
          </w:tcPr>
          <w:p w14:paraId="0355431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5EF675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5B6C4FA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2-氯苯酚</w:t>
            </w:r>
          </w:p>
        </w:tc>
        <w:tc>
          <w:tcPr>
            <w:tcW w:w="528" w:type="pct"/>
            <w:vAlign w:val="center"/>
          </w:tcPr>
          <w:p w14:paraId="6537FA5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2F8C3C3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31EFDF6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5A5B4EA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7BE6739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52EDC79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2256</w:t>
            </w:r>
          </w:p>
        </w:tc>
        <w:tc>
          <w:tcPr>
            <w:tcW w:w="382" w:type="pct"/>
            <w:vAlign w:val="center"/>
          </w:tcPr>
          <w:p w14:paraId="070ED46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6A5A7C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3019423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硝基苯</w:t>
            </w:r>
          </w:p>
        </w:tc>
        <w:tc>
          <w:tcPr>
            <w:tcW w:w="528" w:type="pct"/>
            <w:vAlign w:val="center"/>
          </w:tcPr>
          <w:p w14:paraId="540D8FD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2753375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3E7EEC7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264214E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5028B7E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452539B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76</w:t>
            </w:r>
          </w:p>
        </w:tc>
        <w:tc>
          <w:tcPr>
            <w:tcW w:w="382" w:type="pct"/>
            <w:vAlign w:val="center"/>
          </w:tcPr>
          <w:p w14:paraId="402519C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28D78A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2C55BE4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萘</w:t>
            </w:r>
          </w:p>
        </w:tc>
        <w:tc>
          <w:tcPr>
            <w:tcW w:w="528" w:type="pct"/>
            <w:vAlign w:val="center"/>
          </w:tcPr>
          <w:p w14:paraId="7070EB6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3702B65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7E18FF6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200A817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4E164A1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4825183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70</w:t>
            </w:r>
          </w:p>
        </w:tc>
        <w:tc>
          <w:tcPr>
            <w:tcW w:w="382" w:type="pct"/>
            <w:vAlign w:val="center"/>
          </w:tcPr>
          <w:p w14:paraId="521FCBB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5C2187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6FDC672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苯并[a]蒽</w:t>
            </w:r>
          </w:p>
        </w:tc>
        <w:tc>
          <w:tcPr>
            <w:tcW w:w="528" w:type="pct"/>
            <w:vAlign w:val="center"/>
          </w:tcPr>
          <w:p w14:paraId="756EA46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30A5DDD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663CFDB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4CDD2EB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5C55096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45568AB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15</w:t>
            </w:r>
          </w:p>
        </w:tc>
        <w:tc>
          <w:tcPr>
            <w:tcW w:w="382" w:type="pct"/>
            <w:vAlign w:val="center"/>
          </w:tcPr>
          <w:p w14:paraId="241531B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7A44BD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0D64D95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䓛</w:t>
            </w:r>
          </w:p>
        </w:tc>
        <w:tc>
          <w:tcPr>
            <w:tcW w:w="528" w:type="pct"/>
            <w:vAlign w:val="center"/>
          </w:tcPr>
          <w:p w14:paraId="70F3763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470BD78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2C57458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2B12574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79AC255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5C20C0C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1293</w:t>
            </w:r>
          </w:p>
        </w:tc>
        <w:tc>
          <w:tcPr>
            <w:tcW w:w="382" w:type="pct"/>
            <w:vAlign w:val="center"/>
          </w:tcPr>
          <w:p w14:paraId="6F8FC9F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5C11D9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3A35725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苯并[b]荧蒽</w:t>
            </w:r>
          </w:p>
        </w:tc>
        <w:tc>
          <w:tcPr>
            <w:tcW w:w="528" w:type="pct"/>
            <w:vAlign w:val="center"/>
          </w:tcPr>
          <w:p w14:paraId="2F6FB14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6AF16D9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4B06813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5398E85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2C1609A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647D206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15</w:t>
            </w:r>
          </w:p>
        </w:tc>
        <w:tc>
          <w:tcPr>
            <w:tcW w:w="382" w:type="pct"/>
            <w:vAlign w:val="center"/>
          </w:tcPr>
          <w:p w14:paraId="2F5146B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328B2B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33CD395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苯并[k]荧蒽</w:t>
            </w:r>
          </w:p>
        </w:tc>
        <w:tc>
          <w:tcPr>
            <w:tcW w:w="528" w:type="pct"/>
            <w:vAlign w:val="center"/>
          </w:tcPr>
          <w:p w14:paraId="631E06B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11F560B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0D8C477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599D704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07EA00E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373284D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151</w:t>
            </w:r>
          </w:p>
        </w:tc>
        <w:tc>
          <w:tcPr>
            <w:tcW w:w="382" w:type="pct"/>
            <w:vAlign w:val="center"/>
          </w:tcPr>
          <w:p w14:paraId="281E6EB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48A59E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20132A8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苯并[a]芘</w:t>
            </w:r>
          </w:p>
        </w:tc>
        <w:tc>
          <w:tcPr>
            <w:tcW w:w="528" w:type="pct"/>
            <w:vAlign w:val="center"/>
          </w:tcPr>
          <w:p w14:paraId="1A53302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046AD0A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10D2C4D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00D6853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40C0396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29683D9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1.5</w:t>
            </w:r>
          </w:p>
        </w:tc>
        <w:tc>
          <w:tcPr>
            <w:tcW w:w="382" w:type="pct"/>
            <w:vAlign w:val="center"/>
          </w:tcPr>
          <w:p w14:paraId="1F101FE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364093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14CE4C5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茚并[1,2,3-cd]芘</w:t>
            </w:r>
          </w:p>
        </w:tc>
        <w:tc>
          <w:tcPr>
            <w:tcW w:w="528" w:type="pct"/>
            <w:vAlign w:val="center"/>
          </w:tcPr>
          <w:p w14:paraId="4953EE4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33E86AD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76568BA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713924B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38427B9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698C141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15</w:t>
            </w:r>
          </w:p>
        </w:tc>
        <w:tc>
          <w:tcPr>
            <w:tcW w:w="382" w:type="pct"/>
            <w:vAlign w:val="center"/>
          </w:tcPr>
          <w:p w14:paraId="3DEC889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6686FA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6658E1A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二苯并[a,h]蒽</w:t>
            </w:r>
          </w:p>
        </w:tc>
        <w:tc>
          <w:tcPr>
            <w:tcW w:w="528" w:type="pct"/>
            <w:vAlign w:val="center"/>
          </w:tcPr>
          <w:p w14:paraId="7AD6ACB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18AE01B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66858E4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2" w:type="pct"/>
            <w:vAlign w:val="center"/>
          </w:tcPr>
          <w:p w14:paraId="2CB0BCE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4" w:type="pct"/>
            <w:vAlign w:val="center"/>
          </w:tcPr>
          <w:p w14:paraId="134B7B6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7" w:type="pct"/>
            <w:vAlign w:val="center"/>
          </w:tcPr>
          <w:p w14:paraId="51C8F81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1.5</w:t>
            </w:r>
          </w:p>
        </w:tc>
        <w:tc>
          <w:tcPr>
            <w:tcW w:w="382" w:type="pct"/>
            <w:vAlign w:val="center"/>
          </w:tcPr>
          <w:p w14:paraId="25E1E7D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255BCD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63457FA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石油烃(C</w:t>
            </w:r>
            <w:r>
              <w:rPr>
                <w:rFonts w:ascii="Times New Roman" w:hAnsi="Times New Roman" w:cs="Times New Roman"/>
                <w:color w:val="000000" w:themeColor="text1"/>
                <w:sz w:val="21"/>
                <w:szCs w:val="21"/>
                <w:vertAlign w:val="subscript"/>
                <w14:textFill>
                  <w14:solidFill>
                    <w14:schemeClr w14:val="tx1"/>
                  </w14:solidFill>
                </w14:textFill>
              </w:rPr>
              <w:t>10</w:t>
            </w:r>
            <w:r>
              <w:rPr>
                <w:rFonts w:ascii="Times New Roman" w:hAnsi="Times New Roman" w:cs="Times New Roman"/>
                <w:color w:val="000000" w:themeColor="text1"/>
                <w:sz w:val="21"/>
                <w:szCs w:val="21"/>
                <w14:textFill>
                  <w14:solidFill>
                    <w14:schemeClr w14:val="tx1"/>
                  </w14:solidFill>
                </w14:textFill>
              </w:rPr>
              <w:t>-C</w:t>
            </w:r>
            <w:r>
              <w:rPr>
                <w:rFonts w:ascii="Times New Roman" w:hAnsi="Times New Roman" w:cs="Times New Roman"/>
                <w:color w:val="000000" w:themeColor="text1"/>
                <w:sz w:val="21"/>
                <w:szCs w:val="21"/>
                <w:vertAlign w:val="subscript"/>
                <w14:textFill>
                  <w14:solidFill>
                    <w14:schemeClr w14:val="tx1"/>
                  </w14:solidFill>
                </w14:textFill>
              </w:rPr>
              <w:t>40</w:t>
            </w:r>
            <w:r>
              <w:rPr>
                <w:rFonts w:ascii="Times New Roman" w:hAnsi="Times New Roman" w:cs="Times New Roman"/>
                <w:color w:val="000000" w:themeColor="text1"/>
                <w:sz w:val="21"/>
                <w:szCs w:val="21"/>
                <w14:textFill>
                  <w14:solidFill>
                    <w14:schemeClr w14:val="tx1"/>
                  </w14:solidFill>
                </w14:textFill>
              </w:rPr>
              <w:t>)</w:t>
            </w:r>
          </w:p>
        </w:tc>
        <w:tc>
          <w:tcPr>
            <w:tcW w:w="528" w:type="pct"/>
            <w:vAlign w:val="center"/>
          </w:tcPr>
          <w:p w14:paraId="7C3E2FF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592" w:type="pct"/>
            <w:vAlign w:val="center"/>
          </w:tcPr>
          <w:p w14:paraId="78C3B0F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19</w:t>
            </w:r>
          </w:p>
        </w:tc>
        <w:tc>
          <w:tcPr>
            <w:tcW w:w="592" w:type="pct"/>
            <w:vAlign w:val="center"/>
          </w:tcPr>
          <w:p w14:paraId="066996A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16</w:t>
            </w:r>
          </w:p>
        </w:tc>
        <w:tc>
          <w:tcPr>
            <w:tcW w:w="592" w:type="pct"/>
            <w:vAlign w:val="center"/>
          </w:tcPr>
          <w:p w14:paraId="1BC650A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12</w:t>
            </w:r>
          </w:p>
        </w:tc>
        <w:tc>
          <w:tcPr>
            <w:tcW w:w="594" w:type="pct"/>
            <w:vAlign w:val="center"/>
          </w:tcPr>
          <w:p w14:paraId="2211D0E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9</w:t>
            </w:r>
          </w:p>
        </w:tc>
        <w:tc>
          <w:tcPr>
            <w:tcW w:w="627" w:type="pct"/>
            <w:vAlign w:val="center"/>
          </w:tcPr>
          <w:p w14:paraId="2088999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4500</w:t>
            </w:r>
          </w:p>
        </w:tc>
        <w:tc>
          <w:tcPr>
            <w:tcW w:w="382" w:type="pct"/>
            <w:vAlign w:val="center"/>
          </w:tcPr>
          <w:p w14:paraId="3378337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bl>
    <w:p w14:paraId="4DE49CF9"/>
    <w:p w14:paraId="5666D625">
      <w:pPr>
        <w:pStyle w:val="28"/>
        <w:rPr>
          <w:rFonts w:hint="eastAsia"/>
        </w:rPr>
      </w:pPr>
      <w:r>
        <w:rPr>
          <w:rFonts w:hint="eastAsia"/>
        </w:rPr>
        <w:t>表5.2-20  土壤监测结果表(6)</w:t>
      </w:r>
    </w:p>
    <w:tbl>
      <w:tblPr>
        <w:tblStyle w:val="3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07"/>
        <w:gridCol w:w="958"/>
        <w:gridCol w:w="1181"/>
        <w:gridCol w:w="1081"/>
        <w:gridCol w:w="1089"/>
        <w:gridCol w:w="1161"/>
        <w:gridCol w:w="1142"/>
        <w:gridCol w:w="667"/>
      </w:tblGrid>
      <w:tr w14:paraId="001E7E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086" w:type="pct"/>
            <w:vMerge w:val="restart"/>
            <w:tcBorders>
              <w:bottom w:val="single" w:color="auto" w:sz="4" w:space="0"/>
            </w:tcBorders>
            <w:vAlign w:val="center"/>
          </w:tcPr>
          <w:p w14:paraId="4232338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检测项目</w:t>
            </w:r>
          </w:p>
        </w:tc>
        <w:tc>
          <w:tcPr>
            <w:tcW w:w="521" w:type="pct"/>
            <w:vMerge w:val="restart"/>
            <w:tcBorders>
              <w:bottom w:val="single" w:color="auto" w:sz="4" w:space="0"/>
            </w:tcBorders>
            <w:vAlign w:val="center"/>
          </w:tcPr>
          <w:p w14:paraId="1AF016C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单位</w:t>
            </w:r>
          </w:p>
        </w:tc>
        <w:tc>
          <w:tcPr>
            <w:tcW w:w="641" w:type="pct"/>
            <w:tcBorders>
              <w:bottom w:val="single" w:color="auto" w:sz="4" w:space="0"/>
            </w:tcBorders>
            <w:vAlign w:val="center"/>
          </w:tcPr>
          <w:p w14:paraId="07A62AAF">
            <w:pPr>
              <w:pStyle w:val="64"/>
            </w:pPr>
            <w:r>
              <w:rPr>
                <w:rFonts w:hint="eastAsia"/>
              </w:rPr>
              <w:t>S6</w:t>
            </w:r>
          </w:p>
        </w:tc>
        <w:tc>
          <w:tcPr>
            <w:tcW w:w="587" w:type="pct"/>
            <w:tcBorders>
              <w:bottom w:val="single" w:color="auto" w:sz="4" w:space="0"/>
            </w:tcBorders>
            <w:vAlign w:val="center"/>
          </w:tcPr>
          <w:p w14:paraId="0CC02803">
            <w:pPr>
              <w:pStyle w:val="64"/>
            </w:pPr>
            <w:r>
              <w:rPr>
                <w:rFonts w:hint="eastAsia"/>
              </w:rPr>
              <w:t>S7</w:t>
            </w:r>
          </w:p>
        </w:tc>
        <w:tc>
          <w:tcPr>
            <w:tcW w:w="591" w:type="pct"/>
            <w:tcBorders>
              <w:bottom w:val="single" w:color="auto" w:sz="4" w:space="0"/>
            </w:tcBorders>
            <w:vAlign w:val="center"/>
          </w:tcPr>
          <w:p w14:paraId="42CBA38D">
            <w:pPr>
              <w:pStyle w:val="64"/>
            </w:pPr>
            <w:r>
              <w:rPr>
                <w:rFonts w:hint="eastAsia"/>
              </w:rPr>
              <w:t>S8</w:t>
            </w:r>
          </w:p>
        </w:tc>
        <w:tc>
          <w:tcPr>
            <w:tcW w:w="590" w:type="pct"/>
            <w:tcBorders>
              <w:bottom w:val="single" w:color="auto" w:sz="4" w:space="0"/>
            </w:tcBorders>
            <w:vAlign w:val="center"/>
          </w:tcPr>
          <w:p w14:paraId="194E355C">
            <w:pPr>
              <w:pStyle w:val="64"/>
            </w:pPr>
            <w:r>
              <w:rPr>
                <w:rFonts w:hint="eastAsia"/>
              </w:rPr>
              <w:t>S9</w:t>
            </w:r>
          </w:p>
        </w:tc>
        <w:tc>
          <w:tcPr>
            <w:tcW w:w="620" w:type="pct"/>
            <w:vMerge w:val="restart"/>
            <w:tcBorders>
              <w:bottom w:val="single" w:color="auto" w:sz="4" w:space="0"/>
            </w:tcBorders>
            <w:vAlign w:val="center"/>
          </w:tcPr>
          <w:p w14:paraId="6861DBC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第二类用地风险筛选值</w:t>
            </w:r>
          </w:p>
        </w:tc>
        <w:tc>
          <w:tcPr>
            <w:tcW w:w="364" w:type="pct"/>
            <w:vMerge w:val="restart"/>
            <w:tcBorders>
              <w:bottom w:val="single" w:color="auto" w:sz="4" w:space="0"/>
            </w:tcBorders>
            <w:vAlign w:val="center"/>
          </w:tcPr>
          <w:p w14:paraId="0D39DEA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达标情况</w:t>
            </w:r>
          </w:p>
        </w:tc>
      </w:tr>
      <w:tr w14:paraId="75A692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086" w:type="pct"/>
            <w:vMerge w:val="continue"/>
            <w:vAlign w:val="center"/>
          </w:tcPr>
          <w:p w14:paraId="2CF4A1F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c>
          <w:tcPr>
            <w:tcW w:w="521" w:type="pct"/>
            <w:vMerge w:val="continue"/>
            <w:vAlign w:val="center"/>
          </w:tcPr>
          <w:p w14:paraId="3FF78DB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c>
          <w:tcPr>
            <w:tcW w:w="641" w:type="pct"/>
            <w:vAlign w:val="center"/>
          </w:tcPr>
          <w:p w14:paraId="170400F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w:t>
            </w:r>
            <w:r>
              <w:rPr>
                <w:rFonts w:hint="eastAsia" w:ascii="Times New Roman" w:hAnsi="Times New Roman" w:cs="Times New Roman"/>
                <w:color w:val="000000" w:themeColor="text1"/>
                <w:sz w:val="21"/>
                <w:szCs w:val="21"/>
                <w14:textFill>
                  <w14:solidFill>
                    <w14:schemeClr w14:val="tx1"/>
                  </w14:solidFill>
                </w14:textFill>
              </w:rPr>
              <w:t>0.5</w:t>
            </w:r>
            <w:r>
              <w:rPr>
                <w:rFonts w:ascii="Times New Roman" w:hAnsi="Times New Roman" w:cs="Times New Roman"/>
                <w:color w:val="000000" w:themeColor="text1"/>
                <w:sz w:val="21"/>
                <w:szCs w:val="21"/>
                <w14:textFill>
                  <w14:solidFill>
                    <w14:schemeClr w14:val="tx1"/>
                  </w14:solidFill>
                </w14:textFill>
              </w:rPr>
              <w:t>m</w:t>
            </w:r>
          </w:p>
        </w:tc>
        <w:tc>
          <w:tcPr>
            <w:tcW w:w="587" w:type="pct"/>
          </w:tcPr>
          <w:p w14:paraId="0FA6D88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w:t>
            </w:r>
            <w:r>
              <w:rPr>
                <w:rFonts w:hint="eastAsia" w:ascii="Times New Roman" w:hAnsi="Times New Roman" w:cs="Times New Roman"/>
                <w:color w:val="000000" w:themeColor="text1"/>
                <w:sz w:val="21"/>
                <w:szCs w:val="21"/>
                <w14:textFill>
                  <w14:solidFill>
                    <w14:schemeClr w14:val="tx1"/>
                  </w14:solidFill>
                </w14:textFill>
              </w:rPr>
              <w:t>0.5</w:t>
            </w:r>
            <w:r>
              <w:rPr>
                <w:rFonts w:ascii="Times New Roman" w:hAnsi="Times New Roman" w:cs="Times New Roman"/>
                <w:color w:val="000000" w:themeColor="text1"/>
                <w:sz w:val="21"/>
                <w:szCs w:val="21"/>
                <w14:textFill>
                  <w14:solidFill>
                    <w14:schemeClr w14:val="tx1"/>
                  </w14:solidFill>
                </w14:textFill>
              </w:rPr>
              <w:t>m</w:t>
            </w:r>
          </w:p>
        </w:tc>
        <w:tc>
          <w:tcPr>
            <w:tcW w:w="591" w:type="pct"/>
          </w:tcPr>
          <w:p w14:paraId="0ECCAA9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w:t>
            </w:r>
            <w:r>
              <w:rPr>
                <w:rFonts w:hint="eastAsia" w:ascii="Times New Roman" w:hAnsi="Times New Roman" w:cs="Times New Roman"/>
                <w:color w:val="000000" w:themeColor="text1"/>
                <w:sz w:val="21"/>
                <w:szCs w:val="21"/>
                <w14:textFill>
                  <w14:solidFill>
                    <w14:schemeClr w14:val="tx1"/>
                  </w14:solidFill>
                </w14:textFill>
              </w:rPr>
              <w:t>0.5</w:t>
            </w:r>
            <w:r>
              <w:rPr>
                <w:rFonts w:ascii="Times New Roman" w:hAnsi="Times New Roman" w:cs="Times New Roman"/>
                <w:color w:val="000000" w:themeColor="text1"/>
                <w:sz w:val="21"/>
                <w:szCs w:val="21"/>
                <w14:textFill>
                  <w14:solidFill>
                    <w14:schemeClr w14:val="tx1"/>
                  </w14:solidFill>
                </w14:textFill>
              </w:rPr>
              <w:t>m</w:t>
            </w:r>
          </w:p>
        </w:tc>
        <w:tc>
          <w:tcPr>
            <w:tcW w:w="590" w:type="pct"/>
          </w:tcPr>
          <w:p w14:paraId="5CB9925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w:t>
            </w:r>
            <w:r>
              <w:rPr>
                <w:rFonts w:hint="eastAsia" w:ascii="Times New Roman" w:hAnsi="Times New Roman" w:cs="Times New Roman"/>
                <w:color w:val="000000" w:themeColor="text1"/>
                <w:sz w:val="21"/>
                <w:szCs w:val="21"/>
                <w14:textFill>
                  <w14:solidFill>
                    <w14:schemeClr w14:val="tx1"/>
                  </w14:solidFill>
                </w14:textFill>
              </w:rPr>
              <w:t>0.2</w:t>
            </w:r>
            <w:r>
              <w:rPr>
                <w:rFonts w:ascii="Times New Roman" w:hAnsi="Times New Roman" w:cs="Times New Roman"/>
                <w:color w:val="000000" w:themeColor="text1"/>
                <w:sz w:val="21"/>
                <w:szCs w:val="21"/>
                <w14:textFill>
                  <w14:solidFill>
                    <w14:schemeClr w14:val="tx1"/>
                  </w14:solidFill>
                </w14:textFill>
              </w:rPr>
              <w:t>m</w:t>
            </w:r>
          </w:p>
        </w:tc>
        <w:tc>
          <w:tcPr>
            <w:tcW w:w="620" w:type="pct"/>
            <w:vMerge w:val="continue"/>
            <w:vAlign w:val="center"/>
          </w:tcPr>
          <w:p w14:paraId="562FD68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c>
          <w:tcPr>
            <w:tcW w:w="364" w:type="pct"/>
            <w:vMerge w:val="continue"/>
            <w:vAlign w:val="center"/>
          </w:tcPr>
          <w:p w14:paraId="044567A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r>
      <w:tr w14:paraId="1E9771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086" w:type="pct"/>
            <w:vMerge w:val="continue"/>
            <w:vAlign w:val="center"/>
          </w:tcPr>
          <w:p w14:paraId="125C10C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c>
          <w:tcPr>
            <w:tcW w:w="521" w:type="pct"/>
            <w:vMerge w:val="continue"/>
            <w:vAlign w:val="center"/>
          </w:tcPr>
          <w:p w14:paraId="70FC980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c>
          <w:tcPr>
            <w:tcW w:w="1819" w:type="pct"/>
            <w:gridSpan w:val="3"/>
            <w:vAlign w:val="center"/>
          </w:tcPr>
          <w:p w14:paraId="256045E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采样日期：2025.11.</w:t>
            </w:r>
            <w:r>
              <w:rPr>
                <w:rFonts w:hint="eastAsia" w:ascii="Times New Roman" w:hAnsi="Times New Roman" w:cs="Times New Roman"/>
                <w:color w:val="000000" w:themeColor="text1"/>
                <w:sz w:val="21"/>
                <w:szCs w:val="21"/>
                <w14:textFill>
                  <w14:solidFill>
                    <w14:schemeClr w14:val="tx1"/>
                  </w14:solidFill>
                </w14:textFill>
              </w:rPr>
              <w:t>27</w:t>
            </w:r>
          </w:p>
        </w:tc>
        <w:tc>
          <w:tcPr>
            <w:tcW w:w="590" w:type="pct"/>
            <w:vAlign w:val="center"/>
          </w:tcPr>
          <w:p w14:paraId="7966FD0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2023.11.21</w:t>
            </w:r>
          </w:p>
        </w:tc>
        <w:tc>
          <w:tcPr>
            <w:tcW w:w="620" w:type="pct"/>
            <w:vMerge w:val="continue"/>
            <w:vAlign w:val="center"/>
          </w:tcPr>
          <w:p w14:paraId="7F06836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c>
          <w:tcPr>
            <w:tcW w:w="364" w:type="pct"/>
            <w:vMerge w:val="continue"/>
            <w:vAlign w:val="center"/>
          </w:tcPr>
          <w:p w14:paraId="37ED1DA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r>
      <w:tr w14:paraId="50F17E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086" w:type="pct"/>
            <w:vAlign w:val="center"/>
          </w:tcPr>
          <w:p w14:paraId="32F9636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pH值</w:t>
            </w:r>
          </w:p>
        </w:tc>
        <w:tc>
          <w:tcPr>
            <w:tcW w:w="521" w:type="pct"/>
            <w:vAlign w:val="center"/>
          </w:tcPr>
          <w:p w14:paraId="2467B1B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无量纲</w:t>
            </w:r>
          </w:p>
        </w:tc>
        <w:tc>
          <w:tcPr>
            <w:tcW w:w="641" w:type="pct"/>
            <w:vAlign w:val="center"/>
          </w:tcPr>
          <w:p w14:paraId="3918F1D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7.83</w:t>
            </w:r>
          </w:p>
        </w:tc>
        <w:tc>
          <w:tcPr>
            <w:tcW w:w="587" w:type="pct"/>
            <w:vAlign w:val="center"/>
          </w:tcPr>
          <w:p w14:paraId="0D02F92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8.43</w:t>
            </w:r>
          </w:p>
        </w:tc>
        <w:tc>
          <w:tcPr>
            <w:tcW w:w="591" w:type="pct"/>
            <w:vAlign w:val="center"/>
          </w:tcPr>
          <w:p w14:paraId="461D5FE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8.01</w:t>
            </w:r>
          </w:p>
        </w:tc>
        <w:tc>
          <w:tcPr>
            <w:tcW w:w="590" w:type="pct"/>
            <w:vAlign w:val="center"/>
          </w:tcPr>
          <w:p w14:paraId="6FF4073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w:t>
            </w:r>
          </w:p>
        </w:tc>
        <w:tc>
          <w:tcPr>
            <w:tcW w:w="620" w:type="pct"/>
            <w:vAlign w:val="center"/>
          </w:tcPr>
          <w:p w14:paraId="7FC69A7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w:t>
            </w:r>
          </w:p>
        </w:tc>
        <w:tc>
          <w:tcPr>
            <w:tcW w:w="364" w:type="pct"/>
            <w:vAlign w:val="center"/>
          </w:tcPr>
          <w:p w14:paraId="0120588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w:t>
            </w:r>
          </w:p>
        </w:tc>
      </w:tr>
      <w:tr w14:paraId="12AB08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086" w:type="pct"/>
            <w:vAlign w:val="center"/>
          </w:tcPr>
          <w:p w14:paraId="5B8DC7B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砷</w:t>
            </w:r>
          </w:p>
        </w:tc>
        <w:tc>
          <w:tcPr>
            <w:tcW w:w="521" w:type="pct"/>
            <w:vAlign w:val="center"/>
          </w:tcPr>
          <w:p w14:paraId="6933A20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641" w:type="pct"/>
            <w:vAlign w:val="center"/>
          </w:tcPr>
          <w:p w14:paraId="7CDBCB9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10.7</w:t>
            </w:r>
          </w:p>
        </w:tc>
        <w:tc>
          <w:tcPr>
            <w:tcW w:w="587" w:type="pct"/>
            <w:vAlign w:val="center"/>
          </w:tcPr>
          <w:p w14:paraId="171F6DE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11.6</w:t>
            </w:r>
          </w:p>
        </w:tc>
        <w:tc>
          <w:tcPr>
            <w:tcW w:w="591" w:type="pct"/>
            <w:vAlign w:val="center"/>
          </w:tcPr>
          <w:p w14:paraId="2BC6FF6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10.2</w:t>
            </w:r>
          </w:p>
        </w:tc>
        <w:tc>
          <w:tcPr>
            <w:tcW w:w="590" w:type="pct"/>
            <w:vAlign w:val="center"/>
          </w:tcPr>
          <w:p w14:paraId="0C418BE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6.10</w:t>
            </w:r>
          </w:p>
        </w:tc>
        <w:tc>
          <w:tcPr>
            <w:tcW w:w="620" w:type="pct"/>
            <w:vAlign w:val="center"/>
          </w:tcPr>
          <w:p w14:paraId="49A1FE0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60</w:t>
            </w:r>
          </w:p>
        </w:tc>
        <w:tc>
          <w:tcPr>
            <w:tcW w:w="364" w:type="pct"/>
            <w:vAlign w:val="center"/>
          </w:tcPr>
          <w:p w14:paraId="669C3BB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1367A6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086" w:type="pct"/>
            <w:vAlign w:val="center"/>
          </w:tcPr>
          <w:p w14:paraId="468485E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镉</w:t>
            </w:r>
          </w:p>
        </w:tc>
        <w:tc>
          <w:tcPr>
            <w:tcW w:w="521" w:type="pct"/>
            <w:vAlign w:val="center"/>
          </w:tcPr>
          <w:p w14:paraId="651217B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641" w:type="pct"/>
            <w:vAlign w:val="center"/>
          </w:tcPr>
          <w:p w14:paraId="022543D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0.02</w:t>
            </w:r>
          </w:p>
        </w:tc>
        <w:tc>
          <w:tcPr>
            <w:tcW w:w="587" w:type="pct"/>
            <w:vAlign w:val="center"/>
          </w:tcPr>
          <w:p w14:paraId="6AA85FF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0.02</w:t>
            </w:r>
          </w:p>
        </w:tc>
        <w:tc>
          <w:tcPr>
            <w:tcW w:w="591" w:type="pct"/>
            <w:vAlign w:val="center"/>
          </w:tcPr>
          <w:p w14:paraId="5875ED1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0.05</w:t>
            </w:r>
          </w:p>
        </w:tc>
        <w:tc>
          <w:tcPr>
            <w:tcW w:w="590" w:type="pct"/>
            <w:vAlign w:val="center"/>
          </w:tcPr>
          <w:p w14:paraId="3F16110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0.06</w:t>
            </w:r>
          </w:p>
        </w:tc>
        <w:tc>
          <w:tcPr>
            <w:tcW w:w="620" w:type="pct"/>
            <w:vAlign w:val="center"/>
          </w:tcPr>
          <w:p w14:paraId="4C97384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65</w:t>
            </w:r>
          </w:p>
        </w:tc>
        <w:tc>
          <w:tcPr>
            <w:tcW w:w="364" w:type="pct"/>
            <w:vAlign w:val="center"/>
          </w:tcPr>
          <w:p w14:paraId="6057626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3DE880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086" w:type="pct"/>
            <w:vAlign w:val="center"/>
          </w:tcPr>
          <w:p w14:paraId="0A6C1BA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六价铬</w:t>
            </w:r>
          </w:p>
        </w:tc>
        <w:tc>
          <w:tcPr>
            <w:tcW w:w="521" w:type="pct"/>
            <w:vAlign w:val="center"/>
          </w:tcPr>
          <w:p w14:paraId="706CA4C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641" w:type="pct"/>
            <w:vAlign w:val="center"/>
          </w:tcPr>
          <w:p w14:paraId="12F9AC4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87" w:type="pct"/>
            <w:vAlign w:val="center"/>
          </w:tcPr>
          <w:p w14:paraId="0F53C95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1" w:type="pct"/>
            <w:vAlign w:val="center"/>
          </w:tcPr>
          <w:p w14:paraId="1C5FA70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0" w:type="pct"/>
            <w:vAlign w:val="center"/>
          </w:tcPr>
          <w:p w14:paraId="1C97BFF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0" w:type="pct"/>
            <w:vAlign w:val="center"/>
          </w:tcPr>
          <w:p w14:paraId="04AD1DD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5.7</w:t>
            </w:r>
          </w:p>
        </w:tc>
        <w:tc>
          <w:tcPr>
            <w:tcW w:w="364" w:type="pct"/>
            <w:vAlign w:val="center"/>
          </w:tcPr>
          <w:p w14:paraId="005E54D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498521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6" w:type="pct"/>
            <w:vAlign w:val="center"/>
          </w:tcPr>
          <w:p w14:paraId="1B9BB53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铜</w:t>
            </w:r>
          </w:p>
        </w:tc>
        <w:tc>
          <w:tcPr>
            <w:tcW w:w="521" w:type="pct"/>
            <w:vAlign w:val="center"/>
          </w:tcPr>
          <w:p w14:paraId="3F8422E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641" w:type="pct"/>
            <w:vAlign w:val="center"/>
          </w:tcPr>
          <w:p w14:paraId="4B3CA20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25</w:t>
            </w:r>
          </w:p>
        </w:tc>
        <w:tc>
          <w:tcPr>
            <w:tcW w:w="587" w:type="pct"/>
            <w:vAlign w:val="center"/>
          </w:tcPr>
          <w:p w14:paraId="7021E99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22</w:t>
            </w:r>
          </w:p>
        </w:tc>
        <w:tc>
          <w:tcPr>
            <w:tcW w:w="591" w:type="pct"/>
            <w:vAlign w:val="center"/>
          </w:tcPr>
          <w:p w14:paraId="600C603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14</w:t>
            </w:r>
          </w:p>
        </w:tc>
        <w:tc>
          <w:tcPr>
            <w:tcW w:w="590" w:type="pct"/>
            <w:vAlign w:val="center"/>
          </w:tcPr>
          <w:p w14:paraId="55D4D82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20</w:t>
            </w:r>
          </w:p>
        </w:tc>
        <w:tc>
          <w:tcPr>
            <w:tcW w:w="620" w:type="pct"/>
            <w:vAlign w:val="center"/>
          </w:tcPr>
          <w:p w14:paraId="617541C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18000</w:t>
            </w:r>
          </w:p>
        </w:tc>
        <w:tc>
          <w:tcPr>
            <w:tcW w:w="364" w:type="pct"/>
            <w:vAlign w:val="center"/>
          </w:tcPr>
          <w:p w14:paraId="6A68976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3D0F20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6" w:type="pct"/>
            <w:vAlign w:val="center"/>
          </w:tcPr>
          <w:p w14:paraId="136DEDE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铅</w:t>
            </w:r>
          </w:p>
        </w:tc>
        <w:tc>
          <w:tcPr>
            <w:tcW w:w="521" w:type="pct"/>
            <w:vAlign w:val="center"/>
          </w:tcPr>
          <w:p w14:paraId="7B4D184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641" w:type="pct"/>
            <w:vAlign w:val="center"/>
          </w:tcPr>
          <w:p w14:paraId="57AA2A3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15.4</w:t>
            </w:r>
          </w:p>
        </w:tc>
        <w:tc>
          <w:tcPr>
            <w:tcW w:w="587" w:type="pct"/>
            <w:vAlign w:val="center"/>
          </w:tcPr>
          <w:p w14:paraId="3621B37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18.8</w:t>
            </w:r>
          </w:p>
        </w:tc>
        <w:tc>
          <w:tcPr>
            <w:tcW w:w="591" w:type="pct"/>
            <w:vAlign w:val="center"/>
          </w:tcPr>
          <w:p w14:paraId="45EF3E1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23.8</w:t>
            </w:r>
          </w:p>
        </w:tc>
        <w:tc>
          <w:tcPr>
            <w:tcW w:w="590" w:type="pct"/>
            <w:vAlign w:val="center"/>
          </w:tcPr>
          <w:p w14:paraId="062CD77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16.4</w:t>
            </w:r>
          </w:p>
        </w:tc>
        <w:tc>
          <w:tcPr>
            <w:tcW w:w="620" w:type="pct"/>
            <w:vAlign w:val="center"/>
          </w:tcPr>
          <w:p w14:paraId="01538A9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800</w:t>
            </w:r>
          </w:p>
        </w:tc>
        <w:tc>
          <w:tcPr>
            <w:tcW w:w="364" w:type="pct"/>
            <w:vAlign w:val="center"/>
          </w:tcPr>
          <w:p w14:paraId="7CF779F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68ADC2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6" w:type="pct"/>
            <w:vAlign w:val="center"/>
          </w:tcPr>
          <w:p w14:paraId="0850226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汞</w:t>
            </w:r>
          </w:p>
        </w:tc>
        <w:tc>
          <w:tcPr>
            <w:tcW w:w="521" w:type="pct"/>
            <w:vAlign w:val="center"/>
          </w:tcPr>
          <w:p w14:paraId="0544746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641" w:type="pct"/>
            <w:vAlign w:val="center"/>
          </w:tcPr>
          <w:p w14:paraId="2E335D7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0.011</w:t>
            </w:r>
          </w:p>
        </w:tc>
        <w:tc>
          <w:tcPr>
            <w:tcW w:w="587" w:type="pct"/>
            <w:vAlign w:val="center"/>
          </w:tcPr>
          <w:p w14:paraId="0395F00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0.021</w:t>
            </w:r>
          </w:p>
        </w:tc>
        <w:tc>
          <w:tcPr>
            <w:tcW w:w="591" w:type="pct"/>
            <w:vAlign w:val="center"/>
          </w:tcPr>
          <w:p w14:paraId="2A262D2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0.009</w:t>
            </w:r>
          </w:p>
        </w:tc>
        <w:tc>
          <w:tcPr>
            <w:tcW w:w="590" w:type="pct"/>
            <w:vAlign w:val="center"/>
          </w:tcPr>
          <w:p w14:paraId="159F57F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0.393</w:t>
            </w:r>
          </w:p>
        </w:tc>
        <w:tc>
          <w:tcPr>
            <w:tcW w:w="620" w:type="pct"/>
            <w:vAlign w:val="center"/>
          </w:tcPr>
          <w:p w14:paraId="1CFE389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38</w:t>
            </w:r>
          </w:p>
        </w:tc>
        <w:tc>
          <w:tcPr>
            <w:tcW w:w="364" w:type="pct"/>
            <w:vAlign w:val="center"/>
          </w:tcPr>
          <w:p w14:paraId="5FCD792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39AEC5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6" w:type="pct"/>
            <w:vAlign w:val="center"/>
          </w:tcPr>
          <w:p w14:paraId="6D1A194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镍</w:t>
            </w:r>
          </w:p>
        </w:tc>
        <w:tc>
          <w:tcPr>
            <w:tcW w:w="521" w:type="pct"/>
            <w:vAlign w:val="center"/>
          </w:tcPr>
          <w:p w14:paraId="1D4906C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641" w:type="pct"/>
            <w:vAlign w:val="center"/>
          </w:tcPr>
          <w:p w14:paraId="15959A2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29</w:t>
            </w:r>
          </w:p>
        </w:tc>
        <w:tc>
          <w:tcPr>
            <w:tcW w:w="587" w:type="pct"/>
            <w:vAlign w:val="center"/>
          </w:tcPr>
          <w:p w14:paraId="27474A7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32</w:t>
            </w:r>
          </w:p>
        </w:tc>
        <w:tc>
          <w:tcPr>
            <w:tcW w:w="591" w:type="pct"/>
            <w:vAlign w:val="center"/>
          </w:tcPr>
          <w:p w14:paraId="7500ACF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20</w:t>
            </w:r>
          </w:p>
        </w:tc>
        <w:tc>
          <w:tcPr>
            <w:tcW w:w="590" w:type="pct"/>
            <w:vAlign w:val="center"/>
          </w:tcPr>
          <w:p w14:paraId="35F7811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34</w:t>
            </w:r>
          </w:p>
        </w:tc>
        <w:tc>
          <w:tcPr>
            <w:tcW w:w="620" w:type="pct"/>
            <w:vAlign w:val="center"/>
          </w:tcPr>
          <w:p w14:paraId="73209D7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900</w:t>
            </w:r>
          </w:p>
        </w:tc>
        <w:tc>
          <w:tcPr>
            <w:tcW w:w="364" w:type="pct"/>
            <w:vAlign w:val="center"/>
          </w:tcPr>
          <w:p w14:paraId="45466C1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6A13AF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6" w:type="pct"/>
            <w:vAlign w:val="center"/>
          </w:tcPr>
          <w:p w14:paraId="00DF140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氯甲烷</w:t>
            </w:r>
          </w:p>
        </w:tc>
        <w:tc>
          <w:tcPr>
            <w:tcW w:w="521" w:type="pct"/>
            <w:vAlign w:val="center"/>
          </w:tcPr>
          <w:p w14:paraId="090F8EF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641" w:type="pct"/>
            <w:vAlign w:val="center"/>
          </w:tcPr>
          <w:p w14:paraId="34ED0F7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87" w:type="pct"/>
            <w:vAlign w:val="center"/>
          </w:tcPr>
          <w:p w14:paraId="0578581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1" w:type="pct"/>
            <w:vAlign w:val="center"/>
          </w:tcPr>
          <w:p w14:paraId="74D8171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0" w:type="pct"/>
            <w:vAlign w:val="center"/>
          </w:tcPr>
          <w:p w14:paraId="20FC01A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0" w:type="pct"/>
            <w:vAlign w:val="center"/>
          </w:tcPr>
          <w:p w14:paraId="7ED7350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37</w:t>
            </w:r>
          </w:p>
        </w:tc>
        <w:tc>
          <w:tcPr>
            <w:tcW w:w="364" w:type="pct"/>
            <w:vAlign w:val="center"/>
          </w:tcPr>
          <w:p w14:paraId="21197E6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66A273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6" w:type="pct"/>
            <w:vAlign w:val="center"/>
          </w:tcPr>
          <w:p w14:paraId="1050136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氯乙烯</w:t>
            </w:r>
          </w:p>
        </w:tc>
        <w:tc>
          <w:tcPr>
            <w:tcW w:w="521" w:type="pct"/>
            <w:vAlign w:val="center"/>
          </w:tcPr>
          <w:p w14:paraId="6B04174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641" w:type="pct"/>
            <w:vAlign w:val="center"/>
          </w:tcPr>
          <w:p w14:paraId="16FDCAA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87" w:type="pct"/>
            <w:vAlign w:val="center"/>
          </w:tcPr>
          <w:p w14:paraId="215308B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1" w:type="pct"/>
            <w:vAlign w:val="center"/>
          </w:tcPr>
          <w:p w14:paraId="0981E48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0" w:type="pct"/>
            <w:vAlign w:val="center"/>
          </w:tcPr>
          <w:p w14:paraId="572870D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0" w:type="pct"/>
            <w:vAlign w:val="center"/>
          </w:tcPr>
          <w:p w14:paraId="457E06F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0.43</w:t>
            </w:r>
          </w:p>
        </w:tc>
        <w:tc>
          <w:tcPr>
            <w:tcW w:w="364" w:type="pct"/>
            <w:vAlign w:val="center"/>
          </w:tcPr>
          <w:p w14:paraId="0EDD9B7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495231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6" w:type="pct"/>
            <w:vAlign w:val="center"/>
          </w:tcPr>
          <w:p w14:paraId="0129A01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1,1-二氯乙烯</w:t>
            </w:r>
          </w:p>
        </w:tc>
        <w:tc>
          <w:tcPr>
            <w:tcW w:w="521" w:type="pct"/>
            <w:vAlign w:val="center"/>
          </w:tcPr>
          <w:p w14:paraId="34EED61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641" w:type="pct"/>
            <w:vAlign w:val="center"/>
          </w:tcPr>
          <w:p w14:paraId="4998EEE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87" w:type="pct"/>
            <w:vAlign w:val="center"/>
          </w:tcPr>
          <w:p w14:paraId="0B10F2A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1" w:type="pct"/>
            <w:vAlign w:val="center"/>
          </w:tcPr>
          <w:p w14:paraId="24391E8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0" w:type="pct"/>
            <w:vAlign w:val="center"/>
          </w:tcPr>
          <w:p w14:paraId="3E55B7B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0" w:type="pct"/>
            <w:vAlign w:val="center"/>
          </w:tcPr>
          <w:p w14:paraId="79753BD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66</w:t>
            </w:r>
          </w:p>
        </w:tc>
        <w:tc>
          <w:tcPr>
            <w:tcW w:w="364" w:type="pct"/>
            <w:vAlign w:val="center"/>
          </w:tcPr>
          <w:p w14:paraId="2186BEC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49F0F9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6" w:type="pct"/>
            <w:vAlign w:val="center"/>
          </w:tcPr>
          <w:p w14:paraId="7130F8F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二氯甲烷</w:t>
            </w:r>
          </w:p>
        </w:tc>
        <w:tc>
          <w:tcPr>
            <w:tcW w:w="521" w:type="pct"/>
            <w:vAlign w:val="center"/>
          </w:tcPr>
          <w:p w14:paraId="7ECB365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641" w:type="pct"/>
            <w:vAlign w:val="center"/>
          </w:tcPr>
          <w:p w14:paraId="54F0FDD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87" w:type="pct"/>
            <w:vAlign w:val="center"/>
          </w:tcPr>
          <w:p w14:paraId="3C466D7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1" w:type="pct"/>
            <w:vAlign w:val="center"/>
          </w:tcPr>
          <w:p w14:paraId="74E2DBC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0" w:type="pct"/>
            <w:vAlign w:val="center"/>
          </w:tcPr>
          <w:p w14:paraId="3E154D4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0" w:type="pct"/>
            <w:vAlign w:val="center"/>
          </w:tcPr>
          <w:p w14:paraId="5243B39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616</w:t>
            </w:r>
          </w:p>
        </w:tc>
        <w:tc>
          <w:tcPr>
            <w:tcW w:w="364" w:type="pct"/>
            <w:vAlign w:val="center"/>
          </w:tcPr>
          <w:p w14:paraId="0A4D137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282D02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6" w:type="pct"/>
            <w:vAlign w:val="center"/>
          </w:tcPr>
          <w:p w14:paraId="3CA3567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反式-1,2-二氯乙烯</w:t>
            </w:r>
          </w:p>
        </w:tc>
        <w:tc>
          <w:tcPr>
            <w:tcW w:w="521" w:type="pct"/>
            <w:vAlign w:val="center"/>
          </w:tcPr>
          <w:p w14:paraId="6138F9C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641" w:type="pct"/>
            <w:vAlign w:val="center"/>
          </w:tcPr>
          <w:p w14:paraId="61D4473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87" w:type="pct"/>
            <w:vAlign w:val="center"/>
          </w:tcPr>
          <w:p w14:paraId="27BD4B6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1" w:type="pct"/>
            <w:vAlign w:val="center"/>
          </w:tcPr>
          <w:p w14:paraId="24032F6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0" w:type="pct"/>
            <w:vAlign w:val="center"/>
          </w:tcPr>
          <w:p w14:paraId="293F1D2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0" w:type="pct"/>
            <w:vAlign w:val="center"/>
          </w:tcPr>
          <w:p w14:paraId="754D14C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54</w:t>
            </w:r>
          </w:p>
        </w:tc>
        <w:tc>
          <w:tcPr>
            <w:tcW w:w="364" w:type="pct"/>
            <w:vAlign w:val="center"/>
          </w:tcPr>
          <w:p w14:paraId="2922694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54D72F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6" w:type="pct"/>
            <w:vAlign w:val="center"/>
          </w:tcPr>
          <w:p w14:paraId="61D4863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1,1-二氯乙烷</w:t>
            </w:r>
          </w:p>
        </w:tc>
        <w:tc>
          <w:tcPr>
            <w:tcW w:w="521" w:type="pct"/>
            <w:vAlign w:val="center"/>
          </w:tcPr>
          <w:p w14:paraId="312EF92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641" w:type="pct"/>
            <w:vAlign w:val="center"/>
          </w:tcPr>
          <w:p w14:paraId="721A087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87" w:type="pct"/>
            <w:vAlign w:val="center"/>
          </w:tcPr>
          <w:p w14:paraId="6BC3A44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1" w:type="pct"/>
            <w:vAlign w:val="center"/>
          </w:tcPr>
          <w:p w14:paraId="4B81488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0" w:type="pct"/>
            <w:vAlign w:val="center"/>
          </w:tcPr>
          <w:p w14:paraId="39C820B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0" w:type="pct"/>
            <w:vAlign w:val="center"/>
          </w:tcPr>
          <w:p w14:paraId="4D9BAC6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9</w:t>
            </w:r>
          </w:p>
        </w:tc>
        <w:tc>
          <w:tcPr>
            <w:tcW w:w="364" w:type="pct"/>
            <w:vAlign w:val="center"/>
          </w:tcPr>
          <w:p w14:paraId="6831AD6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4F3F1C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6" w:type="pct"/>
            <w:vAlign w:val="center"/>
          </w:tcPr>
          <w:p w14:paraId="5E509E7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顺式-1,2-二氯乙烯</w:t>
            </w:r>
          </w:p>
        </w:tc>
        <w:tc>
          <w:tcPr>
            <w:tcW w:w="521" w:type="pct"/>
            <w:vAlign w:val="center"/>
          </w:tcPr>
          <w:p w14:paraId="55DC056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641" w:type="pct"/>
            <w:vAlign w:val="center"/>
          </w:tcPr>
          <w:p w14:paraId="74C8603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87" w:type="pct"/>
            <w:vAlign w:val="center"/>
          </w:tcPr>
          <w:p w14:paraId="4620EED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1" w:type="pct"/>
            <w:vAlign w:val="center"/>
          </w:tcPr>
          <w:p w14:paraId="78783A9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0" w:type="pct"/>
            <w:vAlign w:val="center"/>
          </w:tcPr>
          <w:p w14:paraId="376BEC4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0" w:type="pct"/>
            <w:vAlign w:val="center"/>
          </w:tcPr>
          <w:p w14:paraId="42540F5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596</w:t>
            </w:r>
          </w:p>
        </w:tc>
        <w:tc>
          <w:tcPr>
            <w:tcW w:w="364" w:type="pct"/>
            <w:vAlign w:val="center"/>
          </w:tcPr>
          <w:p w14:paraId="2DDE967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22C10E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6" w:type="pct"/>
            <w:vAlign w:val="center"/>
          </w:tcPr>
          <w:p w14:paraId="433E396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氯仿</w:t>
            </w:r>
          </w:p>
        </w:tc>
        <w:tc>
          <w:tcPr>
            <w:tcW w:w="521" w:type="pct"/>
            <w:vAlign w:val="center"/>
          </w:tcPr>
          <w:p w14:paraId="452D0DD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641" w:type="pct"/>
            <w:vAlign w:val="center"/>
          </w:tcPr>
          <w:p w14:paraId="6C78E0B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87" w:type="pct"/>
            <w:vAlign w:val="center"/>
          </w:tcPr>
          <w:p w14:paraId="7452F1F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1" w:type="pct"/>
            <w:vAlign w:val="center"/>
          </w:tcPr>
          <w:p w14:paraId="2D18ED2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0" w:type="pct"/>
            <w:vAlign w:val="center"/>
          </w:tcPr>
          <w:p w14:paraId="304E4D4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0" w:type="pct"/>
            <w:vAlign w:val="center"/>
          </w:tcPr>
          <w:p w14:paraId="46F7766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0.9</w:t>
            </w:r>
          </w:p>
        </w:tc>
        <w:tc>
          <w:tcPr>
            <w:tcW w:w="364" w:type="pct"/>
            <w:vAlign w:val="center"/>
          </w:tcPr>
          <w:p w14:paraId="1E8656E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0B43C4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6" w:type="pct"/>
            <w:vAlign w:val="center"/>
          </w:tcPr>
          <w:p w14:paraId="63522C2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1,1,1-三氯乙烷</w:t>
            </w:r>
          </w:p>
        </w:tc>
        <w:tc>
          <w:tcPr>
            <w:tcW w:w="521" w:type="pct"/>
            <w:vAlign w:val="center"/>
          </w:tcPr>
          <w:p w14:paraId="6274D0D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641" w:type="pct"/>
            <w:vAlign w:val="center"/>
          </w:tcPr>
          <w:p w14:paraId="367CF84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87" w:type="pct"/>
            <w:vAlign w:val="center"/>
          </w:tcPr>
          <w:p w14:paraId="734CFD9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1" w:type="pct"/>
            <w:vAlign w:val="center"/>
          </w:tcPr>
          <w:p w14:paraId="6BA9DFE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0" w:type="pct"/>
            <w:vAlign w:val="center"/>
          </w:tcPr>
          <w:p w14:paraId="6F005EF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0" w:type="pct"/>
            <w:vAlign w:val="center"/>
          </w:tcPr>
          <w:p w14:paraId="7C48EC4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840</w:t>
            </w:r>
          </w:p>
        </w:tc>
        <w:tc>
          <w:tcPr>
            <w:tcW w:w="364" w:type="pct"/>
            <w:vAlign w:val="center"/>
          </w:tcPr>
          <w:p w14:paraId="149DF81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78BE4E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6" w:type="pct"/>
            <w:vAlign w:val="center"/>
          </w:tcPr>
          <w:p w14:paraId="41E3BD0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四氯化碳</w:t>
            </w:r>
          </w:p>
        </w:tc>
        <w:tc>
          <w:tcPr>
            <w:tcW w:w="521" w:type="pct"/>
            <w:vAlign w:val="center"/>
          </w:tcPr>
          <w:p w14:paraId="58D6B91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641" w:type="pct"/>
            <w:vAlign w:val="center"/>
          </w:tcPr>
          <w:p w14:paraId="4087662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87" w:type="pct"/>
            <w:vAlign w:val="center"/>
          </w:tcPr>
          <w:p w14:paraId="25667B8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1" w:type="pct"/>
            <w:vAlign w:val="center"/>
          </w:tcPr>
          <w:p w14:paraId="679D949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0" w:type="pct"/>
            <w:vAlign w:val="center"/>
          </w:tcPr>
          <w:p w14:paraId="235AB86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0" w:type="pct"/>
            <w:vAlign w:val="center"/>
          </w:tcPr>
          <w:p w14:paraId="6A60324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2.8</w:t>
            </w:r>
          </w:p>
        </w:tc>
        <w:tc>
          <w:tcPr>
            <w:tcW w:w="364" w:type="pct"/>
            <w:vAlign w:val="center"/>
          </w:tcPr>
          <w:p w14:paraId="0776EF1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769561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6" w:type="pct"/>
            <w:vAlign w:val="center"/>
          </w:tcPr>
          <w:p w14:paraId="37D15B4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苯</w:t>
            </w:r>
          </w:p>
        </w:tc>
        <w:tc>
          <w:tcPr>
            <w:tcW w:w="521" w:type="pct"/>
            <w:vAlign w:val="center"/>
          </w:tcPr>
          <w:p w14:paraId="75A727E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641" w:type="pct"/>
            <w:vAlign w:val="center"/>
          </w:tcPr>
          <w:p w14:paraId="28B3A25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87" w:type="pct"/>
            <w:vAlign w:val="center"/>
          </w:tcPr>
          <w:p w14:paraId="0E67A52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1" w:type="pct"/>
            <w:vAlign w:val="center"/>
          </w:tcPr>
          <w:p w14:paraId="393839F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0" w:type="pct"/>
            <w:vAlign w:val="center"/>
          </w:tcPr>
          <w:p w14:paraId="3D1570C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0" w:type="pct"/>
            <w:vAlign w:val="center"/>
          </w:tcPr>
          <w:p w14:paraId="7A957D2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w:t>
            </w:r>
          </w:p>
        </w:tc>
        <w:tc>
          <w:tcPr>
            <w:tcW w:w="364" w:type="pct"/>
            <w:vAlign w:val="center"/>
          </w:tcPr>
          <w:p w14:paraId="53EE433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073F3F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6" w:type="pct"/>
            <w:vAlign w:val="center"/>
          </w:tcPr>
          <w:p w14:paraId="5BDAD63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1,2-二氯乙烷</w:t>
            </w:r>
          </w:p>
        </w:tc>
        <w:tc>
          <w:tcPr>
            <w:tcW w:w="521" w:type="pct"/>
            <w:vAlign w:val="center"/>
          </w:tcPr>
          <w:p w14:paraId="755874B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641" w:type="pct"/>
            <w:vAlign w:val="center"/>
          </w:tcPr>
          <w:p w14:paraId="5D82529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87" w:type="pct"/>
            <w:vAlign w:val="center"/>
          </w:tcPr>
          <w:p w14:paraId="6BA6669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1" w:type="pct"/>
            <w:vAlign w:val="center"/>
          </w:tcPr>
          <w:p w14:paraId="69BB31A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0" w:type="pct"/>
            <w:vAlign w:val="center"/>
          </w:tcPr>
          <w:p w14:paraId="4D6CE2D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0" w:type="pct"/>
            <w:vAlign w:val="center"/>
          </w:tcPr>
          <w:p w14:paraId="6547C9D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w:t>
            </w:r>
          </w:p>
        </w:tc>
        <w:tc>
          <w:tcPr>
            <w:tcW w:w="364" w:type="pct"/>
            <w:vAlign w:val="center"/>
          </w:tcPr>
          <w:p w14:paraId="0E16441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46270A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6" w:type="pct"/>
            <w:vAlign w:val="center"/>
          </w:tcPr>
          <w:p w14:paraId="2074428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三氯乙烯</w:t>
            </w:r>
          </w:p>
        </w:tc>
        <w:tc>
          <w:tcPr>
            <w:tcW w:w="521" w:type="pct"/>
            <w:vAlign w:val="center"/>
          </w:tcPr>
          <w:p w14:paraId="272A23B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641" w:type="pct"/>
            <w:vAlign w:val="center"/>
          </w:tcPr>
          <w:p w14:paraId="16AA07E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87" w:type="pct"/>
            <w:vAlign w:val="center"/>
          </w:tcPr>
          <w:p w14:paraId="13FE785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1" w:type="pct"/>
            <w:vAlign w:val="center"/>
          </w:tcPr>
          <w:p w14:paraId="245AB33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0" w:type="pct"/>
            <w:vAlign w:val="center"/>
          </w:tcPr>
          <w:p w14:paraId="469AEFA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0" w:type="pct"/>
            <w:vAlign w:val="center"/>
          </w:tcPr>
          <w:p w14:paraId="40E8678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2.8</w:t>
            </w:r>
          </w:p>
        </w:tc>
        <w:tc>
          <w:tcPr>
            <w:tcW w:w="364" w:type="pct"/>
            <w:vAlign w:val="center"/>
          </w:tcPr>
          <w:p w14:paraId="2ED8970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61FDB3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6" w:type="pct"/>
            <w:vAlign w:val="center"/>
          </w:tcPr>
          <w:p w14:paraId="62D69F8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1,2-二氯丙烷</w:t>
            </w:r>
          </w:p>
        </w:tc>
        <w:tc>
          <w:tcPr>
            <w:tcW w:w="521" w:type="pct"/>
            <w:vAlign w:val="center"/>
          </w:tcPr>
          <w:p w14:paraId="5EB319A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641" w:type="pct"/>
            <w:vAlign w:val="center"/>
          </w:tcPr>
          <w:p w14:paraId="17EC993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87" w:type="pct"/>
            <w:vAlign w:val="center"/>
          </w:tcPr>
          <w:p w14:paraId="6ABF135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1" w:type="pct"/>
            <w:vAlign w:val="center"/>
          </w:tcPr>
          <w:p w14:paraId="3F55150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0" w:type="pct"/>
            <w:vAlign w:val="center"/>
          </w:tcPr>
          <w:p w14:paraId="3E15222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0" w:type="pct"/>
            <w:vAlign w:val="center"/>
          </w:tcPr>
          <w:p w14:paraId="4BCD411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w:t>
            </w:r>
          </w:p>
        </w:tc>
        <w:tc>
          <w:tcPr>
            <w:tcW w:w="364" w:type="pct"/>
            <w:vAlign w:val="center"/>
          </w:tcPr>
          <w:p w14:paraId="1C46C4E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5EFB6F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6" w:type="pct"/>
            <w:vAlign w:val="center"/>
          </w:tcPr>
          <w:p w14:paraId="5CD95C0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甲苯</w:t>
            </w:r>
          </w:p>
        </w:tc>
        <w:tc>
          <w:tcPr>
            <w:tcW w:w="521" w:type="pct"/>
            <w:vAlign w:val="center"/>
          </w:tcPr>
          <w:p w14:paraId="19AD377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641" w:type="pct"/>
            <w:vAlign w:val="center"/>
          </w:tcPr>
          <w:p w14:paraId="25349FE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87" w:type="pct"/>
            <w:vAlign w:val="center"/>
          </w:tcPr>
          <w:p w14:paraId="6EE8119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1" w:type="pct"/>
            <w:vAlign w:val="center"/>
          </w:tcPr>
          <w:p w14:paraId="57F7235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0" w:type="pct"/>
            <w:vAlign w:val="center"/>
          </w:tcPr>
          <w:p w14:paraId="3F14CDC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0" w:type="pct"/>
            <w:vAlign w:val="center"/>
          </w:tcPr>
          <w:p w14:paraId="1C28069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1200</w:t>
            </w:r>
          </w:p>
        </w:tc>
        <w:tc>
          <w:tcPr>
            <w:tcW w:w="364" w:type="pct"/>
            <w:vAlign w:val="center"/>
          </w:tcPr>
          <w:p w14:paraId="4691B5E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6C7FA2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6" w:type="pct"/>
            <w:vAlign w:val="center"/>
          </w:tcPr>
          <w:p w14:paraId="6EF4376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1,1,2-三氯乙烷</w:t>
            </w:r>
          </w:p>
        </w:tc>
        <w:tc>
          <w:tcPr>
            <w:tcW w:w="521" w:type="pct"/>
            <w:vAlign w:val="center"/>
          </w:tcPr>
          <w:p w14:paraId="29FDBAC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641" w:type="pct"/>
            <w:vAlign w:val="center"/>
          </w:tcPr>
          <w:p w14:paraId="05F2B6F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87" w:type="pct"/>
            <w:vAlign w:val="center"/>
          </w:tcPr>
          <w:p w14:paraId="4B61D95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1" w:type="pct"/>
            <w:vAlign w:val="center"/>
          </w:tcPr>
          <w:p w14:paraId="03DB3CD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0" w:type="pct"/>
            <w:vAlign w:val="center"/>
          </w:tcPr>
          <w:p w14:paraId="0CB8D47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0" w:type="pct"/>
            <w:vAlign w:val="center"/>
          </w:tcPr>
          <w:p w14:paraId="29BC08C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2.8</w:t>
            </w:r>
          </w:p>
        </w:tc>
        <w:tc>
          <w:tcPr>
            <w:tcW w:w="364" w:type="pct"/>
            <w:vAlign w:val="center"/>
          </w:tcPr>
          <w:p w14:paraId="2DA9F74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191BBA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6" w:type="pct"/>
            <w:vAlign w:val="center"/>
          </w:tcPr>
          <w:p w14:paraId="779A32E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四氯乙烯</w:t>
            </w:r>
          </w:p>
        </w:tc>
        <w:tc>
          <w:tcPr>
            <w:tcW w:w="521" w:type="pct"/>
            <w:vAlign w:val="center"/>
          </w:tcPr>
          <w:p w14:paraId="71A02C8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641" w:type="pct"/>
            <w:vAlign w:val="center"/>
          </w:tcPr>
          <w:p w14:paraId="28D8F1B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87" w:type="pct"/>
            <w:vAlign w:val="center"/>
          </w:tcPr>
          <w:p w14:paraId="25BDB5A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1" w:type="pct"/>
            <w:vAlign w:val="center"/>
          </w:tcPr>
          <w:p w14:paraId="79EE75A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0" w:type="pct"/>
            <w:vAlign w:val="center"/>
          </w:tcPr>
          <w:p w14:paraId="4C25358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0" w:type="pct"/>
            <w:vAlign w:val="center"/>
          </w:tcPr>
          <w:p w14:paraId="4A845BF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53</w:t>
            </w:r>
          </w:p>
        </w:tc>
        <w:tc>
          <w:tcPr>
            <w:tcW w:w="364" w:type="pct"/>
            <w:vAlign w:val="center"/>
          </w:tcPr>
          <w:p w14:paraId="52C98C6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7D1F82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6" w:type="pct"/>
            <w:vAlign w:val="center"/>
          </w:tcPr>
          <w:p w14:paraId="57DC5E4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氯苯</w:t>
            </w:r>
          </w:p>
        </w:tc>
        <w:tc>
          <w:tcPr>
            <w:tcW w:w="521" w:type="pct"/>
            <w:vAlign w:val="center"/>
          </w:tcPr>
          <w:p w14:paraId="3C1A2AF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641" w:type="pct"/>
            <w:vAlign w:val="center"/>
          </w:tcPr>
          <w:p w14:paraId="52EEA5F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87" w:type="pct"/>
            <w:vAlign w:val="center"/>
          </w:tcPr>
          <w:p w14:paraId="2861A79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1" w:type="pct"/>
            <w:vAlign w:val="center"/>
          </w:tcPr>
          <w:p w14:paraId="4567CBF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0" w:type="pct"/>
            <w:vAlign w:val="center"/>
          </w:tcPr>
          <w:p w14:paraId="3A08705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0" w:type="pct"/>
            <w:vAlign w:val="center"/>
          </w:tcPr>
          <w:p w14:paraId="70CB6B0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270</w:t>
            </w:r>
          </w:p>
        </w:tc>
        <w:tc>
          <w:tcPr>
            <w:tcW w:w="364" w:type="pct"/>
            <w:vAlign w:val="center"/>
          </w:tcPr>
          <w:p w14:paraId="46D53A0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7CD8AC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6" w:type="pct"/>
            <w:vAlign w:val="center"/>
          </w:tcPr>
          <w:p w14:paraId="3CED640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1,1,1,2-四氯乙烷</w:t>
            </w:r>
          </w:p>
        </w:tc>
        <w:tc>
          <w:tcPr>
            <w:tcW w:w="521" w:type="pct"/>
            <w:vAlign w:val="center"/>
          </w:tcPr>
          <w:p w14:paraId="7A24576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641" w:type="pct"/>
            <w:vAlign w:val="center"/>
          </w:tcPr>
          <w:p w14:paraId="5F3A275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87" w:type="pct"/>
            <w:vAlign w:val="center"/>
          </w:tcPr>
          <w:p w14:paraId="5503360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1" w:type="pct"/>
            <w:vAlign w:val="center"/>
          </w:tcPr>
          <w:p w14:paraId="773D729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0" w:type="pct"/>
            <w:vAlign w:val="center"/>
          </w:tcPr>
          <w:p w14:paraId="0B617A2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0" w:type="pct"/>
            <w:vAlign w:val="center"/>
          </w:tcPr>
          <w:p w14:paraId="3597CA5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10</w:t>
            </w:r>
          </w:p>
        </w:tc>
        <w:tc>
          <w:tcPr>
            <w:tcW w:w="364" w:type="pct"/>
            <w:vAlign w:val="center"/>
          </w:tcPr>
          <w:p w14:paraId="1B3935F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5F93B1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6" w:type="pct"/>
            <w:vAlign w:val="center"/>
          </w:tcPr>
          <w:p w14:paraId="1F63A38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乙苯</w:t>
            </w:r>
          </w:p>
        </w:tc>
        <w:tc>
          <w:tcPr>
            <w:tcW w:w="521" w:type="pct"/>
            <w:vAlign w:val="center"/>
          </w:tcPr>
          <w:p w14:paraId="4C84985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641" w:type="pct"/>
            <w:vAlign w:val="center"/>
          </w:tcPr>
          <w:p w14:paraId="15D5A4A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87" w:type="pct"/>
            <w:vAlign w:val="center"/>
          </w:tcPr>
          <w:p w14:paraId="4019E94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1" w:type="pct"/>
            <w:vAlign w:val="center"/>
          </w:tcPr>
          <w:p w14:paraId="3D17A13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0" w:type="pct"/>
            <w:vAlign w:val="center"/>
          </w:tcPr>
          <w:p w14:paraId="4E8F781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0" w:type="pct"/>
            <w:vAlign w:val="center"/>
          </w:tcPr>
          <w:p w14:paraId="70FEF96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28</w:t>
            </w:r>
          </w:p>
        </w:tc>
        <w:tc>
          <w:tcPr>
            <w:tcW w:w="364" w:type="pct"/>
            <w:vAlign w:val="center"/>
          </w:tcPr>
          <w:p w14:paraId="00B29F3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4DD6A0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6" w:type="pct"/>
            <w:vAlign w:val="center"/>
          </w:tcPr>
          <w:p w14:paraId="400449D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间,对-二甲苯</w:t>
            </w:r>
          </w:p>
        </w:tc>
        <w:tc>
          <w:tcPr>
            <w:tcW w:w="521" w:type="pct"/>
            <w:vAlign w:val="center"/>
          </w:tcPr>
          <w:p w14:paraId="7F91444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641" w:type="pct"/>
            <w:vAlign w:val="center"/>
          </w:tcPr>
          <w:p w14:paraId="02F6023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87" w:type="pct"/>
            <w:vAlign w:val="center"/>
          </w:tcPr>
          <w:p w14:paraId="32C07D8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1" w:type="pct"/>
            <w:vAlign w:val="center"/>
          </w:tcPr>
          <w:p w14:paraId="1D9D8E8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0" w:type="pct"/>
            <w:vAlign w:val="center"/>
          </w:tcPr>
          <w:p w14:paraId="4072792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0" w:type="pct"/>
            <w:vAlign w:val="center"/>
          </w:tcPr>
          <w:p w14:paraId="029EEDB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570</w:t>
            </w:r>
          </w:p>
        </w:tc>
        <w:tc>
          <w:tcPr>
            <w:tcW w:w="364" w:type="pct"/>
            <w:vAlign w:val="center"/>
          </w:tcPr>
          <w:p w14:paraId="26134F5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0EA268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6" w:type="pct"/>
            <w:vAlign w:val="center"/>
          </w:tcPr>
          <w:p w14:paraId="3DCDE50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邻-二甲苯</w:t>
            </w:r>
          </w:p>
        </w:tc>
        <w:tc>
          <w:tcPr>
            <w:tcW w:w="521" w:type="pct"/>
            <w:vAlign w:val="center"/>
          </w:tcPr>
          <w:p w14:paraId="1ED919F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641" w:type="pct"/>
            <w:vAlign w:val="center"/>
          </w:tcPr>
          <w:p w14:paraId="09C5BDF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87" w:type="pct"/>
            <w:vAlign w:val="center"/>
          </w:tcPr>
          <w:p w14:paraId="0215B78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1" w:type="pct"/>
            <w:vAlign w:val="center"/>
          </w:tcPr>
          <w:p w14:paraId="162D6C4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0" w:type="pct"/>
            <w:vAlign w:val="center"/>
          </w:tcPr>
          <w:p w14:paraId="679F1A1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0" w:type="pct"/>
            <w:vAlign w:val="center"/>
          </w:tcPr>
          <w:p w14:paraId="5DB997D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640</w:t>
            </w:r>
          </w:p>
        </w:tc>
        <w:tc>
          <w:tcPr>
            <w:tcW w:w="364" w:type="pct"/>
            <w:vAlign w:val="center"/>
          </w:tcPr>
          <w:p w14:paraId="3403BE2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2E72E9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6" w:type="pct"/>
            <w:vAlign w:val="center"/>
          </w:tcPr>
          <w:p w14:paraId="07901F9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苯乙烯</w:t>
            </w:r>
          </w:p>
        </w:tc>
        <w:tc>
          <w:tcPr>
            <w:tcW w:w="521" w:type="pct"/>
            <w:vAlign w:val="center"/>
          </w:tcPr>
          <w:p w14:paraId="3F19A27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641" w:type="pct"/>
            <w:vAlign w:val="center"/>
          </w:tcPr>
          <w:p w14:paraId="5579FC8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87" w:type="pct"/>
            <w:vAlign w:val="center"/>
          </w:tcPr>
          <w:p w14:paraId="43D8BBD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1" w:type="pct"/>
            <w:vAlign w:val="center"/>
          </w:tcPr>
          <w:p w14:paraId="6CAA7B1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0" w:type="pct"/>
            <w:vAlign w:val="center"/>
          </w:tcPr>
          <w:p w14:paraId="63423C8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0" w:type="pct"/>
            <w:vAlign w:val="center"/>
          </w:tcPr>
          <w:p w14:paraId="7F1A342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1290</w:t>
            </w:r>
          </w:p>
        </w:tc>
        <w:tc>
          <w:tcPr>
            <w:tcW w:w="364" w:type="pct"/>
            <w:vAlign w:val="center"/>
          </w:tcPr>
          <w:p w14:paraId="2B4FC63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688BDF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6" w:type="pct"/>
            <w:vAlign w:val="center"/>
          </w:tcPr>
          <w:p w14:paraId="097085E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1,1,2,2-四氯乙烷</w:t>
            </w:r>
          </w:p>
        </w:tc>
        <w:tc>
          <w:tcPr>
            <w:tcW w:w="521" w:type="pct"/>
            <w:vAlign w:val="center"/>
          </w:tcPr>
          <w:p w14:paraId="3CCCFFC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641" w:type="pct"/>
            <w:vAlign w:val="center"/>
          </w:tcPr>
          <w:p w14:paraId="1F7E270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87" w:type="pct"/>
            <w:vAlign w:val="center"/>
          </w:tcPr>
          <w:p w14:paraId="45AB087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1" w:type="pct"/>
            <w:vAlign w:val="center"/>
          </w:tcPr>
          <w:p w14:paraId="4D6F779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0" w:type="pct"/>
            <w:vAlign w:val="center"/>
          </w:tcPr>
          <w:p w14:paraId="484AEF6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0" w:type="pct"/>
            <w:vAlign w:val="center"/>
          </w:tcPr>
          <w:p w14:paraId="7DD0558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6.8</w:t>
            </w:r>
          </w:p>
        </w:tc>
        <w:tc>
          <w:tcPr>
            <w:tcW w:w="364" w:type="pct"/>
            <w:vAlign w:val="center"/>
          </w:tcPr>
          <w:p w14:paraId="3C6E24F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4E6E18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6" w:type="pct"/>
            <w:vAlign w:val="center"/>
          </w:tcPr>
          <w:p w14:paraId="590F188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1,2,3-三氯丙烷</w:t>
            </w:r>
          </w:p>
        </w:tc>
        <w:tc>
          <w:tcPr>
            <w:tcW w:w="521" w:type="pct"/>
            <w:vAlign w:val="center"/>
          </w:tcPr>
          <w:p w14:paraId="332CC23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641" w:type="pct"/>
            <w:vAlign w:val="center"/>
          </w:tcPr>
          <w:p w14:paraId="57249E2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87" w:type="pct"/>
            <w:vAlign w:val="center"/>
          </w:tcPr>
          <w:p w14:paraId="32D387D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1" w:type="pct"/>
            <w:vAlign w:val="center"/>
          </w:tcPr>
          <w:p w14:paraId="780F4F3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0" w:type="pct"/>
            <w:vAlign w:val="center"/>
          </w:tcPr>
          <w:p w14:paraId="7E5F0AC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0" w:type="pct"/>
            <w:vAlign w:val="center"/>
          </w:tcPr>
          <w:p w14:paraId="1F2E7D9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0.5</w:t>
            </w:r>
          </w:p>
        </w:tc>
        <w:tc>
          <w:tcPr>
            <w:tcW w:w="364" w:type="pct"/>
            <w:vAlign w:val="center"/>
          </w:tcPr>
          <w:p w14:paraId="5594F45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2F3754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6" w:type="pct"/>
            <w:vAlign w:val="center"/>
          </w:tcPr>
          <w:p w14:paraId="70B3915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1,4-二氯苯</w:t>
            </w:r>
          </w:p>
        </w:tc>
        <w:tc>
          <w:tcPr>
            <w:tcW w:w="521" w:type="pct"/>
            <w:vAlign w:val="center"/>
          </w:tcPr>
          <w:p w14:paraId="33DC4B1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641" w:type="pct"/>
            <w:vAlign w:val="center"/>
          </w:tcPr>
          <w:p w14:paraId="2539951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87" w:type="pct"/>
            <w:vAlign w:val="center"/>
          </w:tcPr>
          <w:p w14:paraId="2D193DC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1" w:type="pct"/>
            <w:vAlign w:val="center"/>
          </w:tcPr>
          <w:p w14:paraId="3C635AB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0" w:type="pct"/>
            <w:vAlign w:val="center"/>
          </w:tcPr>
          <w:p w14:paraId="4A9B5E5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0" w:type="pct"/>
            <w:vAlign w:val="center"/>
          </w:tcPr>
          <w:p w14:paraId="457F1D3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20</w:t>
            </w:r>
          </w:p>
        </w:tc>
        <w:tc>
          <w:tcPr>
            <w:tcW w:w="364" w:type="pct"/>
            <w:vAlign w:val="center"/>
          </w:tcPr>
          <w:p w14:paraId="389109F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44CA22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6" w:type="pct"/>
            <w:vAlign w:val="center"/>
          </w:tcPr>
          <w:p w14:paraId="78B2305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1,2-二氯苯</w:t>
            </w:r>
          </w:p>
        </w:tc>
        <w:tc>
          <w:tcPr>
            <w:tcW w:w="521" w:type="pct"/>
            <w:vAlign w:val="center"/>
          </w:tcPr>
          <w:p w14:paraId="66F5FC2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641" w:type="pct"/>
            <w:vAlign w:val="center"/>
          </w:tcPr>
          <w:p w14:paraId="05D86AE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87" w:type="pct"/>
            <w:vAlign w:val="center"/>
          </w:tcPr>
          <w:p w14:paraId="5A8A9D0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1" w:type="pct"/>
            <w:vAlign w:val="center"/>
          </w:tcPr>
          <w:p w14:paraId="12B6DF5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0" w:type="pct"/>
            <w:vAlign w:val="center"/>
          </w:tcPr>
          <w:p w14:paraId="0CA32FF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0" w:type="pct"/>
            <w:vAlign w:val="center"/>
          </w:tcPr>
          <w:p w14:paraId="6B73563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560</w:t>
            </w:r>
          </w:p>
        </w:tc>
        <w:tc>
          <w:tcPr>
            <w:tcW w:w="364" w:type="pct"/>
            <w:vAlign w:val="center"/>
          </w:tcPr>
          <w:p w14:paraId="42BF6D1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4DF87C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6" w:type="pct"/>
            <w:vAlign w:val="center"/>
          </w:tcPr>
          <w:p w14:paraId="19A95C7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苯胺</w:t>
            </w:r>
          </w:p>
        </w:tc>
        <w:tc>
          <w:tcPr>
            <w:tcW w:w="521" w:type="pct"/>
            <w:vAlign w:val="center"/>
          </w:tcPr>
          <w:p w14:paraId="114E3B8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641" w:type="pct"/>
            <w:vAlign w:val="center"/>
          </w:tcPr>
          <w:p w14:paraId="014F214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87" w:type="pct"/>
            <w:vAlign w:val="center"/>
          </w:tcPr>
          <w:p w14:paraId="53BD970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1" w:type="pct"/>
            <w:vAlign w:val="center"/>
          </w:tcPr>
          <w:p w14:paraId="2B58FF9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0" w:type="pct"/>
            <w:vAlign w:val="center"/>
          </w:tcPr>
          <w:p w14:paraId="1052A47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0" w:type="pct"/>
            <w:vAlign w:val="center"/>
          </w:tcPr>
          <w:p w14:paraId="4D7D3EA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260</w:t>
            </w:r>
          </w:p>
        </w:tc>
        <w:tc>
          <w:tcPr>
            <w:tcW w:w="364" w:type="pct"/>
            <w:vAlign w:val="center"/>
          </w:tcPr>
          <w:p w14:paraId="58DA68E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1815E2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6" w:type="pct"/>
            <w:vAlign w:val="center"/>
          </w:tcPr>
          <w:p w14:paraId="50DAA3D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2-氯苯酚</w:t>
            </w:r>
          </w:p>
        </w:tc>
        <w:tc>
          <w:tcPr>
            <w:tcW w:w="521" w:type="pct"/>
            <w:vAlign w:val="center"/>
          </w:tcPr>
          <w:p w14:paraId="6ECC577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641" w:type="pct"/>
            <w:vAlign w:val="center"/>
          </w:tcPr>
          <w:p w14:paraId="3044E47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87" w:type="pct"/>
            <w:vAlign w:val="center"/>
          </w:tcPr>
          <w:p w14:paraId="5DFEBBA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1" w:type="pct"/>
            <w:vAlign w:val="center"/>
          </w:tcPr>
          <w:p w14:paraId="10727FA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0" w:type="pct"/>
            <w:vAlign w:val="center"/>
          </w:tcPr>
          <w:p w14:paraId="13986FD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0" w:type="pct"/>
            <w:vAlign w:val="center"/>
          </w:tcPr>
          <w:p w14:paraId="5A07E8E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2256</w:t>
            </w:r>
          </w:p>
        </w:tc>
        <w:tc>
          <w:tcPr>
            <w:tcW w:w="364" w:type="pct"/>
            <w:vAlign w:val="center"/>
          </w:tcPr>
          <w:p w14:paraId="7C7E65D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7E43EE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6" w:type="pct"/>
            <w:vAlign w:val="center"/>
          </w:tcPr>
          <w:p w14:paraId="1A98F98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硝基苯</w:t>
            </w:r>
          </w:p>
        </w:tc>
        <w:tc>
          <w:tcPr>
            <w:tcW w:w="521" w:type="pct"/>
            <w:vAlign w:val="center"/>
          </w:tcPr>
          <w:p w14:paraId="79AA56C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641" w:type="pct"/>
            <w:vAlign w:val="center"/>
          </w:tcPr>
          <w:p w14:paraId="16D1331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87" w:type="pct"/>
            <w:vAlign w:val="center"/>
          </w:tcPr>
          <w:p w14:paraId="72A0F45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1" w:type="pct"/>
            <w:vAlign w:val="center"/>
          </w:tcPr>
          <w:p w14:paraId="23CB377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0" w:type="pct"/>
            <w:vAlign w:val="center"/>
          </w:tcPr>
          <w:p w14:paraId="461B224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0" w:type="pct"/>
            <w:vAlign w:val="center"/>
          </w:tcPr>
          <w:p w14:paraId="19FFB08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76</w:t>
            </w:r>
          </w:p>
        </w:tc>
        <w:tc>
          <w:tcPr>
            <w:tcW w:w="364" w:type="pct"/>
            <w:vAlign w:val="center"/>
          </w:tcPr>
          <w:p w14:paraId="0124DD2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5896EC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6" w:type="pct"/>
            <w:vAlign w:val="center"/>
          </w:tcPr>
          <w:p w14:paraId="0F22FCC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萘</w:t>
            </w:r>
          </w:p>
        </w:tc>
        <w:tc>
          <w:tcPr>
            <w:tcW w:w="521" w:type="pct"/>
            <w:vAlign w:val="center"/>
          </w:tcPr>
          <w:p w14:paraId="4C4818D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641" w:type="pct"/>
            <w:vAlign w:val="center"/>
          </w:tcPr>
          <w:p w14:paraId="04ECB81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87" w:type="pct"/>
            <w:vAlign w:val="center"/>
          </w:tcPr>
          <w:p w14:paraId="085ED34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1" w:type="pct"/>
            <w:vAlign w:val="center"/>
          </w:tcPr>
          <w:p w14:paraId="38DBEF8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0" w:type="pct"/>
            <w:vAlign w:val="center"/>
          </w:tcPr>
          <w:p w14:paraId="6880283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0" w:type="pct"/>
            <w:vAlign w:val="center"/>
          </w:tcPr>
          <w:p w14:paraId="1793A59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70</w:t>
            </w:r>
          </w:p>
        </w:tc>
        <w:tc>
          <w:tcPr>
            <w:tcW w:w="364" w:type="pct"/>
            <w:vAlign w:val="center"/>
          </w:tcPr>
          <w:p w14:paraId="1644630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5D5918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6" w:type="pct"/>
            <w:vAlign w:val="center"/>
          </w:tcPr>
          <w:p w14:paraId="30F58A5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苯并[a]蒽</w:t>
            </w:r>
          </w:p>
        </w:tc>
        <w:tc>
          <w:tcPr>
            <w:tcW w:w="521" w:type="pct"/>
            <w:vAlign w:val="center"/>
          </w:tcPr>
          <w:p w14:paraId="56C80E8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641" w:type="pct"/>
            <w:vAlign w:val="center"/>
          </w:tcPr>
          <w:p w14:paraId="53E3423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87" w:type="pct"/>
            <w:vAlign w:val="center"/>
          </w:tcPr>
          <w:p w14:paraId="50700FA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1" w:type="pct"/>
            <w:vAlign w:val="center"/>
          </w:tcPr>
          <w:p w14:paraId="76151AB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0" w:type="pct"/>
            <w:vAlign w:val="center"/>
          </w:tcPr>
          <w:p w14:paraId="22AE95E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0" w:type="pct"/>
            <w:vAlign w:val="center"/>
          </w:tcPr>
          <w:p w14:paraId="1EBA8ED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15</w:t>
            </w:r>
          </w:p>
        </w:tc>
        <w:tc>
          <w:tcPr>
            <w:tcW w:w="364" w:type="pct"/>
            <w:vAlign w:val="center"/>
          </w:tcPr>
          <w:p w14:paraId="7605F37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02A539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6" w:type="pct"/>
            <w:vAlign w:val="center"/>
          </w:tcPr>
          <w:p w14:paraId="3DFFA15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䓛</w:t>
            </w:r>
          </w:p>
        </w:tc>
        <w:tc>
          <w:tcPr>
            <w:tcW w:w="521" w:type="pct"/>
            <w:vAlign w:val="center"/>
          </w:tcPr>
          <w:p w14:paraId="12DDBAB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641" w:type="pct"/>
            <w:vAlign w:val="center"/>
          </w:tcPr>
          <w:p w14:paraId="5F518B3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87" w:type="pct"/>
            <w:vAlign w:val="center"/>
          </w:tcPr>
          <w:p w14:paraId="5657DEA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1" w:type="pct"/>
            <w:vAlign w:val="center"/>
          </w:tcPr>
          <w:p w14:paraId="0404B22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0" w:type="pct"/>
            <w:vAlign w:val="center"/>
          </w:tcPr>
          <w:p w14:paraId="4333A96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0" w:type="pct"/>
            <w:vAlign w:val="center"/>
          </w:tcPr>
          <w:p w14:paraId="2FF6E4C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1293</w:t>
            </w:r>
          </w:p>
        </w:tc>
        <w:tc>
          <w:tcPr>
            <w:tcW w:w="364" w:type="pct"/>
            <w:vAlign w:val="center"/>
          </w:tcPr>
          <w:p w14:paraId="2DB48D8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3844F8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6" w:type="pct"/>
            <w:vAlign w:val="center"/>
          </w:tcPr>
          <w:p w14:paraId="178C468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苯并[b]荧蒽</w:t>
            </w:r>
          </w:p>
        </w:tc>
        <w:tc>
          <w:tcPr>
            <w:tcW w:w="521" w:type="pct"/>
            <w:vAlign w:val="center"/>
          </w:tcPr>
          <w:p w14:paraId="7B79953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641" w:type="pct"/>
            <w:vAlign w:val="center"/>
          </w:tcPr>
          <w:p w14:paraId="025E1B0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87" w:type="pct"/>
            <w:vAlign w:val="center"/>
          </w:tcPr>
          <w:p w14:paraId="6F3E958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1" w:type="pct"/>
            <w:vAlign w:val="center"/>
          </w:tcPr>
          <w:p w14:paraId="4EFA732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0" w:type="pct"/>
            <w:vAlign w:val="center"/>
          </w:tcPr>
          <w:p w14:paraId="792037F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0" w:type="pct"/>
            <w:vAlign w:val="center"/>
          </w:tcPr>
          <w:p w14:paraId="641003A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15</w:t>
            </w:r>
          </w:p>
        </w:tc>
        <w:tc>
          <w:tcPr>
            <w:tcW w:w="364" w:type="pct"/>
            <w:vAlign w:val="center"/>
          </w:tcPr>
          <w:p w14:paraId="5569007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4AE304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6" w:type="pct"/>
            <w:vAlign w:val="center"/>
          </w:tcPr>
          <w:p w14:paraId="48F97ED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苯并[k]荧蒽</w:t>
            </w:r>
          </w:p>
        </w:tc>
        <w:tc>
          <w:tcPr>
            <w:tcW w:w="521" w:type="pct"/>
            <w:vAlign w:val="center"/>
          </w:tcPr>
          <w:p w14:paraId="2683397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641" w:type="pct"/>
            <w:vAlign w:val="center"/>
          </w:tcPr>
          <w:p w14:paraId="1340A21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87" w:type="pct"/>
            <w:vAlign w:val="center"/>
          </w:tcPr>
          <w:p w14:paraId="3197ED2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1" w:type="pct"/>
            <w:vAlign w:val="center"/>
          </w:tcPr>
          <w:p w14:paraId="2C70E67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0" w:type="pct"/>
            <w:vAlign w:val="center"/>
          </w:tcPr>
          <w:p w14:paraId="0246A7D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0" w:type="pct"/>
            <w:vAlign w:val="center"/>
          </w:tcPr>
          <w:p w14:paraId="6BA1D4E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151</w:t>
            </w:r>
          </w:p>
        </w:tc>
        <w:tc>
          <w:tcPr>
            <w:tcW w:w="364" w:type="pct"/>
            <w:vAlign w:val="center"/>
          </w:tcPr>
          <w:p w14:paraId="3A72383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4EAC2C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6" w:type="pct"/>
            <w:vAlign w:val="center"/>
          </w:tcPr>
          <w:p w14:paraId="0242956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苯并[a]芘</w:t>
            </w:r>
          </w:p>
        </w:tc>
        <w:tc>
          <w:tcPr>
            <w:tcW w:w="521" w:type="pct"/>
            <w:vAlign w:val="center"/>
          </w:tcPr>
          <w:p w14:paraId="4F698AA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641" w:type="pct"/>
            <w:vAlign w:val="center"/>
          </w:tcPr>
          <w:p w14:paraId="1EF9B99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87" w:type="pct"/>
            <w:vAlign w:val="center"/>
          </w:tcPr>
          <w:p w14:paraId="6D5081F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1" w:type="pct"/>
            <w:vAlign w:val="center"/>
          </w:tcPr>
          <w:p w14:paraId="44967A2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0" w:type="pct"/>
            <w:vAlign w:val="center"/>
          </w:tcPr>
          <w:p w14:paraId="5BD8340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0" w:type="pct"/>
            <w:vAlign w:val="center"/>
          </w:tcPr>
          <w:p w14:paraId="104FF96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1.5</w:t>
            </w:r>
          </w:p>
        </w:tc>
        <w:tc>
          <w:tcPr>
            <w:tcW w:w="364" w:type="pct"/>
            <w:vAlign w:val="center"/>
          </w:tcPr>
          <w:p w14:paraId="671FEBF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57CB0F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6" w:type="pct"/>
            <w:vAlign w:val="center"/>
          </w:tcPr>
          <w:p w14:paraId="3E3DFA0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茚并[1,2,3-cd]芘</w:t>
            </w:r>
          </w:p>
        </w:tc>
        <w:tc>
          <w:tcPr>
            <w:tcW w:w="521" w:type="pct"/>
            <w:vAlign w:val="center"/>
          </w:tcPr>
          <w:p w14:paraId="6AAC9E9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641" w:type="pct"/>
            <w:vAlign w:val="center"/>
          </w:tcPr>
          <w:p w14:paraId="7B4C5FA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87" w:type="pct"/>
            <w:vAlign w:val="center"/>
          </w:tcPr>
          <w:p w14:paraId="3BFEFD0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1" w:type="pct"/>
            <w:vAlign w:val="center"/>
          </w:tcPr>
          <w:p w14:paraId="403E1AE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0" w:type="pct"/>
            <w:vAlign w:val="center"/>
          </w:tcPr>
          <w:p w14:paraId="299B31E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0" w:type="pct"/>
            <w:vAlign w:val="center"/>
          </w:tcPr>
          <w:p w14:paraId="41D6AC9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15</w:t>
            </w:r>
          </w:p>
        </w:tc>
        <w:tc>
          <w:tcPr>
            <w:tcW w:w="364" w:type="pct"/>
            <w:vAlign w:val="center"/>
          </w:tcPr>
          <w:p w14:paraId="63A8A4E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68B9CB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6" w:type="pct"/>
            <w:vAlign w:val="center"/>
          </w:tcPr>
          <w:p w14:paraId="24245C6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二苯并[a,h]蒽</w:t>
            </w:r>
          </w:p>
        </w:tc>
        <w:tc>
          <w:tcPr>
            <w:tcW w:w="521" w:type="pct"/>
            <w:vAlign w:val="center"/>
          </w:tcPr>
          <w:p w14:paraId="21FA848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641" w:type="pct"/>
            <w:vAlign w:val="center"/>
          </w:tcPr>
          <w:p w14:paraId="22BA50E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87" w:type="pct"/>
            <w:vAlign w:val="center"/>
          </w:tcPr>
          <w:p w14:paraId="60BFB54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1" w:type="pct"/>
            <w:vAlign w:val="center"/>
          </w:tcPr>
          <w:p w14:paraId="3599E6B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590" w:type="pct"/>
            <w:vAlign w:val="center"/>
          </w:tcPr>
          <w:p w14:paraId="6C35D63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ND</w:t>
            </w:r>
          </w:p>
        </w:tc>
        <w:tc>
          <w:tcPr>
            <w:tcW w:w="620" w:type="pct"/>
            <w:vAlign w:val="center"/>
          </w:tcPr>
          <w:p w14:paraId="6868225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1.5</w:t>
            </w:r>
          </w:p>
        </w:tc>
        <w:tc>
          <w:tcPr>
            <w:tcW w:w="364" w:type="pct"/>
            <w:vAlign w:val="center"/>
          </w:tcPr>
          <w:p w14:paraId="7DF986E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r w14:paraId="12F561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6" w:type="pct"/>
            <w:vAlign w:val="center"/>
          </w:tcPr>
          <w:p w14:paraId="3AB257E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石油烃(C</w:t>
            </w:r>
            <w:r>
              <w:rPr>
                <w:rFonts w:ascii="Times New Roman" w:hAnsi="Times New Roman" w:cs="Times New Roman"/>
                <w:color w:val="000000" w:themeColor="text1"/>
                <w:sz w:val="21"/>
                <w:szCs w:val="21"/>
                <w:vertAlign w:val="subscript"/>
                <w14:textFill>
                  <w14:solidFill>
                    <w14:schemeClr w14:val="tx1"/>
                  </w14:solidFill>
                </w14:textFill>
              </w:rPr>
              <w:t>10</w:t>
            </w:r>
            <w:r>
              <w:rPr>
                <w:rFonts w:ascii="Times New Roman" w:hAnsi="Times New Roman" w:cs="Times New Roman"/>
                <w:color w:val="000000" w:themeColor="text1"/>
                <w:sz w:val="21"/>
                <w:szCs w:val="21"/>
                <w14:textFill>
                  <w14:solidFill>
                    <w14:schemeClr w14:val="tx1"/>
                  </w14:solidFill>
                </w14:textFill>
              </w:rPr>
              <w:t>-C</w:t>
            </w:r>
            <w:r>
              <w:rPr>
                <w:rFonts w:ascii="Times New Roman" w:hAnsi="Times New Roman" w:cs="Times New Roman"/>
                <w:color w:val="000000" w:themeColor="text1"/>
                <w:sz w:val="21"/>
                <w:szCs w:val="21"/>
                <w:vertAlign w:val="subscript"/>
                <w14:textFill>
                  <w14:solidFill>
                    <w14:schemeClr w14:val="tx1"/>
                  </w14:solidFill>
                </w14:textFill>
              </w:rPr>
              <w:t>40</w:t>
            </w:r>
            <w:r>
              <w:rPr>
                <w:rFonts w:ascii="Times New Roman" w:hAnsi="Times New Roman" w:cs="Times New Roman"/>
                <w:color w:val="000000" w:themeColor="text1"/>
                <w:sz w:val="21"/>
                <w:szCs w:val="21"/>
                <w14:textFill>
                  <w14:solidFill>
                    <w14:schemeClr w14:val="tx1"/>
                  </w14:solidFill>
                </w14:textFill>
              </w:rPr>
              <w:t>)</w:t>
            </w:r>
          </w:p>
        </w:tc>
        <w:tc>
          <w:tcPr>
            <w:tcW w:w="521" w:type="pct"/>
            <w:vAlign w:val="center"/>
          </w:tcPr>
          <w:p w14:paraId="66E210A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mg/kg</w:t>
            </w:r>
          </w:p>
        </w:tc>
        <w:tc>
          <w:tcPr>
            <w:tcW w:w="641" w:type="pct"/>
            <w:vAlign w:val="center"/>
          </w:tcPr>
          <w:p w14:paraId="09A4CBA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16</w:t>
            </w:r>
          </w:p>
        </w:tc>
        <w:tc>
          <w:tcPr>
            <w:tcW w:w="587" w:type="pct"/>
            <w:vAlign w:val="center"/>
          </w:tcPr>
          <w:p w14:paraId="122687D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7</w:t>
            </w:r>
          </w:p>
        </w:tc>
        <w:tc>
          <w:tcPr>
            <w:tcW w:w="591" w:type="pct"/>
            <w:vAlign w:val="center"/>
          </w:tcPr>
          <w:p w14:paraId="6B36DED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16</w:t>
            </w:r>
          </w:p>
        </w:tc>
        <w:tc>
          <w:tcPr>
            <w:tcW w:w="590" w:type="pct"/>
            <w:vAlign w:val="center"/>
          </w:tcPr>
          <w:p w14:paraId="331072E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44</w:t>
            </w:r>
          </w:p>
        </w:tc>
        <w:tc>
          <w:tcPr>
            <w:tcW w:w="620" w:type="pct"/>
            <w:vAlign w:val="center"/>
          </w:tcPr>
          <w:p w14:paraId="19146E1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4500</w:t>
            </w:r>
          </w:p>
        </w:tc>
        <w:tc>
          <w:tcPr>
            <w:tcW w:w="364" w:type="pct"/>
            <w:vAlign w:val="center"/>
          </w:tcPr>
          <w:p w14:paraId="3FCF68D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tc>
      </w:tr>
    </w:tbl>
    <w:p w14:paraId="6A977B51"/>
    <w:p w14:paraId="5062BA5A">
      <w:pPr>
        <w:pStyle w:val="28"/>
        <w:rPr>
          <w:rFonts w:hint="eastAsia"/>
        </w:rPr>
      </w:pPr>
      <w:r>
        <w:rPr>
          <w:rFonts w:hint="eastAsia"/>
        </w:rPr>
        <w:t>表5.2-21  土壤监测结果表(7)</w:t>
      </w:r>
    </w:p>
    <w:tbl>
      <w:tblPr>
        <w:tblStyle w:val="3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49"/>
        <w:gridCol w:w="2308"/>
        <w:gridCol w:w="2308"/>
        <w:gridCol w:w="1165"/>
        <w:gridCol w:w="1156"/>
      </w:tblGrid>
      <w:tr w14:paraId="474A88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265" w:type="pct"/>
            <w:tcBorders>
              <w:top w:val="single" w:color="auto" w:sz="4" w:space="0"/>
              <w:left w:val="single" w:color="auto" w:sz="4" w:space="0"/>
              <w:bottom w:val="single" w:color="auto" w:sz="4" w:space="0"/>
              <w:right w:val="single" w:color="auto" w:sz="4" w:space="0"/>
            </w:tcBorders>
            <w:noWrap/>
            <w:vAlign w:val="center"/>
          </w:tcPr>
          <w:p w14:paraId="7693E60F">
            <w:pPr>
              <w:wordWrap w:val="0"/>
              <w:spacing w:line="240" w:lineRule="auto"/>
              <w:jc w:val="center"/>
              <w:rPr>
                <w:rFonts w:cs="Times New Roman"/>
                <w:sz w:val="21"/>
                <w:szCs w:val="21"/>
              </w:rPr>
            </w:pPr>
            <w:r>
              <w:rPr>
                <w:rFonts w:cs="Times New Roman"/>
                <w:sz w:val="21"/>
                <w:szCs w:val="21"/>
              </w:rPr>
              <w:t>采样点位</w:t>
            </w:r>
          </w:p>
        </w:tc>
        <w:tc>
          <w:tcPr>
            <w:tcW w:w="1243" w:type="pct"/>
            <w:tcBorders>
              <w:top w:val="single" w:color="auto" w:sz="4" w:space="0"/>
              <w:left w:val="single" w:color="auto" w:sz="4" w:space="0"/>
              <w:right w:val="single" w:color="auto" w:sz="4" w:space="0"/>
            </w:tcBorders>
            <w:noWrap/>
            <w:vAlign w:val="center"/>
          </w:tcPr>
          <w:p w14:paraId="22EDC5B6">
            <w:pPr>
              <w:wordWrap w:val="0"/>
              <w:spacing w:line="240" w:lineRule="auto"/>
              <w:jc w:val="center"/>
              <w:rPr>
                <w:rFonts w:cs="Times New Roman"/>
                <w:iCs/>
                <w:sz w:val="21"/>
                <w:szCs w:val="21"/>
              </w:rPr>
            </w:pPr>
            <w:r>
              <w:rPr>
                <w:rFonts w:hint="eastAsia" w:cs="Times New Roman"/>
                <w:bCs/>
                <w:sz w:val="21"/>
                <w:szCs w:val="21"/>
              </w:rPr>
              <w:t>S10</w:t>
            </w:r>
          </w:p>
        </w:tc>
        <w:tc>
          <w:tcPr>
            <w:tcW w:w="1243" w:type="pct"/>
          </w:tcPr>
          <w:p w14:paraId="16C69F20">
            <w:pPr>
              <w:wordWrap w:val="0"/>
              <w:spacing w:line="240" w:lineRule="auto"/>
              <w:jc w:val="center"/>
              <w:rPr>
                <w:rFonts w:cs="Times New Roman"/>
                <w:bCs/>
                <w:sz w:val="21"/>
                <w:szCs w:val="21"/>
              </w:rPr>
            </w:pPr>
            <w:r>
              <w:rPr>
                <w:rFonts w:hint="eastAsia" w:cs="Times New Roman"/>
                <w:bCs/>
                <w:sz w:val="21"/>
                <w:szCs w:val="21"/>
              </w:rPr>
              <w:t>S11</w:t>
            </w:r>
          </w:p>
        </w:tc>
        <w:tc>
          <w:tcPr>
            <w:tcW w:w="627" w:type="pct"/>
            <w:vMerge w:val="restart"/>
            <w:vAlign w:val="center"/>
          </w:tcPr>
          <w:p w14:paraId="5CD35774">
            <w:pPr>
              <w:wordWrap w:val="0"/>
              <w:spacing w:line="240" w:lineRule="auto"/>
              <w:jc w:val="center"/>
              <w:rPr>
                <w:rFonts w:cs="Times New Roman"/>
                <w:bCs/>
                <w:sz w:val="21"/>
                <w:szCs w:val="21"/>
              </w:rPr>
            </w:pPr>
            <w:r>
              <w:rPr>
                <w:rFonts w:hint="eastAsia" w:cs="Times New Roman"/>
                <w:bCs/>
                <w:sz w:val="21"/>
                <w:szCs w:val="21"/>
              </w:rPr>
              <w:t>筛选值</w:t>
            </w:r>
          </w:p>
        </w:tc>
        <w:tc>
          <w:tcPr>
            <w:tcW w:w="622" w:type="pct"/>
            <w:vMerge w:val="restart"/>
            <w:vAlign w:val="center"/>
          </w:tcPr>
          <w:p w14:paraId="32CEEC43">
            <w:pPr>
              <w:wordWrap w:val="0"/>
              <w:spacing w:line="240" w:lineRule="auto"/>
              <w:jc w:val="center"/>
              <w:rPr>
                <w:rFonts w:cs="Times New Roman"/>
                <w:bCs/>
                <w:sz w:val="21"/>
                <w:szCs w:val="21"/>
              </w:rPr>
            </w:pPr>
            <w:r>
              <w:rPr>
                <w:rFonts w:hint="eastAsia" w:cs="Times New Roman"/>
                <w:bCs/>
                <w:sz w:val="21"/>
                <w:szCs w:val="21"/>
              </w:rPr>
              <w:t>达标情况</w:t>
            </w:r>
          </w:p>
        </w:tc>
      </w:tr>
      <w:tr w14:paraId="701E22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265" w:type="pct"/>
            <w:tcBorders>
              <w:top w:val="single" w:color="auto" w:sz="4" w:space="0"/>
              <w:left w:val="single" w:color="auto" w:sz="4" w:space="0"/>
              <w:bottom w:val="single" w:color="auto" w:sz="4" w:space="0"/>
              <w:right w:val="single" w:color="auto" w:sz="4" w:space="0"/>
            </w:tcBorders>
            <w:noWrap/>
            <w:vAlign w:val="center"/>
          </w:tcPr>
          <w:p w14:paraId="11551FE6">
            <w:pPr>
              <w:wordWrap w:val="0"/>
              <w:spacing w:line="240" w:lineRule="auto"/>
              <w:jc w:val="center"/>
              <w:rPr>
                <w:rFonts w:cs="Times New Roman"/>
                <w:sz w:val="21"/>
                <w:szCs w:val="21"/>
              </w:rPr>
            </w:pPr>
            <w:r>
              <w:rPr>
                <w:rFonts w:hint="eastAsia" w:cs="Times New Roman"/>
                <w:sz w:val="21"/>
                <w:szCs w:val="21"/>
              </w:rPr>
              <w:t>采样日期</w:t>
            </w:r>
          </w:p>
        </w:tc>
        <w:tc>
          <w:tcPr>
            <w:tcW w:w="2486" w:type="pct"/>
            <w:gridSpan w:val="2"/>
            <w:tcBorders>
              <w:top w:val="single" w:color="auto" w:sz="4" w:space="0"/>
              <w:left w:val="single" w:color="auto" w:sz="4" w:space="0"/>
            </w:tcBorders>
            <w:noWrap/>
            <w:tcMar>
              <w:top w:w="0" w:type="dxa"/>
              <w:left w:w="57" w:type="dxa"/>
              <w:bottom w:w="0" w:type="dxa"/>
              <w:right w:w="57" w:type="dxa"/>
            </w:tcMar>
            <w:vAlign w:val="center"/>
          </w:tcPr>
          <w:p w14:paraId="09B58017">
            <w:pPr>
              <w:wordWrap w:val="0"/>
              <w:spacing w:line="240" w:lineRule="auto"/>
              <w:jc w:val="center"/>
              <w:rPr>
                <w:rFonts w:cs="Times New Roman"/>
                <w:sz w:val="21"/>
                <w:szCs w:val="21"/>
              </w:rPr>
            </w:pPr>
            <w:r>
              <w:rPr>
                <w:rFonts w:hint="eastAsia" w:cs="Times New Roman"/>
                <w:sz w:val="21"/>
                <w:szCs w:val="21"/>
              </w:rPr>
              <w:t>2023.11.21</w:t>
            </w:r>
          </w:p>
        </w:tc>
        <w:tc>
          <w:tcPr>
            <w:tcW w:w="627" w:type="pct"/>
            <w:vMerge w:val="continue"/>
            <w:vAlign w:val="center"/>
          </w:tcPr>
          <w:p w14:paraId="12FFBB6A">
            <w:pPr>
              <w:wordWrap w:val="0"/>
              <w:spacing w:line="240" w:lineRule="auto"/>
              <w:jc w:val="center"/>
              <w:rPr>
                <w:rFonts w:cs="Times New Roman"/>
                <w:sz w:val="21"/>
                <w:szCs w:val="21"/>
              </w:rPr>
            </w:pPr>
          </w:p>
        </w:tc>
        <w:tc>
          <w:tcPr>
            <w:tcW w:w="622" w:type="pct"/>
            <w:vMerge w:val="continue"/>
            <w:vAlign w:val="center"/>
          </w:tcPr>
          <w:p w14:paraId="77C588CD">
            <w:pPr>
              <w:wordWrap w:val="0"/>
              <w:spacing w:line="240" w:lineRule="auto"/>
              <w:jc w:val="center"/>
              <w:rPr>
                <w:rFonts w:cs="Times New Roman"/>
                <w:sz w:val="21"/>
                <w:szCs w:val="21"/>
              </w:rPr>
            </w:pPr>
          </w:p>
        </w:tc>
      </w:tr>
      <w:tr w14:paraId="3E5467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265" w:type="pct"/>
            <w:tcBorders>
              <w:top w:val="single" w:color="auto" w:sz="4" w:space="0"/>
              <w:left w:val="single" w:color="auto" w:sz="4" w:space="0"/>
              <w:bottom w:val="single" w:color="auto" w:sz="4" w:space="0"/>
              <w:right w:val="single" w:color="auto" w:sz="4" w:space="0"/>
            </w:tcBorders>
            <w:noWrap/>
            <w:vAlign w:val="center"/>
          </w:tcPr>
          <w:p w14:paraId="4F231B3B">
            <w:pPr>
              <w:wordWrap w:val="0"/>
              <w:spacing w:line="240" w:lineRule="auto"/>
              <w:jc w:val="center"/>
              <w:rPr>
                <w:rFonts w:cs="Times New Roman"/>
                <w:sz w:val="21"/>
                <w:szCs w:val="21"/>
              </w:rPr>
            </w:pPr>
            <w:r>
              <w:rPr>
                <w:rFonts w:cs="Times New Roman"/>
                <w:sz w:val="21"/>
                <w:szCs w:val="21"/>
              </w:rPr>
              <w:t>采样深度</w:t>
            </w:r>
          </w:p>
        </w:tc>
        <w:tc>
          <w:tcPr>
            <w:tcW w:w="1243" w:type="pct"/>
            <w:tcBorders>
              <w:top w:val="single" w:color="auto" w:sz="4" w:space="0"/>
              <w:left w:val="single" w:color="auto" w:sz="4" w:space="0"/>
              <w:right w:val="single" w:color="auto" w:sz="4" w:space="0"/>
            </w:tcBorders>
            <w:noWrap/>
            <w:tcMar>
              <w:top w:w="0" w:type="dxa"/>
              <w:left w:w="57" w:type="dxa"/>
              <w:bottom w:w="0" w:type="dxa"/>
              <w:right w:w="57" w:type="dxa"/>
            </w:tcMar>
            <w:vAlign w:val="center"/>
          </w:tcPr>
          <w:p w14:paraId="10D88ED0">
            <w:pPr>
              <w:wordWrap w:val="0"/>
              <w:spacing w:line="240" w:lineRule="auto"/>
              <w:jc w:val="center"/>
              <w:rPr>
                <w:rFonts w:cs="Times New Roman"/>
                <w:sz w:val="21"/>
                <w:szCs w:val="21"/>
              </w:rPr>
            </w:pPr>
            <w:r>
              <w:rPr>
                <w:rFonts w:cs="Times New Roman"/>
                <w:sz w:val="21"/>
                <w:szCs w:val="21"/>
              </w:rPr>
              <w:t>0~0.2m</w:t>
            </w:r>
          </w:p>
        </w:tc>
        <w:tc>
          <w:tcPr>
            <w:tcW w:w="1243" w:type="pct"/>
          </w:tcPr>
          <w:p w14:paraId="5EEB7603">
            <w:pPr>
              <w:wordWrap w:val="0"/>
              <w:spacing w:line="240" w:lineRule="auto"/>
              <w:jc w:val="center"/>
              <w:rPr>
                <w:rFonts w:cs="Times New Roman"/>
                <w:sz w:val="21"/>
                <w:szCs w:val="21"/>
              </w:rPr>
            </w:pPr>
            <w:r>
              <w:rPr>
                <w:rFonts w:cs="Times New Roman"/>
                <w:sz w:val="21"/>
                <w:szCs w:val="21"/>
              </w:rPr>
              <w:t>0~0.2m</w:t>
            </w:r>
          </w:p>
        </w:tc>
        <w:tc>
          <w:tcPr>
            <w:tcW w:w="627" w:type="pct"/>
            <w:vMerge w:val="continue"/>
            <w:vAlign w:val="center"/>
          </w:tcPr>
          <w:p w14:paraId="0A1B30A1">
            <w:pPr>
              <w:wordWrap w:val="0"/>
              <w:spacing w:line="240" w:lineRule="auto"/>
              <w:jc w:val="center"/>
              <w:rPr>
                <w:rFonts w:cs="Times New Roman"/>
                <w:sz w:val="21"/>
                <w:szCs w:val="21"/>
              </w:rPr>
            </w:pPr>
          </w:p>
        </w:tc>
        <w:tc>
          <w:tcPr>
            <w:tcW w:w="622" w:type="pct"/>
            <w:vMerge w:val="continue"/>
            <w:vAlign w:val="center"/>
          </w:tcPr>
          <w:p w14:paraId="5025344E">
            <w:pPr>
              <w:wordWrap w:val="0"/>
              <w:spacing w:line="240" w:lineRule="auto"/>
              <w:jc w:val="center"/>
              <w:rPr>
                <w:rFonts w:cs="Times New Roman"/>
                <w:sz w:val="21"/>
                <w:szCs w:val="21"/>
              </w:rPr>
            </w:pPr>
          </w:p>
        </w:tc>
      </w:tr>
      <w:tr w14:paraId="0C38A0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265" w:type="pct"/>
            <w:tcBorders>
              <w:top w:val="single" w:color="auto" w:sz="4" w:space="0"/>
              <w:left w:val="single" w:color="auto" w:sz="4" w:space="0"/>
              <w:bottom w:val="single" w:color="auto" w:sz="4" w:space="0"/>
              <w:right w:val="single" w:color="auto" w:sz="4" w:space="0"/>
            </w:tcBorders>
            <w:noWrap/>
            <w:vAlign w:val="center"/>
          </w:tcPr>
          <w:p w14:paraId="4710D1A9">
            <w:pPr>
              <w:wordWrap w:val="0"/>
              <w:spacing w:line="240" w:lineRule="auto"/>
              <w:jc w:val="center"/>
              <w:rPr>
                <w:rFonts w:cs="Times New Roman"/>
                <w:sz w:val="21"/>
                <w:szCs w:val="21"/>
              </w:rPr>
            </w:pPr>
            <w:r>
              <w:rPr>
                <w:rFonts w:cs="Times New Roman"/>
                <w:sz w:val="21"/>
                <w:szCs w:val="21"/>
              </w:rPr>
              <w:t>pH值(无量纲)</w:t>
            </w:r>
          </w:p>
        </w:tc>
        <w:tc>
          <w:tcPr>
            <w:tcW w:w="1243" w:type="pct"/>
            <w:tcBorders>
              <w:left w:val="single" w:color="auto" w:sz="4" w:space="0"/>
              <w:right w:val="single" w:color="auto" w:sz="4" w:space="0"/>
            </w:tcBorders>
            <w:vAlign w:val="center"/>
          </w:tcPr>
          <w:p w14:paraId="6B480D0B">
            <w:pPr>
              <w:wordWrap w:val="0"/>
              <w:spacing w:line="240" w:lineRule="auto"/>
              <w:jc w:val="center"/>
              <w:rPr>
                <w:rFonts w:cs="Times New Roman"/>
                <w:sz w:val="21"/>
                <w:szCs w:val="21"/>
              </w:rPr>
            </w:pPr>
            <w:r>
              <w:rPr>
                <w:rFonts w:hint="eastAsia" w:cs="Times New Roman"/>
                <w:sz w:val="21"/>
                <w:szCs w:val="21"/>
              </w:rPr>
              <w:t>8.26</w:t>
            </w:r>
          </w:p>
        </w:tc>
        <w:tc>
          <w:tcPr>
            <w:tcW w:w="1243" w:type="pct"/>
          </w:tcPr>
          <w:p w14:paraId="4629583B">
            <w:pPr>
              <w:wordWrap w:val="0"/>
              <w:spacing w:line="240" w:lineRule="auto"/>
              <w:jc w:val="center"/>
              <w:rPr>
                <w:rFonts w:cs="Times New Roman"/>
                <w:sz w:val="21"/>
                <w:szCs w:val="21"/>
              </w:rPr>
            </w:pPr>
            <w:r>
              <w:rPr>
                <w:rFonts w:hint="eastAsia" w:cs="Times New Roman"/>
                <w:sz w:val="21"/>
                <w:szCs w:val="21"/>
              </w:rPr>
              <w:t>8.14</w:t>
            </w:r>
          </w:p>
        </w:tc>
        <w:tc>
          <w:tcPr>
            <w:tcW w:w="627" w:type="pct"/>
            <w:vAlign w:val="center"/>
          </w:tcPr>
          <w:p w14:paraId="3B2AA561">
            <w:pPr>
              <w:wordWrap w:val="0"/>
              <w:spacing w:line="240" w:lineRule="auto"/>
              <w:jc w:val="center"/>
              <w:rPr>
                <w:rFonts w:cs="Times New Roman"/>
                <w:sz w:val="21"/>
                <w:szCs w:val="21"/>
              </w:rPr>
            </w:pPr>
            <w:r>
              <w:rPr>
                <w:rFonts w:hint="eastAsia" w:cs="Times New Roman"/>
                <w:sz w:val="21"/>
                <w:szCs w:val="21"/>
              </w:rPr>
              <w:t>/</w:t>
            </w:r>
          </w:p>
        </w:tc>
        <w:tc>
          <w:tcPr>
            <w:tcW w:w="622" w:type="pct"/>
            <w:vAlign w:val="center"/>
          </w:tcPr>
          <w:p w14:paraId="6E173AD3">
            <w:pPr>
              <w:wordWrap w:val="0"/>
              <w:spacing w:line="240" w:lineRule="auto"/>
              <w:jc w:val="center"/>
              <w:rPr>
                <w:rFonts w:cs="Times New Roman"/>
                <w:sz w:val="21"/>
                <w:szCs w:val="21"/>
              </w:rPr>
            </w:pPr>
            <w:r>
              <w:rPr>
                <w:rFonts w:hint="eastAsia" w:cs="Times New Roman"/>
                <w:sz w:val="21"/>
                <w:szCs w:val="21"/>
              </w:rPr>
              <w:t>/</w:t>
            </w:r>
          </w:p>
        </w:tc>
      </w:tr>
      <w:tr w14:paraId="4B8FDE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265" w:type="pct"/>
            <w:tcBorders>
              <w:top w:val="single" w:color="auto" w:sz="4" w:space="0"/>
              <w:left w:val="single" w:color="auto" w:sz="4" w:space="0"/>
              <w:bottom w:val="single" w:color="auto" w:sz="4" w:space="0"/>
              <w:right w:val="single" w:color="auto" w:sz="4" w:space="0"/>
            </w:tcBorders>
            <w:noWrap/>
            <w:vAlign w:val="center"/>
          </w:tcPr>
          <w:p w14:paraId="7372EF7F">
            <w:pPr>
              <w:wordWrap w:val="0"/>
              <w:spacing w:line="240" w:lineRule="auto"/>
              <w:jc w:val="center"/>
              <w:rPr>
                <w:rFonts w:cs="Times New Roman"/>
                <w:sz w:val="21"/>
                <w:szCs w:val="21"/>
              </w:rPr>
            </w:pPr>
            <w:r>
              <w:rPr>
                <w:rFonts w:cs="Times New Roman"/>
                <w:sz w:val="21"/>
                <w:szCs w:val="21"/>
              </w:rPr>
              <w:t>铅(mg/kg)</w:t>
            </w:r>
          </w:p>
        </w:tc>
        <w:tc>
          <w:tcPr>
            <w:tcW w:w="1243" w:type="pct"/>
            <w:tcBorders>
              <w:left w:val="single" w:color="auto" w:sz="4" w:space="0"/>
              <w:right w:val="single" w:color="auto" w:sz="4" w:space="0"/>
            </w:tcBorders>
            <w:vAlign w:val="center"/>
          </w:tcPr>
          <w:p w14:paraId="1B5ACB88">
            <w:pPr>
              <w:wordWrap w:val="0"/>
              <w:spacing w:line="240" w:lineRule="auto"/>
              <w:jc w:val="center"/>
              <w:rPr>
                <w:rFonts w:cs="Times New Roman"/>
                <w:sz w:val="21"/>
                <w:szCs w:val="21"/>
              </w:rPr>
            </w:pPr>
            <w:r>
              <w:rPr>
                <w:rFonts w:hint="eastAsia" w:cs="Times New Roman"/>
                <w:sz w:val="21"/>
                <w:szCs w:val="21"/>
              </w:rPr>
              <w:t>24.2</w:t>
            </w:r>
          </w:p>
        </w:tc>
        <w:tc>
          <w:tcPr>
            <w:tcW w:w="1243" w:type="pct"/>
          </w:tcPr>
          <w:p w14:paraId="053EE592">
            <w:pPr>
              <w:wordWrap w:val="0"/>
              <w:spacing w:line="240" w:lineRule="auto"/>
              <w:jc w:val="center"/>
              <w:rPr>
                <w:rFonts w:cs="Times New Roman"/>
                <w:sz w:val="21"/>
                <w:szCs w:val="21"/>
              </w:rPr>
            </w:pPr>
            <w:r>
              <w:rPr>
                <w:rFonts w:hint="eastAsia" w:cs="Times New Roman"/>
                <w:sz w:val="21"/>
                <w:szCs w:val="21"/>
              </w:rPr>
              <w:t>18.1</w:t>
            </w:r>
          </w:p>
        </w:tc>
        <w:tc>
          <w:tcPr>
            <w:tcW w:w="627" w:type="pct"/>
            <w:vAlign w:val="center"/>
          </w:tcPr>
          <w:p w14:paraId="58F9B840">
            <w:pPr>
              <w:wordWrap w:val="0"/>
              <w:spacing w:line="240" w:lineRule="auto"/>
              <w:jc w:val="center"/>
              <w:rPr>
                <w:rFonts w:cs="Times New Roman"/>
                <w:sz w:val="21"/>
                <w:szCs w:val="21"/>
              </w:rPr>
            </w:pPr>
            <w:r>
              <w:rPr>
                <w:rFonts w:hint="eastAsia" w:cs="Times New Roman"/>
                <w:sz w:val="21"/>
                <w:szCs w:val="21"/>
              </w:rPr>
              <w:t>170</w:t>
            </w:r>
          </w:p>
        </w:tc>
        <w:tc>
          <w:tcPr>
            <w:tcW w:w="622" w:type="pct"/>
            <w:vAlign w:val="center"/>
          </w:tcPr>
          <w:p w14:paraId="7F1E6183">
            <w:pPr>
              <w:wordWrap w:val="0"/>
              <w:spacing w:line="240" w:lineRule="auto"/>
              <w:jc w:val="center"/>
              <w:rPr>
                <w:rFonts w:cs="Times New Roman"/>
                <w:sz w:val="21"/>
                <w:szCs w:val="21"/>
              </w:rPr>
            </w:pPr>
            <w:r>
              <w:rPr>
                <w:rFonts w:hint="eastAsia" w:cs="Times New Roman"/>
                <w:sz w:val="21"/>
                <w:szCs w:val="21"/>
              </w:rPr>
              <w:t>达标</w:t>
            </w:r>
          </w:p>
        </w:tc>
      </w:tr>
      <w:tr w14:paraId="728442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265" w:type="pct"/>
            <w:tcBorders>
              <w:top w:val="single" w:color="auto" w:sz="4" w:space="0"/>
              <w:left w:val="single" w:color="auto" w:sz="4" w:space="0"/>
              <w:bottom w:val="single" w:color="auto" w:sz="4" w:space="0"/>
              <w:right w:val="single" w:color="auto" w:sz="4" w:space="0"/>
            </w:tcBorders>
            <w:noWrap/>
            <w:vAlign w:val="center"/>
          </w:tcPr>
          <w:p w14:paraId="6965C349">
            <w:pPr>
              <w:wordWrap w:val="0"/>
              <w:spacing w:line="240" w:lineRule="auto"/>
              <w:jc w:val="center"/>
              <w:rPr>
                <w:rFonts w:cs="Times New Roman"/>
                <w:sz w:val="21"/>
                <w:szCs w:val="21"/>
              </w:rPr>
            </w:pPr>
            <w:r>
              <w:rPr>
                <w:rFonts w:cs="Times New Roman"/>
                <w:sz w:val="21"/>
                <w:szCs w:val="21"/>
              </w:rPr>
              <w:t>镉(mg/kg)</w:t>
            </w:r>
          </w:p>
        </w:tc>
        <w:tc>
          <w:tcPr>
            <w:tcW w:w="1243" w:type="pct"/>
            <w:tcBorders>
              <w:left w:val="single" w:color="auto" w:sz="4" w:space="0"/>
              <w:right w:val="single" w:color="auto" w:sz="4" w:space="0"/>
            </w:tcBorders>
            <w:vAlign w:val="center"/>
          </w:tcPr>
          <w:p w14:paraId="0001C328">
            <w:pPr>
              <w:wordWrap w:val="0"/>
              <w:spacing w:line="240" w:lineRule="auto"/>
              <w:jc w:val="center"/>
              <w:rPr>
                <w:rFonts w:cs="Times New Roman"/>
                <w:sz w:val="21"/>
                <w:szCs w:val="21"/>
              </w:rPr>
            </w:pPr>
            <w:r>
              <w:rPr>
                <w:rFonts w:hint="eastAsia" w:cs="Times New Roman"/>
                <w:sz w:val="21"/>
                <w:szCs w:val="21"/>
              </w:rPr>
              <w:t>0.04</w:t>
            </w:r>
          </w:p>
        </w:tc>
        <w:tc>
          <w:tcPr>
            <w:tcW w:w="1243" w:type="pct"/>
          </w:tcPr>
          <w:p w14:paraId="5EA87DC4">
            <w:pPr>
              <w:wordWrap w:val="0"/>
              <w:spacing w:line="240" w:lineRule="auto"/>
              <w:jc w:val="center"/>
              <w:rPr>
                <w:rFonts w:cs="Times New Roman"/>
                <w:sz w:val="21"/>
                <w:szCs w:val="21"/>
              </w:rPr>
            </w:pPr>
            <w:r>
              <w:rPr>
                <w:rFonts w:hint="eastAsia" w:cs="Times New Roman"/>
                <w:sz w:val="21"/>
                <w:szCs w:val="21"/>
              </w:rPr>
              <w:t>0.04</w:t>
            </w:r>
          </w:p>
        </w:tc>
        <w:tc>
          <w:tcPr>
            <w:tcW w:w="627" w:type="pct"/>
            <w:vAlign w:val="center"/>
          </w:tcPr>
          <w:p w14:paraId="00EDB6CE">
            <w:pPr>
              <w:wordWrap w:val="0"/>
              <w:spacing w:line="240" w:lineRule="auto"/>
              <w:jc w:val="center"/>
              <w:rPr>
                <w:rFonts w:cs="Times New Roman"/>
                <w:sz w:val="21"/>
                <w:szCs w:val="21"/>
              </w:rPr>
            </w:pPr>
            <w:r>
              <w:rPr>
                <w:rFonts w:hint="eastAsia" w:cs="Times New Roman"/>
                <w:sz w:val="21"/>
                <w:szCs w:val="21"/>
              </w:rPr>
              <w:t>0.6</w:t>
            </w:r>
          </w:p>
        </w:tc>
        <w:tc>
          <w:tcPr>
            <w:tcW w:w="622" w:type="pct"/>
            <w:vAlign w:val="center"/>
          </w:tcPr>
          <w:p w14:paraId="3A8A9BB5">
            <w:pPr>
              <w:wordWrap w:val="0"/>
              <w:spacing w:line="240" w:lineRule="auto"/>
              <w:jc w:val="center"/>
              <w:rPr>
                <w:rFonts w:cs="Times New Roman"/>
                <w:sz w:val="21"/>
                <w:szCs w:val="21"/>
              </w:rPr>
            </w:pPr>
            <w:r>
              <w:rPr>
                <w:rFonts w:hint="eastAsia" w:cs="Times New Roman"/>
                <w:sz w:val="21"/>
                <w:szCs w:val="21"/>
              </w:rPr>
              <w:t>达标</w:t>
            </w:r>
          </w:p>
        </w:tc>
      </w:tr>
      <w:tr w14:paraId="15A166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265" w:type="pct"/>
            <w:tcBorders>
              <w:top w:val="single" w:color="auto" w:sz="4" w:space="0"/>
              <w:left w:val="single" w:color="auto" w:sz="4" w:space="0"/>
              <w:bottom w:val="single" w:color="auto" w:sz="4" w:space="0"/>
              <w:right w:val="single" w:color="auto" w:sz="4" w:space="0"/>
            </w:tcBorders>
            <w:noWrap/>
            <w:vAlign w:val="center"/>
          </w:tcPr>
          <w:p w14:paraId="56F05738">
            <w:pPr>
              <w:wordWrap w:val="0"/>
              <w:spacing w:line="240" w:lineRule="auto"/>
              <w:jc w:val="center"/>
              <w:rPr>
                <w:rFonts w:cs="Times New Roman"/>
                <w:sz w:val="21"/>
                <w:szCs w:val="21"/>
              </w:rPr>
            </w:pPr>
            <w:r>
              <w:rPr>
                <w:rFonts w:cs="Times New Roman"/>
                <w:sz w:val="21"/>
                <w:szCs w:val="21"/>
              </w:rPr>
              <w:t>铜(mg/kg)</w:t>
            </w:r>
          </w:p>
        </w:tc>
        <w:tc>
          <w:tcPr>
            <w:tcW w:w="1243" w:type="pct"/>
            <w:tcBorders>
              <w:left w:val="single" w:color="auto" w:sz="4" w:space="0"/>
              <w:right w:val="single" w:color="auto" w:sz="4" w:space="0"/>
            </w:tcBorders>
            <w:vAlign w:val="center"/>
          </w:tcPr>
          <w:p w14:paraId="5D4ED1B0">
            <w:pPr>
              <w:wordWrap w:val="0"/>
              <w:spacing w:line="240" w:lineRule="auto"/>
              <w:jc w:val="center"/>
              <w:rPr>
                <w:rFonts w:cs="Times New Roman"/>
                <w:sz w:val="21"/>
                <w:szCs w:val="21"/>
              </w:rPr>
            </w:pPr>
            <w:r>
              <w:rPr>
                <w:rFonts w:hint="eastAsia" w:cs="Times New Roman"/>
                <w:sz w:val="21"/>
                <w:szCs w:val="21"/>
              </w:rPr>
              <w:t>22</w:t>
            </w:r>
          </w:p>
        </w:tc>
        <w:tc>
          <w:tcPr>
            <w:tcW w:w="1243" w:type="pct"/>
          </w:tcPr>
          <w:p w14:paraId="33CF3EAE">
            <w:pPr>
              <w:wordWrap w:val="0"/>
              <w:spacing w:line="240" w:lineRule="auto"/>
              <w:jc w:val="center"/>
              <w:rPr>
                <w:rFonts w:cs="Times New Roman"/>
                <w:sz w:val="21"/>
                <w:szCs w:val="21"/>
              </w:rPr>
            </w:pPr>
            <w:r>
              <w:rPr>
                <w:rFonts w:hint="eastAsia" w:cs="Times New Roman"/>
                <w:sz w:val="21"/>
                <w:szCs w:val="21"/>
              </w:rPr>
              <w:t>26</w:t>
            </w:r>
          </w:p>
        </w:tc>
        <w:tc>
          <w:tcPr>
            <w:tcW w:w="627" w:type="pct"/>
            <w:vAlign w:val="center"/>
          </w:tcPr>
          <w:p w14:paraId="30A468B6">
            <w:pPr>
              <w:wordWrap w:val="0"/>
              <w:spacing w:line="240" w:lineRule="auto"/>
              <w:jc w:val="center"/>
              <w:rPr>
                <w:rFonts w:cs="Times New Roman"/>
                <w:sz w:val="21"/>
                <w:szCs w:val="21"/>
              </w:rPr>
            </w:pPr>
            <w:r>
              <w:rPr>
                <w:rFonts w:hint="eastAsia" w:cs="Times New Roman"/>
                <w:sz w:val="21"/>
                <w:szCs w:val="21"/>
              </w:rPr>
              <w:t>100</w:t>
            </w:r>
          </w:p>
        </w:tc>
        <w:tc>
          <w:tcPr>
            <w:tcW w:w="622" w:type="pct"/>
            <w:vAlign w:val="center"/>
          </w:tcPr>
          <w:p w14:paraId="2E51DD3E">
            <w:pPr>
              <w:wordWrap w:val="0"/>
              <w:spacing w:line="240" w:lineRule="auto"/>
              <w:jc w:val="center"/>
              <w:rPr>
                <w:rFonts w:cs="Times New Roman"/>
                <w:sz w:val="21"/>
                <w:szCs w:val="21"/>
              </w:rPr>
            </w:pPr>
            <w:r>
              <w:rPr>
                <w:rFonts w:hint="eastAsia" w:cs="Times New Roman"/>
                <w:sz w:val="21"/>
                <w:szCs w:val="21"/>
              </w:rPr>
              <w:t>达标</w:t>
            </w:r>
          </w:p>
        </w:tc>
      </w:tr>
      <w:tr w14:paraId="3A4787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265" w:type="pct"/>
            <w:tcBorders>
              <w:top w:val="single" w:color="auto" w:sz="4" w:space="0"/>
              <w:left w:val="single" w:color="auto" w:sz="4" w:space="0"/>
              <w:bottom w:val="single" w:color="auto" w:sz="4" w:space="0"/>
              <w:right w:val="single" w:color="auto" w:sz="4" w:space="0"/>
            </w:tcBorders>
            <w:noWrap/>
            <w:vAlign w:val="center"/>
          </w:tcPr>
          <w:p w14:paraId="6BD966DF">
            <w:pPr>
              <w:wordWrap w:val="0"/>
              <w:spacing w:line="240" w:lineRule="auto"/>
              <w:jc w:val="center"/>
              <w:rPr>
                <w:rFonts w:cs="Times New Roman"/>
                <w:sz w:val="21"/>
                <w:szCs w:val="21"/>
              </w:rPr>
            </w:pPr>
            <w:r>
              <w:rPr>
                <w:rFonts w:cs="Times New Roman"/>
                <w:sz w:val="21"/>
                <w:szCs w:val="21"/>
              </w:rPr>
              <w:t>镍(mg/kg)</w:t>
            </w:r>
          </w:p>
        </w:tc>
        <w:tc>
          <w:tcPr>
            <w:tcW w:w="1243" w:type="pct"/>
            <w:tcBorders>
              <w:left w:val="single" w:color="auto" w:sz="4" w:space="0"/>
              <w:right w:val="single" w:color="auto" w:sz="4" w:space="0"/>
            </w:tcBorders>
            <w:vAlign w:val="center"/>
          </w:tcPr>
          <w:p w14:paraId="0E4C5E65">
            <w:pPr>
              <w:wordWrap w:val="0"/>
              <w:spacing w:line="240" w:lineRule="auto"/>
              <w:jc w:val="center"/>
              <w:rPr>
                <w:rFonts w:cs="Times New Roman"/>
                <w:sz w:val="21"/>
                <w:szCs w:val="21"/>
              </w:rPr>
            </w:pPr>
            <w:r>
              <w:rPr>
                <w:rFonts w:hint="eastAsia" w:cs="Times New Roman"/>
                <w:sz w:val="21"/>
                <w:szCs w:val="21"/>
              </w:rPr>
              <w:t>36</w:t>
            </w:r>
          </w:p>
        </w:tc>
        <w:tc>
          <w:tcPr>
            <w:tcW w:w="1243" w:type="pct"/>
          </w:tcPr>
          <w:p w14:paraId="22CDF307">
            <w:pPr>
              <w:wordWrap w:val="0"/>
              <w:spacing w:line="240" w:lineRule="auto"/>
              <w:jc w:val="center"/>
              <w:rPr>
                <w:rFonts w:cs="Times New Roman"/>
                <w:sz w:val="21"/>
                <w:szCs w:val="21"/>
              </w:rPr>
            </w:pPr>
            <w:r>
              <w:rPr>
                <w:rFonts w:hint="eastAsia" w:cs="Times New Roman"/>
                <w:sz w:val="21"/>
                <w:szCs w:val="21"/>
              </w:rPr>
              <w:t>37</w:t>
            </w:r>
          </w:p>
        </w:tc>
        <w:tc>
          <w:tcPr>
            <w:tcW w:w="627" w:type="pct"/>
            <w:vAlign w:val="center"/>
          </w:tcPr>
          <w:p w14:paraId="51F11F12">
            <w:pPr>
              <w:wordWrap w:val="0"/>
              <w:spacing w:line="240" w:lineRule="auto"/>
              <w:jc w:val="center"/>
              <w:rPr>
                <w:rFonts w:cs="Times New Roman"/>
                <w:sz w:val="21"/>
                <w:szCs w:val="21"/>
              </w:rPr>
            </w:pPr>
            <w:r>
              <w:rPr>
                <w:rFonts w:hint="eastAsia" w:cs="Times New Roman"/>
                <w:sz w:val="21"/>
                <w:szCs w:val="21"/>
              </w:rPr>
              <w:t>190</w:t>
            </w:r>
          </w:p>
        </w:tc>
        <w:tc>
          <w:tcPr>
            <w:tcW w:w="622" w:type="pct"/>
            <w:vAlign w:val="center"/>
          </w:tcPr>
          <w:p w14:paraId="2A41D2FA">
            <w:pPr>
              <w:wordWrap w:val="0"/>
              <w:spacing w:line="240" w:lineRule="auto"/>
              <w:jc w:val="center"/>
              <w:rPr>
                <w:rFonts w:cs="Times New Roman"/>
                <w:sz w:val="21"/>
                <w:szCs w:val="21"/>
              </w:rPr>
            </w:pPr>
            <w:r>
              <w:rPr>
                <w:rFonts w:hint="eastAsia" w:cs="Times New Roman"/>
                <w:sz w:val="21"/>
                <w:szCs w:val="21"/>
              </w:rPr>
              <w:t>达标</w:t>
            </w:r>
          </w:p>
        </w:tc>
      </w:tr>
      <w:tr w14:paraId="6CC58B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265" w:type="pct"/>
            <w:tcBorders>
              <w:top w:val="single" w:color="auto" w:sz="4" w:space="0"/>
              <w:left w:val="single" w:color="auto" w:sz="4" w:space="0"/>
              <w:bottom w:val="single" w:color="auto" w:sz="4" w:space="0"/>
              <w:right w:val="single" w:color="auto" w:sz="4" w:space="0"/>
            </w:tcBorders>
            <w:noWrap/>
            <w:vAlign w:val="center"/>
          </w:tcPr>
          <w:p w14:paraId="652DD7C9">
            <w:pPr>
              <w:wordWrap w:val="0"/>
              <w:spacing w:line="240" w:lineRule="auto"/>
              <w:jc w:val="center"/>
              <w:rPr>
                <w:rFonts w:cs="Times New Roman"/>
                <w:sz w:val="21"/>
                <w:szCs w:val="21"/>
              </w:rPr>
            </w:pPr>
            <w:r>
              <w:rPr>
                <w:rFonts w:cs="Times New Roman"/>
                <w:sz w:val="21"/>
                <w:szCs w:val="21"/>
              </w:rPr>
              <w:t>锌(mg/kg)</w:t>
            </w:r>
          </w:p>
        </w:tc>
        <w:tc>
          <w:tcPr>
            <w:tcW w:w="1243" w:type="pct"/>
            <w:tcBorders>
              <w:left w:val="single" w:color="auto" w:sz="4" w:space="0"/>
              <w:right w:val="single" w:color="auto" w:sz="4" w:space="0"/>
            </w:tcBorders>
            <w:vAlign w:val="center"/>
          </w:tcPr>
          <w:p w14:paraId="2ABC1A3B">
            <w:pPr>
              <w:wordWrap w:val="0"/>
              <w:spacing w:line="240" w:lineRule="auto"/>
              <w:jc w:val="center"/>
              <w:rPr>
                <w:rFonts w:cs="Times New Roman"/>
                <w:sz w:val="21"/>
                <w:szCs w:val="21"/>
              </w:rPr>
            </w:pPr>
            <w:r>
              <w:rPr>
                <w:rFonts w:hint="eastAsia" w:cs="Times New Roman"/>
                <w:sz w:val="21"/>
                <w:szCs w:val="21"/>
              </w:rPr>
              <w:t>62</w:t>
            </w:r>
          </w:p>
        </w:tc>
        <w:tc>
          <w:tcPr>
            <w:tcW w:w="1243" w:type="pct"/>
          </w:tcPr>
          <w:p w14:paraId="0D47059B">
            <w:pPr>
              <w:wordWrap w:val="0"/>
              <w:spacing w:line="240" w:lineRule="auto"/>
              <w:jc w:val="center"/>
              <w:rPr>
                <w:rFonts w:cs="Times New Roman"/>
                <w:sz w:val="21"/>
                <w:szCs w:val="21"/>
              </w:rPr>
            </w:pPr>
            <w:r>
              <w:rPr>
                <w:rFonts w:hint="eastAsia" w:cs="Times New Roman"/>
                <w:sz w:val="21"/>
                <w:szCs w:val="21"/>
              </w:rPr>
              <w:t>69</w:t>
            </w:r>
          </w:p>
        </w:tc>
        <w:tc>
          <w:tcPr>
            <w:tcW w:w="627" w:type="pct"/>
            <w:vAlign w:val="center"/>
          </w:tcPr>
          <w:p w14:paraId="78AEB950">
            <w:pPr>
              <w:wordWrap w:val="0"/>
              <w:spacing w:line="240" w:lineRule="auto"/>
              <w:jc w:val="center"/>
              <w:rPr>
                <w:rFonts w:cs="Times New Roman"/>
                <w:sz w:val="21"/>
                <w:szCs w:val="21"/>
              </w:rPr>
            </w:pPr>
            <w:r>
              <w:rPr>
                <w:rFonts w:hint="eastAsia" w:cs="Times New Roman"/>
                <w:sz w:val="21"/>
                <w:szCs w:val="21"/>
              </w:rPr>
              <w:t>300</w:t>
            </w:r>
          </w:p>
        </w:tc>
        <w:tc>
          <w:tcPr>
            <w:tcW w:w="622" w:type="pct"/>
            <w:vAlign w:val="center"/>
          </w:tcPr>
          <w:p w14:paraId="62082021">
            <w:pPr>
              <w:wordWrap w:val="0"/>
              <w:spacing w:line="240" w:lineRule="auto"/>
              <w:jc w:val="center"/>
              <w:rPr>
                <w:rFonts w:cs="Times New Roman"/>
                <w:sz w:val="21"/>
                <w:szCs w:val="21"/>
              </w:rPr>
            </w:pPr>
            <w:r>
              <w:rPr>
                <w:rFonts w:hint="eastAsia" w:cs="Times New Roman"/>
                <w:sz w:val="21"/>
                <w:szCs w:val="21"/>
              </w:rPr>
              <w:t>达标</w:t>
            </w:r>
          </w:p>
        </w:tc>
      </w:tr>
      <w:tr w14:paraId="7BB4A1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265" w:type="pct"/>
            <w:tcBorders>
              <w:top w:val="single" w:color="auto" w:sz="4" w:space="0"/>
              <w:left w:val="single" w:color="auto" w:sz="4" w:space="0"/>
              <w:bottom w:val="single" w:color="auto" w:sz="4" w:space="0"/>
              <w:right w:val="single" w:color="auto" w:sz="4" w:space="0"/>
            </w:tcBorders>
            <w:noWrap/>
            <w:vAlign w:val="center"/>
          </w:tcPr>
          <w:p w14:paraId="718EFE98">
            <w:pPr>
              <w:wordWrap w:val="0"/>
              <w:spacing w:line="240" w:lineRule="auto"/>
              <w:jc w:val="center"/>
              <w:rPr>
                <w:rFonts w:cs="Times New Roman"/>
                <w:sz w:val="21"/>
                <w:szCs w:val="21"/>
              </w:rPr>
            </w:pPr>
            <w:r>
              <w:rPr>
                <w:rFonts w:cs="Times New Roman"/>
                <w:sz w:val="21"/>
                <w:szCs w:val="21"/>
              </w:rPr>
              <w:t>铬(mg/kg)</w:t>
            </w:r>
          </w:p>
        </w:tc>
        <w:tc>
          <w:tcPr>
            <w:tcW w:w="1243" w:type="pct"/>
            <w:tcBorders>
              <w:left w:val="single" w:color="auto" w:sz="4" w:space="0"/>
              <w:right w:val="single" w:color="auto" w:sz="4" w:space="0"/>
            </w:tcBorders>
            <w:vAlign w:val="center"/>
          </w:tcPr>
          <w:p w14:paraId="15C9EFC1">
            <w:pPr>
              <w:wordWrap w:val="0"/>
              <w:spacing w:line="240" w:lineRule="auto"/>
              <w:jc w:val="center"/>
              <w:rPr>
                <w:rFonts w:cs="Times New Roman"/>
                <w:sz w:val="21"/>
                <w:szCs w:val="21"/>
              </w:rPr>
            </w:pPr>
            <w:r>
              <w:rPr>
                <w:rFonts w:hint="eastAsia" w:cs="Times New Roman"/>
                <w:sz w:val="21"/>
                <w:szCs w:val="21"/>
              </w:rPr>
              <w:t>55</w:t>
            </w:r>
          </w:p>
        </w:tc>
        <w:tc>
          <w:tcPr>
            <w:tcW w:w="1243" w:type="pct"/>
          </w:tcPr>
          <w:p w14:paraId="7EFF6D31">
            <w:pPr>
              <w:wordWrap w:val="0"/>
              <w:spacing w:line="240" w:lineRule="auto"/>
              <w:jc w:val="center"/>
              <w:rPr>
                <w:rFonts w:cs="Times New Roman"/>
                <w:sz w:val="21"/>
                <w:szCs w:val="21"/>
              </w:rPr>
            </w:pPr>
            <w:r>
              <w:rPr>
                <w:rFonts w:hint="eastAsia" w:cs="Times New Roman"/>
                <w:sz w:val="21"/>
                <w:szCs w:val="21"/>
              </w:rPr>
              <w:t>53</w:t>
            </w:r>
          </w:p>
        </w:tc>
        <w:tc>
          <w:tcPr>
            <w:tcW w:w="627" w:type="pct"/>
            <w:vAlign w:val="center"/>
          </w:tcPr>
          <w:p w14:paraId="280CE5D7">
            <w:pPr>
              <w:wordWrap w:val="0"/>
              <w:spacing w:line="240" w:lineRule="auto"/>
              <w:jc w:val="center"/>
              <w:rPr>
                <w:rFonts w:cs="Times New Roman"/>
                <w:sz w:val="21"/>
                <w:szCs w:val="21"/>
              </w:rPr>
            </w:pPr>
            <w:r>
              <w:rPr>
                <w:rFonts w:hint="eastAsia" w:cs="Times New Roman"/>
                <w:sz w:val="21"/>
                <w:szCs w:val="21"/>
              </w:rPr>
              <w:t>250</w:t>
            </w:r>
          </w:p>
        </w:tc>
        <w:tc>
          <w:tcPr>
            <w:tcW w:w="622" w:type="pct"/>
            <w:vAlign w:val="center"/>
          </w:tcPr>
          <w:p w14:paraId="11DA3875">
            <w:pPr>
              <w:wordWrap w:val="0"/>
              <w:spacing w:line="240" w:lineRule="auto"/>
              <w:jc w:val="center"/>
              <w:rPr>
                <w:rFonts w:cs="Times New Roman"/>
                <w:sz w:val="21"/>
                <w:szCs w:val="21"/>
              </w:rPr>
            </w:pPr>
            <w:r>
              <w:rPr>
                <w:rFonts w:hint="eastAsia" w:cs="Times New Roman"/>
                <w:sz w:val="21"/>
                <w:szCs w:val="21"/>
              </w:rPr>
              <w:t>达标</w:t>
            </w:r>
          </w:p>
        </w:tc>
      </w:tr>
      <w:tr w14:paraId="60917F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265" w:type="pct"/>
            <w:tcBorders>
              <w:top w:val="single" w:color="auto" w:sz="4" w:space="0"/>
              <w:left w:val="single" w:color="auto" w:sz="4" w:space="0"/>
              <w:bottom w:val="single" w:color="auto" w:sz="4" w:space="0"/>
              <w:right w:val="single" w:color="auto" w:sz="4" w:space="0"/>
            </w:tcBorders>
            <w:noWrap/>
            <w:vAlign w:val="center"/>
          </w:tcPr>
          <w:p w14:paraId="5BABDE30">
            <w:pPr>
              <w:wordWrap w:val="0"/>
              <w:spacing w:line="240" w:lineRule="auto"/>
              <w:jc w:val="center"/>
              <w:rPr>
                <w:rFonts w:cs="Times New Roman"/>
                <w:sz w:val="21"/>
                <w:szCs w:val="21"/>
              </w:rPr>
            </w:pPr>
            <w:r>
              <w:rPr>
                <w:rFonts w:cs="Times New Roman"/>
                <w:sz w:val="21"/>
                <w:szCs w:val="21"/>
              </w:rPr>
              <w:t>砷(mg/kg)</w:t>
            </w:r>
          </w:p>
        </w:tc>
        <w:tc>
          <w:tcPr>
            <w:tcW w:w="1243" w:type="pct"/>
            <w:tcBorders>
              <w:left w:val="single" w:color="auto" w:sz="4" w:space="0"/>
              <w:right w:val="single" w:color="auto" w:sz="4" w:space="0"/>
            </w:tcBorders>
            <w:vAlign w:val="center"/>
          </w:tcPr>
          <w:p w14:paraId="6B77BE03">
            <w:pPr>
              <w:wordWrap w:val="0"/>
              <w:spacing w:line="240" w:lineRule="auto"/>
              <w:jc w:val="center"/>
              <w:rPr>
                <w:rFonts w:cs="Times New Roman"/>
                <w:sz w:val="21"/>
                <w:szCs w:val="21"/>
              </w:rPr>
            </w:pPr>
            <w:r>
              <w:rPr>
                <w:rFonts w:hint="eastAsia" w:cs="Times New Roman"/>
                <w:sz w:val="21"/>
                <w:szCs w:val="21"/>
              </w:rPr>
              <w:t>6.78</w:t>
            </w:r>
          </w:p>
        </w:tc>
        <w:tc>
          <w:tcPr>
            <w:tcW w:w="1243" w:type="pct"/>
          </w:tcPr>
          <w:p w14:paraId="6BC16C7A">
            <w:pPr>
              <w:wordWrap w:val="0"/>
              <w:spacing w:line="240" w:lineRule="auto"/>
              <w:jc w:val="center"/>
              <w:rPr>
                <w:rFonts w:cs="Times New Roman"/>
                <w:sz w:val="21"/>
                <w:szCs w:val="21"/>
              </w:rPr>
            </w:pPr>
            <w:r>
              <w:rPr>
                <w:rFonts w:hint="eastAsia" w:cs="Times New Roman"/>
                <w:sz w:val="21"/>
                <w:szCs w:val="21"/>
              </w:rPr>
              <w:t>15.9</w:t>
            </w:r>
          </w:p>
        </w:tc>
        <w:tc>
          <w:tcPr>
            <w:tcW w:w="627" w:type="pct"/>
            <w:vAlign w:val="center"/>
          </w:tcPr>
          <w:p w14:paraId="766B7A08">
            <w:pPr>
              <w:wordWrap w:val="0"/>
              <w:spacing w:line="240" w:lineRule="auto"/>
              <w:jc w:val="center"/>
              <w:rPr>
                <w:rFonts w:cs="Times New Roman"/>
                <w:sz w:val="21"/>
                <w:szCs w:val="21"/>
              </w:rPr>
            </w:pPr>
            <w:r>
              <w:rPr>
                <w:rFonts w:hint="eastAsia" w:cs="Times New Roman"/>
                <w:sz w:val="21"/>
                <w:szCs w:val="21"/>
              </w:rPr>
              <w:t>25</w:t>
            </w:r>
          </w:p>
        </w:tc>
        <w:tc>
          <w:tcPr>
            <w:tcW w:w="622" w:type="pct"/>
            <w:vAlign w:val="center"/>
          </w:tcPr>
          <w:p w14:paraId="14356C89">
            <w:pPr>
              <w:wordWrap w:val="0"/>
              <w:spacing w:line="240" w:lineRule="auto"/>
              <w:jc w:val="center"/>
              <w:rPr>
                <w:rFonts w:cs="Times New Roman"/>
                <w:sz w:val="21"/>
                <w:szCs w:val="21"/>
              </w:rPr>
            </w:pPr>
            <w:r>
              <w:rPr>
                <w:rFonts w:hint="eastAsia" w:cs="Times New Roman"/>
                <w:sz w:val="21"/>
                <w:szCs w:val="21"/>
              </w:rPr>
              <w:t>达标</w:t>
            </w:r>
          </w:p>
        </w:tc>
      </w:tr>
      <w:tr w14:paraId="5F69CD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265" w:type="pct"/>
            <w:tcBorders>
              <w:top w:val="single" w:color="auto" w:sz="4" w:space="0"/>
              <w:left w:val="single" w:color="auto" w:sz="4" w:space="0"/>
              <w:bottom w:val="single" w:color="auto" w:sz="4" w:space="0"/>
              <w:right w:val="single" w:color="auto" w:sz="4" w:space="0"/>
            </w:tcBorders>
            <w:noWrap/>
            <w:vAlign w:val="center"/>
          </w:tcPr>
          <w:p w14:paraId="48CEEF97">
            <w:pPr>
              <w:wordWrap w:val="0"/>
              <w:spacing w:line="240" w:lineRule="auto"/>
              <w:jc w:val="center"/>
              <w:rPr>
                <w:rFonts w:cs="Times New Roman"/>
                <w:sz w:val="21"/>
                <w:szCs w:val="21"/>
              </w:rPr>
            </w:pPr>
            <w:r>
              <w:rPr>
                <w:rFonts w:cs="Times New Roman"/>
                <w:sz w:val="21"/>
                <w:szCs w:val="21"/>
              </w:rPr>
              <w:t>汞(mg/kg)</w:t>
            </w:r>
          </w:p>
        </w:tc>
        <w:tc>
          <w:tcPr>
            <w:tcW w:w="1243" w:type="pct"/>
            <w:tcBorders>
              <w:left w:val="single" w:color="auto" w:sz="4" w:space="0"/>
              <w:right w:val="single" w:color="auto" w:sz="4" w:space="0"/>
            </w:tcBorders>
            <w:vAlign w:val="center"/>
          </w:tcPr>
          <w:p w14:paraId="45CA5C88">
            <w:pPr>
              <w:wordWrap w:val="0"/>
              <w:spacing w:line="240" w:lineRule="auto"/>
              <w:jc w:val="center"/>
              <w:rPr>
                <w:rFonts w:cs="Times New Roman"/>
                <w:sz w:val="21"/>
                <w:szCs w:val="21"/>
              </w:rPr>
            </w:pPr>
            <w:r>
              <w:rPr>
                <w:rFonts w:hint="eastAsia" w:cs="Times New Roman"/>
                <w:sz w:val="21"/>
                <w:szCs w:val="21"/>
              </w:rPr>
              <w:t>0.851</w:t>
            </w:r>
          </w:p>
        </w:tc>
        <w:tc>
          <w:tcPr>
            <w:tcW w:w="1243" w:type="pct"/>
          </w:tcPr>
          <w:p w14:paraId="7F4C9DBA">
            <w:pPr>
              <w:wordWrap w:val="0"/>
              <w:spacing w:line="240" w:lineRule="auto"/>
              <w:jc w:val="center"/>
              <w:rPr>
                <w:rFonts w:cs="Times New Roman"/>
                <w:sz w:val="21"/>
                <w:szCs w:val="21"/>
              </w:rPr>
            </w:pPr>
            <w:r>
              <w:rPr>
                <w:rFonts w:hint="eastAsia" w:cs="Times New Roman"/>
                <w:sz w:val="21"/>
                <w:szCs w:val="21"/>
              </w:rPr>
              <w:t>0.170</w:t>
            </w:r>
          </w:p>
        </w:tc>
        <w:tc>
          <w:tcPr>
            <w:tcW w:w="627" w:type="pct"/>
            <w:vAlign w:val="center"/>
          </w:tcPr>
          <w:p w14:paraId="394BDDFC">
            <w:pPr>
              <w:wordWrap w:val="0"/>
              <w:spacing w:line="240" w:lineRule="auto"/>
              <w:jc w:val="center"/>
              <w:rPr>
                <w:rFonts w:cs="Times New Roman"/>
                <w:sz w:val="21"/>
                <w:szCs w:val="21"/>
              </w:rPr>
            </w:pPr>
            <w:r>
              <w:rPr>
                <w:rFonts w:hint="eastAsia" w:cs="Times New Roman"/>
                <w:sz w:val="21"/>
                <w:szCs w:val="21"/>
              </w:rPr>
              <w:t>3.4</w:t>
            </w:r>
          </w:p>
        </w:tc>
        <w:tc>
          <w:tcPr>
            <w:tcW w:w="622" w:type="pct"/>
            <w:vAlign w:val="center"/>
          </w:tcPr>
          <w:p w14:paraId="2E8FD84D">
            <w:pPr>
              <w:wordWrap w:val="0"/>
              <w:spacing w:line="240" w:lineRule="auto"/>
              <w:jc w:val="center"/>
              <w:rPr>
                <w:rFonts w:cs="Times New Roman"/>
                <w:sz w:val="21"/>
                <w:szCs w:val="21"/>
              </w:rPr>
            </w:pPr>
            <w:r>
              <w:rPr>
                <w:rFonts w:hint="eastAsia" w:cs="Times New Roman"/>
                <w:sz w:val="21"/>
                <w:szCs w:val="21"/>
              </w:rPr>
              <w:t>达标</w:t>
            </w:r>
          </w:p>
        </w:tc>
      </w:tr>
      <w:tr w14:paraId="00D962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265" w:type="pct"/>
            <w:tcBorders>
              <w:top w:val="single" w:color="auto" w:sz="4" w:space="0"/>
              <w:left w:val="single" w:color="auto" w:sz="4" w:space="0"/>
              <w:bottom w:val="single" w:color="auto" w:sz="4" w:space="0"/>
              <w:right w:val="single" w:color="auto" w:sz="4" w:space="0"/>
            </w:tcBorders>
            <w:noWrap/>
            <w:vAlign w:val="center"/>
          </w:tcPr>
          <w:p w14:paraId="790EC428">
            <w:pPr>
              <w:wordWrap w:val="0"/>
              <w:spacing w:line="240" w:lineRule="auto"/>
              <w:jc w:val="center"/>
              <w:rPr>
                <w:rFonts w:cs="Times New Roman"/>
                <w:sz w:val="21"/>
                <w:szCs w:val="21"/>
              </w:rPr>
            </w:pPr>
            <w:r>
              <w:rPr>
                <w:rFonts w:cs="Times New Roman"/>
                <w:sz w:val="21"/>
                <w:szCs w:val="21"/>
              </w:rPr>
              <w:t>石油烃(C</w:t>
            </w:r>
            <w:r>
              <w:rPr>
                <w:rFonts w:cs="Times New Roman"/>
                <w:sz w:val="21"/>
                <w:szCs w:val="21"/>
                <w:vertAlign w:val="subscript"/>
              </w:rPr>
              <w:t>10</w:t>
            </w:r>
            <w:r>
              <w:rPr>
                <w:rFonts w:cs="Times New Roman"/>
                <w:sz w:val="21"/>
                <w:szCs w:val="21"/>
              </w:rPr>
              <w:t>-C</w:t>
            </w:r>
            <w:r>
              <w:rPr>
                <w:rFonts w:cs="Times New Roman"/>
                <w:sz w:val="21"/>
                <w:szCs w:val="21"/>
                <w:vertAlign w:val="subscript"/>
              </w:rPr>
              <w:t>40</w:t>
            </w:r>
            <w:r>
              <w:rPr>
                <w:rFonts w:cs="Times New Roman"/>
                <w:sz w:val="21"/>
                <w:szCs w:val="21"/>
              </w:rPr>
              <w:t>)(mg/kg)</w:t>
            </w:r>
          </w:p>
        </w:tc>
        <w:tc>
          <w:tcPr>
            <w:tcW w:w="1243" w:type="pct"/>
            <w:tcBorders>
              <w:left w:val="single" w:color="auto" w:sz="4" w:space="0"/>
              <w:right w:val="single" w:color="auto" w:sz="4" w:space="0"/>
            </w:tcBorders>
            <w:vAlign w:val="center"/>
          </w:tcPr>
          <w:p w14:paraId="46882D6A">
            <w:pPr>
              <w:wordWrap w:val="0"/>
              <w:spacing w:line="240" w:lineRule="auto"/>
              <w:jc w:val="center"/>
              <w:rPr>
                <w:rFonts w:cs="Times New Roman"/>
                <w:sz w:val="21"/>
                <w:szCs w:val="21"/>
              </w:rPr>
            </w:pPr>
            <w:r>
              <w:rPr>
                <w:rFonts w:cs="Times New Roman"/>
                <w:sz w:val="21"/>
                <w:szCs w:val="21"/>
              </w:rPr>
              <w:t>ND</w:t>
            </w:r>
          </w:p>
        </w:tc>
        <w:tc>
          <w:tcPr>
            <w:tcW w:w="1243" w:type="pct"/>
          </w:tcPr>
          <w:p w14:paraId="71431126">
            <w:pPr>
              <w:wordWrap w:val="0"/>
              <w:spacing w:line="240" w:lineRule="auto"/>
              <w:jc w:val="center"/>
              <w:rPr>
                <w:rFonts w:cs="Times New Roman"/>
                <w:sz w:val="21"/>
                <w:szCs w:val="21"/>
              </w:rPr>
            </w:pPr>
            <w:r>
              <w:rPr>
                <w:rFonts w:hint="eastAsia" w:cs="Times New Roman"/>
                <w:sz w:val="21"/>
                <w:szCs w:val="21"/>
              </w:rPr>
              <w:t>ND</w:t>
            </w:r>
          </w:p>
        </w:tc>
        <w:tc>
          <w:tcPr>
            <w:tcW w:w="627" w:type="pct"/>
            <w:vAlign w:val="center"/>
          </w:tcPr>
          <w:p w14:paraId="34F5D03F">
            <w:pPr>
              <w:wordWrap w:val="0"/>
              <w:spacing w:line="240" w:lineRule="auto"/>
              <w:jc w:val="center"/>
              <w:rPr>
                <w:rFonts w:cs="Times New Roman"/>
                <w:sz w:val="21"/>
                <w:szCs w:val="21"/>
              </w:rPr>
            </w:pPr>
            <w:r>
              <w:rPr>
                <w:rFonts w:hint="eastAsia" w:cs="Times New Roman"/>
                <w:sz w:val="21"/>
                <w:szCs w:val="21"/>
              </w:rPr>
              <w:t>4500</w:t>
            </w:r>
          </w:p>
        </w:tc>
        <w:tc>
          <w:tcPr>
            <w:tcW w:w="622" w:type="pct"/>
            <w:vAlign w:val="center"/>
          </w:tcPr>
          <w:p w14:paraId="5542DB06">
            <w:pPr>
              <w:wordWrap w:val="0"/>
              <w:spacing w:line="240" w:lineRule="auto"/>
              <w:jc w:val="center"/>
              <w:rPr>
                <w:rFonts w:cs="Times New Roman"/>
                <w:sz w:val="21"/>
                <w:szCs w:val="21"/>
              </w:rPr>
            </w:pPr>
            <w:r>
              <w:rPr>
                <w:rFonts w:hint="eastAsia" w:cs="Times New Roman"/>
                <w:sz w:val="21"/>
                <w:szCs w:val="21"/>
              </w:rPr>
              <w:t>达标</w:t>
            </w:r>
          </w:p>
        </w:tc>
      </w:tr>
      <w:tr w14:paraId="47DC12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000" w:type="pct"/>
            <w:gridSpan w:val="5"/>
          </w:tcPr>
          <w:p w14:paraId="2EAD427A">
            <w:pPr>
              <w:spacing w:line="240" w:lineRule="auto"/>
              <w:rPr>
                <w:rFonts w:cs="Times New Roman"/>
                <w:sz w:val="21"/>
                <w:szCs w:val="21"/>
              </w:rPr>
            </w:pPr>
            <w:r>
              <w:rPr>
                <w:rFonts w:cs="Times New Roman"/>
                <w:sz w:val="21"/>
                <w:szCs w:val="21"/>
              </w:rPr>
              <w:t>备注：ND表示检测结果低于方法检出限。</w:t>
            </w:r>
          </w:p>
        </w:tc>
      </w:tr>
    </w:tbl>
    <w:p w14:paraId="60AD1F86"/>
    <w:p w14:paraId="6C9F5302">
      <w:pPr>
        <w:ind w:firstLine="480" w:firstLineChars="200"/>
      </w:pPr>
      <w:r>
        <w:rPr>
          <w:rFonts w:hint="eastAsia"/>
        </w:rPr>
        <w:t>土壤理化性质及土体构型引用2</w:t>
      </w:r>
      <w:r>
        <w:t>024</w:t>
      </w:r>
      <w:r>
        <w:rPr>
          <w:rFonts w:hint="eastAsia"/>
        </w:rPr>
        <w:t>年《安徽海华科技集团有限公司薄荷醇优化技改项目环境影响报告书》中数据。</w:t>
      </w:r>
    </w:p>
    <w:p w14:paraId="3740732E">
      <w:pPr>
        <w:pStyle w:val="28"/>
        <w:rPr>
          <w:rFonts w:hint="eastAsia"/>
        </w:rPr>
      </w:pPr>
      <w:r>
        <w:rPr>
          <w:rFonts w:hint="eastAsia"/>
        </w:rPr>
        <w:t>表5.2-22</w:t>
      </w:r>
      <w:r>
        <w:t xml:space="preserve">  </w:t>
      </w:r>
      <w:r>
        <w:rPr>
          <w:rFonts w:hint="eastAsia"/>
        </w:rPr>
        <w:t>土壤理化性质一览表</w:t>
      </w:r>
    </w:p>
    <w:tbl>
      <w:tblPr>
        <w:tblStyle w:val="3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43"/>
        <w:gridCol w:w="1259"/>
        <w:gridCol w:w="1102"/>
        <w:gridCol w:w="1573"/>
        <w:gridCol w:w="1103"/>
        <w:gridCol w:w="1102"/>
        <w:gridCol w:w="1102"/>
        <w:gridCol w:w="1102"/>
      </w:tblGrid>
      <w:tr w14:paraId="10C445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8" w:type="pct"/>
            <w:vAlign w:val="center"/>
          </w:tcPr>
          <w:p w14:paraId="3E8F8480">
            <w:pPr>
              <w:pStyle w:val="64"/>
              <w:rPr>
                <w:rFonts w:cs="Times New Roman"/>
              </w:rPr>
            </w:pPr>
            <w:r>
              <w:rPr>
                <w:rFonts w:cs="Times New Roman"/>
              </w:rPr>
              <w:t>检测点位</w:t>
            </w:r>
          </w:p>
        </w:tc>
        <w:tc>
          <w:tcPr>
            <w:tcW w:w="678" w:type="pct"/>
            <w:vAlign w:val="center"/>
          </w:tcPr>
          <w:p w14:paraId="22DB05B5">
            <w:pPr>
              <w:pStyle w:val="64"/>
              <w:rPr>
                <w:rFonts w:cs="Times New Roman"/>
              </w:rPr>
            </w:pPr>
            <w:r>
              <w:rPr>
                <w:rFonts w:cs="Times New Roman"/>
              </w:rPr>
              <w:t>采样深度</w:t>
            </w:r>
          </w:p>
        </w:tc>
        <w:tc>
          <w:tcPr>
            <w:tcW w:w="593" w:type="pct"/>
            <w:vAlign w:val="center"/>
          </w:tcPr>
          <w:p w14:paraId="4776B71D">
            <w:pPr>
              <w:pStyle w:val="64"/>
              <w:rPr>
                <w:rFonts w:cs="Times New Roman"/>
              </w:rPr>
            </w:pPr>
            <w:r>
              <w:rPr>
                <w:rFonts w:cs="Times New Roman"/>
              </w:rPr>
              <w:t>pH</w:t>
            </w:r>
          </w:p>
          <w:p w14:paraId="305B9C84">
            <w:pPr>
              <w:pStyle w:val="64"/>
              <w:rPr>
                <w:rFonts w:cs="Times New Roman"/>
              </w:rPr>
            </w:pPr>
            <w:r>
              <w:rPr>
                <w:rFonts w:cs="Times New Roman"/>
              </w:rPr>
              <w:t>(无量纲)</w:t>
            </w:r>
          </w:p>
        </w:tc>
        <w:tc>
          <w:tcPr>
            <w:tcW w:w="847" w:type="pct"/>
            <w:vAlign w:val="center"/>
          </w:tcPr>
          <w:p w14:paraId="45904AA5">
            <w:pPr>
              <w:pStyle w:val="64"/>
              <w:rPr>
                <w:rFonts w:cs="Times New Roman"/>
              </w:rPr>
            </w:pPr>
            <w:r>
              <w:rPr>
                <w:rFonts w:cs="Times New Roman"/>
              </w:rPr>
              <w:t>阳离子交换量(cmol(+)/kg)</w:t>
            </w:r>
          </w:p>
        </w:tc>
        <w:tc>
          <w:tcPr>
            <w:tcW w:w="594" w:type="pct"/>
            <w:vAlign w:val="center"/>
          </w:tcPr>
          <w:p w14:paraId="4B8C7BD9">
            <w:pPr>
              <w:pStyle w:val="64"/>
              <w:rPr>
                <w:rFonts w:cs="Times New Roman"/>
              </w:rPr>
            </w:pPr>
            <w:r>
              <w:rPr>
                <w:rFonts w:cs="Times New Roman"/>
              </w:rPr>
              <w:t>氧化还原电位(mV)</w:t>
            </w:r>
          </w:p>
        </w:tc>
        <w:tc>
          <w:tcPr>
            <w:tcW w:w="593" w:type="pct"/>
            <w:vAlign w:val="center"/>
          </w:tcPr>
          <w:p w14:paraId="677820DA">
            <w:pPr>
              <w:pStyle w:val="64"/>
              <w:rPr>
                <w:rFonts w:cs="Times New Roman"/>
              </w:rPr>
            </w:pPr>
            <w:r>
              <w:rPr>
                <w:rFonts w:cs="Times New Roman"/>
              </w:rPr>
              <w:t>渗透性</w:t>
            </w:r>
          </w:p>
          <w:p w14:paraId="0691300D">
            <w:pPr>
              <w:pStyle w:val="64"/>
              <w:rPr>
                <w:rFonts w:cs="Times New Roman"/>
              </w:rPr>
            </w:pPr>
            <w:r>
              <w:rPr>
                <w:rFonts w:cs="Times New Roman"/>
              </w:rPr>
              <w:t>(mm/min)</w:t>
            </w:r>
          </w:p>
        </w:tc>
        <w:tc>
          <w:tcPr>
            <w:tcW w:w="593" w:type="pct"/>
            <w:vAlign w:val="center"/>
          </w:tcPr>
          <w:p w14:paraId="0AED28EF">
            <w:pPr>
              <w:pStyle w:val="64"/>
              <w:rPr>
                <w:rFonts w:cs="Times New Roman"/>
              </w:rPr>
            </w:pPr>
            <w:r>
              <w:rPr>
                <w:rFonts w:cs="Times New Roman"/>
              </w:rPr>
              <w:t>土壤容重</w:t>
            </w:r>
          </w:p>
          <w:p w14:paraId="474813DE">
            <w:pPr>
              <w:pStyle w:val="64"/>
              <w:rPr>
                <w:rFonts w:cs="Times New Roman"/>
              </w:rPr>
            </w:pPr>
            <w:r>
              <w:rPr>
                <w:rFonts w:cs="Times New Roman"/>
              </w:rPr>
              <w:t>(g/cm</w:t>
            </w:r>
            <w:r>
              <w:rPr>
                <w:rFonts w:cs="Times New Roman"/>
                <w:vertAlign w:val="superscript"/>
              </w:rPr>
              <w:t>3</w:t>
            </w:r>
            <w:r>
              <w:rPr>
                <w:rFonts w:cs="Times New Roman"/>
              </w:rPr>
              <w:t>)</w:t>
            </w:r>
          </w:p>
        </w:tc>
        <w:tc>
          <w:tcPr>
            <w:tcW w:w="593" w:type="pct"/>
            <w:vAlign w:val="center"/>
          </w:tcPr>
          <w:p w14:paraId="332F0A95">
            <w:pPr>
              <w:pStyle w:val="64"/>
              <w:rPr>
                <w:rFonts w:cs="Times New Roman"/>
              </w:rPr>
            </w:pPr>
            <w:r>
              <w:rPr>
                <w:rFonts w:cs="Times New Roman"/>
              </w:rPr>
              <w:t>土壤密度</w:t>
            </w:r>
          </w:p>
          <w:p w14:paraId="2EB5D54A">
            <w:pPr>
              <w:pStyle w:val="64"/>
              <w:rPr>
                <w:rFonts w:cs="Times New Roman"/>
              </w:rPr>
            </w:pPr>
            <w:r>
              <w:rPr>
                <w:rFonts w:cs="Times New Roman"/>
              </w:rPr>
              <w:t>(g/cm</w:t>
            </w:r>
            <w:r>
              <w:rPr>
                <w:rFonts w:cs="Times New Roman"/>
                <w:vertAlign w:val="superscript"/>
              </w:rPr>
              <w:t>3</w:t>
            </w:r>
            <w:r>
              <w:rPr>
                <w:rFonts w:cs="Times New Roman"/>
              </w:rPr>
              <w:t>)</w:t>
            </w:r>
          </w:p>
        </w:tc>
      </w:tr>
      <w:tr w14:paraId="42BC86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8" w:type="pct"/>
            <w:vMerge w:val="restart"/>
            <w:vAlign w:val="center"/>
          </w:tcPr>
          <w:p w14:paraId="54AE4CD4">
            <w:pPr>
              <w:pStyle w:val="64"/>
              <w:rPr>
                <w:rFonts w:cs="Times New Roman"/>
              </w:rPr>
            </w:pPr>
            <w:r>
              <w:rPr>
                <w:rFonts w:cs="Times New Roman"/>
              </w:rPr>
              <w:t>TZ1甲酚装置区处</w:t>
            </w:r>
          </w:p>
        </w:tc>
        <w:tc>
          <w:tcPr>
            <w:tcW w:w="678" w:type="pct"/>
            <w:vAlign w:val="center"/>
          </w:tcPr>
          <w:p w14:paraId="3DC649D7">
            <w:pPr>
              <w:pStyle w:val="64"/>
              <w:rPr>
                <w:rFonts w:cs="Times New Roman"/>
              </w:rPr>
            </w:pPr>
            <w:r>
              <w:rPr>
                <w:rFonts w:cs="Times New Roman"/>
              </w:rPr>
              <w:t>0~0.5m</w:t>
            </w:r>
          </w:p>
        </w:tc>
        <w:tc>
          <w:tcPr>
            <w:tcW w:w="593" w:type="pct"/>
            <w:vAlign w:val="center"/>
          </w:tcPr>
          <w:p w14:paraId="7B0B9B5D">
            <w:pPr>
              <w:pStyle w:val="64"/>
              <w:rPr>
                <w:rFonts w:cs="Times New Roman"/>
              </w:rPr>
            </w:pPr>
            <w:r>
              <w:rPr>
                <w:rFonts w:cs="Times New Roman"/>
              </w:rPr>
              <w:t>7.41</w:t>
            </w:r>
          </w:p>
        </w:tc>
        <w:tc>
          <w:tcPr>
            <w:tcW w:w="847" w:type="pct"/>
            <w:vAlign w:val="center"/>
          </w:tcPr>
          <w:p w14:paraId="07542BF6">
            <w:pPr>
              <w:pStyle w:val="64"/>
              <w:rPr>
                <w:rFonts w:cs="Times New Roman"/>
              </w:rPr>
            </w:pPr>
            <w:r>
              <w:rPr>
                <w:rFonts w:cs="Times New Roman"/>
              </w:rPr>
              <w:t>22.4</w:t>
            </w:r>
          </w:p>
        </w:tc>
        <w:tc>
          <w:tcPr>
            <w:tcW w:w="594" w:type="pct"/>
            <w:vAlign w:val="center"/>
          </w:tcPr>
          <w:p w14:paraId="43272281">
            <w:pPr>
              <w:pStyle w:val="64"/>
              <w:rPr>
                <w:rFonts w:cs="Times New Roman"/>
              </w:rPr>
            </w:pPr>
            <w:r>
              <w:rPr>
                <w:rFonts w:cs="Times New Roman"/>
              </w:rPr>
              <w:t>532</w:t>
            </w:r>
          </w:p>
        </w:tc>
        <w:tc>
          <w:tcPr>
            <w:tcW w:w="593" w:type="pct"/>
            <w:vAlign w:val="center"/>
          </w:tcPr>
          <w:p w14:paraId="4F639A29">
            <w:pPr>
              <w:pStyle w:val="64"/>
              <w:rPr>
                <w:rFonts w:cs="Times New Roman"/>
              </w:rPr>
            </w:pPr>
            <w:r>
              <w:rPr>
                <w:rFonts w:cs="Times New Roman"/>
              </w:rPr>
              <w:t>0.28</w:t>
            </w:r>
          </w:p>
        </w:tc>
        <w:tc>
          <w:tcPr>
            <w:tcW w:w="593" w:type="pct"/>
            <w:vAlign w:val="center"/>
          </w:tcPr>
          <w:p w14:paraId="3B1DF4EE">
            <w:pPr>
              <w:pStyle w:val="64"/>
              <w:rPr>
                <w:rFonts w:cs="Times New Roman"/>
              </w:rPr>
            </w:pPr>
            <w:r>
              <w:rPr>
                <w:rFonts w:cs="Times New Roman"/>
              </w:rPr>
              <w:t>1.26</w:t>
            </w:r>
          </w:p>
        </w:tc>
        <w:tc>
          <w:tcPr>
            <w:tcW w:w="593" w:type="pct"/>
            <w:vAlign w:val="center"/>
          </w:tcPr>
          <w:p w14:paraId="074A26BB">
            <w:pPr>
              <w:pStyle w:val="64"/>
              <w:rPr>
                <w:rFonts w:cs="Times New Roman"/>
              </w:rPr>
            </w:pPr>
            <w:r>
              <w:rPr>
                <w:rFonts w:cs="Times New Roman"/>
              </w:rPr>
              <w:t>2.36</w:t>
            </w:r>
          </w:p>
        </w:tc>
      </w:tr>
      <w:tr w14:paraId="109D22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8" w:type="pct"/>
            <w:vMerge w:val="continue"/>
            <w:vAlign w:val="center"/>
          </w:tcPr>
          <w:p w14:paraId="557B5AA0">
            <w:pPr>
              <w:pStyle w:val="64"/>
              <w:rPr>
                <w:rFonts w:cs="Times New Roman"/>
              </w:rPr>
            </w:pPr>
          </w:p>
        </w:tc>
        <w:tc>
          <w:tcPr>
            <w:tcW w:w="678" w:type="pct"/>
            <w:vAlign w:val="center"/>
          </w:tcPr>
          <w:p w14:paraId="785098D8">
            <w:pPr>
              <w:pStyle w:val="64"/>
              <w:rPr>
                <w:rFonts w:cs="Times New Roman"/>
              </w:rPr>
            </w:pPr>
            <w:r>
              <w:rPr>
                <w:rFonts w:cs="Times New Roman"/>
              </w:rPr>
              <w:t>0.5~1.5m</w:t>
            </w:r>
          </w:p>
        </w:tc>
        <w:tc>
          <w:tcPr>
            <w:tcW w:w="593" w:type="pct"/>
            <w:vAlign w:val="center"/>
          </w:tcPr>
          <w:p w14:paraId="470485D0">
            <w:pPr>
              <w:pStyle w:val="64"/>
              <w:rPr>
                <w:rFonts w:cs="Times New Roman"/>
              </w:rPr>
            </w:pPr>
            <w:r>
              <w:rPr>
                <w:rFonts w:cs="Times New Roman"/>
              </w:rPr>
              <w:t>7.35</w:t>
            </w:r>
          </w:p>
        </w:tc>
        <w:tc>
          <w:tcPr>
            <w:tcW w:w="847" w:type="pct"/>
            <w:vAlign w:val="center"/>
          </w:tcPr>
          <w:p w14:paraId="138E5368">
            <w:pPr>
              <w:pStyle w:val="64"/>
              <w:rPr>
                <w:rFonts w:cs="Times New Roman"/>
              </w:rPr>
            </w:pPr>
            <w:r>
              <w:rPr>
                <w:rFonts w:cs="Times New Roman"/>
              </w:rPr>
              <w:t>23.6</w:t>
            </w:r>
          </w:p>
        </w:tc>
        <w:tc>
          <w:tcPr>
            <w:tcW w:w="594" w:type="pct"/>
            <w:vAlign w:val="center"/>
          </w:tcPr>
          <w:p w14:paraId="56228443">
            <w:pPr>
              <w:pStyle w:val="64"/>
              <w:rPr>
                <w:rFonts w:cs="Times New Roman"/>
              </w:rPr>
            </w:pPr>
            <w:r>
              <w:rPr>
                <w:rFonts w:cs="Times New Roman"/>
              </w:rPr>
              <w:t>501</w:t>
            </w:r>
          </w:p>
        </w:tc>
        <w:tc>
          <w:tcPr>
            <w:tcW w:w="593" w:type="pct"/>
            <w:vAlign w:val="center"/>
          </w:tcPr>
          <w:p w14:paraId="0538E31F">
            <w:pPr>
              <w:pStyle w:val="64"/>
              <w:rPr>
                <w:rFonts w:cs="Times New Roman"/>
              </w:rPr>
            </w:pPr>
            <w:r>
              <w:rPr>
                <w:rFonts w:cs="Times New Roman"/>
              </w:rPr>
              <w:t>0.26</w:t>
            </w:r>
          </w:p>
        </w:tc>
        <w:tc>
          <w:tcPr>
            <w:tcW w:w="593" w:type="pct"/>
            <w:vAlign w:val="center"/>
          </w:tcPr>
          <w:p w14:paraId="726DDB80">
            <w:pPr>
              <w:pStyle w:val="64"/>
              <w:rPr>
                <w:rFonts w:cs="Times New Roman"/>
              </w:rPr>
            </w:pPr>
            <w:r>
              <w:rPr>
                <w:rFonts w:cs="Times New Roman"/>
              </w:rPr>
              <w:t>1.05</w:t>
            </w:r>
          </w:p>
        </w:tc>
        <w:tc>
          <w:tcPr>
            <w:tcW w:w="593" w:type="pct"/>
            <w:vAlign w:val="center"/>
          </w:tcPr>
          <w:p w14:paraId="7B8AA306">
            <w:pPr>
              <w:pStyle w:val="64"/>
              <w:rPr>
                <w:rFonts w:cs="Times New Roman"/>
              </w:rPr>
            </w:pPr>
            <w:r>
              <w:rPr>
                <w:rFonts w:cs="Times New Roman"/>
              </w:rPr>
              <w:t>2.15</w:t>
            </w:r>
          </w:p>
        </w:tc>
      </w:tr>
      <w:tr w14:paraId="2245E4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8" w:type="pct"/>
            <w:vMerge w:val="continue"/>
            <w:vAlign w:val="center"/>
          </w:tcPr>
          <w:p w14:paraId="77350212">
            <w:pPr>
              <w:pStyle w:val="64"/>
              <w:rPr>
                <w:rFonts w:cs="Times New Roman"/>
              </w:rPr>
            </w:pPr>
          </w:p>
        </w:tc>
        <w:tc>
          <w:tcPr>
            <w:tcW w:w="678" w:type="pct"/>
            <w:vAlign w:val="center"/>
          </w:tcPr>
          <w:p w14:paraId="479D51B1">
            <w:pPr>
              <w:pStyle w:val="64"/>
              <w:rPr>
                <w:rFonts w:cs="Times New Roman"/>
              </w:rPr>
            </w:pPr>
            <w:r>
              <w:rPr>
                <w:rFonts w:cs="Times New Roman"/>
              </w:rPr>
              <w:t>1.5~3.0m</w:t>
            </w:r>
          </w:p>
        </w:tc>
        <w:tc>
          <w:tcPr>
            <w:tcW w:w="593" w:type="pct"/>
            <w:vAlign w:val="center"/>
          </w:tcPr>
          <w:p w14:paraId="7953D587">
            <w:pPr>
              <w:pStyle w:val="64"/>
              <w:rPr>
                <w:rFonts w:cs="Times New Roman"/>
              </w:rPr>
            </w:pPr>
            <w:r>
              <w:rPr>
                <w:rFonts w:cs="Times New Roman"/>
              </w:rPr>
              <w:t>7.40</w:t>
            </w:r>
          </w:p>
        </w:tc>
        <w:tc>
          <w:tcPr>
            <w:tcW w:w="847" w:type="pct"/>
            <w:vAlign w:val="center"/>
          </w:tcPr>
          <w:p w14:paraId="2033A145">
            <w:pPr>
              <w:pStyle w:val="64"/>
              <w:rPr>
                <w:rFonts w:cs="Times New Roman"/>
              </w:rPr>
            </w:pPr>
            <w:r>
              <w:rPr>
                <w:rFonts w:cs="Times New Roman"/>
              </w:rPr>
              <w:t>24.5</w:t>
            </w:r>
          </w:p>
        </w:tc>
        <w:tc>
          <w:tcPr>
            <w:tcW w:w="594" w:type="pct"/>
            <w:vAlign w:val="center"/>
          </w:tcPr>
          <w:p w14:paraId="77BE860A">
            <w:pPr>
              <w:pStyle w:val="64"/>
              <w:rPr>
                <w:rFonts w:cs="Times New Roman"/>
              </w:rPr>
            </w:pPr>
            <w:r>
              <w:rPr>
                <w:rFonts w:cs="Times New Roman"/>
              </w:rPr>
              <w:t>523</w:t>
            </w:r>
          </w:p>
        </w:tc>
        <w:tc>
          <w:tcPr>
            <w:tcW w:w="593" w:type="pct"/>
            <w:vAlign w:val="center"/>
          </w:tcPr>
          <w:p w14:paraId="632933C1">
            <w:pPr>
              <w:pStyle w:val="64"/>
              <w:rPr>
                <w:rFonts w:cs="Times New Roman"/>
              </w:rPr>
            </w:pPr>
            <w:r>
              <w:rPr>
                <w:rFonts w:cs="Times New Roman"/>
              </w:rPr>
              <w:t>0.21</w:t>
            </w:r>
          </w:p>
        </w:tc>
        <w:tc>
          <w:tcPr>
            <w:tcW w:w="593" w:type="pct"/>
            <w:vAlign w:val="center"/>
          </w:tcPr>
          <w:p w14:paraId="3EB35259">
            <w:pPr>
              <w:pStyle w:val="64"/>
              <w:rPr>
                <w:rFonts w:cs="Times New Roman"/>
              </w:rPr>
            </w:pPr>
            <w:r>
              <w:rPr>
                <w:rFonts w:cs="Times New Roman"/>
              </w:rPr>
              <w:t>1.17</w:t>
            </w:r>
          </w:p>
        </w:tc>
        <w:tc>
          <w:tcPr>
            <w:tcW w:w="593" w:type="pct"/>
            <w:vAlign w:val="center"/>
          </w:tcPr>
          <w:p w14:paraId="006AF501">
            <w:pPr>
              <w:pStyle w:val="64"/>
              <w:rPr>
                <w:rFonts w:cs="Times New Roman"/>
              </w:rPr>
            </w:pPr>
            <w:r>
              <w:rPr>
                <w:rFonts w:cs="Times New Roman"/>
              </w:rPr>
              <w:t>2.23</w:t>
            </w:r>
          </w:p>
        </w:tc>
      </w:tr>
      <w:tr w14:paraId="7BC9FD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8" w:type="pct"/>
            <w:vMerge w:val="continue"/>
            <w:vAlign w:val="center"/>
          </w:tcPr>
          <w:p w14:paraId="6E5EEAF7">
            <w:pPr>
              <w:pStyle w:val="64"/>
              <w:rPr>
                <w:rFonts w:cs="Times New Roman"/>
              </w:rPr>
            </w:pPr>
          </w:p>
        </w:tc>
        <w:tc>
          <w:tcPr>
            <w:tcW w:w="678" w:type="pct"/>
            <w:vAlign w:val="center"/>
          </w:tcPr>
          <w:p w14:paraId="4A68EBF8">
            <w:pPr>
              <w:pStyle w:val="64"/>
              <w:rPr>
                <w:rFonts w:cs="Times New Roman"/>
              </w:rPr>
            </w:pPr>
            <w:r>
              <w:rPr>
                <w:rFonts w:cs="Times New Roman"/>
              </w:rPr>
              <w:t>3.0~6.0m</w:t>
            </w:r>
          </w:p>
        </w:tc>
        <w:tc>
          <w:tcPr>
            <w:tcW w:w="593" w:type="pct"/>
            <w:vAlign w:val="center"/>
          </w:tcPr>
          <w:p w14:paraId="3631706C">
            <w:pPr>
              <w:pStyle w:val="64"/>
              <w:rPr>
                <w:rFonts w:cs="Times New Roman"/>
              </w:rPr>
            </w:pPr>
            <w:r>
              <w:rPr>
                <w:rFonts w:cs="Times New Roman"/>
              </w:rPr>
              <w:t>7.39</w:t>
            </w:r>
          </w:p>
        </w:tc>
        <w:tc>
          <w:tcPr>
            <w:tcW w:w="847" w:type="pct"/>
            <w:vAlign w:val="center"/>
          </w:tcPr>
          <w:p w14:paraId="21B2A538">
            <w:pPr>
              <w:pStyle w:val="64"/>
              <w:rPr>
                <w:rFonts w:cs="Times New Roman"/>
              </w:rPr>
            </w:pPr>
            <w:r>
              <w:rPr>
                <w:rFonts w:cs="Times New Roman"/>
              </w:rPr>
              <w:t>20.7</w:t>
            </w:r>
          </w:p>
        </w:tc>
        <w:tc>
          <w:tcPr>
            <w:tcW w:w="594" w:type="pct"/>
            <w:vAlign w:val="center"/>
          </w:tcPr>
          <w:p w14:paraId="5D7921D8">
            <w:pPr>
              <w:pStyle w:val="64"/>
              <w:rPr>
                <w:rFonts w:cs="Times New Roman"/>
              </w:rPr>
            </w:pPr>
            <w:r>
              <w:rPr>
                <w:rFonts w:cs="Times New Roman"/>
              </w:rPr>
              <w:t>519</w:t>
            </w:r>
          </w:p>
        </w:tc>
        <w:tc>
          <w:tcPr>
            <w:tcW w:w="593" w:type="pct"/>
            <w:vAlign w:val="center"/>
          </w:tcPr>
          <w:p w14:paraId="0B1446C5">
            <w:pPr>
              <w:pStyle w:val="64"/>
              <w:rPr>
                <w:rFonts w:cs="Times New Roman"/>
              </w:rPr>
            </w:pPr>
            <w:r>
              <w:rPr>
                <w:rFonts w:cs="Times New Roman"/>
              </w:rPr>
              <w:t>0.20</w:t>
            </w:r>
          </w:p>
        </w:tc>
        <w:tc>
          <w:tcPr>
            <w:tcW w:w="593" w:type="pct"/>
            <w:vAlign w:val="center"/>
          </w:tcPr>
          <w:p w14:paraId="23EBAB3D">
            <w:pPr>
              <w:pStyle w:val="64"/>
              <w:rPr>
                <w:rFonts w:cs="Times New Roman"/>
              </w:rPr>
            </w:pPr>
            <w:r>
              <w:rPr>
                <w:rFonts w:cs="Times New Roman"/>
              </w:rPr>
              <w:t>1.19</w:t>
            </w:r>
          </w:p>
        </w:tc>
        <w:tc>
          <w:tcPr>
            <w:tcW w:w="593" w:type="pct"/>
            <w:vAlign w:val="center"/>
          </w:tcPr>
          <w:p w14:paraId="23151B6E">
            <w:pPr>
              <w:pStyle w:val="64"/>
              <w:rPr>
                <w:rFonts w:cs="Times New Roman"/>
              </w:rPr>
            </w:pPr>
            <w:r>
              <w:rPr>
                <w:rFonts w:cs="Times New Roman"/>
              </w:rPr>
              <w:t>2.31</w:t>
            </w:r>
          </w:p>
        </w:tc>
      </w:tr>
    </w:tbl>
    <w:p w14:paraId="0F0AA22C"/>
    <w:p w14:paraId="25FC3858">
      <w:pPr>
        <w:pStyle w:val="28"/>
        <w:rPr>
          <w:rFonts w:hint="eastAsia"/>
        </w:rPr>
      </w:pPr>
      <w:r>
        <w:rPr>
          <w:rFonts w:hint="eastAsia"/>
        </w:rPr>
        <w:t>表5.2-23</w:t>
      </w:r>
      <w:r>
        <w:t xml:space="preserve">  </w:t>
      </w:r>
      <w:r>
        <w:rPr>
          <w:rFonts w:hint="eastAsia"/>
        </w:rPr>
        <w:t>土体构型</w:t>
      </w:r>
    </w:p>
    <w:tbl>
      <w:tblPr>
        <w:tblStyle w:val="3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3"/>
        <w:gridCol w:w="4359"/>
        <w:gridCol w:w="4204"/>
      </w:tblGrid>
      <w:tr w14:paraId="16555F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9" w:type="pct"/>
            <w:vAlign w:val="center"/>
          </w:tcPr>
          <w:p w14:paraId="580A50F3">
            <w:pPr>
              <w:pStyle w:val="64"/>
            </w:pPr>
            <w:r>
              <w:rPr>
                <w:rFonts w:hint="eastAsia"/>
              </w:rPr>
              <w:t>点号</w:t>
            </w:r>
          </w:p>
        </w:tc>
        <w:tc>
          <w:tcPr>
            <w:tcW w:w="2347" w:type="pct"/>
            <w:vAlign w:val="center"/>
          </w:tcPr>
          <w:p w14:paraId="1ED050F9">
            <w:pPr>
              <w:pStyle w:val="64"/>
            </w:pPr>
            <w:r>
              <w:rPr>
                <w:rFonts w:hint="eastAsia"/>
              </w:rPr>
              <w:t>景观照片</w:t>
            </w:r>
          </w:p>
        </w:tc>
        <w:tc>
          <w:tcPr>
            <w:tcW w:w="2264" w:type="pct"/>
            <w:vAlign w:val="center"/>
          </w:tcPr>
          <w:p w14:paraId="38BF1A01">
            <w:pPr>
              <w:pStyle w:val="64"/>
            </w:pPr>
            <w:r>
              <w:rPr>
                <w:rFonts w:hint="eastAsia"/>
              </w:rPr>
              <w:t>土壤剖面照片</w:t>
            </w:r>
          </w:p>
        </w:tc>
      </w:tr>
      <w:tr w14:paraId="5CB218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9" w:type="pct"/>
            <w:vAlign w:val="center"/>
          </w:tcPr>
          <w:p w14:paraId="642B27AB">
            <w:pPr>
              <w:pStyle w:val="64"/>
            </w:pPr>
            <w:r>
              <w:rPr>
                <w:rFonts w:hint="eastAsia"/>
              </w:rPr>
              <w:t>T</w:t>
            </w:r>
            <w:r>
              <w:t>B1</w:t>
            </w:r>
          </w:p>
        </w:tc>
        <w:tc>
          <w:tcPr>
            <w:tcW w:w="2347" w:type="pct"/>
            <w:vAlign w:val="center"/>
          </w:tcPr>
          <w:p w14:paraId="669DB7B1">
            <w:pPr>
              <w:pStyle w:val="64"/>
            </w:pPr>
            <w:r>
              <w:drawing>
                <wp:inline distT="0" distB="0" distL="0" distR="0">
                  <wp:extent cx="2516505" cy="1971675"/>
                  <wp:effectExtent l="0" t="0" r="0" b="0"/>
                  <wp:docPr id="84707992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079929" name="图片 1"/>
                          <pic:cNvPicPr>
                            <a:picLocks noChangeAspect="1"/>
                          </pic:cNvPicPr>
                        </pic:nvPicPr>
                        <pic:blipFill>
                          <a:blip r:embed="rId27"/>
                          <a:stretch>
                            <a:fillRect/>
                          </a:stretch>
                        </pic:blipFill>
                        <pic:spPr>
                          <a:xfrm>
                            <a:off x="0" y="0"/>
                            <a:ext cx="2525155" cy="1977963"/>
                          </a:xfrm>
                          <a:prstGeom prst="rect">
                            <a:avLst/>
                          </a:prstGeom>
                        </pic:spPr>
                      </pic:pic>
                    </a:graphicData>
                  </a:graphic>
                </wp:inline>
              </w:drawing>
            </w:r>
          </w:p>
        </w:tc>
        <w:tc>
          <w:tcPr>
            <w:tcW w:w="2264" w:type="pct"/>
            <w:vAlign w:val="center"/>
          </w:tcPr>
          <w:p w14:paraId="4B9CE2B5">
            <w:pPr>
              <w:pStyle w:val="64"/>
            </w:pPr>
            <w:r>
              <w:drawing>
                <wp:inline distT="0" distB="0" distL="114300" distR="114300">
                  <wp:extent cx="2157730" cy="2879725"/>
                  <wp:effectExtent l="0" t="0" r="0" b="0"/>
                  <wp:docPr id="72298181" name="图片 72298181" descr="C:\Users\ADMINI~1\AppData\Local\Temp\1652343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98181" name="图片 72298181" descr="C:\Users\ADMINI~1\AppData\Local\Temp\1652343218.jpg"/>
                          <pic:cNvPicPr>
                            <a:picLocks noChangeAspect="1"/>
                          </pic:cNvPicPr>
                        </pic:nvPicPr>
                        <pic:blipFill>
                          <a:blip r:embed="rId28"/>
                          <a:stretch>
                            <a:fillRect/>
                          </a:stretch>
                        </pic:blipFill>
                        <pic:spPr>
                          <a:xfrm>
                            <a:off x="0" y="0"/>
                            <a:ext cx="2158360" cy="2880000"/>
                          </a:xfrm>
                          <a:prstGeom prst="rect">
                            <a:avLst/>
                          </a:prstGeom>
                          <a:noFill/>
                          <a:ln>
                            <a:noFill/>
                          </a:ln>
                        </pic:spPr>
                      </pic:pic>
                    </a:graphicData>
                  </a:graphic>
                </wp:inline>
              </w:drawing>
            </w:r>
          </w:p>
        </w:tc>
      </w:tr>
    </w:tbl>
    <w:p w14:paraId="3769F719">
      <w:pPr>
        <w:ind w:firstLine="480" w:firstLineChars="200"/>
      </w:pPr>
      <w:r>
        <w:rPr>
          <w:rFonts w:hint="eastAsia"/>
        </w:rPr>
        <w:t>根据引用监测数据</w:t>
      </w:r>
      <w:r>
        <w:t>项目所在地及周边工业用地监测点指标满足《土壤环境质量 建设用地土壤污染风险管控标准》(试行)(GB36600-2018)中第二类用地风险筛选值标准限值要求，目前区域土壤环境质量现状总体良好。</w:t>
      </w:r>
      <w:r>
        <w:rPr>
          <w:rFonts w:hint="eastAsia"/>
        </w:rPr>
        <w:t>周边农用地监测值满足《土壤环境质量农用地土壤污染风险管控标准(试行)》(GB15618-2018)中筛选值标准。</w:t>
      </w:r>
    </w:p>
    <w:p w14:paraId="773947C8">
      <w:pPr>
        <w:rPr>
          <w:rFonts w:cs="Times New Roman"/>
          <w:spacing w:val="-3"/>
        </w:rPr>
      </w:pPr>
    </w:p>
    <w:p w14:paraId="6B83AB5B">
      <w:pPr>
        <w:rPr>
          <w:rFonts w:cs="Times New Roman"/>
          <w:spacing w:val="-3"/>
        </w:rPr>
      </w:pPr>
    </w:p>
    <w:p w14:paraId="3551AAE2">
      <w:pPr>
        <w:rPr>
          <w:rFonts w:cs="Times New Roman"/>
          <w:spacing w:val="-3"/>
        </w:rPr>
      </w:pPr>
    </w:p>
    <w:p w14:paraId="19157E70">
      <w:pPr>
        <w:rPr>
          <w:rFonts w:cs="Times New Roman"/>
          <w:spacing w:val="-3"/>
        </w:rPr>
      </w:pPr>
    </w:p>
    <w:p w14:paraId="68A05C76">
      <w:pPr>
        <w:rPr>
          <w:rFonts w:cs="Times New Roman"/>
          <w:spacing w:val="-3"/>
        </w:rPr>
        <w:sectPr>
          <w:pgSz w:w="11906" w:h="16838"/>
          <w:pgMar w:top="1418" w:right="1418" w:bottom="1418" w:left="1418" w:header="851" w:footer="992" w:gutter="0"/>
          <w:cols w:space="425" w:num="1"/>
          <w:docGrid w:type="lines" w:linePitch="326" w:charSpace="0"/>
        </w:sectPr>
      </w:pPr>
    </w:p>
    <w:p w14:paraId="6B080989">
      <w:pPr>
        <w:pStyle w:val="2"/>
        <w:spacing w:before="163" w:after="163"/>
        <w:rPr>
          <w:rFonts w:hint="eastAsia"/>
        </w:rPr>
      </w:pPr>
      <w:bookmarkStart w:id="72" w:name="_Toc221056405"/>
      <w:r>
        <w:rPr>
          <w:rFonts w:hint="eastAsia"/>
        </w:rPr>
        <w:t>6环境影响预测与评价</w:t>
      </w:r>
      <w:bookmarkEnd w:id="72"/>
    </w:p>
    <w:p w14:paraId="2E62B179">
      <w:pPr>
        <w:pStyle w:val="3"/>
        <w:spacing w:before="326"/>
        <w:rPr>
          <w:rFonts w:hint="eastAsia"/>
        </w:rPr>
      </w:pPr>
      <w:bookmarkStart w:id="73" w:name="_Toc221056406"/>
      <w:r>
        <w:rPr>
          <w:rFonts w:hint="eastAsia"/>
        </w:rPr>
        <w:t>6.1施工期环境影响分析</w:t>
      </w:r>
      <w:bookmarkEnd w:id="73"/>
    </w:p>
    <w:p w14:paraId="1B3F4D98">
      <w:pPr>
        <w:ind w:firstLine="468" w:firstLineChars="200"/>
        <w:rPr>
          <w:rFonts w:cs="Times New Roman"/>
          <w:spacing w:val="-3"/>
        </w:rPr>
      </w:pPr>
      <w:r>
        <w:rPr>
          <w:rFonts w:hint="eastAsia" w:cs="Times New Roman"/>
          <w:spacing w:val="-3"/>
        </w:rPr>
        <w:t>本项目在安徽海华科技集团有限公司厂区现有项目及用地上实施，由于本项目的建设内容较少，施工期主要是少部分基础施工和设备的安装，土石方开挖量很少，施工期影响较为有限，随短暂施工期结束后消失，本评价不再对施工期环境影响进行分析。</w:t>
      </w:r>
    </w:p>
    <w:p w14:paraId="66908381">
      <w:pPr>
        <w:pStyle w:val="3"/>
        <w:spacing w:before="326"/>
        <w:rPr>
          <w:rFonts w:hint="eastAsia"/>
        </w:rPr>
      </w:pPr>
      <w:bookmarkStart w:id="74" w:name="_Toc209720903"/>
      <w:bookmarkStart w:id="75" w:name="_Toc221056407"/>
      <w:r>
        <w:rPr>
          <w:rFonts w:hint="eastAsia"/>
        </w:rPr>
        <w:t>6.2运营期大气环境影响分析</w:t>
      </w:r>
      <w:bookmarkEnd w:id="74"/>
      <w:bookmarkEnd w:id="75"/>
    </w:p>
    <w:p w14:paraId="5111CA0C">
      <w:pPr>
        <w:pStyle w:val="4"/>
        <w:rPr>
          <w:rFonts w:hint="eastAsia"/>
        </w:rPr>
      </w:pPr>
      <w:bookmarkStart w:id="76" w:name="_Toc221056408"/>
      <w:bookmarkStart w:id="77" w:name="_Toc209720904"/>
      <w:r>
        <w:rPr>
          <w:rFonts w:hint="eastAsia"/>
        </w:rPr>
        <w:t>6.2.1污染气象分析</w:t>
      </w:r>
      <w:bookmarkEnd w:id="76"/>
      <w:bookmarkEnd w:id="77"/>
    </w:p>
    <w:p w14:paraId="32811490">
      <w:pPr>
        <w:ind w:firstLine="480" w:firstLineChars="200"/>
        <w:rPr>
          <w:rFonts w:cs="Times New Roman"/>
        </w:rPr>
      </w:pPr>
      <w:r>
        <w:rPr>
          <w:rFonts w:cs="Times New Roman"/>
        </w:rPr>
        <w:t>项目采用的是蚌埠气象站(58221)资料，气象站位于安徽省蚌埠市禹会区，地理坐标为东经117°17′，北纬32°50′，海拔高度27米。气象站始建于1951年，1951年正式进行气象观测。本项目拟建厂址与蚌埠气象站直线距离约30km。</w:t>
      </w:r>
    </w:p>
    <w:p w14:paraId="1CFEA8DD">
      <w:pPr>
        <w:pStyle w:val="28"/>
        <w:rPr>
          <w:rFonts w:hint="eastAsia"/>
        </w:rPr>
      </w:pPr>
      <w:r>
        <w:rPr>
          <w:rFonts w:hint="eastAsia"/>
        </w:rPr>
        <w:t>表6.2-1  蚌埠气象站近20年(2004～2023年)主要气候要素统计</w:t>
      </w:r>
    </w:p>
    <w:tbl>
      <w:tblPr>
        <w:tblStyle w:val="3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881"/>
        <w:gridCol w:w="5190"/>
        <w:gridCol w:w="2009"/>
      </w:tblGrid>
      <w:tr w14:paraId="738355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894" w:type="pct"/>
            <w:gridSpan w:val="2"/>
            <w:vAlign w:val="center"/>
          </w:tcPr>
          <w:p w14:paraId="70A0E3E0">
            <w:pPr>
              <w:pStyle w:val="64"/>
              <w:rPr>
                <w:rFonts w:cs="Times New Roman"/>
              </w:rPr>
            </w:pPr>
            <w:r>
              <w:rPr>
                <w:rFonts w:cs="Times New Roman"/>
              </w:rPr>
              <w:t>统计项目</w:t>
            </w:r>
          </w:p>
        </w:tc>
        <w:tc>
          <w:tcPr>
            <w:tcW w:w="1106" w:type="pct"/>
            <w:vAlign w:val="center"/>
          </w:tcPr>
          <w:p w14:paraId="6752EE0D">
            <w:pPr>
              <w:pStyle w:val="64"/>
              <w:rPr>
                <w:rFonts w:cs="Times New Roman"/>
              </w:rPr>
            </w:pPr>
            <w:r>
              <w:rPr>
                <w:rFonts w:cs="Times New Roman"/>
              </w:rPr>
              <w:t>统计值</w:t>
            </w:r>
          </w:p>
        </w:tc>
      </w:tr>
      <w:tr w14:paraId="78F45B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894" w:type="pct"/>
            <w:gridSpan w:val="2"/>
            <w:vAlign w:val="center"/>
          </w:tcPr>
          <w:p w14:paraId="106BFFA8">
            <w:pPr>
              <w:pStyle w:val="64"/>
              <w:rPr>
                <w:rFonts w:cs="Times New Roman"/>
              </w:rPr>
            </w:pPr>
            <w:r>
              <w:rPr>
                <w:rFonts w:cs="Times New Roman"/>
              </w:rPr>
              <w:t>多年平均气温(℃)</w:t>
            </w:r>
          </w:p>
        </w:tc>
        <w:tc>
          <w:tcPr>
            <w:tcW w:w="1106" w:type="pct"/>
            <w:vAlign w:val="center"/>
          </w:tcPr>
          <w:p w14:paraId="1A3B889B">
            <w:pPr>
              <w:pStyle w:val="64"/>
              <w:rPr>
                <w:rFonts w:cs="Times New Roman"/>
              </w:rPr>
            </w:pPr>
            <w:r>
              <w:rPr>
                <w:rFonts w:cs="Times New Roman"/>
              </w:rPr>
              <w:t>15.37</w:t>
            </w:r>
          </w:p>
        </w:tc>
      </w:tr>
      <w:tr w14:paraId="20D00E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894" w:type="pct"/>
            <w:gridSpan w:val="2"/>
            <w:vAlign w:val="center"/>
          </w:tcPr>
          <w:p w14:paraId="5157E882">
            <w:pPr>
              <w:pStyle w:val="64"/>
              <w:rPr>
                <w:rFonts w:cs="Times New Roman"/>
              </w:rPr>
            </w:pPr>
            <w:r>
              <w:rPr>
                <w:rFonts w:cs="Times New Roman"/>
              </w:rPr>
              <w:t>多年平均气压(hPa)</w:t>
            </w:r>
          </w:p>
        </w:tc>
        <w:tc>
          <w:tcPr>
            <w:tcW w:w="1106" w:type="pct"/>
            <w:vAlign w:val="center"/>
          </w:tcPr>
          <w:p w14:paraId="347FAB01">
            <w:pPr>
              <w:pStyle w:val="64"/>
              <w:rPr>
                <w:rFonts w:cs="Times New Roman"/>
              </w:rPr>
            </w:pPr>
            <w:r>
              <w:rPr>
                <w:rFonts w:cs="Times New Roman"/>
              </w:rPr>
              <w:t>1013.6</w:t>
            </w:r>
          </w:p>
        </w:tc>
      </w:tr>
      <w:tr w14:paraId="6831DB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894" w:type="pct"/>
            <w:gridSpan w:val="2"/>
            <w:vAlign w:val="center"/>
          </w:tcPr>
          <w:p w14:paraId="68D45BE2">
            <w:pPr>
              <w:pStyle w:val="64"/>
              <w:rPr>
                <w:rFonts w:cs="Times New Roman"/>
              </w:rPr>
            </w:pPr>
            <w:r>
              <w:rPr>
                <w:rFonts w:cs="Times New Roman"/>
              </w:rPr>
              <w:t>多年平均水汽压(hPa)</w:t>
            </w:r>
          </w:p>
        </w:tc>
        <w:tc>
          <w:tcPr>
            <w:tcW w:w="1106" w:type="pct"/>
            <w:vAlign w:val="center"/>
          </w:tcPr>
          <w:p w14:paraId="35D5DAA6">
            <w:pPr>
              <w:pStyle w:val="64"/>
              <w:rPr>
                <w:rFonts w:cs="Times New Roman"/>
              </w:rPr>
            </w:pPr>
            <w:r>
              <w:rPr>
                <w:rFonts w:cs="Times New Roman"/>
              </w:rPr>
              <w:t>15.1</w:t>
            </w:r>
          </w:p>
        </w:tc>
      </w:tr>
      <w:tr w14:paraId="54C3F2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894" w:type="pct"/>
            <w:gridSpan w:val="2"/>
            <w:vAlign w:val="center"/>
          </w:tcPr>
          <w:p w14:paraId="5BB37657">
            <w:pPr>
              <w:pStyle w:val="64"/>
              <w:rPr>
                <w:rFonts w:cs="Times New Roman"/>
              </w:rPr>
            </w:pPr>
            <w:r>
              <w:rPr>
                <w:rFonts w:cs="Times New Roman"/>
              </w:rPr>
              <w:t>多年平均相对湿度(%)</w:t>
            </w:r>
          </w:p>
        </w:tc>
        <w:tc>
          <w:tcPr>
            <w:tcW w:w="1106" w:type="pct"/>
            <w:vAlign w:val="center"/>
          </w:tcPr>
          <w:p w14:paraId="0ECFCBA3">
            <w:pPr>
              <w:pStyle w:val="64"/>
              <w:rPr>
                <w:rFonts w:cs="Times New Roman"/>
              </w:rPr>
            </w:pPr>
            <w:r>
              <w:rPr>
                <w:rFonts w:cs="Times New Roman"/>
              </w:rPr>
              <w:t>71.7</w:t>
            </w:r>
          </w:p>
        </w:tc>
      </w:tr>
      <w:tr w14:paraId="6B7884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3894" w:type="pct"/>
            <w:gridSpan w:val="2"/>
            <w:vAlign w:val="center"/>
          </w:tcPr>
          <w:p w14:paraId="7C3ADA82">
            <w:pPr>
              <w:pStyle w:val="64"/>
              <w:rPr>
                <w:rFonts w:cs="Times New Roman"/>
              </w:rPr>
            </w:pPr>
            <w:r>
              <w:rPr>
                <w:rFonts w:cs="Times New Roman"/>
              </w:rPr>
              <w:t>多年平均降雨量(mm)</w:t>
            </w:r>
          </w:p>
        </w:tc>
        <w:tc>
          <w:tcPr>
            <w:tcW w:w="1106" w:type="pct"/>
            <w:vAlign w:val="center"/>
          </w:tcPr>
          <w:p w14:paraId="78DDAE66">
            <w:pPr>
              <w:pStyle w:val="64"/>
              <w:rPr>
                <w:rFonts w:cs="Times New Roman"/>
              </w:rPr>
            </w:pPr>
            <w:r>
              <w:rPr>
                <w:rFonts w:cs="Times New Roman"/>
              </w:rPr>
              <w:t>987.9</w:t>
            </w:r>
          </w:p>
        </w:tc>
      </w:tr>
      <w:tr w14:paraId="7B7A6B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036" w:type="pct"/>
            <w:vMerge w:val="restart"/>
            <w:vAlign w:val="center"/>
          </w:tcPr>
          <w:p w14:paraId="09914EE6">
            <w:pPr>
              <w:pStyle w:val="64"/>
            </w:pPr>
            <w:r>
              <w:rPr>
                <w:rFonts w:hint="eastAsia"/>
              </w:rPr>
              <w:t>灾害天气统计</w:t>
            </w:r>
          </w:p>
        </w:tc>
        <w:tc>
          <w:tcPr>
            <w:tcW w:w="2858" w:type="pct"/>
            <w:vAlign w:val="center"/>
          </w:tcPr>
          <w:p w14:paraId="268C8155">
            <w:pPr>
              <w:pStyle w:val="64"/>
              <w:rPr>
                <w:rFonts w:cs="Times New Roman"/>
              </w:rPr>
            </w:pPr>
            <w:r>
              <w:rPr>
                <w:rFonts w:cs="Times New Roman"/>
              </w:rPr>
              <w:t>多年平均沙尘暴日数(d)</w:t>
            </w:r>
          </w:p>
        </w:tc>
        <w:tc>
          <w:tcPr>
            <w:tcW w:w="1106" w:type="pct"/>
            <w:vAlign w:val="center"/>
          </w:tcPr>
          <w:p w14:paraId="774A610F">
            <w:pPr>
              <w:pStyle w:val="64"/>
              <w:rPr>
                <w:rFonts w:cs="Times New Roman"/>
              </w:rPr>
            </w:pPr>
            <w:r>
              <w:rPr>
                <w:rFonts w:cs="Times New Roman"/>
              </w:rPr>
              <w:t>0.1</w:t>
            </w:r>
          </w:p>
        </w:tc>
      </w:tr>
      <w:tr w14:paraId="5F6FDC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036" w:type="pct"/>
            <w:vMerge w:val="continue"/>
            <w:vAlign w:val="center"/>
          </w:tcPr>
          <w:p w14:paraId="228341A5">
            <w:pPr>
              <w:pStyle w:val="64"/>
            </w:pPr>
          </w:p>
        </w:tc>
        <w:tc>
          <w:tcPr>
            <w:tcW w:w="2858" w:type="pct"/>
            <w:vAlign w:val="center"/>
          </w:tcPr>
          <w:p w14:paraId="207A1BA7">
            <w:pPr>
              <w:pStyle w:val="64"/>
              <w:rPr>
                <w:rFonts w:cs="Times New Roman"/>
              </w:rPr>
            </w:pPr>
            <w:r>
              <w:rPr>
                <w:rFonts w:cs="Times New Roman"/>
              </w:rPr>
              <w:t>多年平均雷暴日数(d)</w:t>
            </w:r>
          </w:p>
        </w:tc>
        <w:tc>
          <w:tcPr>
            <w:tcW w:w="1106" w:type="pct"/>
            <w:vAlign w:val="center"/>
          </w:tcPr>
          <w:p w14:paraId="07839ECD">
            <w:pPr>
              <w:pStyle w:val="64"/>
              <w:rPr>
                <w:rFonts w:cs="Times New Roman"/>
              </w:rPr>
            </w:pPr>
            <w:r>
              <w:rPr>
                <w:rFonts w:cs="Times New Roman"/>
              </w:rPr>
              <w:t>23.3</w:t>
            </w:r>
          </w:p>
        </w:tc>
      </w:tr>
      <w:tr w14:paraId="4270A0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036" w:type="pct"/>
            <w:vMerge w:val="continue"/>
            <w:vAlign w:val="center"/>
          </w:tcPr>
          <w:p w14:paraId="61741653">
            <w:pPr>
              <w:pStyle w:val="64"/>
            </w:pPr>
          </w:p>
        </w:tc>
        <w:tc>
          <w:tcPr>
            <w:tcW w:w="2858" w:type="pct"/>
            <w:vAlign w:val="center"/>
          </w:tcPr>
          <w:p w14:paraId="3D895BEC">
            <w:pPr>
              <w:pStyle w:val="64"/>
              <w:rPr>
                <w:rFonts w:cs="Times New Roman"/>
              </w:rPr>
            </w:pPr>
            <w:r>
              <w:rPr>
                <w:rFonts w:cs="Times New Roman"/>
              </w:rPr>
              <w:t>多年平均冰雹日数(d)</w:t>
            </w:r>
          </w:p>
        </w:tc>
        <w:tc>
          <w:tcPr>
            <w:tcW w:w="1106" w:type="pct"/>
            <w:vAlign w:val="center"/>
          </w:tcPr>
          <w:p w14:paraId="59984A8B">
            <w:pPr>
              <w:pStyle w:val="64"/>
              <w:rPr>
                <w:rFonts w:cs="Times New Roman"/>
              </w:rPr>
            </w:pPr>
            <w:r>
              <w:rPr>
                <w:rFonts w:cs="Times New Roman"/>
              </w:rPr>
              <w:t>0.1</w:t>
            </w:r>
          </w:p>
        </w:tc>
      </w:tr>
      <w:tr w14:paraId="6B41F9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036" w:type="pct"/>
            <w:vMerge w:val="continue"/>
            <w:vAlign w:val="center"/>
          </w:tcPr>
          <w:p w14:paraId="75BF697E">
            <w:pPr>
              <w:pStyle w:val="64"/>
            </w:pPr>
          </w:p>
        </w:tc>
        <w:tc>
          <w:tcPr>
            <w:tcW w:w="2858" w:type="pct"/>
            <w:vAlign w:val="center"/>
          </w:tcPr>
          <w:p w14:paraId="4B3F0F38">
            <w:pPr>
              <w:pStyle w:val="64"/>
              <w:rPr>
                <w:rFonts w:cs="Times New Roman"/>
              </w:rPr>
            </w:pPr>
            <w:r>
              <w:rPr>
                <w:rFonts w:cs="Times New Roman"/>
              </w:rPr>
              <w:t>多年平均大风日数(d)</w:t>
            </w:r>
          </w:p>
        </w:tc>
        <w:tc>
          <w:tcPr>
            <w:tcW w:w="1106" w:type="pct"/>
            <w:vAlign w:val="center"/>
          </w:tcPr>
          <w:p w14:paraId="4D37A857">
            <w:pPr>
              <w:pStyle w:val="64"/>
              <w:rPr>
                <w:rFonts w:cs="Times New Roman"/>
              </w:rPr>
            </w:pPr>
            <w:r>
              <w:rPr>
                <w:rFonts w:cs="Times New Roman"/>
              </w:rPr>
              <w:t>2.0</w:t>
            </w:r>
          </w:p>
        </w:tc>
      </w:tr>
      <w:tr w14:paraId="2A5579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894" w:type="pct"/>
            <w:gridSpan w:val="2"/>
            <w:vAlign w:val="center"/>
          </w:tcPr>
          <w:p w14:paraId="5CFA8EAD">
            <w:pPr>
              <w:pStyle w:val="64"/>
              <w:rPr>
                <w:rFonts w:cs="Times New Roman"/>
              </w:rPr>
            </w:pPr>
            <w:r>
              <w:rPr>
                <w:rFonts w:cs="Times New Roman"/>
              </w:rPr>
              <w:t>多年实测极大风速(m/s)、相应风向</w:t>
            </w:r>
          </w:p>
        </w:tc>
        <w:tc>
          <w:tcPr>
            <w:tcW w:w="1106" w:type="pct"/>
            <w:vAlign w:val="center"/>
          </w:tcPr>
          <w:p w14:paraId="134071AB">
            <w:pPr>
              <w:pStyle w:val="64"/>
              <w:rPr>
                <w:rFonts w:cs="Times New Roman"/>
              </w:rPr>
            </w:pPr>
            <w:r>
              <w:rPr>
                <w:rFonts w:cs="Times New Roman"/>
              </w:rPr>
              <w:t>8.0</w:t>
            </w:r>
          </w:p>
        </w:tc>
      </w:tr>
      <w:tr w14:paraId="6B1659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894" w:type="pct"/>
            <w:gridSpan w:val="2"/>
            <w:vAlign w:val="center"/>
          </w:tcPr>
          <w:p w14:paraId="2C1F1473">
            <w:pPr>
              <w:pStyle w:val="64"/>
              <w:rPr>
                <w:rFonts w:cs="Times New Roman"/>
              </w:rPr>
            </w:pPr>
            <w:r>
              <w:rPr>
                <w:rFonts w:cs="Times New Roman"/>
              </w:rPr>
              <w:t>多年平均风速(m/s)</w:t>
            </w:r>
          </w:p>
        </w:tc>
        <w:tc>
          <w:tcPr>
            <w:tcW w:w="1106" w:type="pct"/>
            <w:vAlign w:val="center"/>
          </w:tcPr>
          <w:p w14:paraId="3F6043D0">
            <w:pPr>
              <w:pStyle w:val="64"/>
              <w:rPr>
                <w:rFonts w:cs="Times New Roman"/>
              </w:rPr>
            </w:pPr>
            <w:r>
              <w:rPr>
                <w:rFonts w:cs="Times New Roman"/>
              </w:rPr>
              <w:t>2.5</w:t>
            </w:r>
          </w:p>
        </w:tc>
      </w:tr>
      <w:tr w14:paraId="6BFCFA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894" w:type="pct"/>
            <w:gridSpan w:val="2"/>
            <w:vAlign w:val="center"/>
          </w:tcPr>
          <w:p w14:paraId="537C31BF">
            <w:pPr>
              <w:pStyle w:val="64"/>
              <w:rPr>
                <w:rFonts w:cs="Times New Roman"/>
              </w:rPr>
            </w:pPr>
            <w:r>
              <w:rPr>
                <w:rFonts w:cs="Times New Roman"/>
              </w:rPr>
              <w:t>多年主导风向、风向频率(%)</w:t>
            </w:r>
          </w:p>
        </w:tc>
        <w:tc>
          <w:tcPr>
            <w:tcW w:w="1106" w:type="pct"/>
            <w:vAlign w:val="center"/>
          </w:tcPr>
          <w:p w14:paraId="5E8D40D4">
            <w:pPr>
              <w:pStyle w:val="64"/>
              <w:rPr>
                <w:rFonts w:cs="Times New Roman"/>
              </w:rPr>
            </w:pPr>
            <w:r>
              <w:rPr>
                <w:rFonts w:cs="Times New Roman"/>
              </w:rPr>
              <w:t>ENE</w:t>
            </w:r>
            <w:r>
              <w:rPr>
                <w:rFonts w:hint="eastAsia" w:cs="Times New Roman"/>
              </w:rPr>
              <w:t>、</w:t>
            </w:r>
            <w:r>
              <w:rPr>
                <w:rFonts w:cs="Times New Roman"/>
              </w:rPr>
              <w:t>12.5</w:t>
            </w:r>
          </w:p>
        </w:tc>
      </w:tr>
      <w:tr w14:paraId="1FF247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894" w:type="pct"/>
            <w:gridSpan w:val="2"/>
            <w:vAlign w:val="center"/>
          </w:tcPr>
          <w:p w14:paraId="6311BA49">
            <w:pPr>
              <w:pStyle w:val="64"/>
              <w:rPr>
                <w:rFonts w:cs="Times New Roman"/>
              </w:rPr>
            </w:pPr>
            <w:r>
              <w:rPr>
                <w:rFonts w:cs="Times New Roman"/>
              </w:rPr>
              <w:t>多年静风频率(风速&lt;=0.2m/s)(%)</w:t>
            </w:r>
          </w:p>
        </w:tc>
        <w:tc>
          <w:tcPr>
            <w:tcW w:w="1106" w:type="pct"/>
            <w:vAlign w:val="center"/>
          </w:tcPr>
          <w:p w14:paraId="3A245C36">
            <w:pPr>
              <w:pStyle w:val="64"/>
              <w:rPr>
                <w:rFonts w:cs="Times New Roman"/>
              </w:rPr>
            </w:pPr>
            <w:r>
              <w:rPr>
                <w:rFonts w:cs="Times New Roman"/>
              </w:rPr>
              <w:t>2.34</w:t>
            </w:r>
          </w:p>
        </w:tc>
      </w:tr>
    </w:tbl>
    <w:p w14:paraId="2CA82954">
      <w:pPr>
        <w:ind w:firstLine="480" w:firstLineChars="200"/>
      </w:pPr>
    </w:p>
    <w:p w14:paraId="4A4648FE">
      <w:pPr>
        <w:ind w:firstLine="480" w:firstLineChars="200"/>
      </w:pPr>
      <w:r>
        <w:rPr>
          <w:rFonts w:hint="eastAsia"/>
        </w:rPr>
        <w:t>(1)气候条件</w:t>
      </w:r>
    </w:p>
    <w:p w14:paraId="056B0B13">
      <w:pPr>
        <w:ind w:firstLine="480" w:firstLineChars="200"/>
        <w:rPr>
          <w:rFonts w:cs="Times New Roman"/>
        </w:rPr>
      </w:pPr>
      <w:r>
        <w:rPr>
          <w:rFonts w:hint="eastAsia"/>
        </w:rPr>
        <w:t>蚌埠市地处</w:t>
      </w:r>
      <w:r>
        <w:rPr>
          <w:rFonts w:cs="Times New Roman"/>
        </w:rPr>
        <w:t>亚热带和暖温带的过渡地带，属于东部季风性气候区暖温带半湿润气候，兼有南北过渡类型的气候特点。气候温和，四季分明，光照充足，雨量适中。多年平均气温为15.37℃，最冷出现在1月平均气温0.75℃，最热的7月平均气温29.62℃，日极端最高气温40.5℃，日极端最低气温为-10.3℃。区域内风向有明显的季节性变化，全年以ENE风为主，全年平均风速2.45m/s。</w:t>
      </w:r>
    </w:p>
    <w:p w14:paraId="7694805C">
      <w:pPr>
        <w:ind w:firstLine="480" w:firstLineChars="200"/>
        <w:rPr>
          <w:rFonts w:cs="Times New Roman"/>
        </w:rPr>
      </w:pPr>
      <w:r>
        <w:rPr>
          <w:rFonts w:cs="Times New Roman"/>
        </w:rPr>
        <w:t>(</w:t>
      </w:r>
      <w:r>
        <w:rPr>
          <w:rFonts w:hint="eastAsia" w:cs="Times New Roman"/>
        </w:rPr>
        <w:t>2</w:t>
      </w:r>
      <w:r>
        <w:rPr>
          <w:rFonts w:cs="Times New Roman"/>
        </w:rPr>
        <w:t>)温度</w:t>
      </w:r>
    </w:p>
    <w:p w14:paraId="3A0D4CEC">
      <w:pPr>
        <w:ind w:firstLine="480" w:firstLineChars="200"/>
        <w:rPr>
          <w:rFonts w:cs="Times New Roman"/>
        </w:rPr>
      </w:pPr>
      <w:r>
        <w:rPr>
          <w:rFonts w:cs="Times New Roman"/>
        </w:rPr>
        <w:t>蚌埠市全年平均气温为15.37℃，其中夏季气温明显高于其它季节，以7月温度最高，平均为29.62℃，1月温度最低，平均为0.75℃。</w:t>
      </w:r>
    </w:p>
    <w:p w14:paraId="2B4CCB2F">
      <w:pPr>
        <w:pStyle w:val="28"/>
        <w:rPr>
          <w:rFonts w:hint="eastAsia"/>
        </w:rPr>
      </w:pPr>
      <w:r>
        <w:rPr>
          <w:rFonts w:hint="eastAsia"/>
        </w:rPr>
        <w:t>表6.2-2  区域多年平均温度的月变化统计(单位：℃)</w:t>
      </w:r>
    </w:p>
    <w:tbl>
      <w:tblPr>
        <w:tblStyle w:val="36"/>
        <w:tblW w:w="4995"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616"/>
        <w:gridCol w:w="551"/>
        <w:gridCol w:w="547"/>
        <w:gridCol w:w="591"/>
        <w:gridCol w:w="700"/>
        <w:gridCol w:w="700"/>
        <w:gridCol w:w="700"/>
        <w:gridCol w:w="700"/>
        <w:gridCol w:w="700"/>
        <w:gridCol w:w="700"/>
        <w:gridCol w:w="700"/>
        <w:gridCol w:w="718"/>
        <w:gridCol w:w="574"/>
        <w:gridCol w:w="574"/>
      </w:tblGrid>
      <w:tr w14:paraId="7C1B2B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4" w:hRule="atLeast"/>
        </w:trPr>
        <w:tc>
          <w:tcPr>
            <w:tcW w:w="339" w:type="pct"/>
            <w:vAlign w:val="center"/>
          </w:tcPr>
          <w:p w14:paraId="3C1B8E8F">
            <w:pPr>
              <w:pStyle w:val="64"/>
              <w:rPr>
                <w:lang w:eastAsia="en-US"/>
              </w:rPr>
            </w:pPr>
            <w:r>
              <w:rPr>
                <w:lang w:eastAsia="en-US"/>
              </w:rPr>
              <w:t>月份</w:t>
            </w:r>
          </w:p>
        </w:tc>
        <w:tc>
          <w:tcPr>
            <w:tcW w:w="303" w:type="pct"/>
            <w:vAlign w:val="center"/>
          </w:tcPr>
          <w:p w14:paraId="0838DE8B">
            <w:pPr>
              <w:pStyle w:val="64"/>
              <w:rPr>
                <w:lang w:eastAsia="en-US"/>
              </w:rPr>
            </w:pPr>
            <w:r>
              <w:rPr>
                <w:lang w:eastAsia="en-US"/>
              </w:rPr>
              <w:t>1月</w:t>
            </w:r>
          </w:p>
        </w:tc>
        <w:tc>
          <w:tcPr>
            <w:tcW w:w="301" w:type="pct"/>
            <w:vAlign w:val="center"/>
          </w:tcPr>
          <w:p w14:paraId="08BE1EC4">
            <w:pPr>
              <w:pStyle w:val="64"/>
              <w:rPr>
                <w:lang w:eastAsia="en-US"/>
              </w:rPr>
            </w:pPr>
            <w:r>
              <w:rPr>
                <w:lang w:eastAsia="en-US"/>
              </w:rPr>
              <w:t>2月</w:t>
            </w:r>
          </w:p>
        </w:tc>
        <w:tc>
          <w:tcPr>
            <w:tcW w:w="325" w:type="pct"/>
            <w:vAlign w:val="center"/>
          </w:tcPr>
          <w:p w14:paraId="00AEF563">
            <w:pPr>
              <w:pStyle w:val="64"/>
              <w:rPr>
                <w:lang w:eastAsia="en-US"/>
              </w:rPr>
            </w:pPr>
            <w:r>
              <w:rPr>
                <w:lang w:eastAsia="en-US"/>
              </w:rPr>
              <w:t>3月</w:t>
            </w:r>
          </w:p>
        </w:tc>
        <w:tc>
          <w:tcPr>
            <w:tcW w:w="385" w:type="pct"/>
            <w:vAlign w:val="center"/>
          </w:tcPr>
          <w:p w14:paraId="53088293">
            <w:pPr>
              <w:pStyle w:val="64"/>
              <w:rPr>
                <w:lang w:eastAsia="en-US"/>
              </w:rPr>
            </w:pPr>
            <w:r>
              <w:rPr>
                <w:lang w:eastAsia="en-US"/>
              </w:rPr>
              <w:t>4月</w:t>
            </w:r>
          </w:p>
        </w:tc>
        <w:tc>
          <w:tcPr>
            <w:tcW w:w="385" w:type="pct"/>
            <w:vAlign w:val="center"/>
          </w:tcPr>
          <w:p w14:paraId="0886104F">
            <w:pPr>
              <w:pStyle w:val="64"/>
            </w:pPr>
            <w:r>
              <w:rPr>
                <w:rFonts w:hint="eastAsia"/>
              </w:rPr>
              <w:t>5月</w:t>
            </w:r>
          </w:p>
        </w:tc>
        <w:tc>
          <w:tcPr>
            <w:tcW w:w="385" w:type="pct"/>
            <w:vAlign w:val="center"/>
          </w:tcPr>
          <w:p w14:paraId="1A2C498B">
            <w:pPr>
              <w:pStyle w:val="64"/>
              <w:rPr>
                <w:lang w:eastAsia="en-US"/>
              </w:rPr>
            </w:pPr>
            <w:r>
              <w:rPr>
                <w:rFonts w:hint="eastAsia"/>
                <w:lang w:eastAsia="en-US"/>
              </w:rPr>
              <w:t>6月</w:t>
            </w:r>
          </w:p>
        </w:tc>
        <w:tc>
          <w:tcPr>
            <w:tcW w:w="385" w:type="pct"/>
            <w:vAlign w:val="center"/>
          </w:tcPr>
          <w:p w14:paraId="300E1EBB">
            <w:pPr>
              <w:pStyle w:val="64"/>
              <w:rPr>
                <w:lang w:eastAsia="en-US"/>
              </w:rPr>
            </w:pPr>
            <w:r>
              <w:rPr>
                <w:rFonts w:hint="eastAsia"/>
                <w:lang w:eastAsia="en-US"/>
              </w:rPr>
              <w:t>7月</w:t>
            </w:r>
          </w:p>
        </w:tc>
        <w:tc>
          <w:tcPr>
            <w:tcW w:w="385" w:type="pct"/>
            <w:vAlign w:val="center"/>
          </w:tcPr>
          <w:p w14:paraId="28BDBF7B">
            <w:pPr>
              <w:pStyle w:val="64"/>
              <w:rPr>
                <w:lang w:eastAsia="en-US"/>
              </w:rPr>
            </w:pPr>
            <w:r>
              <w:rPr>
                <w:rFonts w:hint="eastAsia"/>
                <w:lang w:eastAsia="en-US"/>
              </w:rPr>
              <w:t>8月</w:t>
            </w:r>
          </w:p>
        </w:tc>
        <w:tc>
          <w:tcPr>
            <w:tcW w:w="385" w:type="pct"/>
            <w:vAlign w:val="center"/>
          </w:tcPr>
          <w:p w14:paraId="12679978">
            <w:pPr>
              <w:pStyle w:val="64"/>
              <w:rPr>
                <w:lang w:eastAsia="en-US"/>
              </w:rPr>
            </w:pPr>
            <w:r>
              <w:rPr>
                <w:lang w:eastAsia="en-US"/>
              </w:rPr>
              <w:t>9月</w:t>
            </w:r>
          </w:p>
        </w:tc>
        <w:tc>
          <w:tcPr>
            <w:tcW w:w="385" w:type="pct"/>
            <w:vAlign w:val="center"/>
          </w:tcPr>
          <w:p w14:paraId="2B774485">
            <w:pPr>
              <w:pStyle w:val="64"/>
              <w:rPr>
                <w:lang w:eastAsia="en-US"/>
              </w:rPr>
            </w:pPr>
            <w:r>
              <w:rPr>
                <w:lang w:eastAsia="en-US"/>
              </w:rPr>
              <w:t>10月</w:t>
            </w:r>
          </w:p>
        </w:tc>
        <w:tc>
          <w:tcPr>
            <w:tcW w:w="395" w:type="pct"/>
            <w:vAlign w:val="center"/>
          </w:tcPr>
          <w:p w14:paraId="198C7770">
            <w:pPr>
              <w:pStyle w:val="64"/>
              <w:rPr>
                <w:lang w:eastAsia="en-US"/>
              </w:rPr>
            </w:pPr>
            <w:r>
              <w:rPr>
                <w:lang w:eastAsia="en-US"/>
              </w:rPr>
              <w:t>11月</w:t>
            </w:r>
          </w:p>
        </w:tc>
        <w:tc>
          <w:tcPr>
            <w:tcW w:w="316" w:type="pct"/>
            <w:vAlign w:val="center"/>
          </w:tcPr>
          <w:p w14:paraId="3CCEC45A">
            <w:pPr>
              <w:pStyle w:val="64"/>
              <w:rPr>
                <w:lang w:eastAsia="en-US"/>
              </w:rPr>
            </w:pPr>
            <w:r>
              <w:rPr>
                <w:lang w:eastAsia="en-US"/>
              </w:rPr>
              <w:t>12月</w:t>
            </w:r>
          </w:p>
        </w:tc>
        <w:tc>
          <w:tcPr>
            <w:tcW w:w="316" w:type="pct"/>
            <w:vAlign w:val="center"/>
          </w:tcPr>
          <w:p w14:paraId="634F812B">
            <w:pPr>
              <w:pStyle w:val="64"/>
              <w:rPr>
                <w:lang w:eastAsia="en-US"/>
              </w:rPr>
            </w:pPr>
            <w:r>
              <w:rPr>
                <w:rFonts w:hint="eastAsia"/>
                <w:lang w:eastAsia="en-US"/>
              </w:rPr>
              <w:t>年</w:t>
            </w:r>
          </w:p>
        </w:tc>
      </w:tr>
      <w:tr w14:paraId="409124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1" w:hRule="atLeast"/>
        </w:trPr>
        <w:tc>
          <w:tcPr>
            <w:tcW w:w="339" w:type="pct"/>
            <w:vAlign w:val="center"/>
          </w:tcPr>
          <w:p w14:paraId="3964C31C">
            <w:pPr>
              <w:pStyle w:val="64"/>
              <w:rPr>
                <w:lang w:eastAsia="en-US"/>
              </w:rPr>
            </w:pPr>
            <w:r>
              <w:rPr>
                <w:lang w:eastAsia="en-US"/>
              </w:rPr>
              <w:t>温度</w:t>
            </w:r>
          </w:p>
        </w:tc>
        <w:tc>
          <w:tcPr>
            <w:tcW w:w="303" w:type="pct"/>
            <w:vAlign w:val="center"/>
          </w:tcPr>
          <w:p w14:paraId="699DCEEE">
            <w:pPr>
              <w:pStyle w:val="64"/>
              <w:rPr>
                <w:lang w:eastAsia="en-US"/>
              </w:rPr>
            </w:pPr>
            <w:r>
              <w:rPr>
                <w:rFonts w:hint="eastAsia"/>
                <w:lang w:eastAsia="en-US"/>
              </w:rPr>
              <w:t>0.75</w:t>
            </w:r>
          </w:p>
        </w:tc>
        <w:tc>
          <w:tcPr>
            <w:tcW w:w="301" w:type="pct"/>
            <w:vAlign w:val="center"/>
          </w:tcPr>
          <w:p w14:paraId="66185E6B">
            <w:pPr>
              <w:pStyle w:val="64"/>
              <w:rPr>
                <w:lang w:eastAsia="en-US"/>
              </w:rPr>
            </w:pPr>
            <w:r>
              <w:rPr>
                <w:rFonts w:hint="eastAsia"/>
                <w:lang w:eastAsia="en-US"/>
              </w:rPr>
              <w:t>3.88</w:t>
            </w:r>
          </w:p>
        </w:tc>
        <w:tc>
          <w:tcPr>
            <w:tcW w:w="325" w:type="pct"/>
            <w:vAlign w:val="center"/>
          </w:tcPr>
          <w:p w14:paraId="4FEB2688">
            <w:pPr>
              <w:pStyle w:val="64"/>
              <w:rPr>
                <w:lang w:eastAsia="en-US"/>
              </w:rPr>
            </w:pPr>
            <w:r>
              <w:rPr>
                <w:rFonts w:hint="eastAsia"/>
                <w:lang w:eastAsia="en-US"/>
              </w:rPr>
              <w:t>9.79</w:t>
            </w:r>
          </w:p>
        </w:tc>
        <w:tc>
          <w:tcPr>
            <w:tcW w:w="385" w:type="pct"/>
            <w:vAlign w:val="center"/>
          </w:tcPr>
          <w:p w14:paraId="0B320C52">
            <w:pPr>
              <w:pStyle w:val="64"/>
              <w:rPr>
                <w:lang w:eastAsia="en-US"/>
              </w:rPr>
            </w:pPr>
            <w:r>
              <w:rPr>
                <w:rFonts w:hint="eastAsia"/>
                <w:lang w:eastAsia="en-US"/>
              </w:rPr>
              <w:t>14.58</w:t>
            </w:r>
          </w:p>
        </w:tc>
        <w:tc>
          <w:tcPr>
            <w:tcW w:w="385" w:type="pct"/>
            <w:vAlign w:val="center"/>
          </w:tcPr>
          <w:p w14:paraId="1A0F6242">
            <w:pPr>
              <w:pStyle w:val="64"/>
              <w:rPr>
                <w:lang w:eastAsia="en-US"/>
              </w:rPr>
            </w:pPr>
            <w:r>
              <w:rPr>
                <w:rFonts w:hint="eastAsia"/>
                <w:lang w:eastAsia="en-US"/>
              </w:rPr>
              <w:t>20.83</w:t>
            </w:r>
          </w:p>
        </w:tc>
        <w:tc>
          <w:tcPr>
            <w:tcW w:w="385" w:type="pct"/>
            <w:vAlign w:val="center"/>
          </w:tcPr>
          <w:p w14:paraId="5B3947DB">
            <w:pPr>
              <w:pStyle w:val="64"/>
              <w:rPr>
                <w:lang w:eastAsia="en-US"/>
              </w:rPr>
            </w:pPr>
            <w:r>
              <w:rPr>
                <w:rFonts w:hint="eastAsia"/>
                <w:lang w:eastAsia="en-US"/>
              </w:rPr>
              <w:t>24.72</w:t>
            </w:r>
          </w:p>
        </w:tc>
        <w:tc>
          <w:tcPr>
            <w:tcW w:w="385" w:type="pct"/>
            <w:vAlign w:val="center"/>
          </w:tcPr>
          <w:p w14:paraId="3F867A25">
            <w:pPr>
              <w:pStyle w:val="64"/>
              <w:rPr>
                <w:lang w:eastAsia="en-US"/>
              </w:rPr>
            </w:pPr>
            <w:r>
              <w:rPr>
                <w:rFonts w:hint="eastAsia"/>
                <w:lang w:eastAsia="en-US"/>
              </w:rPr>
              <w:t>29.62</w:t>
            </w:r>
          </w:p>
        </w:tc>
        <w:tc>
          <w:tcPr>
            <w:tcW w:w="385" w:type="pct"/>
            <w:vAlign w:val="center"/>
          </w:tcPr>
          <w:p w14:paraId="2508B243">
            <w:pPr>
              <w:pStyle w:val="64"/>
              <w:rPr>
                <w:lang w:eastAsia="en-US"/>
              </w:rPr>
            </w:pPr>
            <w:r>
              <w:rPr>
                <w:rFonts w:hint="eastAsia"/>
                <w:lang w:eastAsia="en-US"/>
              </w:rPr>
              <w:t>29.26</w:t>
            </w:r>
          </w:p>
        </w:tc>
        <w:tc>
          <w:tcPr>
            <w:tcW w:w="385" w:type="pct"/>
            <w:vAlign w:val="center"/>
          </w:tcPr>
          <w:p w14:paraId="59AB7F7E">
            <w:pPr>
              <w:pStyle w:val="64"/>
              <w:rPr>
                <w:lang w:eastAsia="en-US"/>
              </w:rPr>
            </w:pPr>
            <w:r>
              <w:rPr>
                <w:rFonts w:hint="eastAsia"/>
                <w:lang w:eastAsia="en-US"/>
              </w:rPr>
              <w:t>22.24</w:t>
            </w:r>
          </w:p>
        </w:tc>
        <w:tc>
          <w:tcPr>
            <w:tcW w:w="385" w:type="pct"/>
            <w:vAlign w:val="center"/>
          </w:tcPr>
          <w:p w14:paraId="2346E5BC">
            <w:pPr>
              <w:pStyle w:val="64"/>
              <w:rPr>
                <w:lang w:eastAsia="en-US"/>
              </w:rPr>
            </w:pPr>
            <w:r>
              <w:rPr>
                <w:rFonts w:hint="eastAsia"/>
                <w:lang w:eastAsia="en-US"/>
              </w:rPr>
              <w:t>16.72</w:t>
            </w:r>
          </w:p>
        </w:tc>
        <w:tc>
          <w:tcPr>
            <w:tcW w:w="395" w:type="pct"/>
            <w:vAlign w:val="center"/>
          </w:tcPr>
          <w:p w14:paraId="71E8126B">
            <w:pPr>
              <w:pStyle w:val="64"/>
              <w:rPr>
                <w:lang w:eastAsia="en-US"/>
              </w:rPr>
            </w:pPr>
            <w:r>
              <w:rPr>
                <w:rFonts w:hint="eastAsia"/>
                <w:lang w:eastAsia="en-US"/>
              </w:rPr>
              <w:t>9.81</w:t>
            </w:r>
          </w:p>
        </w:tc>
        <w:tc>
          <w:tcPr>
            <w:tcW w:w="316" w:type="pct"/>
            <w:vAlign w:val="center"/>
          </w:tcPr>
          <w:p w14:paraId="6F178AC1">
            <w:pPr>
              <w:pStyle w:val="64"/>
              <w:rPr>
                <w:lang w:eastAsia="en-US"/>
              </w:rPr>
            </w:pPr>
            <w:r>
              <w:rPr>
                <w:rFonts w:hint="eastAsia"/>
                <w:lang w:eastAsia="en-US"/>
              </w:rPr>
              <w:t>2.29</w:t>
            </w:r>
          </w:p>
        </w:tc>
        <w:tc>
          <w:tcPr>
            <w:tcW w:w="316" w:type="pct"/>
            <w:vAlign w:val="center"/>
          </w:tcPr>
          <w:p w14:paraId="7532FFED">
            <w:pPr>
              <w:pStyle w:val="64"/>
              <w:rPr>
                <w:lang w:eastAsia="en-US"/>
              </w:rPr>
            </w:pPr>
            <w:r>
              <w:rPr>
                <w:rFonts w:hint="eastAsia"/>
                <w:lang w:eastAsia="en-US"/>
              </w:rPr>
              <w:t>15.37</w:t>
            </w:r>
          </w:p>
        </w:tc>
      </w:tr>
    </w:tbl>
    <w:p w14:paraId="1B1F0C6A">
      <w:pPr>
        <w:pStyle w:val="171"/>
      </w:pPr>
    </w:p>
    <w:p w14:paraId="112BEE04">
      <w:pPr>
        <w:pStyle w:val="171"/>
      </w:pPr>
      <w:r>
        <w:rPr>
          <w:rFonts w:hint="eastAsia"/>
        </w:rPr>
        <w:t>(3)风速</w:t>
      </w:r>
    </w:p>
    <w:p w14:paraId="5D56C912">
      <w:pPr>
        <w:pStyle w:val="171"/>
      </w:pPr>
      <w:r>
        <w:rPr>
          <w:rFonts w:hint="eastAsia"/>
        </w:rPr>
        <w:t>区域多年平均风速的月份变化统计见下表。</w:t>
      </w:r>
    </w:p>
    <w:p w14:paraId="656CAB87">
      <w:pPr>
        <w:pStyle w:val="28"/>
        <w:rPr>
          <w:rFonts w:hint="eastAsia"/>
        </w:rPr>
      </w:pPr>
      <w:r>
        <w:rPr>
          <w:rFonts w:hint="eastAsia"/>
        </w:rPr>
        <w:t>表6.2-3  多年平均风速月变化(单位：m/s)</w:t>
      </w:r>
    </w:p>
    <w:tbl>
      <w:tblPr>
        <w:tblStyle w:val="36"/>
        <w:tblW w:w="4993"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684"/>
        <w:gridCol w:w="606"/>
        <w:gridCol w:w="606"/>
        <w:gridCol w:w="607"/>
        <w:gridCol w:w="607"/>
        <w:gridCol w:w="607"/>
        <w:gridCol w:w="607"/>
        <w:gridCol w:w="607"/>
        <w:gridCol w:w="607"/>
        <w:gridCol w:w="607"/>
        <w:gridCol w:w="775"/>
        <w:gridCol w:w="775"/>
        <w:gridCol w:w="775"/>
        <w:gridCol w:w="597"/>
      </w:tblGrid>
      <w:tr w14:paraId="29FD16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3" w:hRule="atLeast"/>
        </w:trPr>
        <w:tc>
          <w:tcPr>
            <w:tcW w:w="377" w:type="pct"/>
            <w:vAlign w:val="center"/>
          </w:tcPr>
          <w:p w14:paraId="14FD3AC7">
            <w:pPr>
              <w:pStyle w:val="64"/>
              <w:rPr>
                <w:lang w:eastAsia="en-US"/>
              </w:rPr>
            </w:pPr>
            <w:r>
              <w:rPr>
                <w:lang w:eastAsia="en-US"/>
              </w:rPr>
              <w:t>月份</w:t>
            </w:r>
          </w:p>
        </w:tc>
        <w:tc>
          <w:tcPr>
            <w:tcW w:w="334" w:type="pct"/>
            <w:vAlign w:val="center"/>
          </w:tcPr>
          <w:p w14:paraId="51C4AAE0">
            <w:pPr>
              <w:pStyle w:val="64"/>
              <w:rPr>
                <w:lang w:eastAsia="en-US"/>
              </w:rPr>
            </w:pPr>
            <w:r>
              <w:rPr>
                <w:lang w:eastAsia="en-US"/>
              </w:rPr>
              <w:t>1月</w:t>
            </w:r>
          </w:p>
        </w:tc>
        <w:tc>
          <w:tcPr>
            <w:tcW w:w="334" w:type="pct"/>
            <w:vAlign w:val="center"/>
          </w:tcPr>
          <w:p w14:paraId="00DC3144">
            <w:pPr>
              <w:pStyle w:val="64"/>
              <w:rPr>
                <w:lang w:eastAsia="en-US"/>
              </w:rPr>
            </w:pPr>
            <w:r>
              <w:rPr>
                <w:lang w:eastAsia="en-US"/>
              </w:rPr>
              <w:t>2月</w:t>
            </w:r>
          </w:p>
        </w:tc>
        <w:tc>
          <w:tcPr>
            <w:tcW w:w="334" w:type="pct"/>
            <w:vAlign w:val="center"/>
          </w:tcPr>
          <w:p w14:paraId="1A5AA1AC">
            <w:pPr>
              <w:pStyle w:val="64"/>
              <w:rPr>
                <w:lang w:eastAsia="en-US"/>
              </w:rPr>
            </w:pPr>
            <w:r>
              <w:rPr>
                <w:lang w:eastAsia="en-US"/>
              </w:rPr>
              <w:t>3月</w:t>
            </w:r>
          </w:p>
        </w:tc>
        <w:tc>
          <w:tcPr>
            <w:tcW w:w="334" w:type="pct"/>
            <w:vAlign w:val="center"/>
          </w:tcPr>
          <w:p w14:paraId="21F8FE28">
            <w:pPr>
              <w:pStyle w:val="64"/>
              <w:rPr>
                <w:lang w:eastAsia="en-US"/>
              </w:rPr>
            </w:pPr>
            <w:r>
              <w:rPr>
                <w:lang w:eastAsia="en-US"/>
              </w:rPr>
              <w:t>4月</w:t>
            </w:r>
          </w:p>
        </w:tc>
        <w:tc>
          <w:tcPr>
            <w:tcW w:w="334" w:type="pct"/>
            <w:vAlign w:val="center"/>
          </w:tcPr>
          <w:p w14:paraId="683B0C20">
            <w:pPr>
              <w:pStyle w:val="64"/>
              <w:rPr>
                <w:lang w:eastAsia="en-US"/>
              </w:rPr>
            </w:pPr>
            <w:r>
              <w:rPr>
                <w:lang w:eastAsia="en-US"/>
              </w:rPr>
              <w:t>5月</w:t>
            </w:r>
          </w:p>
        </w:tc>
        <w:tc>
          <w:tcPr>
            <w:tcW w:w="334" w:type="pct"/>
            <w:vAlign w:val="center"/>
          </w:tcPr>
          <w:p w14:paraId="3C4D03AD">
            <w:pPr>
              <w:pStyle w:val="64"/>
              <w:rPr>
                <w:lang w:eastAsia="en-US"/>
              </w:rPr>
            </w:pPr>
            <w:r>
              <w:rPr>
                <w:lang w:eastAsia="en-US"/>
              </w:rPr>
              <w:t>6月</w:t>
            </w:r>
          </w:p>
        </w:tc>
        <w:tc>
          <w:tcPr>
            <w:tcW w:w="334" w:type="pct"/>
            <w:vAlign w:val="center"/>
          </w:tcPr>
          <w:p w14:paraId="7192D01F">
            <w:pPr>
              <w:pStyle w:val="64"/>
              <w:rPr>
                <w:lang w:eastAsia="en-US"/>
              </w:rPr>
            </w:pPr>
            <w:r>
              <w:rPr>
                <w:lang w:eastAsia="en-US"/>
              </w:rPr>
              <w:t>7月</w:t>
            </w:r>
          </w:p>
        </w:tc>
        <w:tc>
          <w:tcPr>
            <w:tcW w:w="334" w:type="pct"/>
            <w:vAlign w:val="center"/>
          </w:tcPr>
          <w:p w14:paraId="28473205">
            <w:pPr>
              <w:pStyle w:val="64"/>
              <w:rPr>
                <w:lang w:eastAsia="en-US"/>
              </w:rPr>
            </w:pPr>
            <w:r>
              <w:rPr>
                <w:lang w:eastAsia="en-US"/>
              </w:rPr>
              <w:t>8月</w:t>
            </w:r>
          </w:p>
        </w:tc>
        <w:tc>
          <w:tcPr>
            <w:tcW w:w="334" w:type="pct"/>
            <w:vAlign w:val="center"/>
          </w:tcPr>
          <w:p w14:paraId="4E56ADED">
            <w:pPr>
              <w:pStyle w:val="64"/>
              <w:rPr>
                <w:lang w:eastAsia="en-US"/>
              </w:rPr>
            </w:pPr>
            <w:r>
              <w:rPr>
                <w:lang w:eastAsia="en-US"/>
              </w:rPr>
              <w:t>9月</w:t>
            </w:r>
          </w:p>
        </w:tc>
        <w:tc>
          <w:tcPr>
            <w:tcW w:w="427" w:type="pct"/>
            <w:vAlign w:val="center"/>
          </w:tcPr>
          <w:p w14:paraId="6E5B3B35">
            <w:pPr>
              <w:pStyle w:val="64"/>
              <w:rPr>
                <w:lang w:eastAsia="en-US"/>
              </w:rPr>
            </w:pPr>
            <w:r>
              <w:rPr>
                <w:lang w:eastAsia="en-US"/>
              </w:rPr>
              <w:t>10月</w:t>
            </w:r>
          </w:p>
        </w:tc>
        <w:tc>
          <w:tcPr>
            <w:tcW w:w="427" w:type="pct"/>
            <w:vAlign w:val="center"/>
          </w:tcPr>
          <w:p w14:paraId="3CFB3F7D">
            <w:pPr>
              <w:pStyle w:val="64"/>
              <w:rPr>
                <w:lang w:eastAsia="en-US"/>
              </w:rPr>
            </w:pPr>
            <w:r>
              <w:rPr>
                <w:lang w:eastAsia="en-US"/>
              </w:rPr>
              <w:t>11月</w:t>
            </w:r>
          </w:p>
        </w:tc>
        <w:tc>
          <w:tcPr>
            <w:tcW w:w="427" w:type="pct"/>
            <w:vAlign w:val="center"/>
          </w:tcPr>
          <w:p w14:paraId="0DBF7328">
            <w:pPr>
              <w:pStyle w:val="64"/>
              <w:rPr>
                <w:lang w:eastAsia="en-US"/>
              </w:rPr>
            </w:pPr>
            <w:r>
              <w:rPr>
                <w:lang w:eastAsia="en-US"/>
              </w:rPr>
              <w:t>12月</w:t>
            </w:r>
          </w:p>
        </w:tc>
        <w:tc>
          <w:tcPr>
            <w:tcW w:w="329" w:type="pct"/>
            <w:vAlign w:val="center"/>
          </w:tcPr>
          <w:p w14:paraId="04B189B8">
            <w:pPr>
              <w:pStyle w:val="64"/>
              <w:rPr>
                <w:lang w:eastAsia="en-US"/>
              </w:rPr>
            </w:pPr>
            <w:r>
              <w:rPr>
                <w:rFonts w:hint="eastAsia"/>
                <w:lang w:eastAsia="en-US"/>
              </w:rPr>
              <w:t>年</w:t>
            </w:r>
          </w:p>
        </w:tc>
      </w:tr>
      <w:tr w14:paraId="3BB962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1" w:hRule="atLeast"/>
        </w:trPr>
        <w:tc>
          <w:tcPr>
            <w:tcW w:w="377" w:type="pct"/>
            <w:vAlign w:val="center"/>
          </w:tcPr>
          <w:p w14:paraId="6D57470F">
            <w:pPr>
              <w:pStyle w:val="64"/>
              <w:rPr>
                <w:lang w:eastAsia="en-US"/>
              </w:rPr>
            </w:pPr>
            <w:r>
              <w:rPr>
                <w:lang w:eastAsia="en-US"/>
              </w:rPr>
              <w:t>风速</w:t>
            </w:r>
          </w:p>
        </w:tc>
        <w:tc>
          <w:tcPr>
            <w:tcW w:w="334" w:type="pct"/>
            <w:vAlign w:val="center"/>
          </w:tcPr>
          <w:p w14:paraId="484E05DB">
            <w:pPr>
              <w:pStyle w:val="64"/>
              <w:rPr>
                <w:lang w:eastAsia="en-US"/>
              </w:rPr>
            </w:pPr>
            <w:r>
              <w:rPr>
                <w:rFonts w:hint="eastAsia"/>
                <w:lang w:eastAsia="en-US"/>
              </w:rPr>
              <w:t>2.16</w:t>
            </w:r>
          </w:p>
        </w:tc>
        <w:tc>
          <w:tcPr>
            <w:tcW w:w="334" w:type="pct"/>
            <w:vAlign w:val="center"/>
          </w:tcPr>
          <w:p w14:paraId="744382B0">
            <w:pPr>
              <w:pStyle w:val="64"/>
              <w:rPr>
                <w:lang w:eastAsia="en-US"/>
              </w:rPr>
            </w:pPr>
            <w:r>
              <w:rPr>
                <w:rFonts w:hint="eastAsia"/>
                <w:lang w:eastAsia="en-US"/>
              </w:rPr>
              <w:t>2.76</w:t>
            </w:r>
          </w:p>
        </w:tc>
        <w:tc>
          <w:tcPr>
            <w:tcW w:w="334" w:type="pct"/>
            <w:vAlign w:val="center"/>
          </w:tcPr>
          <w:p w14:paraId="5CF99BDD">
            <w:pPr>
              <w:pStyle w:val="64"/>
              <w:rPr>
                <w:lang w:eastAsia="en-US"/>
              </w:rPr>
            </w:pPr>
            <w:r>
              <w:rPr>
                <w:rFonts w:hint="eastAsia"/>
                <w:lang w:eastAsia="en-US"/>
              </w:rPr>
              <w:t>3.39</w:t>
            </w:r>
          </w:p>
        </w:tc>
        <w:tc>
          <w:tcPr>
            <w:tcW w:w="334" w:type="pct"/>
            <w:vAlign w:val="center"/>
          </w:tcPr>
          <w:p w14:paraId="6EDD45EC">
            <w:pPr>
              <w:pStyle w:val="64"/>
              <w:rPr>
                <w:lang w:eastAsia="en-US"/>
              </w:rPr>
            </w:pPr>
            <w:r>
              <w:rPr>
                <w:rFonts w:hint="eastAsia"/>
                <w:lang w:eastAsia="en-US"/>
              </w:rPr>
              <w:t>3.03</w:t>
            </w:r>
          </w:p>
        </w:tc>
        <w:tc>
          <w:tcPr>
            <w:tcW w:w="334" w:type="pct"/>
            <w:vAlign w:val="center"/>
          </w:tcPr>
          <w:p w14:paraId="39D06A5E">
            <w:pPr>
              <w:pStyle w:val="64"/>
              <w:rPr>
                <w:lang w:eastAsia="en-US"/>
              </w:rPr>
            </w:pPr>
            <w:r>
              <w:rPr>
                <w:rFonts w:hint="eastAsia"/>
                <w:lang w:eastAsia="en-US"/>
              </w:rPr>
              <w:t>2.61</w:t>
            </w:r>
          </w:p>
        </w:tc>
        <w:tc>
          <w:tcPr>
            <w:tcW w:w="334" w:type="pct"/>
            <w:vAlign w:val="center"/>
          </w:tcPr>
          <w:p w14:paraId="0B8D66E7">
            <w:pPr>
              <w:pStyle w:val="64"/>
              <w:rPr>
                <w:lang w:eastAsia="en-US"/>
              </w:rPr>
            </w:pPr>
            <w:r>
              <w:rPr>
                <w:rFonts w:hint="eastAsia"/>
                <w:lang w:eastAsia="en-US"/>
              </w:rPr>
              <w:t>2.36</w:t>
            </w:r>
          </w:p>
        </w:tc>
        <w:tc>
          <w:tcPr>
            <w:tcW w:w="334" w:type="pct"/>
            <w:vAlign w:val="center"/>
          </w:tcPr>
          <w:p w14:paraId="4AB15BB9">
            <w:pPr>
              <w:pStyle w:val="64"/>
              <w:rPr>
                <w:lang w:eastAsia="en-US"/>
              </w:rPr>
            </w:pPr>
            <w:r>
              <w:rPr>
                <w:rFonts w:hint="eastAsia"/>
                <w:lang w:eastAsia="en-US"/>
              </w:rPr>
              <w:t>2.33</w:t>
            </w:r>
          </w:p>
        </w:tc>
        <w:tc>
          <w:tcPr>
            <w:tcW w:w="334" w:type="pct"/>
            <w:vAlign w:val="center"/>
          </w:tcPr>
          <w:p w14:paraId="11189DB4">
            <w:pPr>
              <w:pStyle w:val="64"/>
              <w:rPr>
                <w:lang w:eastAsia="en-US"/>
              </w:rPr>
            </w:pPr>
            <w:r>
              <w:rPr>
                <w:rFonts w:hint="eastAsia"/>
                <w:lang w:eastAsia="en-US"/>
              </w:rPr>
              <w:t>2.38</w:t>
            </w:r>
          </w:p>
        </w:tc>
        <w:tc>
          <w:tcPr>
            <w:tcW w:w="334" w:type="pct"/>
            <w:vAlign w:val="center"/>
          </w:tcPr>
          <w:p w14:paraId="7866BF87">
            <w:pPr>
              <w:pStyle w:val="64"/>
              <w:rPr>
                <w:lang w:eastAsia="en-US"/>
              </w:rPr>
            </w:pPr>
            <w:r>
              <w:rPr>
                <w:rFonts w:hint="eastAsia"/>
                <w:lang w:eastAsia="en-US"/>
              </w:rPr>
              <w:t>2.03</w:t>
            </w:r>
          </w:p>
        </w:tc>
        <w:tc>
          <w:tcPr>
            <w:tcW w:w="427" w:type="pct"/>
            <w:vAlign w:val="center"/>
          </w:tcPr>
          <w:p w14:paraId="18CEA6A4">
            <w:pPr>
              <w:pStyle w:val="64"/>
              <w:rPr>
                <w:lang w:eastAsia="en-US"/>
              </w:rPr>
            </w:pPr>
            <w:r>
              <w:rPr>
                <w:rFonts w:hint="eastAsia"/>
                <w:lang w:eastAsia="en-US"/>
              </w:rPr>
              <w:t>2.08</w:t>
            </w:r>
          </w:p>
        </w:tc>
        <w:tc>
          <w:tcPr>
            <w:tcW w:w="427" w:type="pct"/>
            <w:vAlign w:val="center"/>
          </w:tcPr>
          <w:p w14:paraId="4ADB9A26">
            <w:pPr>
              <w:pStyle w:val="64"/>
              <w:rPr>
                <w:lang w:eastAsia="en-US"/>
              </w:rPr>
            </w:pPr>
            <w:r>
              <w:rPr>
                <w:rFonts w:hint="eastAsia"/>
                <w:lang w:eastAsia="en-US"/>
              </w:rPr>
              <w:t>2.24</w:t>
            </w:r>
          </w:p>
        </w:tc>
        <w:tc>
          <w:tcPr>
            <w:tcW w:w="427" w:type="pct"/>
            <w:vAlign w:val="center"/>
          </w:tcPr>
          <w:p w14:paraId="65B582F6">
            <w:pPr>
              <w:pStyle w:val="64"/>
              <w:rPr>
                <w:lang w:eastAsia="en-US"/>
              </w:rPr>
            </w:pPr>
            <w:r>
              <w:rPr>
                <w:rFonts w:hint="eastAsia"/>
                <w:lang w:eastAsia="en-US"/>
              </w:rPr>
              <w:t>2.00</w:t>
            </w:r>
          </w:p>
        </w:tc>
        <w:tc>
          <w:tcPr>
            <w:tcW w:w="329" w:type="pct"/>
            <w:vAlign w:val="center"/>
          </w:tcPr>
          <w:p w14:paraId="7F6E0B6D">
            <w:pPr>
              <w:pStyle w:val="64"/>
              <w:rPr>
                <w:lang w:eastAsia="en-US"/>
              </w:rPr>
            </w:pPr>
            <w:r>
              <w:rPr>
                <w:rFonts w:hint="eastAsia"/>
                <w:lang w:eastAsia="en-US"/>
              </w:rPr>
              <w:t>2.45</w:t>
            </w:r>
          </w:p>
        </w:tc>
      </w:tr>
    </w:tbl>
    <w:p w14:paraId="520AD638">
      <w:pPr>
        <w:ind w:firstLine="480" w:firstLineChars="200"/>
      </w:pPr>
    </w:p>
    <w:p w14:paraId="04C9009C">
      <w:pPr>
        <w:ind w:firstLine="480" w:firstLineChars="200"/>
      </w:pPr>
      <w:r>
        <w:rPr>
          <w:rFonts w:hint="eastAsia"/>
        </w:rPr>
        <w:t>(4)风向和风频</w:t>
      </w:r>
    </w:p>
    <w:p w14:paraId="2E29011E">
      <w:pPr>
        <w:ind w:firstLine="480" w:firstLineChars="200"/>
      </w:pPr>
      <w:r>
        <w:rPr>
          <w:rFonts w:hint="eastAsia"/>
        </w:rPr>
        <w:t>本项目的大气环境影响评价等级为一级，预测范围为厂址为中心，边长5km矩形区域，根据《环境影响评价技术导则》(HJ2.2-2018)，评价基准年可选择近3年中数据相对完整的1个日历年作为评价基准年，本评价选择2023年为评价基准年。</w:t>
      </w:r>
    </w:p>
    <w:p w14:paraId="761CA853">
      <w:pPr>
        <w:ind w:firstLine="480" w:firstLineChars="200"/>
      </w:pPr>
      <w:r>
        <w:rPr>
          <w:rFonts w:hint="eastAsia"/>
        </w:rPr>
        <w:t>本次评价采用蚌埠市气象站2023年的地面站逐时气象数据和高空模拟气象数据。</w:t>
      </w:r>
    </w:p>
    <w:p w14:paraId="44725C7B">
      <w:pPr>
        <w:wordWrap w:val="0"/>
        <w:ind w:firstLine="480" w:firstLineChars="200"/>
        <w:rPr>
          <w:rFonts w:cs="Times New Roman"/>
        </w:rPr>
      </w:pPr>
      <w:r>
        <w:rPr>
          <w:rFonts w:hint="eastAsia"/>
        </w:rPr>
        <w:t>蚌埠市气象站(编号：58221)位于安徽省蚌埠市，</w:t>
      </w:r>
      <w:r>
        <w:rPr>
          <w:rFonts w:cs="Times New Roman"/>
        </w:rPr>
        <w:t>地理坐标为地处东经117.3044°，北纬32.8436°，海拔26.8米。站点性质为基本站。</w:t>
      </w:r>
    </w:p>
    <w:p w14:paraId="7252BCE9">
      <w:pPr>
        <w:ind w:firstLine="480" w:firstLineChars="200"/>
      </w:pPr>
      <w:r>
        <w:t>(1)基准年年平均温度月变化统计</w:t>
      </w:r>
    </w:p>
    <w:p w14:paraId="6B263BDD">
      <w:pPr>
        <w:ind w:firstLine="480" w:firstLineChars="200"/>
      </w:pPr>
      <w:r>
        <w:t>根据对2023年蚌埠市气象站的地面站逐时气象数据统计分析可知，蚌埠市气象站2023年日平均气温最高值为31.87℃，出现在2023年8月17日；日平均气温最低值为-6.3℃，出现在2023年12月5日；年平均气温为16.38℃。</w:t>
      </w:r>
    </w:p>
    <w:p w14:paraId="34D38BFD">
      <w:pPr>
        <w:pStyle w:val="28"/>
        <w:rPr>
          <w:rFonts w:hint="eastAsia"/>
        </w:rPr>
      </w:pPr>
      <w:r>
        <w:t>表</w:t>
      </w:r>
      <w:r>
        <w:rPr>
          <w:rFonts w:hint="eastAsia"/>
        </w:rPr>
        <w:t>6</w:t>
      </w:r>
      <w:r>
        <w:t>.2</w:t>
      </w:r>
      <w:r>
        <w:rPr>
          <w:rFonts w:hint="eastAsia"/>
        </w:rPr>
        <w:t xml:space="preserve">-4  </w:t>
      </w:r>
      <w:r>
        <w:t>2023年蚌埠市气象站年平均温度月变化统计表(单位：单位：℃)</w:t>
      </w:r>
    </w:p>
    <w:tbl>
      <w:tblPr>
        <w:tblStyle w:val="36"/>
        <w:tblW w:w="4994"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658"/>
        <w:gridCol w:w="586"/>
        <w:gridCol w:w="584"/>
        <w:gridCol w:w="631"/>
        <w:gridCol w:w="747"/>
        <w:gridCol w:w="747"/>
        <w:gridCol w:w="747"/>
        <w:gridCol w:w="747"/>
        <w:gridCol w:w="747"/>
        <w:gridCol w:w="747"/>
        <w:gridCol w:w="747"/>
        <w:gridCol w:w="767"/>
        <w:gridCol w:w="614"/>
      </w:tblGrid>
      <w:tr w14:paraId="223D51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4" w:hRule="atLeast"/>
        </w:trPr>
        <w:tc>
          <w:tcPr>
            <w:tcW w:w="363" w:type="pct"/>
            <w:vAlign w:val="center"/>
          </w:tcPr>
          <w:p w14:paraId="32AE48BF">
            <w:pPr>
              <w:pStyle w:val="64"/>
              <w:rPr>
                <w:lang w:eastAsia="en-US"/>
              </w:rPr>
            </w:pPr>
            <w:r>
              <w:rPr>
                <w:lang w:eastAsia="en-US"/>
              </w:rPr>
              <w:t>月份</w:t>
            </w:r>
          </w:p>
        </w:tc>
        <w:tc>
          <w:tcPr>
            <w:tcW w:w="323" w:type="pct"/>
            <w:vAlign w:val="center"/>
          </w:tcPr>
          <w:p w14:paraId="63298713">
            <w:pPr>
              <w:pStyle w:val="64"/>
              <w:rPr>
                <w:lang w:eastAsia="en-US"/>
              </w:rPr>
            </w:pPr>
            <w:r>
              <w:rPr>
                <w:lang w:eastAsia="en-US"/>
              </w:rPr>
              <w:t>1月</w:t>
            </w:r>
          </w:p>
        </w:tc>
        <w:tc>
          <w:tcPr>
            <w:tcW w:w="322" w:type="pct"/>
            <w:vAlign w:val="center"/>
          </w:tcPr>
          <w:p w14:paraId="4B2FCCE0">
            <w:pPr>
              <w:pStyle w:val="64"/>
              <w:rPr>
                <w:lang w:eastAsia="en-US"/>
              </w:rPr>
            </w:pPr>
            <w:r>
              <w:rPr>
                <w:lang w:eastAsia="en-US"/>
              </w:rPr>
              <w:t>2月</w:t>
            </w:r>
          </w:p>
        </w:tc>
        <w:tc>
          <w:tcPr>
            <w:tcW w:w="348" w:type="pct"/>
            <w:vAlign w:val="center"/>
          </w:tcPr>
          <w:p w14:paraId="03D39993">
            <w:pPr>
              <w:pStyle w:val="64"/>
              <w:rPr>
                <w:lang w:eastAsia="en-US"/>
              </w:rPr>
            </w:pPr>
            <w:r>
              <w:rPr>
                <w:lang w:eastAsia="en-US"/>
              </w:rPr>
              <w:t>3月</w:t>
            </w:r>
          </w:p>
        </w:tc>
        <w:tc>
          <w:tcPr>
            <w:tcW w:w="411" w:type="pct"/>
            <w:vAlign w:val="center"/>
          </w:tcPr>
          <w:p w14:paraId="67B75AF7">
            <w:pPr>
              <w:pStyle w:val="64"/>
              <w:rPr>
                <w:lang w:eastAsia="en-US"/>
              </w:rPr>
            </w:pPr>
            <w:r>
              <w:rPr>
                <w:lang w:eastAsia="en-US"/>
              </w:rPr>
              <w:t>4月</w:t>
            </w:r>
          </w:p>
        </w:tc>
        <w:tc>
          <w:tcPr>
            <w:tcW w:w="411" w:type="pct"/>
            <w:vAlign w:val="center"/>
          </w:tcPr>
          <w:p w14:paraId="0029A946">
            <w:pPr>
              <w:pStyle w:val="64"/>
            </w:pPr>
            <w:r>
              <w:rPr>
                <w:rFonts w:hint="eastAsia"/>
              </w:rPr>
              <w:t>5月</w:t>
            </w:r>
          </w:p>
        </w:tc>
        <w:tc>
          <w:tcPr>
            <w:tcW w:w="411" w:type="pct"/>
            <w:vAlign w:val="center"/>
          </w:tcPr>
          <w:p w14:paraId="594F995A">
            <w:pPr>
              <w:pStyle w:val="64"/>
              <w:rPr>
                <w:lang w:eastAsia="en-US"/>
              </w:rPr>
            </w:pPr>
            <w:r>
              <w:rPr>
                <w:rFonts w:hint="eastAsia"/>
                <w:lang w:eastAsia="en-US"/>
              </w:rPr>
              <w:t>6月</w:t>
            </w:r>
          </w:p>
        </w:tc>
        <w:tc>
          <w:tcPr>
            <w:tcW w:w="411" w:type="pct"/>
            <w:vAlign w:val="center"/>
          </w:tcPr>
          <w:p w14:paraId="5DBAF101">
            <w:pPr>
              <w:pStyle w:val="64"/>
              <w:rPr>
                <w:lang w:eastAsia="en-US"/>
              </w:rPr>
            </w:pPr>
            <w:r>
              <w:rPr>
                <w:rFonts w:hint="eastAsia"/>
                <w:lang w:eastAsia="en-US"/>
              </w:rPr>
              <w:t>7月</w:t>
            </w:r>
          </w:p>
        </w:tc>
        <w:tc>
          <w:tcPr>
            <w:tcW w:w="411" w:type="pct"/>
            <w:vAlign w:val="center"/>
          </w:tcPr>
          <w:p w14:paraId="67BC9D62">
            <w:pPr>
              <w:pStyle w:val="64"/>
              <w:rPr>
                <w:lang w:eastAsia="en-US"/>
              </w:rPr>
            </w:pPr>
            <w:r>
              <w:rPr>
                <w:rFonts w:hint="eastAsia"/>
                <w:lang w:eastAsia="en-US"/>
              </w:rPr>
              <w:t>8月</w:t>
            </w:r>
          </w:p>
        </w:tc>
        <w:tc>
          <w:tcPr>
            <w:tcW w:w="411" w:type="pct"/>
            <w:vAlign w:val="center"/>
          </w:tcPr>
          <w:p w14:paraId="49EEB9A1">
            <w:pPr>
              <w:pStyle w:val="64"/>
              <w:rPr>
                <w:lang w:eastAsia="en-US"/>
              </w:rPr>
            </w:pPr>
            <w:r>
              <w:rPr>
                <w:lang w:eastAsia="en-US"/>
              </w:rPr>
              <w:t>9月</w:t>
            </w:r>
          </w:p>
        </w:tc>
        <w:tc>
          <w:tcPr>
            <w:tcW w:w="411" w:type="pct"/>
            <w:vAlign w:val="center"/>
          </w:tcPr>
          <w:p w14:paraId="66542715">
            <w:pPr>
              <w:pStyle w:val="64"/>
              <w:rPr>
                <w:lang w:eastAsia="en-US"/>
              </w:rPr>
            </w:pPr>
            <w:r>
              <w:rPr>
                <w:lang w:eastAsia="en-US"/>
              </w:rPr>
              <w:t>10月</w:t>
            </w:r>
          </w:p>
        </w:tc>
        <w:tc>
          <w:tcPr>
            <w:tcW w:w="422" w:type="pct"/>
            <w:vAlign w:val="center"/>
          </w:tcPr>
          <w:p w14:paraId="456C496A">
            <w:pPr>
              <w:pStyle w:val="64"/>
              <w:rPr>
                <w:lang w:eastAsia="en-US"/>
              </w:rPr>
            </w:pPr>
            <w:r>
              <w:rPr>
                <w:lang w:eastAsia="en-US"/>
              </w:rPr>
              <w:t>11月</w:t>
            </w:r>
          </w:p>
        </w:tc>
        <w:tc>
          <w:tcPr>
            <w:tcW w:w="338" w:type="pct"/>
            <w:vAlign w:val="center"/>
          </w:tcPr>
          <w:p w14:paraId="664939DA">
            <w:pPr>
              <w:pStyle w:val="64"/>
              <w:rPr>
                <w:lang w:eastAsia="en-US"/>
              </w:rPr>
            </w:pPr>
            <w:r>
              <w:rPr>
                <w:lang w:eastAsia="en-US"/>
              </w:rPr>
              <w:t>12月</w:t>
            </w:r>
          </w:p>
        </w:tc>
      </w:tr>
      <w:tr w14:paraId="0B46E3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1" w:hRule="atLeast"/>
        </w:trPr>
        <w:tc>
          <w:tcPr>
            <w:tcW w:w="363" w:type="pct"/>
            <w:vAlign w:val="center"/>
          </w:tcPr>
          <w:p w14:paraId="257D33B0">
            <w:pPr>
              <w:pStyle w:val="64"/>
              <w:rPr>
                <w:lang w:eastAsia="en-US"/>
              </w:rPr>
            </w:pPr>
            <w:r>
              <w:rPr>
                <w:lang w:eastAsia="en-US"/>
              </w:rPr>
              <w:t>温度</w:t>
            </w:r>
          </w:p>
        </w:tc>
        <w:tc>
          <w:tcPr>
            <w:tcW w:w="323" w:type="pct"/>
            <w:vAlign w:val="center"/>
          </w:tcPr>
          <w:p w14:paraId="4F34B610">
            <w:pPr>
              <w:pStyle w:val="64"/>
              <w:rPr>
                <w:lang w:eastAsia="en-US"/>
              </w:rPr>
            </w:pPr>
            <w:r>
              <w:rPr>
                <w:rFonts w:hint="eastAsia"/>
                <w:lang w:eastAsia="en-US"/>
              </w:rPr>
              <w:t>3.54</w:t>
            </w:r>
          </w:p>
        </w:tc>
        <w:tc>
          <w:tcPr>
            <w:tcW w:w="322" w:type="pct"/>
            <w:vAlign w:val="center"/>
          </w:tcPr>
          <w:p w14:paraId="34395676">
            <w:pPr>
              <w:pStyle w:val="64"/>
              <w:rPr>
                <w:lang w:eastAsia="en-US"/>
              </w:rPr>
            </w:pPr>
            <w:r>
              <w:rPr>
                <w:rFonts w:hint="eastAsia"/>
                <w:lang w:eastAsia="en-US"/>
              </w:rPr>
              <w:t>5.41</w:t>
            </w:r>
          </w:p>
        </w:tc>
        <w:tc>
          <w:tcPr>
            <w:tcW w:w="348" w:type="pct"/>
            <w:vAlign w:val="center"/>
          </w:tcPr>
          <w:p w14:paraId="16B6ADC2">
            <w:pPr>
              <w:pStyle w:val="64"/>
              <w:rPr>
                <w:lang w:eastAsia="en-US"/>
              </w:rPr>
            </w:pPr>
            <w:r>
              <w:rPr>
                <w:rFonts w:hint="eastAsia"/>
                <w:lang w:eastAsia="en-US"/>
              </w:rPr>
              <w:t>12.75</w:t>
            </w:r>
          </w:p>
        </w:tc>
        <w:tc>
          <w:tcPr>
            <w:tcW w:w="411" w:type="pct"/>
            <w:vAlign w:val="center"/>
          </w:tcPr>
          <w:p w14:paraId="7934AA7D">
            <w:pPr>
              <w:pStyle w:val="64"/>
              <w:rPr>
                <w:lang w:eastAsia="en-US"/>
              </w:rPr>
            </w:pPr>
            <w:r>
              <w:rPr>
                <w:rFonts w:hint="eastAsia"/>
                <w:lang w:eastAsia="en-US"/>
              </w:rPr>
              <w:t>16.84</w:t>
            </w:r>
          </w:p>
        </w:tc>
        <w:tc>
          <w:tcPr>
            <w:tcW w:w="411" w:type="pct"/>
            <w:vAlign w:val="center"/>
          </w:tcPr>
          <w:p w14:paraId="747D7465">
            <w:pPr>
              <w:pStyle w:val="64"/>
              <w:rPr>
                <w:lang w:eastAsia="en-US"/>
              </w:rPr>
            </w:pPr>
            <w:r>
              <w:rPr>
                <w:rFonts w:hint="eastAsia"/>
                <w:lang w:eastAsia="en-US"/>
              </w:rPr>
              <w:t>21.74</w:t>
            </w:r>
          </w:p>
        </w:tc>
        <w:tc>
          <w:tcPr>
            <w:tcW w:w="411" w:type="pct"/>
            <w:vAlign w:val="center"/>
          </w:tcPr>
          <w:p w14:paraId="0BE7319E">
            <w:pPr>
              <w:pStyle w:val="64"/>
              <w:rPr>
                <w:lang w:eastAsia="en-US"/>
              </w:rPr>
            </w:pPr>
            <w:r>
              <w:rPr>
                <w:rFonts w:hint="eastAsia"/>
                <w:lang w:eastAsia="en-US"/>
              </w:rPr>
              <w:t>26.17</w:t>
            </w:r>
          </w:p>
        </w:tc>
        <w:tc>
          <w:tcPr>
            <w:tcW w:w="411" w:type="pct"/>
            <w:vAlign w:val="center"/>
          </w:tcPr>
          <w:p w14:paraId="3F6735AB">
            <w:pPr>
              <w:pStyle w:val="64"/>
              <w:rPr>
                <w:lang w:eastAsia="en-US"/>
              </w:rPr>
            </w:pPr>
            <w:r>
              <w:rPr>
                <w:rFonts w:hint="eastAsia"/>
                <w:lang w:eastAsia="en-US"/>
              </w:rPr>
              <w:t>28.63</w:t>
            </w:r>
          </w:p>
        </w:tc>
        <w:tc>
          <w:tcPr>
            <w:tcW w:w="411" w:type="pct"/>
            <w:vAlign w:val="center"/>
          </w:tcPr>
          <w:p w14:paraId="7582AE98">
            <w:pPr>
              <w:pStyle w:val="64"/>
              <w:rPr>
                <w:lang w:eastAsia="en-US"/>
              </w:rPr>
            </w:pPr>
            <w:r>
              <w:rPr>
                <w:rFonts w:hint="eastAsia"/>
                <w:lang w:eastAsia="en-US"/>
              </w:rPr>
              <w:t>27.96</w:t>
            </w:r>
          </w:p>
        </w:tc>
        <w:tc>
          <w:tcPr>
            <w:tcW w:w="411" w:type="pct"/>
            <w:vAlign w:val="center"/>
          </w:tcPr>
          <w:p w14:paraId="3170F661">
            <w:pPr>
              <w:pStyle w:val="64"/>
              <w:rPr>
                <w:lang w:eastAsia="en-US"/>
              </w:rPr>
            </w:pPr>
            <w:r>
              <w:rPr>
                <w:rFonts w:hint="eastAsia"/>
                <w:lang w:eastAsia="en-US"/>
              </w:rPr>
              <w:t>23.79</w:t>
            </w:r>
          </w:p>
        </w:tc>
        <w:tc>
          <w:tcPr>
            <w:tcW w:w="411" w:type="pct"/>
            <w:vAlign w:val="center"/>
          </w:tcPr>
          <w:p w14:paraId="55A8B623">
            <w:pPr>
              <w:pStyle w:val="64"/>
              <w:rPr>
                <w:lang w:eastAsia="en-US"/>
              </w:rPr>
            </w:pPr>
            <w:r>
              <w:rPr>
                <w:rFonts w:hint="eastAsia"/>
                <w:lang w:eastAsia="en-US"/>
              </w:rPr>
              <w:t>18.51</w:t>
            </w:r>
          </w:p>
        </w:tc>
        <w:tc>
          <w:tcPr>
            <w:tcW w:w="422" w:type="pct"/>
            <w:vAlign w:val="center"/>
          </w:tcPr>
          <w:p w14:paraId="446040D2">
            <w:pPr>
              <w:pStyle w:val="64"/>
              <w:rPr>
                <w:lang w:eastAsia="en-US"/>
              </w:rPr>
            </w:pPr>
            <w:r>
              <w:rPr>
                <w:rFonts w:hint="eastAsia"/>
                <w:lang w:eastAsia="en-US"/>
              </w:rPr>
              <w:t>11.04</w:t>
            </w:r>
          </w:p>
        </w:tc>
        <w:tc>
          <w:tcPr>
            <w:tcW w:w="338" w:type="pct"/>
            <w:vAlign w:val="center"/>
          </w:tcPr>
          <w:p w14:paraId="3BA3858A">
            <w:pPr>
              <w:pStyle w:val="64"/>
              <w:rPr>
                <w:lang w:eastAsia="en-US"/>
              </w:rPr>
            </w:pPr>
            <w:r>
              <w:rPr>
                <w:rFonts w:hint="eastAsia"/>
                <w:lang w:eastAsia="en-US"/>
              </w:rPr>
              <w:t>3.66</w:t>
            </w:r>
          </w:p>
        </w:tc>
      </w:tr>
    </w:tbl>
    <w:p w14:paraId="398E2827">
      <w:pPr>
        <w:ind w:firstLine="480" w:firstLineChars="200"/>
      </w:pPr>
      <w:r>
        <w:t>(2)基准年年平均风速月变化统计</w:t>
      </w:r>
    </w:p>
    <w:p w14:paraId="1DA73C2F">
      <w:pPr>
        <w:ind w:firstLine="480" w:firstLineChars="200"/>
      </w:pPr>
      <w:r>
        <w:t>根据对2023年蚌埠市气象站的地面站逐时气象数据的统计分析可知，项目评价区域的基准年的年平均风速月变化统计如下表所示。</w:t>
      </w:r>
    </w:p>
    <w:p w14:paraId="33BC8CA6">
      <w:pPr>
        <w:pStyle w:val="28"/>
        <w:rPr>
          <w:rFonts w:hint="eastAsia"/>
        </w:rPr>
      </w:pPr>
      <w:r>
        <w:t>表</w:t>
      </w:r>
      <w:r>
        <w:rPr>
          <w:rFonts w:hint="eastAsia"/>
        </w:rPr>
        <w:t>6</w:t>
      </w:r>
      <w:r>
        <w:t>.2</w:t>
      </w:r>
      <w:r>
        <w:rPr>
          <w:rFonts w:hint="eastAsia"/>
        </w:rPr>
        <w:t xml:space="preserve">-5  </w:t>
      </w:r>
      <w:r>
        <w:t>2023年蚌埠市气象站年平均风速月变化统计表(单位：m/s)</w:t>
      </w:r>
    </w:p>
    <w:tbl>
      <w:tblPr>
        <w:tblStyle w:val="36"/>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758"/>
        <w:gridCol w:w="674"/>
        <w:gridCol w:w="665"/>
        <w:gridCol w:w="676"/>
        <w:gridCol w:w="676"/>
        <w:gridCol w:w="679"/>
        <w:gridCol w:w="681"/>
        <w:gridCol w:w="681"/>
        <w:gridCol w:w="681"/>
        <w:gridCol w:w="676"/>
        <w:gridCol w:w="687"/>
        <w:gridCol w:w="687"/>
        <w:gridCol w:w="852"/>
      </w:tblGrid>
      <w:tr w14:paraId="36BBB7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3" w:hRule="atLeast"/>
        </w:trPr>
        <w:tc>
          <w:tcPr>
            <w:tcW w:w="418" w:type="pct"/>
            <w:vAlign w:val="center"/>
          </w:tcPr>
          <w:p w14:paraId="636C9146">
            <w:pPr>
              <w:pStyle w:val="64"/>
              <w:rPr>
                <w:lang w:eastAsia="en-US"/>
              </w:rPr>
            </w:pPr>
            <w:r>
              <w:rPr>
                <w:lang w:eastAsia="en-US"/>
              </w:rPr>
              <w:t>月份</w:t>
            </w:r>
          </w:p>
        </w:tc>
        <w:tc>
          <w:tcPr>
            <w:tcW w:w="371" w:type="pct"/>
            <w:vAlign w:val="center"/>
          </w:tcPr>
          <w:p w14:paraId="570E0385">
            <w:pPr>
              <w:pStyle w:val="64"/>
              <w:rPr>
                <w:lang w:eastAsia="en-US"/>
              </w:rPr>
            </w:pPr>
            <w:r>
              <w:rPr>
                <w:lang w:eastAsia="en-US"/>
              </w:rPr>
              <w:t>1月</w:t>
            </w:r>
          </w:p>
        </w:tc>
        <w:tc>
          <w:tcPr>
            <w:tcW w:w="366" w:type="pct"/>
            <w:vAlign w:val="center"/>
          </w:tcPr>
          <w:p w14:paraId="4FA9DE08">
            <w:pPr>
              <w:pStyle w:val="64"/>
              <w:rPr>
                <w:lang w:eastAsia="en-US"/>
              </w:rPr>
            </w:pPr>
            <w:r>
              <w:rPr>
                <w:lang w:eastAsia="en-US"/>
              </w:rPr>
              <w:t>2月</w:t>
            </w:r>
          </w:p>
        </w:tc>
        <w:tc>
          <w:tcPr>
            <w:tcW w:w="372" w:type="pct"/>
            <w:vAlign w:val="center"/>
          </w:tcPr>
          <w:p w14:paraId="42B7B525">
            <w:pPr>
              <w:pStyle w:val="64"/>
              <w:rPr>
                <w:lang w:eastAsia="en-US"/>
              </w:rPr>
            </w:pPr>
            <w:r>
              <w:rPr>
                <w:lang w:eastAsia="en-US"/>
              </w:rPr>
              <w:t>3月</w:t>
            </w:r>
          </w:p>
        </w:tc>
        <w:tc>
          <w:tcPr>
            <w:tcW w:w="372" w:type="pct"/>
            <w:vAlign w:val="center"/>
          </w:tcPr>
          <w:p w14:paraId="1CAD16EC">
            <w:pPr>
              <w:pStyle w:val="64"/>
              <w:rPr>
                <w:lang w:eastAsia="en-US"/>
              </w:rPr>
            </w:pPr>
            <w:r>
              <w:rPr>
                <w:lang w:eastAsia="en-US"/>
              </w:rPr>
              <w:t>4月</w:t>
            </w:r>
          </w:p>
        </w:tc>
        <w:tc>
          <w:tcPr>
            <w:tcW w:w="374" w:type="pct"/>
            <w:vAlign w:val="center"/>
          </w:tcPr>
          <w:p w14:paraId="37552457">
            <w:pPr>
              <w:pStyle w:val="64"/>
              <w:rPr>
                <w:lang w:eastAsia="en-US"/>
              </w:rPr>
            </w:pPr>
            <w:r>
              <w:rPr>
                <w:lang w:eastAsia="en-US"/>
              </w:rPr>
              <w:t>5月</w:t>
            </w:r>
          </w:p>
        </w:tc>
        <w:tc>
          <w:tcPr>
            <w:tcW w:w="375" w:type="pct"/>
            <w:vAlign w:val="center"/>
          </w:tcPr>
          <w:p w14:paraId="585FF7D1">
            <w:pPr>
              <w:pStyle w:val="64"/>
              <w:rPr>
                <w:lang w:eastAsia="en-US"/>
              </w:rPr>
            </w:pPr>
            <w:r>
              <w:rPr>
                <w:lang w:eastAsia="en-US"/>
              </w:rPr>
              <w:t>6月</w:t>
            </w:r>
          </w:p>
        </w:tc>
        <w:tc>
          <w:tcPr>
            <w:tcW w:w="375" w:type="pct"/>
            <w:vAlign w:val="center"/>
          </w:tcPr>
          <w:p w14:paraId="74B30170">
            <w:pPr>
              <w:pStyle w:val="64"/>
              <w:rPr>
                <w:lang w:eastAsia="en-US"/>
              </w:rPr>
            </w:pPr>
            <w:r>
              <w:rPr>
                <w:lang w:eastAsia="en-US"/>
              </w:rPr>
              <w:t>7月</w:t>
            </w:r>
          </w:p>
        </w:tc>
        <w:tc>
          <w:tcPr>
            <w:tcW w:w="375" w:type="pct"/>
            <w:vAlign w:val="center"/>
          </w:tcPr>
          <w:p w14:paraId="124B10D7">
            <w:pPr>
              <w:pStyle w:val="64"/>
              <w:rPr>
                <w:lang w:eastAsia="en-US"/>
              </w:rPr>
            </w:pPr>
            <w:r>
              <w:rPr>
                <w:lang w:eastAsia="en-US"/>
              </w:rPr>
              <w:t>8月</w:t>
            </w:r>
          </w:p>
        </w:tc>
        <w:tc>
          <w:tcPr>
            <w:tcW w:w="372" w:type="pct"/>
            <w:vAlign w:val="center"/>
          </w:tcPr>
          <w:p w14:paraId="64D1B1FD">
            <w:pPr>
              <w:pStyle w:val="64"/>
              <w:rPr>
                <w:lang w:eastAsia="en-US"/>
              </w:rPr>
            </w:pPr>
            <w:r>
              <w:rPr>
                <w:lang w:eastAsia="en-US"/>
              </w:rPr>
              <w:t>9月</w:t>
            </w:r>
          </w:p>
        </w:tc>
        <w:tc>
          <w:tcPr>
            <w:tcW w:w="378" w:type="pct"/>
            <w:vAlign w:val="center"/>
          </w:tcPr>
          <w:p w14:paraId="5BA6255A">
            <w:pPr>
              <w:pStyle w:val="64"/>
              <w:rPr>
                <w:lang w:eastAsia="en-US"/>
              </w:rPr>
            </w:pPr>
            <w:r>
              <w:rPr>
                <w:lang w:eastAsia="en-US"/>
              </w:rPr>
              <w:t>10月</w:t>
            </w:r>
          </w:p>
        </w:tc>
        <w:tc>
          <w:tcPr>
            <w:tcW w:w="378" w:type="pct"/>
            <w:vAlign w:val="center"/>
          </w:tcPr>
          <w:p w14:paraId="0FF3E3DC">
            <w:pPr>
              <w:pStyle w:val="64"/>
              <w:rPr>
                <w:lang w:eastAsia="en-US"/>
              </w:rPr>
            </w:pPr>
            <w:r>
              <w:rPr>
                <w:lang w:eastAsia="en-US"/>
              </w:rPr>
              <w:t>11月</w:t>
            </w:r>
          </w:p>
        </w:tc>
        <w:tc>
          <w:tcPr>
            <w:tcW w:w="469" w:type="pct"/>
            <w:vAlign w:val="center"/>
          </w:tcPr>
          <w:p w14:paraId="1A79338F">
            <w:pPr>
              <w:pStyle w:val="64"/>
              <w:rPr>
                <w:lang w:eastAsia="en-US"/>
              </w:rPr>
            </w:pPr>
            <w:r>
              <w:rPr>
                <w:lang w:eastAsia="en-US"/>
              </w:rPr>
              <w:t>12月</w:t>
            </w:r>
          </w:p>
        </w:tc>
      </w:tr>
      <w:tr w14:paraId="41656B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1" w:hRule="atLeast"/>
        </w:trPr>
        <w:tc>
          <w:tcPr>
            <w:tcW w:w="418" w:type="pct"/>
            <w:vAlign w:val="center"/>
          </w:tcPr>
          <w:p w14:paraId="5A6C95EC">
            <w:pPr>
              <w:pStyle w:val="64"/>
              <w:rPr>
                <w:lang w:eastAsia="en-US"/>
              </w:rPr>
            </w:pPr>
            <w:r>
              <w:rPr>
                <w:lang w:eastAsia="en-US"/>
              </w:rPr>
              <w:t>风速</w:t>
            </w:r>
          </w:p>
        </w:tc>
        <w:tc>
          <w:tcPr>
            <w:tcW w:w="371" w:type="pct"/>
            <w:vAlign w:val="center"/>
          </w:tcPr>
          <w:p w14:paraId="12C05607">
            <w:pPr>
              <w:pStyle w:val="64"/>
              <w:rPr>
                <w:lang w:eastAsia="en-US"/>
              </w:rPr>
            </w:pPr>
            <w:r>
              <w:rPr>
                <w:rFonts w:hint="eastAsia"/>
                <w:lang w:eastAsia="en-US"/>
              </w:rPr>
              <w:t>2.30</w:t>
            </w:r>
          </w:p>
        </w:tc>
        <w:tc>
          <w:tcPr>
            <w:tcW w:w="366" w:type="pct"/>
            <w:vAlign w:val="center"/>
          </w:tcPr>
          <w:p w14:paraId="77B11578">
            <w:pPr>
              <w:pStyle w:val="64"/>
              <w:rPr>
                <w:lang w:eastAsia="en-US"/>
              </w:rPr>
            </w:pPr>
            <w:r>
              <w:rPr>
                <w:rFonts w:hint="eastAsia"/>
                <w:lang w:eastAsia="en-US"/>
              </w:rPr>
              <w:t>2.73</w:t>
            </w:r>
          </w:p>
        </w:tc>
        <w:tc>
          <w:tcPr>
            <w:tcW w:w="372" w:type="pct"/>
            <w:vAlign w:val="center"/>
          </w:tcPr>
          <w:p w14:paraId="5F918F02">
            <w:pPr>
              <w:pStyle w:val="64"/>
              <w:rPr>
                <w:lang w:eastAsia="en-US"/>
              </w:rPr>
            </w:pPr>
            <w:r>
              <w:rPr>
                <w:rFonts w:hint="eastAsia"/>
                <w:lang w:eastAsia="en-US"/>
              </w:rPr>
              <w:t>2.81</w:t>
            </w:r>
          </w:p>
        </w:tc>
        <w:tc>
          <w:tcPr>
            <w:tcW w:w="372" w:type="pct"/>
            <w:vAlign w:val="center"/>
          </w:tcPr>
          <w:p w14:paraId="6E2827A6">
            <w:pPr>
              <w:pStyle w:val="64"/>
              <w:rPr>
                <w:lang w:eastAsia="en-US"/>
              </w:rPr>
            </w:pPr>
            <w:r>
              <w:rPr>
                <w:rFonts w:hint="eastAsia"/>
                <w:lang w:eastAsia="en-US"/>
              </w:rPr>
              <w:t>3.33</w:t>
            </w:r>
          </w:p>
        </w:tc>
        <w:tc>
          <w:tcPr>
            <w:tcW w:w="374" w:type="pct"/>
            <w:vAlign w:val="center"/>
          </w:tcPr>
          <w:p w14:paraId="1586090A">
            <w:pPr>
              <w:pStyle w:val="64"/>
              <w:rPr>
                <w:lang w:eastAsia="en-US"/>
              </w:rPr>
            </w:pPr>
            <w:r>
              <w:rPr>
                <w:rFonts w:hint="eastAsia"/>
                <w:lang w:eastAsia="en-US"/>
              </w:rPr>
              <w:t>2.41</w:t>
            </w:r>
          </w:p>
        </w:tc>
        <w:tc>
          <w:tcPr>
            <w:tcW w:w="375" w:type="pct"/>
            <w:vAlign w:val="center"/>
          </w:tcPr>
          <w:p w14:paraId="52157051">
            <w:pPr>
              <w:pStyle w:val="64"/>
              <w:rPr>
                <w:lang w:eastAsia="en-US"/>
              </w:rPr>
            </w:pPr>
            <w:r>
              <w:rPr>
                <w:rFonts w:hint="eastAsia"/>
                <w:lang w:eastAsia="en-US"/>
              </w:rPr>
              <w:t>2.39</w:t>
            </w:r>
          </w:p>
        </w:tc>
        <w:tc>
          <w:tcPr>
            <w:tcW w:w="375" w:type="pct"/>
            <w:vAlign w:val="center"/>
          </w:tcPr>
          <w:p w14:paraId="1B82A94C">
            <w:pPr>
              <w:pStyle w:val="64"/>
              <w:rPr>
                <w:lang w:eastAsia="en-US"/>
              </w:rPr>
            </w:pPr>
            <w:r>
              <w:rPr>
                <w:rFonts w:hint="eastAsia"/>
                <w:lang w:eastAsia="en-US"/>
              </w:rPr>
              <w:t>2.64</w:t>
            </w:r>
          </w:p>
        </w:tc>
        <w:tc>
          <w:tcPr>
            <w:tcW w:w="375" w:type="pct"/>
            <w:vAlign w:val="center"/>
          </w:tcPr>
          <w:p w14:paraId="7EA5823A">
            <w:pPr>
              <w:pStyle w:val="64"/>
              <w:rPr>
                <w:lang w:eastAsia="en-US"/>
              </w:rPr>
            </w:pPr>
            <w:r>
              <w:rPr>
                <w:rFonts w:hint="eastAsia"/>
                <w:lang w:eastAsia="en-US"/>
              </w:rPr>
              <w:t>2.02</w:t>
            </w:r>
          </w:p>
        </w:tc>
        <w:tc>
          <w:tcPr>
            <w:tcW w:w="372" w:type="pct"/>
            <w:vAlign w:val="center"/>
          </w:tcPr>
          <w:p w14:paraId="2E81DF10">
            <w:pPr>
              <w:pStyle w:val="64"/>
              <w:rPr>
                <w:lang w:eastAsia="en-US"/>
              </w:rPr>
            </w:pPr>
            <w:r>
              <w:rPr>
                <w:rFonts w:hint="eastAsia"/>
                <w:lang w:eastAsia="en-US"/>
              </w:rPr>
              <w:t>1.95</w:t>
            </w:r>
          </w:p>
        </w:tc>
        <w:tc>
          <w:tcPr>
            <w:tcW w:w="378" w:type="pct"/>
            <w:vAlign w:val="center"/>
          </w:tcPr>
          <w:p w14:paraId="4757232E">
            <w:pPr>
              <w:pStyle w:val="64"/>
              <w:rPr>
                <w:lang w:eastAsia="en-US"/>
              </w:rPr>
            </w:pPr>
            <w:r>
              <w:rPr>
                <w:rFonts w:hint="eastAsia"/>
                <w:lang w:eastAsia="en-US"/>
              </w:rPr>
              <w:t>1.75</w:t>
            </w:r>
          </w:p>
        </w:tc>
        <w:tc>
          <w:tcPr>
            <w:tcW w:w="378" w:type="pct"/>
            <w:vAlign w:val="center"/>
          </w:tcPr>
          <w:p w14:paraId="74ED88A7">
            <w:pPr>
              <w:pStyle w:val="64"/>
              <w:rPr>
                <w:lang w:eastAsia="en-US"/>
              </w:rPr>
            </w:pPr>
            <w:r>
              <w:rPr>
                <w:rFonts w:hint="eastAsia"/>
                <w:lang w:eastAsia="en-US"/>
              </w:rPr>
              <w:t>2.55</w:t>
            </w:r>
          </w:p>
        </w:tc>
        <w:tc>
          <w:tcPr>
            <w:tcW w:w="469" w:type="pct"/>
            <w:vAlign w:val="center"/>
          </w:tcPr>
          <w:p w14:paraId="57A072EA">
            <w:pPr>
              <w:pStyle w:val="64"/>
              <w:rPr>
                <w:lang w:eastAsia="en-US"/>
              </w:rPr>
            </w:pPr>
            <w:r>
              <w:rPr>
                <w:rFonts w:hint="eastAsia"/>
                <w:lang w:eastAsia="en-US"/>
              </w:rPr>
              <w:t>2.46</w:t>
            </w:r>
          </w:p>
        </w:tc>
      </w:tr>
    </w:tbl>
    <w:p w14:paraId="6AE472EE">
      <w:pPr>
        <w:pStyle w:val="171"/>
      </w:pPr>
    </w:p>
    <w:p w14:paraId="5919F2CB">
      <w:pPr>
        <w:pStyle w:val="16"/>
        <w:ind w:firstLine="480"/>
      </w:pPr>
      <w:r>
        <w:t>(3)基准年月季年风频变化统计</w:t>
      </w:r>
    </w:p>
    <w:p w14:paraId="538449F6">
      <w:pPr>
        <w:pStyle w:val="16"/>
        <w:ind w:firstLine="480"/>
      </w:pPr>
      <w:r>
        <w:t>根据对2023年蚌埠市气象站的地面站逐时气象数据的统计分析可知，绘出2023年蚌埠市年、季风向频率玫瑰图，见</w:t>
      </w:r>
      <w:r>
        <w:rPr>
          <w:rFonts w:hint="eastAsia"/>
        </w:rPr>
        <w:t>图6</w:t>
      </w:r>
      <w:r>
        <w:t>.2</w:t>
      </w:r>
      <w:r>
        <w:rPr>
          <w:rFonts w:hint="eastAsia"/>
        </w:rPr>
        <w:t>-1</w:t>
      </w:r>
      <w:r>
        <w:t>。</w:t>
      </w:r>
    </w:p>
    <w:p w14:paraId="151631A5">
      <w:pPr>
        <w:pStyle w:val="172"/>
      </w:pPr>
      <w:r>
        <w:drawing>
          <wp:inline distT="0" distB="0" distL="114300" distR="114300">
            <wp:extent cx="5039995" cy="5487670"/>
            <wp:effectExtent l="0" t="0" r="8255" b="0"/>
            <wp:docPr id="26" name="图片 26" descr="风向玫瑰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风向玫瑰图"/>
                    <pic:cNvPicPr>
                      <a:picLocks noChangeAspect="1"/>
                    </pic:cNvPicPr>
                  </pic:nvPicPr>
                  <pic:blipFill>
                    <a:blip r:embed="rId29"/>
                    <a:srcRect b="2360"/>
                    <a:stretch>
                      <a:fillRect/>
                    </a:stretch>
                  </pic:blipFill>
                  <pic:spPr>
                    <a:xfrm>
                      <a:off x="0" y="0"/>
                      <a:ext cx="5040000" cy="5488177"/>
                    </a:xfrm>
                    <a:prstGeom prst="rect">
                      <a:avLst/>
                    </a:prstGeom>
                    <a:ln>
                      <a:noFill/>
                    </a:ln>
                  </pic:spPr>
                </pic:pic>
              </a:graphicData>
            </a:graphic>
          </wp:inline>
        </w:drawing>
      </w:r>
    </w:p>
    <w:p w14:paraId="0F7B412A">
      <w:pPr>
        <w:pStyle w:val="28"/>
        <w:rPr>
          <w:rFonts w:hint="eastAsia"/>
        </w:rPr>
      </w:pPr>
      <w:r>
        <w:rPr>
          <w:rFonts w:hint="eastAsia"/>
        </w:rPr>
        <w:t>图6.2-1 蚌埠市气象台站风向频率玫瑰图</w:t>
      </w:r>
    </w:p>
    <w:p w14:paraId="067FA0E8">
      <w:pPr>
        <w:pStyle w:val="172"/>
        <w:sectPr>
          <w:pgSz w:w="11906" w:h="16838"/>
          <w:pgMar w:top="1418" w:right="1418" w:bottom="1418" w:left="1418" w:header="851" w:footer="992" w:gutter="0"/>
          <w:cols w:space="425" w:num="1"/>
          <w:docGrid w:type="lines" w:linePitch="326" w:charSpace="0"/>
        </w:sectPr>
      </w:pPr>
    </w:p>
    <w:p w14:paraId="694CA40B">
      <w:pPr>
        <w:pStyle w:val="28"/>
        <w:rPr>
          <w:rFonts w:hint="eastAsia"/>
        </w:rPr>
      </w:pPr>
      <w:r>
        <w:rPr>
          <w:rFonts w:hint="eastAsia"/>
        </w:rPr>
        <w:t>表6.2-6  蚌埠市年风向频率统计(单位：%)</w:t>
      </w:r>
    </w:p>
    <w:tbl>
      <w:tblPr>
        <w:tblStyle w:val="37"/>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72"/>
        <w:gridCol w:w="682"/>
        <w:gridCol w:w="756"/>
        <w:gridCol w:w="682"/>
        <w:gridCol w:w="805"/>
        <w:gridCol w:w="805"/>
        <w:gridCol w:w="688"/>
        <w:gridCol w:w="682"/>
        <w:gridCol w:w="682"/>
        <w:gridCol w:w="682"/>
        <w:gridCol w:w="756"/>
        <w:gridCol w:w="682"/>
        <w:gridCol w:w="853"/>
        <w:gridCol w:w="682"/>
        <w:gridCol w:w="893"/>
        <w:gridCol w:w="682"/>
        <w:gridCol w:w="840"/>
        <w:gridCol w:w="683"/>
      </w:tblGrid>
      <w:tr w14:paraId="2EEA23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88" w:type="pct"/>
            <w:vAlign w:val="center"/>
          </w:tcPr>
          <w:p w14:paraId="3C3E29F1">
            <w:pPr>
              <w:pStyle w:val="64"/>
            </w:pPr>
            <w:r>
              <w:rPr>
                <w:rFonts w:hint="eastAsia"/>
              </w:rPr>
              <w:t>风频(%)\风向</w:t>
            </w:r>
          </w:p>
        </w:tc>
        <w:tc>
          <w:tcPr>
            <w:tcW w:w="240" w:type="pct"/>
            <w:vAlign w:val="center"/>
          </w:tcPr>
          <w:p w14:paraId="37DBC444">
            <w:pPr>
              <w:pStyle w:val="64"/>
            </w:pPr>
            <w:r>
              <w:rPr>
                <w:rFonts w:hint="eastAsia"/>
              </w:rPr>
              <w:t>N</w:t>
            </w:r>
          </w:p>
        </w:tc>
        <w:tc>
          <w:tcPr>
            <w:tcW w:w="266" w:type="pct"/>
            <w:vAlign w:val="center"/>
          </w:tcPr>
          <w:p w14:paraId="050523A6">
            <w:pPr>
              <w:pStyle w:val="64"/>
            </w:pPr>
            <w:r>
              <w:rPr>
                <w:rFonts w:hint="eastAsia"/>
              </w:rPr>
              <w:t>NNE</w:t>
            </w:r>
          </w:p>
        </w:tc>
        <w:tc>
          <w:tcPr>
            <w:tcW w:w="240" w:type="pct"/>
            <w:vAlign w:val="center"/>
          </w:tcPr>
          <w:p w14:paraId="31353A99">
            <w:pPr>
              <w:pStyle w:val="64"/>
            </w:pPr>
            <w:r>
              <w:rPr>
                <w:rFonts w:hint="eastAsia"/>
              </w:rPr>
              <w:t>NE</w:t>
            </w:r>
          </w:p>
        </w:tc>
        <w:tc>
          <w:tcPr>
            <w:tcW w:w="283" w:type="pct"/>
            <w:vAlign w:val="center"/>
          </w:tcPr>
          <w:p w14:paraId="6215C843">
            <w:pPr>
              <w:pStyle w:val="64"/>
            </w:pPr>
            <w:r>
              <w:rPr>
                <w:rFonts w:hint="eastAsia"/>
              </w:rPr>
              <w:t>ENE</w:t>
            </w:r>
          </w:p>
        </w:tc>
        <w:tc>
          <w:tcPr>
            <w:tcW w:w="283" w:type="pct"/>
            <w:vAlign w:val="center"/>
          </w:tcPr>
          <w:p w14:paraId="78B09385">
            <w:pPr>
              <w:pStyle w:val="64"/>
            </w:pPr>
            <w:r>
              <w:rPr>
                <w:rFonts w:hint="eastAsia"/>
              </w:rPr>
              <w:t>E</w:t>
            </w:r>
          </w:p>
        </w:tc>
        <w:tc>
          <w:tcPr>
            <w:tcW w:w="242" w:type="pct"/>
            <w:vAlign w:val="center"/>
          </w:tcPr>
          <w:p w14:paraId="291845B6">
            <w:pPr>
              <w:pStyle w:val="64"/>
            </w:pPr>
            <w:r>
              <w:rPr>
                <w:rFonts w:hint="eastAsia"/>
              </w:rPr>
              <w:t>ESE</w:t>
            </w:r>
          </w:p>
        </w:tc>
        <w:tc>
          <w:tcPr>
            <w:tcW w:w="240" w:type="pct"/>
            <w:vAlign w:val="center"/>
          </w:tcPr>
          <w:p w14:paraId="23371C47">
            <w:pPr>
              <w:pStyle w:val="64"/>
            </w:pPr>
            <w:r>
              <w:rPr>
                <w:rFonts w:hint="eastAsia"/>
              </w:rPr>
              <w:t>SE</w:t>
            </w:r>
          </w:p>
        </w:tc>
        <w:tc>
          <w:tcPr>
            <w:tcW w:w="240" w:type="pct"/>
            <w:vAlign w:val="center"/>
          </w:tcPr>
          <w:p w14:paraId="14449C5F">
            <w:pPr>
              <w:pStyle w:val="64"/>
            </w:pPr>
            <w:r>
              <w:rPr>
                <w:rFonts w:hint="eastAsia"/>
              </w:rPr>
              <w:t>SSE</w:t>
            </w:r>
          </w:p>
        </w:tc>
        <w:tc>
          <w:tcPr>
            <w:tcW w:w="240" w:type="pct"/>
            <w:vAlign w:val="center"/>
          </w:tcPr>
          <w:p w14:paraId="272FB46A">
            <w:pPr>
              <w:pStyle w:val="64"/>
            </w:pPr>
            <w:r>
              <w:rPr>
                <w:rFonts w:hint="eastAsia"/>
              </w:rPr>
              <w:t>S</w:t>
            </w:r>
          </w:p>
        </w:tc>
        <w:tc>
          <w:tcPr>
            <w:tcW w:w="266" w:type="pct"/>
            <w:vAlign w:val="center"/>
          </w:tcPr>
          <w:p w14:paraId="6C29206B">
            <w:pPr>
              <w:pStyle w:val="64"/>
            </w:pPr>
            <w:r>
              <w:rPr>
                <w:rFonts w:hint="eastAsia"/>
              </w:rPr>
              <w:t>SSW</w:t>
            </w:r>
          </w:p>
        </w:tc>
        <w:tc>
          <w:tcPr>
            <w:tcW w:w="240" w:type="pct"/>
            <w:vAlign w:val="center"/>
          </w:tcPr>
          <w:p w14:paraId="00CDA7E1">
            <w:pPr>
              <w:pStyle w:val="64"/>
            </w:pPr>
            <w:r>
              <w:rPr>
                <w:rFonts w:hint="eastAsia"/>
              </w:rPr>
              <w:t>SW</w:t>
            </w:r>
          </w:p>
        </w:tc>
        <w:tc>
          <w:tcPr>
            <w:tcW w:w="300" w:type="pct"/>
            <w:vAlign w:val="center"/>
          </w:tcPr>
          <w:p w14:paraId="6CAE11B7">
            <w:pPr>
              <w:pStyle w:val="64"/>
            </w:pPr>
            <w:r>
              <w:rPr>
                <w:rFonts w:hint="eastAsia"/>
              </w:rPr>
              <w:t>WSW</w:t>
            </w:r>
          </w:p>
        </w:tc>
        <w:tc>
          <w:tcPr>
            <w:tcW w:w="240" w:type="pct"/>
            <w:vAlign w:val="center"/>
          </w:tcPr>
          <w:p w14:paraId="6CEA9569">
            <w:pPr>
              <w:pStyle w:val="64"/>
            </w:pPr>
            <w:r>
              <w:rPr>
                <w:rFonts w:hint="eastAsia"/>
              </w:rPr>
              <w:t>W</w:t>
            </w:r>
          </w:p>
        </w:tc>
        <w:tc>
          <w:tcPr>
            <w:tcW w:w="314" w:type="pct"/>
            <w:vAlign w:val="center"/>
          </w:tcPr>
          <w:p w14:paraId="7E72D327">
            <w:pPr>
              <w:pStyle w:val="64"/>
            </w:pPr>
            <w:r>
              <w:rPr>
                <w:rFonts w:hint="eastAsia"/>
              </w:rPr>
              <w:t>WNW</w:t>
            </w:r>
          </w:p>
        </w:tc>
        <w:tc>
          <w:tcPr>
            <w:tcW w:w="240" w:type="pct"/>
            <w:vAlign w:val="center"/>
          </w:tcPr>
          <w:p w14:paraId="161B82AC">
            <w:pPr>
              <w:pStyle w:val="64"/>
            </w:pPr>
            <w:r>
              <w:rPr>
                <w:rFonts w:hint="eastAsia"/>
              </w:rPr>
              <w:t>NW</w:t>
            </w:r>
          </w:p>
        </w:tc>
        <w:tc>
          <w:tcPr>
            <w:tcW w:w="295" w:type="pct"/>
            <w:vAlign w:val="center"/>
          </w:tcPr>
          <w:p w14:paraId="3870AB92">
            <w:pPr>
              <w:pStyle w:val="64"/>
            </w:pPr>
            <w:r>
              <w:rPr>
                <w:rFonts w:hint="eastAsia"/>
              </w:rPr>
              <w:t>NNW</w:t>
            </w:r>
          </w:p>
        </w:tc>
        <w:tc>
          <w:tcPr>
            <w:tcW w:w="240" w:type="pct"/>
            <w:vAlign w:val="center"/>
          </w:tcPr>
          <w:p w14:paraId="5572C486">
            <w:pPr>
              <w:pStyle w:val="64"/>
            </w:pPr>
            <w:r>
              <w:rPr>
                <w:rFonts w:hint="eastAsia"/>
              </w:rPr>
              <w:t>C</w:t>
            </w:r>
          </w:p>
        </w:tc>
      </w:tr>
      <w:tr w14:paraId="7563FC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88" w:type="pct"/>
            <w:vAlign w:val="center"/>
          </w:tcPr>
          <w:p w14:paraId="6757D8B1">
            <w:pPr>
              <w:pStyle w:val="64"/>
            </w:pPr>
            <w:r>
              <w:rPr>
                <w:rFonts w:hint="eastAsia"/>
              </w:rPr>
              <w:t>全年</w:t>
            </w:r>
          </w:p>
        </w:tc>
        <w:tc>
          <w:tcPr>
            <w:tcW w:w="240" w:type="pct"/>
            <w:vAlign w:val="center"/>
          </w:tcPr>
          <w:p w14:paraId="3020FB35">
            <w:pPr>
              <w:pStyle w:val="64"/>
            </w:pPr>
            <w:r>
              <w:rPr>
                <w:rFonts w:hint="eastAsia"/>
              </w:rPr>
              <w:t>3.73</w:t>
            </w:r>
          </w:p>
        </w:tc>
        <w:tc>
          <w:tcPr>
            <w:tcW w:w="266" w:type="pct"/>
            <w:vAlign w:val="center"/>
          </w:tcPr>
          <w:p w14:paraId="7C51F239">
            <w:pPr>
              <w:pStyle w:val="64"/>
            </w:pPr>
            <w:r>
              <w:rPr>
                <w:rFonts w:hint="eastAsia"/>
              </w:rPr>
              <w:t>4.16</w:t>
            </w:r>
          </w:p>
        </w:tc>
        <w:tc>
          <w:tcPr>
            <w:tcW w:w="240" w:type="pct"/>
            <w:vAlign w:val="center"/>
          </w:tcPr>
          <w:p w14:paraId="6EC669F8">
            <w:pPr>
              <w:pStyle w:val="64"/>
            </w:pPr>
            <w:r>
              <w:rPr>
                <w:rFonts w:hint="eastAsia"/>
              </w:rPr>
              <w:t>7.91</w:t>
            </w:r>
          </w:p>
        </w:tc>
        <w:tc>
          <w:tcPr>
            <w:tcW w:w="283" w:type="pct"/>
            <w:vAlign w:val="center"/>
          </w:tcPr>
          <w:p w14:paraId="4CDC3346">
            <w:pPr>
              <w:pStyle w:val="64"/>
            </w:pPr>
            <w:r>
              <w:rPr>
                <w:rFonts w:hint="eastAsia"/>
              </w:rPr>
              <w:t>16.20</w:t>
            </w:r>
          </w:p>
        </w:tc>
        <w:tc>
          <w:tcPr>
            <w:tcW w:w="283" w:type="pct"/>
            <w:vAlign w:val="center"/>
          </w:tcPr>
          <w:p w14:paraId="36A7D8BA">
            <w:pPr>
              <w:pStyle w:val="64"/>
            </w:pPr>
            <w:r>
              <w:rPr>
                <w:rFonts w:hint="eastAsia"/>
              </w:rPr>
              <w:t>17.47</w:t>
            </w:r>
          </w:p>
        </w:tc>
        <w:tc>
          <w:tcPr>
            <w:tcW w:w="242" w:type="pct"/>
            <w:vAlign w:val="center"/>
          </w:tcPr>
          <w:p w14:paraId="6032184F">
            <w:pPr>
              <w:pStyle w:val="64"/>
            </w:pPr>
            <w:r>
              <w:rPr>
                <w:rFonts w:hint="eastAsia"/>
              </w:rPr>
              <w:t>8.73</w:t>
            </w:r>
          </w:p>
        </w:tc>
        <w:tc>
          <w:tcPr>
            <w:tcW w:w="240" w:type="pct"/>
            <w:vAlign w:val="center"/>
          </w:tcPr>
          <w:p w14:paraId="7CDB6623">
            <w:pPr>
              <w:pStyle w:val="64"/>
            </w:pPr>
            <w:r>
              <w:rPr>
                <w:rFonts w:hint="eastAsia"/>
              </w:rPr>
              <w:t>4.36</w:t>
            </w:r>
          </w:p>
        </w:tc>
        <w:tc>
          <w:tcPr>
            <w:tcW w:w="240" w:type="pct"/>
            <w:vAlign w:val="center"/>
          </w:tcPr>
          <w:p w14:paraId="07EA4BF2">
            <w:pPr>
              <w:pStyle w:val="64"/>
            </w:pPr>
            <w:r>
              <w:rPr>
                <w:rFonts w:hint="eastAsia"/>
              </w:rPr>
              <w:t>3.84</w:t>
            </w:r>
          </w:p>
        </w:tc>
        <w:tc>
          <w:tcPr>
            <w:tcW w:w="240" w:type="pct"/>
            <w:vAlign w:val="center"/>
          </w:tcPr>
          <w:p w14:paraId="427046E0">
            <w:pPr>
              <w:pStyle w:val="64"/>
            </w:pPr>
            <w:r>
              <w:rPr>
                <w:rFonts w:hint="eastAsia"/>
              </w:rPr>
              <w:t>3.55</w:t>
            </w:r>
          </w:p>
        </w:tc>
        <w:tc>
          <w:tcPr>
            <w:tcW w:w="266" w:type="pct"/>
            <w:vAlign w:val="center"/>
          </w:tcPr>
          <w:p w14:paraId="685BCF8C">
            <w:pPr>
              <w:pStyle w:val="64"/>
            </w:pPr>
            <w:r>
              <w:rPr>
                <w:rFonts w:hint="eastAsia"/>
              </w:rPr>
              <w:t>6.00</w:t>
            </w:r>
          </w:p>
        </w:tc>
        <w:tc>
          <w:tcPr>
            <w:tcW w:w="240" w:type="pct"/>
            <w:vAlign w:val="center"/>
          </w:tcPr>
          <w:p w14:paraId="25361556">
            <w:pPr>
              <w:pStyle w:val="64"/>
            </w:pPr>
            <w:r>
              <w:rPr>
                <w:rFonts w:hint="eastAsia"/>
              </w:rPr>
              <w:t>5.27</w:t>
            </w:r>
          </w:p>
        </w:tc>
        <w:tc>
          <w:tcPr>
            <w:tcW w:w="300" w:type="pct"/>
            <w:vAlign w:val="center"/>
          </w:tcPr>
          <w:p w14:paraId="26DD582A">
            <w:pPr>
              <w:pStyle w:val="64"/>
            </w:pPr>
            <w:r>
              <w:rPr>
                <w:rFonts w:hint="eastAsia"/>
              </w:rPr>
              <w:t>4.02</w:t>
            </w:r>
          </w:p>
        </w:tc>
        <w:tc>
          <w:tcPr>
            <w:tcW w:w="240" w:type="pct"/>
            <w:vAlign w:val="center"/>
          </w:tcPr>
          <w:p w14:paraId="148C0785">
            <w:pPr>
              <w:pStyle w:val="64"/>
            </w:pPr>
            <w:r>
              <w:rPr>
                <w:rFonts w:hint="eastAsia"/>
              </w:rPr>
              <w:t>4.24</w:t>
            </w:r>
          </w:p>
        </w:tc>
        <w:tc>
          <w:tcPr>
            <w:tcW w:w="314" w:type="pct"/>
            <w:vAlign w:val="center"/>
          </w:tcPr>
          <w:p w14:paraId="5B093F00">
            <w:pPr>
              <w:pStyle w:val="64"/>
            </w:pPr>
            <w:r>
              <w:rPr>
                <w:rFonts w:hint="eastAsia"/>
              </w:rPr>
              <w:t>4.03</w:t>
            </w:r>
          </w:p>
        </w:tc>
        <w:tc>
          <w:tcPr>
            <w:tcW w:w="240" w:type="pct"/>
            <w:vAlign w:val="center"/>
          </w:tcPr>
          <w:p w14:paraId="0CC2B9FF">
            <w:pPr>
              <w:pStyle w:val="64"/>
            </w:pPr>
            <w:r>
              <w:rPr>
                <w:rFonts w:hint="eastAsia"/>
              </w:rPr>
              <w:t>2.41</w:t>
            </w:r>
          </w:p>
        </w:tc>
        <w:tc>
          <w:tcPr>
            <w:tcW w:w="295" w:type="pct"/>
            <w:vAlign w:val="center"/>
          </w:tcPr>
          <w:p w14:paraId="25661AB2">
            <w:pPr>
              <w:pStyle w:val="64"/>
            </w:pPr>
            <w:r>
              <w:rPr>
                <w:rFonts w:hint="eastAsia"/>
              </w:rPr>
              <w:t>2.57</w:t>
            </w:r>
          </w:p>
        </w:tc>
        <w:tc>
          <w:tcPr>
            <w:tcW w:w="240" w:type="pct"/>
            <w:vAlign w:val="center"/>
          </w:tcPr>
          <w:p w14:paraId="591AD4D6">
            <w:pPr>
              <w:pStyle w:val="64"/>
            </w:pPr>
            <w:r>
              <w:rPr>
                <w:rFonts w:hint="eastAsia"/>
              </w:rPr>
              <w:t>1.52</w:t>
            </w:r>
          </w:p>
        </w:tc>
      </w:tr>
    </w:tbl>
    <w:p w14:paraId="17CB0335">
      <w:pPr>
        <w:pStyle w:val="28"/>
        <w:rPr>
          <w:rFonts w:hint="eastAsia"/>
        </w:rPr>
      </w:pPr>
    </w:p>
    <w:p w14:paraId="6246BDAD">
      <w:pPr>
        <w:pStyle w:val="28"/>
        <w:rPr>
          <w:rFonts w:hint="eastAsia"/>
        </w:rPr>
      </w:pPr>
      <w:r>
        <w:rPr>
          <w:rFonts w:hint="eastAsia"/>
        </w:rPr>
        <w:t>表6.2-7  蚌埠市年风向频率统计(单位：%)</w:t>
      </w:r>
    </w:p>
    <w:tbl>
      <w:tblPr>
        <w:tblStyle w:val="37"/>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39"/>
        <w:gridCol w:w="668"/>
        <w:gridCol w:w="743"/>
        <w:gridCol w:w="789"/>
        <w:gridCol w:w="789"/>
        <w:gridCol w:w="789"/>
        <w:gridCol w:w="789"/>
        <w:gridCol w:w="669"/>
        <w:gridCol w:w="669"/>
        <w:gridCol w:w="669"/>
        <w:gridCol w:w="789"/>
        <w:gridCol w:w="669"/>
        <w:gridCol w:w="834"/>
        <w:gridCol w:w="669"/>
        <w:gridCol w:w="877"/>
        <w:gridCol w:w="669"/>
        <w:gridCol w:w="823"/>
        <w:gridCol w:w="669"/>
      </w:tblGrid>
      <w:tr w14:paraId="2D6218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6" w:type="pct"/>
            <w:vAlign w:val="center"/>
          </w:tcPr>
          <w:p w14:paraId="4EE7833E">
            <w:pPr>
              <w:pStyle w:val="64"/>
            </w:pPr>
            <w:r>
              <w:rPr>
                <w:rFonts w:hint="eastAsia"/>
              </w:rPr>
              <w:t>风频(%)\风向</w:t>
            </w:r>
          </w:p>
        </w:tc>
        <w:tc>
          <w:tcPr>
            <w:tcW w:w="235" w:type="pct"/>
            <w:vAlign w:val="center"/>
          </w:tcPr>
          <w:p w14:paraId="22A2C2DB">
            <w:pPr>
              <w:pStyle w:val="64"/>
            </w:pPr>
            <w:r>
              <w:rPr>
                <w:rFonts w:hint="eastAsia"/>
              </w:rPr>
              <w:t>N</w:t>
            </w:r>
          </w:p>
        </w:tc>
        <w:tc>
          <w:tcPr>
            <w:tcW w:w="261" w:type="pct"/>
            <w:vAlign w:val="center"/>
          </w:tcPr>
          <w:p w14:paraId="591A2386">
            <w:pPr>
              <w:pStyle w:val="64"/>
            </w:pPr>
            <w:r>
              <w:rPr>
                <w:rFonts w:hint="eastAsia"/>
              </w:rPr>
              <w:t>NNE</w:t>
            </w:r>
          </w:p>
        </w:tc>
        <w:tc>
          <w:tcPr>
            <w:tcW w:w="277" w:type="pct"/>
            <w:vAlign w:val="center"/>
          </w:tcPr>
          <w:p w14:paraId="5AD1AEF5">
            <w:pPr>
              <w:pStyle w:val="64"/>
            </w:pPr>
            <w:r>
              <w:rPr>
                <w:rFonts w:hint="eastAsia"/>
              </w:rPr>
              <w:t>NE</w:t>
            </w:r>
          </w:p>
        </w:tc>
        <w:tc>
          <w:tcPr>
            <w:tcW w:w="277" w:type="pct"/>
            <w:vAlign w:val="center"/>
          </w:tcPr>
          <w:p w14:paraId="3931E0B2">
            <w:pPr>
              <w:pStyle w:val="64"/>
            </w:pPr>
            <w:r>
              <w:rPr>
                <w:rFonts w:hint="eastAsia"/>
              </w:rPr>
              <w:t>ENE</w:t>
            </w:r>
          </w:p>
        </w:tc>
        <w:tc>
          <w:tcPr>
            <w:tcW w:w="277" w:type="pct"/>
            <w:vAlign w:val="center"/>
          </w:tcPr>
          <w:p w14:paraId="4985D186">
            <w:pPr>
              <w:pStyle w:val="64"/>
            </w:pPr>
            <w:r>
              <w:rPr>
                <w:rFonts w:hint="eastAsia"/>
              </w:rPr>
              <w:t>E</w:t>
            </w:r>
          </w:p>
        </w:tc>
        <w:tc>
          <w:tcPr>
            <w:tcW w:w="277" w:type="pct"/>
            <w:vAlign w:val="center"/>
          </w:tcPr>
          <w:p w14:paraId="2DC3D8BF">
            <w:pPr>
              <w:pStyle w:val="64"/>
            </w:pPr>
            <w:r>
              <w:rPr>
                <w:rFonts w:hint="eastAsia"/>
              </w:rPr>
              <w:t>ESE</w:t>
            </w:r>
          </w:p>
        </w:tc>
        <w:tc>
          <w:tcPr>
            <w:tcW w:w="235" w:type="pct"/>
            <w:vAlign w:val="center"/>
          </w:tcPr>
          <w:p w14:paraId="4D5EF3C6">
            <w:pPr>
              <w:pStyle w:val="64"/>
            </w:pPr>
            <w:r>
              <w:rPr>
                <w:rFonts w:hint="eastAsia"/>
              </w:rPr>
              <w:t>SE</w:t>
            </w:r>
          </w:p>
        </w:tc>
        <w:tc>
          <w:tcPr>
            <w:tcW w:w="235" w:type="pct"/>
            <w:vAlign w:val="center"/>
          </w:tcPr>
          <w:p w14:paraId="4EBACB58">
            <w:pPr>
              <w:pStyle w:val="64"/>
            </w:pPr>
            <w:r>
              <w:rPr>
                <w:rFonts w:hint="eastAsia"/>
              </w:rPr>
              <w:t>SSE</w:t>
            </w:r>
          </w:p>
        </w:tc>
        <w:tc>
          <w:tcPr>
            <w:tcW w:w="235" w:type="pct"/>
            <w:vAlign w:val="center"/>
          </w:tcPr>
          <w:p w14:paraId="6F17D5B1">
            <w:pPr>
              <w:pStyle w:val="64"/>
            </w:pPr>
            <w:r>
              <w:rPr>
                <w:rFonts w:hint="eastAsia"/>
              </w:rPr>
              <w:t>S</w:t>
            </w:r>
          </w:p>
        </w:tc>
        <w:tc>
          <w:tcPr>
            <w:tcW w:w="277" w:type="pct"/>
            <w:vAlign w:val="center"/>
          </w:tcPr>
          <w:p w14:paraId="006DE8A2">
            <w:pPr>
              <w:pStyle w:val="64"/>
            </w:pPr>
            <w:r>
              <w:rPr>
                <w:rFonts w:hint="eastAsia"/>
              </w:rPr>
              <w:t>SSW</w:t>
            </w:r>
          </w:p>
        </w:tc>
        <w:tc>
          <w:tcPr>
            <w:tcW w:w="235" w:type="pct"/>
            <w:vAlign w:val="center"/>
          </w:tcPr>
          <w:p w14:paraId="13822FC0">
            <w:pPr>
              <w:pStyle w:val="64"/>
            </w:pPr>
            <w:r>
              <w:rPr>
                <w:rFonts w:hint="eastAsia"/>
              </w:rPr>
              <w:t>SW</w:t>
            </w:r>
          </w:p>
        </w:tc>
        <w:tc>
          <w:tcPr>
            <w:tcW w:w="293" w:type="pct"/>
            <w:vAlign w:val="center"/>
          </w:tcPr>
          <w:p w14:paraId="046E8244">
            <w:pPr>
              <w:pStyle w:val="64"/>
            </w:pPr>
            <w:r>
              <w:rPr>
                <w:rFonts w:hint="eastAsia"/>
              </w:rPr>
              <w:t>WSW</w:t>
            </w:r>
          </w:p>
        </w:tc>
        <w:tc>
          <w:tcPr>
            <w:tcW w:w="235" w:type="pct"/>
            <w:vAlign w:val="center"/>
          </w:tcPr>
          <w:p w14:paraId="1E881B72">
            <w:pPr>
              <w:pStyle w:val="64"/>
            </w:pPr>
            <w:r>
              <w:rPr>
                <w:rFonts w:hint="eastAsia"/>
              </w:rPr>
              <w:t>W</w:t>
            </w:r>
          </w:p>
        </w:tc>
        <w:tc>
          <w:tcPr>
            <w:tcW w:w="308" w:type="pct"/>
            <w:vAlign w:val="center"/>
          </w:tcPr>
          <w:p w14:paraId="6691B11A">
            <w:pPr>
              <w:pStyle w:val="64"/>
            </w:pPr>
            <w:r>
              <w:rPr>
                <w:rFonts w:hint="eastAsia"/>
              </w:rPr>
              <w:t>WNW</w:t>
            </w:r>
          </w:p>
        </w:tc>
        <w:tc>
          <w:tcPr>
            <w:tcW w:w="235" w:type="pct"/>
            <w:vAlign w:val="center"/>
          </w:tcPr>
          <w:p w14:paraId="7E441BFA">
            <w:pPr>
              <w:pStyle w:val="64"/>
            </w:pPr>
            <w:r>
              <w:rPr>
                <w:rFonts w:hint="eastAsia"/>
              </w:rPr>
              <w:t>NW</w:t>
            </w:r>
          </w:p>
        </w:tc>
        <w:tc>
          <w:tcPr>
            <w:tcW w:w="289" w:type="pct"/>
            <w:vAlign w:val="center"/>
          </w:tcPr>
          <w:p w14:paraId="15F25323">
            <w:pPr>
              <w:pStyle w:val="64"/>
            </w:pPr>
            <w:r>
              <w:rPr>
                <w:rFonts w:hint="eastAsia"/>
              </w:rPr>
              <w:t>NNW</w:t>
            </w:r>
          </w:p>
        </w:tc>
        <w:tc>
          <w:tcPr>
            <w:tcW w:w="235" w:type="pct"/>
            <w:vAlign w:val="center"/>
          </w:tcPr>
          <w:p w14:paraId="0C6C2F5F">
            <w:pPr>
              <w:pStyle w:val="64"/>
            </w:pPr>
            <w:r>
              <w:rPr>
                <w:rFonts w:hint="eastAsia"/>
              </w:rPr>
              <w:t>C</w:t>
            </w:r>
          </w:p>
        </w:tc>
      </w:tr>
      <w:tr w14:paraId="1BF4A6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6" w:type="pct"/>
            <w:vAlign w:val="center"/>
          </w:tcPr>
          <w:p w14:paraId="2746F0FC">
            <w:pPr>
              <w:pStyle w:val="64"/>
            </w:pPr>
            <w:r>
              <w:rPr>
                <w:rFonts w:hint="eastAsia"/>
              </w:rPr>
              <w:t>一月</w:t>
            </w:r>
          </w:p>
        </w:tc>
        <w:tc>
          <w:tcPr>
            <w:tcW w:w="235" w:type="pct"/>
            <w:vAlign w:val="center"/>
          </w:tcPr>
          <w:p w14:paraId="6797BD93">
            <w:pPr>
              <w:pStyle w:val="64"/>
            </w:pPr>
            <w:r>
              <w:rPr>
                <w:rFonts w:hint="eastAsia"/>
              </w:rPr>
              <w:t>4.84</w:t>
            </w:r>
          </w:p>
        </w:tc>
        <w:tc>
          <w:tcPr>
            <w:tcW w:w="261" w:type="pct"/>
            <w:vAlign w:val="center"/>
          </w:tcPr>
          <w:p w14:paraId="43509BED">
            <w:pPr>
              <w:pStyle w:val="64"/>
            </w:pPr>
            <w:r>
              <w:rPr>
                <w:rFonts w:hint="eastAsia"/>
              </w:rPr>
              <w:t>5.91</w:t>
            </w:r>
          </w:p>
        </w:tc>
        <w:tc>
          <w:tcPr>
            <w:tcW w:w="277" w:type="pct"/>
            <w:vAlign w:val="center"/>
          </w:tcPr>
          <w:p w14:paraId="067A9FAE">
            <w:pPr>
              <w:pStyle w:val="64"/>
            </w:pPr>
            <w:r>
              <w:rPr>
                <w:rFonts w:hint="eastAsia"/>
              </w:rPr>
              <w:t>7.53</w:t>
            </w:r>
          </w:p>
        </w:tc>
        <w:tc>
          <w:tcPr>
            <w:tcW w:w="277" w:type="pct"/>
            <w:vAlign w:val="center"/>
          </w:tcPr>
          <w:p w14:paraId="294C7BC0">
            <w:pPr>
              <w:pStyle w:val="64"/>
            </w:pPr>
            <w:r>
              <w:rPr>
                <w:rFonts w:hint="eastAsia"/>
              </w:rPr>
              <w:t>13.17</w:t>
            </w:r>
          </w:p>
        </w:tc>
        <w:tc>
          <w:tcPr>
            <w:tcW w:w="277" w:type="pct"/>
            <w:vAlign w:val="center"/>
          </w:tcPr>
          <w:p w14:paraId="76344EA9">
            <w:pPr>
              <w:pStyle w:val="64"/>
            </w:pPr>
            <w:r>
              <w:rPr>
                <w:rFonts w:hint="eastAsia"/>
              </w:rPr>
              <w:t>17.74</w:t>
            </w:r>
          </w:p>
        </w:tc>
        <w:tc>
          <w:tcPr>
            <w:tcW w:w="277" w:type="pct"/>
            <w:vAlign w:val="center"/>
          </w:tcPr>
          <w:p w14:paraId="4FBAA866">
            <w:pPr>
              <w:pStyle w:val="64"/>
            </w:pPr>
            <w:r>
              <w:rPr>
                <w:rFonts w:hint="eastAsia"/>
              </w:rPr>
              <w:t>6.85</w:t>
            </w:r>
          </w:p>
        </w:tc>
        <w:tc>
          <w:tcPr>
            <w:tcW w:w="235" w:type="pct"/>
            <w:vAlign w:val="center"/>
          </w:tcPr>
          <w:p w14:paraId="46DB2666">
            <w:pPr>
              <w:pStyle w:val="64"/>
            </w:pPr>
            <w:r>
              <w:rPr>
                <w:rFonts w:hint="eastAsia"/>
              </w:rPr>
              <w:t>3.90</w:t>
            </w:r>
          </w:p>
        </w:tc>
        <w:tc>
          <w:tcPr>
            <w:tcW w:w="235" w:type="pct"/>
            <w:vAlign w:val="center"/>
          </w:tcPr>
          <w:p w14:paraId="605CEC9F">
            <w:pPr>
              <w:pStyle w:val="64"/>
            </w:pPr>
            <w:r>
              <w:rPr>
                <w:rFonts w:hint="eastAsia"/>
              </w:rPr>
              <w:t>3.36</w:t>
            </w:r>
          </w:p>
        </w:tc>
        <w:tc>
          <w:tcPr>
            <w:tcW w:w="235" w:type="pct"/>
            <w:vAlign w:val="center"/>
          </w:tcPr>
          <w:p w14:paraId="67EE7A3C">
            <w:pPr>
              <w:pStyle w:val="64"/>
            </w:pPr>
            <w:r>
              <w:rPr>
                <w:rFonts w:hint="eastAsia"/>
              </w:rPr>
              <w:t>3.63</w:t>
            </w:r>
          </w:p>
        </w:tc>
        <w:tc>
          <w:tcPr>
            <w:tcW w:w="277" w:type="pct"/>
            <w:vAlign w:val="center"/>
          </w:tcPr>
          <w:p w14:paraId="42D42DE8">
            <w:pPr>
              <w:pStyle w:val="64"/>
            </w:pPr>
            <w:r>
              <w:rPr>
                <w:rFonts w:hint="eastAsia"/>
              </w:rPr>
              <w:t>3.49</w:t>
            </w:r>
          </w:p>
        </w:tc>
        <w:tc>
          <w:tcPr>
            <w:tcW w:w="235" w:type="pct"/>
            <w:vAlign w:val="center"/>
          </w:tcPr>
          <w:p w14:paraId="60F1FC83">
            <w:pPr>
              <w:pStyle w:val="64"/>
            </w:pPr>
            <w:r>
              <w:rPr>
                <w:rFonts w:hint="eastAsia"/>
              </w:rPr>
              <w:t>5.51</w:t>
            </w:r>
          </w:p>
        </w:tc>
        <w:tc>
          <w:tcPr>
            <w:tcW w:w="293" w:type="pct"/>
            <w:vAlign w:val="center"/>
          </w:tcPr>
          <w:p w14:paraId="3E71289F">
            <w:pPr>
              <w:pStyle w:val="64"/>
            </w:pPr>
            <w:r>
              <w:rPr>
                <w:rFonts w:hint="eastAsia"/>
              </w:rPr>
              <w:t>3.63</w:t>
            </w:r>
          </w:p>
        </w:tc>
        <w:tc>
          <w:tcPr>
            <w:tcW w:w="235" w:type="pct"/>
            <w:vAlign w:val="center"/>
          </w:tcPr>
          <w:p w14:paraId="16303F58">
            <w:pPr>
              <w:pStyle w:val="64"/>
            </w:pPr>
            <w:r>
              <w:rPr>
                <w:rFonts w:hint="eastAsia"/>
              </w:rPr>
              <w:t>5.38</w:t>
            </w:r>
          </w:p>
        </w:tc>
        <w:tc>
          <w:tcPr>
            <w:tcW w:w="308" w:type="pct"/>
            <w:vAlign w:val="center"/>
          </w:tcPr>
          <w:p w14:paraId="53FAD5CE">
            <w:pPr>
              <w:pStyle w:val="64"/>
            </w:pPr>
            <w:r>
              <w:rPr>
                <w:rFonts w:hint="eastAsia"/>
              </w:rPr>
              <w:t>5.65</w:t>
            </w:r>
          </w:p>
        </w:tc>
        <w:tc>
          <w:tcPr>
            <w:tcW w:w="235" w:type="pct"/>
            <w:vAlign w:val="center"/>
          </w:tcPr>
          <w:p w14:paraId="58E91A93">
            <w:pPr>
              <w:pStyle w:val="64"/>
            </w:pPr>
            <w:r>
              <w:rPr>
                <w:rFonts w:hint="eastAsia"/>
              </w:rPr>
              <w:t>2.82</w:t>
            </w:r>
          </w:p>
        </w:tc>
        <w:tc>
          <w:tcPr>
            <w:tcW w:w="289" w:type="pct"/>
            <w:vAlign w:val="center"/>
          </w:tcPr>
          <w:p w14:paraId="01AD51F9">
            <w:pPr>
              <w:pStyle w:val="64"/>
            </w:pPr>
            <w:r>
              <w:rPr>
                <w:rFonts w:hint="eastAsia"/>
              </w:rPr>
              <w:t>4.44</w:t>
            </w:r>
          </w:p>
        </w:tc>
        <w:tc>
          <w:tcPr>
            <w:tcW w:w="235" w:type="pct"/>
            <w:vAlign w:val="center"/>
          </w:tcPr>
          <w:p w14:paraId="712E6564">
            <w:pPr>
              <w:pStyle w:val="64"/>
            </w:pPr>
            <w:r>
              <w:rPr>
                <w:rFonts w:hint="eastAsia"/>
              </w:rPr>
              <w:t>2.15</w:t>
            </w:r>
          </w:p>
        </w:tc>
      </w:tr>
      <w:tr w14:paraId="0FDA80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6" w:type="pct"/>
            <w:vAlign w:val="center"/>
          </w:tcPr>
          <w:p w14:paraId="13A10F72">
            <w:pPr>
              <w:pStyle w:val="64"/>
            </w:pPr>
            <w:r>
              <w:rPr>
                <w:rFonts w:hint="eastAsia"/>
              </w:rPr>
              <w:t>二月</w:t>
            </w:r>
          </w:p>
        </w:tc>
        <w:tc>
          <w:tcPr>
            <w:tcW w:w="235" w:type="pct"/>
            <w:vAlign w:val="center"/>
          </w:tcPr>
          <w:p w14:paraId="24DA4136">
            <w:pPr>
              <w:pStyle w:val="64"/>
            </w:pPr>
            <w:r>
              <w:rPr>
                <w:rFonts w:hint="eastAsia"/>
              </w:rPr>
              <w:t>3.72</w:t>
            </w:r>
          </w:p>
        </w:tc>
        <w:tc>
          <w:tcPr>
            <w:tcW w:w="261" w:type="pct"/>
            <w:vAlign w:val="center"/>
          </w:tcPr>
          <w:p w14:paraId="64048251">
            <w:pPr>
              <w:pStyle w:val="64"/>
            </w:pPr>
            <w:r>
              <w:rPr>
                <w:rFonts w:hint="eastAsia"/>
              </w:rPr>
              <w:t>4.46</w:t>
            </w:r>
          </w:p>
        </w:tc>
        <w:tc>
          <w:tcPr>
            <w:tcW w:w="277" w:type="pct"/>
            <w:vAlign w:val="center"/>
          </w:tcPr>
          <w:p w14:paraId="1C084521">
            <w:pPr>
              <w:pStyle w:val="64"/>
            </w:pPr>
            <w:r>
              <w:rPr>
                <w:rFonts w:hint="eastAsia"/>
              </w:rPr>
              <w:t>7.89</w:t>
            </w:r>
          </w:p>
        </w:tc>
        <w:tc>
          <w:tcPr>
            <w:tcW w:w="277" w:type="pct"/>
            <w:vAlign w:val="center"/>
          </w:tcPr>
          <w:p w14:paraId="0450C574">
            <w:pPr>
              <w:pStyle w:val="64"/>
            </w:pPr>
            <w:r>
              <w:rPr>
                <w:rFonts w:hint="eastAsia"/>
              </w:rPr>
              <w:t>21.73</w:t>
            </w:r>
          </w:p>
        </w:tc>
        <w:tc>
          <w:tcPr>
            <w:tcW w:w="277" w:type="pct"/>
            <w:vAlign w:val="center"/>
          </w:tcPr>
          <w:p w14:paraId="29B3AB0A">
            <w:pPr>
              <w:pStyle w:val="64"/>
            </w:pPr>
            <w:r>
              <w:rPr>
                <w:rFonts w:hint="eastAsia"/>
              </w:rPr>
              <w:t>32.14</w:t>
            </w:r>
          </w:p>
        </w:tc>
        <w:tc>
          <w:tcPr>
            <w:tcW w:w="277" w:type="pct"/>
            <w:vAlign w:val="center"/>
          </w:tcPr>
          <w:p w14:paraId="6CB56570">
            <w:pPr>
              <w:pStyle w:val="64"/>
            </w:pPr>
            <w:r>
              <w:rPr>
                <w:rFonts w:hint="eastAsia"/>
              </w:rPr>
              <w:t>11.01</w:t>
            </w:r>
          </w:p>
        </w:tc>
        <w:tc>
          <w:tcPr>
            <w:tcW w:w="235" w:type="pct"/>
            <w:vAlign w:val="center"/>
          </w:tcPr>
          <w:p w14:paraId="06016C7B">
            <w:pPr>
              <w:pStyle w:val="64"/>
            </w:pPr>
            <w:r>
              <w:rPr>
                <w:rFonts w:hint="eastAsia"/>
              </w:rPr>
              <w:t>3.13</w:t>
            </w:r>
          </w:p>
        </w:tc>
        <w:tc>
          <w:tcPr>
            <w:tcW w:w="235" w:type="pct"/>
            <w:vAlign w:val="center"/>
          </w:tcPr>
          <w:p w14:paraId="7FAB68A5">
            <w:pPr>
              <w:pStyle w:val="64"/>
            </w:pPr>
            <w:r>
              <w:rPr>
                <w:rFonts w:hint="eastAsia"/>
              </w:rPr>
              <w:t>2.08</w:t>
            </w:r>
          </w:p>
        </w:tc>
        <w:tc>
          <w:tcPr>
            <w:tcW w:w="235" w:type="pct"/>
            <w:vAlign w:val="center"/>
          </w:tcPr>
          <w:p w14:paraId="6DDA8A75">
            <w:pPr>
              <w:pStyle w:val="64"/>
            </w:pPr>
            <w:r>
              <w:rPr>
                <w:rFonts w:hint="eastAsia"/>
              </w:rPr>
              <w:t>1.49</w:t>
            </w:r>
          </w:p>
        </w:tc>
        <w:tc>
          <w:tcPr>
            <w:tcW w:w="277" w:type="pct"/>
            <w:vAlign w:val="center"/>
          </w:tcPr>
          <w:p w14:paraId="73FEA8E8">
            <w:pPr>
              <w:pStyle w:val="64"/>
            </w:pPr>
            <w:r>
              <w:rPr>
                <w:rFonts w:hint="eastAsia"/>
              </w:rPr>
              <w:t>1.19</w:t>
            </w:r>
          </w:p>
        </w:tc>
        <w:tc>
          <w:tcPr>
            <w:tcW w:w="235" w:type="pct"/>
            <w:vAlign w:val="center"/>
          </w:tcPr>
          <w:p w14:paraId="0BA2B69C">
            <w:pPr>
              <w:pStyle w:val="64"/>
            </w:pPr>
            <w:r>
              <w:rPr>
                <w:rFonts w:hint="eastAsia"/>
              </w:rPr>
              <w:t>1.19</w:t>
            </w:r>
          </w:p>
        </w:tc>
        <w:tc>
          <w:tcPr>
            <w:tcW w:w="293" w:type="pct"/>
            <w:vAlign w:val="center"/>
          </w:tcPr>
          <w:p w14:paraId="7C44288E">
            <w:pPr>
              <w:pStyle w:val="64"/>
            </w:pPr>
            <w:r>
              <w:rPr>
                <w:rFonts w:hint="eastAsia"/>
              </w:rPr>
              <w:t>1.49</w:t>
            </w:r>
          </w:p>
        </w:tc>
        <w:tc>
          <w:tcPr>
            <w:tcW w:w="235" w:type="pct"/>
            <w:vAlign w:val="center"/>
          </w:tcPr>
          <w:p w14:paraId="5DD4BE07">
            <w:pPr>
              <w:pStyle w:val="64"/>
            </w:pPr>
            <w:r>
              <w:rPr>
                <w:rFonts w:hint="eastAsia"/>
              </w:rPr>
              <w:t>2.68</w:t>
            </w:r>
          </w:p>
        </w:tc>
        <w:tc>
          <w:tcPr>
            <w:tcW w:w="308" w:type="pct"/>
            <w:vAlign w:val="center"/>
          </w:tcPr>
          <w:p w14:paraId="458B08DB">
            <w:pPr>
              <w:pStyle w:val="64"/>
            </w:pPr>
            <w:r>
              <w:rPr>
                <w:rFonts w:hint="eastAsia"/>
              </w:rPr>
              <w:t>2.23</w:t>
            </w:r>
          </w:p>
        </w:tc>
        <w:tc>
          <w:tcPr>
            <w:tcW w:w="235" w:type="pct"/>
            <w:vAlign w:val="center"/>
          </w:tcPr>
          <w:p w14:paraId="01DF8C22">
            <w:pPr>
              <w:pStyle w:val="64"/>
            </w:pPr>
            <w:r>
              <w:rPr>
                <w:rFonts w:hint="eastAsia"/>
              </w:rPr>
              <w:t>0.74</w:t>
            </w:r>
          </w:p>
        </w:tc>
        <w:tc>
          <w:tcPr>
            <w:tcW w:w="289" w:type="pct"/>
            <w:vAlign w:val="center"/>
          </w:tcPr>
          <w:p w14:paraId="780FAE45">
            <w:pPr>
              <w:pStyle w:val="64"/>
            </w:pPr>
            <w:r>
              <w:rPr>
                <w:rFonts w:hint="eastAsia"/>
              </w:rPr>
              <w:t>1.64</w:t>
            </w:r>
          </w:p>
        </w:tc>
        <w:tc>
          <w:tcPr>
            <w:tcW w:w="235" w:type="pct"/>
            <w:vAlign w:val="center"/>
          </w:tcPr>
          <w:p w14:paraId="0C9D7692">
            <w:pPr>
              <w:pStyle w:val="64"/>
            </w:pPr>
            <w:r>
              <w:rPr>
                <w:rFonts w:hint="eastAsia"/>
              </w:rPr>
              <w:t>1.19</w:t>
            </w:r>
          </w:p>
        </w:tc>
      </w:tr>
      <w:tr w14:paraId="4220CD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6" w:type="pct"/>
            <w:vAlign w:val="center"/>
          </w:tcPr>
          <w:p w14:paraId="4C6D6C59">
            <w:pPr>
              <w:pStyle w:val="64"/>
            </w:pPr>
            <w:r>
              <w:rPr>
                <w:rFonts w:hint="eastAsia"/>
              </w:rPr>
              <w:t>三月</w:t>
            </w:r>
          </w:p>
        </w:tc>
        <w:tc>
          <w:tcPr>
            <w:tcW w:w="235" w:type="pct"/>
            <w:vAlign w:val="center"/>
          </w:tcPr>
          <w:p w14:paraId="1CE25ED6">
            <w:pPr>
              <w:pStyle w:val="64"/>
            </w:pPr>
            <w:r>
              <w:rPr>
                <w:rFonts w:hint="eastAsia"/>
              </w:rPr>
              <w:t>4.70</w:t>
            </w:r>
          </w:p>
        </w:tc>
        <w:tc>
          <w:tcPr>
            <w:tcW w:w="261" w:type="pct"/>
            <w:vAlign w:val="center"/>
          </w:tcPr>
          <w:p w14:paraId="335CFCAD">
            <w:pPr>
              <w:pStyle w:val="64"/>
            </w:pPr>
            <w:r>
              <w:rPr>
                <w:rFonts w:hint="eastAsia"/>
              </w:rPr>
              <w:t>4.30</w:t>
            </w:r>
          </w:p>
        </w:tc>
        <w:tc>
          <w:tcPr>
            <w:tcW w:w="277" w:type="pct"/>
            <w:vAlign w:val="center"/>
          </w:tcPr>
          <w:p w14:paraId="115656E3">
            <w:pPr>
              <w:pStyle w:val="64"/>
            </w:pPr>
            <w:r>
              <w:rPr>
                <w:rFonts w:hint="eastAsia"/>
              </w:rPr>
              <w:t>8.60</w:t>
            </w:r>
          </w:p>
        </w:tc>
        <w:tc>
          <w:tcPr>
            <w:tcW w:w="277" w:type="pct"/>
            <w:vAlign w:val="center"/>
          </w:tcPr>
          <w:p w14:paraId="384FF45E">
            <w:pPr>
              <w:pStyle w:val="64"/>
            </w:pPr>
            <w:r>
              <w:rPr>
                <w:rFonts w:hint="eastAsia"/>
              </w:rPr>
              <w:t>15.59</w:t>
            </w:r>
          </w:p>
        </w:tc>
        <w:tc>
          <w:tcPr>
            <w:tcW w:w="277" w:type="pct"/>
            <w:vAlign w:val="center"/>
          </w:tcPr>
          <w:p w14:paraId="6E5E92F0">
            <w:pPr>
              <w:pStyle w:val="64"/>
            </w:pPr>
            <w:r>
              <w:rPr>
                <w:rFonts w:hint="eastAsia"/>
              </w:rPr>
              <w:t>18.41</w:t>
            </w:r>
          </w:p>
        </w:tc>
        <w:tc>
          <w:tcPr>
            <w:tcW w:w="277" w:type="pct"/>
            <w:vAlign w:val="center"/>
          </w:tcPr>
          <w:p w14:paraId="3D37E465">
            <w:pPr>
              <w:pStyle w:val="64"/>
            </w:pPr>
            <w:r>
              <w:rPr>
                <w:rFonts w:hint="eastAsia"/>
              </w:rPr>
              <w:t>8.87</w:t>
            </w:r>
          </w:p>
        </w:tc>
        <w:tc>
          <w:tcPr>
            <w:tcW w:w="235" w:type="pct"/>
            <w:vAlign w:val="center"/>
          </w:tcPr>
          <w:p w14:paraId="2441BD0D">
            <w:pPr>
              <w:pStyle w:val="64"/>
            </w:pPr>
            <w:r>
              <w:rPr>
                <w:rFonts w:hint="eastAsia"/>
              </w:rPr>
              <w:t>3.90</w:t>
            </w:r>
          </w:p>
        </w:tc>
        <w:tc>
          <w:tcPr>
            <w:tcW w:w="235" w:type="pct"/>
            <w:vAlign w:val="center"/>
          </w:tcPr>
          <w:p w14:paraId="08FE64B5">
            <w:pPr>
              <w:pStyle w:val="64"/>
            </w:pPr>
            <w:r>
              <w:rPr>
                <w:rFonts w:hint="eastAsia"/>
              </w:rPr>
              <w:t>4.03</w:t>
            </w:r>
          </w:p>
        </w:tc>
        <w:tc>
          <w:tcPr>
            <w:tcW w:w="235" w:type="pct"/>
            <w:vAlign w:val="center"/>
          </w:tcPr>
          <w:p w14:paraId="226A2416">
            <w:pPr>
              <w:pStyle w:val="64"/>
            </w:pPr>
            <w:r>
              <w:rPr>
                <w:rFonts w:hint="eastAsia"/>
              </w:rPr>
              <w:t>4.30</w:t>
            </w:r>
          </w:p>
        </w:tc>
        <w:tc>
          <w:tcPr>
            <w:tcW w:w="277" w:type="pct"/>
            <w:vAlign w:val="center"/>
          </w:tcPr>
          <w:p w14:paraId="5CF71989">
            <w:pPr>
              <w:pStyle w:val="64"/>
            </w:pPr>
            <w:r>
              <w:rPr>
                <w:rFonts w:hint="eastAsia"/>
              </w:rPr>
              <w:t>8.74</w:t>
            </w:r>
          </w:p>
        </w:tc>
        <w:tc>
          <w:tcPr>
            <w:tcW w:w="235" w:type="pct"/>
            <w:vAlign w:val="center"/>
          </w:tcPr>
          <w:p w14:paraId="0E9B89CB">
            <w:pPr>
              <w:pStyle w:val="64"/>
            </w:pPr>
            <w:r>
              <w:rPr>
                <w:rFonts w:hint="eastAsia"/>
              </w:rPr>
              <w:t>4.84</w:t>
            </w:r>
          </w:p>
        </w:tc>
        <w:tc>
          <w:tcPr>
            <w:tcW w:w="293" w:type="pct"/>
            <w:vAlign w:val="center"/>
          </w:tcPr>
          <w:p w14:paraId="0001EF3E">
            <w:pPr>
              <w:pStyle w:val="64"/>
            </w:pPr>
            <w:r>
              <w:rPr>
                <w:rFonts w:hint="eastAsia"/>
              </w:rPr>
              <w:t>4.30</w:t>
            </w:r>
          </w:p>
        </w:tc>
        <w:tc>
          <w:tcPr>
            <w:tcW w:w="235" w:type="pct"/>
            <w:vAlign w:val="center"/>
          </w:tcPr>
          <w:p w14:paraId="6543BD5E">
            <w:pPr>
              <w:pStyle w:val="64"/>
            </w:pPr>
            <w:r>
              <w:rPr>
                <w:rFonts w:hint="eastAsia"/>
              </w:rPr>
              <w:t>2.96</w:t>
            </w:r>
          </w:p>
        </w:tc>
        <w:tc>
          <w:tcPr>
            <w:tcW w:w="308" w:type="pct"/>
            <w:vAlign w:val="center"/>
          </w:tcPr>
          <w:p w14:paraId="72C4A08E">
            <w:pPr>
              <w:pStyle w:val="64"/>
            </w:pPr>
            <w:r>
              <w:rPr>
                <w:rFonts w:hint="eastAsia"/>
              </w:rPr>
              <w:t>1.88</w:t>
            </w:r>
          </w:p>
        </w:tc>
        <w:tc>
          <w:tcPr>
            <w:tcW w:w="235" w:type="pct"/>
            <w:vAlign w:val="center"/>
          </w:tcPr>
          <w:p w14:paraId="7C505461">
            <w:pPr>
              <w:pStyle w:val="64"/>
            </w:pPr>
            <w:r>
              <w:rPr>
                <w:rFonts w:hint="eastAsia"/>
              </w:rPr>
              <w:t>1.21</w:t>
            </w:r>
          </w:p>
        </w:tc>
        <w:tc>
          <w:tcPr>
            <w:tcW w:w="289" w:type="pct"/>
            <w:vAlign w:val="center"/>
          </w:tcPr>
          <w:p w14:paraId="30C2038D">
            <w:pPr>
              <w:pStyle w:val="64"/>
            </w:pPr>
            <w:r>
              <w:rPr>
                <w:rFonts w:hint="eastAsia"/>
              </w:rPr>
              <w:t>1.61</w:t>
            </w:r>
          </w:p>
        </w:tc>
        <w:tc>
          <w:tcPr>
            <w:tcW w:w="235" w:type="pct"/>
            <w:vAlign w:val="center"/>
          </w:tcPr>
          <w:p w14:paraId="1E0F0ADF">
            <w:pPr>
              <w:pStyle w:val="64"/>
            </w:pPr>
            <w:r>
              <w:rPr>
                <w:rFonts w:hint="eastAsia"/>
              </w:rPr>
              <w:t>1.75</w:t>
            </w:r>
          </w:p>
        </w:tc>
      </w:tr>
      <w:tr w14:paraId="00252B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6" w:type="pct"/>
            <w:vAlign w:val="center"/>
          </w:tcPr>
          <w:p w14:paraId="7F87D5EE">
            <w:pPr>
              <w:pStyle w:val="64"/>
            </w:pPr>
            <w:r>
              <w:rPr>
                <w:rFonts w:hint="eastAsia"/>
              </w:rPr>
              <w:t>四月</w:t>
            </w:r>
          </w:p>
        </w:tc>
        <w:tc>
          <w:tcPr>
            <w:tcW w:w="235" w:type="pct"/>
            <w:vAlign w:val="center"/>
          </w:tcPr>
          <w:p w14:paraId="19270273">
            <w:pPr>
              <w:pStyle w:val="64"/>
            </w:pPr>
            <w:r>
              <w:rPr>
                <w:rFonts w:hint="eastAsia"/>
              </w:rPr>
              <w:t>1.39</w:t>
            </w:r>
          </w:p>
        </w:tc>
        <w:tc>
          <w:tcPr>
            <w:tcW w:w="261" w:type="pct"/>
            <w:vAlign w:val="center"/>
          </w:tcPr>
          <w:p w14:paraId="0895BA57">
            <w:pPr>
              <w:pStyle w:val="64"/>
            </w:pPr>
            <w:r>
              <w:rPr>
                <w:rFonts w:hint="eastAsia"/>
              </w:rPr>
              <w:t>1.94</w:t>
            </w:r>
          </w:p>
        </w:tc>
        <w:tc>
          <w:tcPr>
            <w:tcW w:w="277" w:type="pct"/>
            <w:vAlign w:val="center"/>
          </w:tcPr>
          <w:p w14:paraId="731A56CC">
            <w:pPr>
              <w:pStyle w:val="64"/>
            </w:pPr>
            <w:r>
              <w:rPr>
                <w:rFonts w:hint="eastAsia"/>
              </w:rPr>
              <w:t>6.94</w:t>
            </w:r>
          </w:p>
        </w:tc>
        <w:tc>
          <w:tcPr>
            <w:tcW w:w="277" w:type="pct"/>
            <w:vAlign w:val="center"/>
          </w:tcPr>
          <w:p w14:paraId="5480BCFB">
            <w:pPr>
              <w:pStyle w:val="64"/>
            </w:pPr>
            <w:r>
              <w:rPr>
                <w:rFonts w:hint="eastAsia"/>
              </w:rPr>
              <w:t>17.78</w:t>
            </w:r>
          </w:p>
        </w:tc>
        <w:tc>
          <w:tcPr>
            <w:tcW w:w="277" w:type="pct"/>
            <w:vAlign w:val="center"/>
          </w:tcPr>
          <w:p w14:paraId="69DEC02C">
            <w:pPr>
              <w:pStyle w:val="64"/>
            </w:pPr>
            <w:r>
              <w:rPr>
                <w:rFonts w:hint="eastAsia"/>
              </w:rPr>
              <w:t>14.86</w:t>
            </w:r>
          </w:p>
        </w:tc>
        <w:tc>
          <w:tcPr>
            <w:tcW w:w="277" w:type="pct"/>
            <w:vAlign w:val="center"/>
          </w:tcPr>
          <w:p w14:paraId="217F53C5">
            <w:pPr>
              <w:pStyle w:val="64"/>
            </w:pPr>
            <w:r>
              <w:rPr>
                <w:rFonts w:hint="eastAsia"/>
              </w:rPr>
              <w:t>10.00</w:t>
            </w:r>
          </w:p>
        </w:tc>
        <w:tc>
          <w:tcPr>
            <w:tcW w:w="235" w:type="pct"/>
            <w:vAlign w:val="center"/>
          </w:tcPr>
          <w:p w14:paraId="2CBD62BE">
            <w:pPr>
              <w:pStyle w:val="64"/>
            </w:pPr>
            <w:r>
              <w:rPr>
                <w:rFonts w:hint="eastAsia"/>
              </w:rPr>
              <w:t>3.75</w:t>
            </w:r>
          </w:p>
        </w:tc>
        <w:tc>
          <w:tcPr>
            <w:tcW w:w="235" w:type="pct"/>
            <w:vAlign w:val="center"/>
          </w:tcPr>
          <w:p w14:paraId="7881D302">
            <w:pPr>
              <w:pStyle w:val="64"/>
            </w:pPr>
            <w:r>
              <w:rPr>
                <w:rFonts w:hint="eastAsia"/>
              </w:rPr>
              <w:t>5.00</w:t>
            </w:r>
          </w:p>
        </w:tc>
        <w:tc>
          <w:tcPr>
            <w:tcW w:w="235" w:type="pct"/>
            <w:vAlign w:val="center"/>
          </w:tcPr>
          <w:p w14:paraId="2788F894">
            <w:pPr>
              <w:pStyle w:val="64"/>
            </w:pPr>
            <w:r>
              <w:rPr>
                <w:rFonts w:hint="eastAsia"/>
              </w:rPr>
              <w:t>5.42</w:t>
            </w:r>
          </w:p>
        </w:tc>
        <w:tc>
          <w:tcPr>
            <w:tcW w:w="277" w:type="pct"/>
            <w:vAlign w:val="center"/>
          </w:tcPr>
          <w:p w14:paraId="4CB4FB30">
            <w:pPr>
              <w:pStyle w:val="64"/>
            </w:pPr>
            <w:r>
              <w:rPr>
                <w:rFonts w:hint="eastAsia"/>
              </w:rPr>
              <w:t>4.17</w:t>
            </w:r>
          </w:p>
        </w:tc>
        <w:tc>
          <w:tcPr>
            <w:tcW w:w="235" w:type="pct"/>
            <w:vAlign w:val="center"/>
          </w:tcPr>
          <w:p w14:paraId="56154DD5">
            <w:pPr>
              <w:pStyle w:val="64"/>
            </w:pPr>
            <w:r>
              <w:rPr>
                <w:rFonts w:hint="eastAsia"/>
              </w:rPr>
              <w:t>3.33</w:t>
            </w:r>
          </w:p>
        </w:tc>
        <w:tc>
          <w:tcPr>
            <w:tcW w:w="293" w:type="pct"/>
            <w:vAlign w:val="center"/>
          </w:tcPr>
          <w:p w14:paraId="0A57C5B7">
            <w:pPr>
              <w:pStyle w:val="64"/>
            </w:pPr>
            <w:r>
              <w:rPr>
                <w:rFonts w:hint="eastAsia"/>
              </w:rPr>
              <w:t>4.31</w:t>
            </w:r>
          </w:p>
        </w:tc>
        <w:tc>
          <w:tcPr>
            <w:tcW w:w="235" w:type="pct"/>
            <w:vAlign w:val="center"/>
          </w:tcPr>
          <w:p w14:paraId="6448AF15">
            <w:pPr>
              <w:pStyle w:val="64"/>
            </w:pPr>
            <w:r>
              <w:rPr>
                <w:rFonts w:hint="eastAsia"/>
              </w:rPr>
              <w:t>6.39</w:t>
            </w:r>
          </w:p>
        </w:tc>
        <w:tc>
          <w:tcPr>
            <w:tcW w:w="308" w:type="pct"/>
            <w:vAlign w:val="center"/>
          </w:tcPr>
          <w:p w14:paraId="53719BE8">
            <w:pPr>
              <w:pStyle w:val="64"/>
            </w:pPr>
            <w:r>
              <w:rPr>
                <w:rFonts w:hint="eastAsia"/>
              </w:rPr>
              <w:t>7.36</w:t>
            </w:r>
          </w:p>
        </w:tc>
        <w:tc>
          <w:tcPr>
            <w:tcW w:w="235" w:type="pct"/>
            <w:vAlign w:val="center"/>
          </w:tcPr>
          <w:p w14:paraId="487706F8">
            <w:pPr>
              <w:pStyle w:val="64"/>
            </w:pPr>
            <w:r>
              <w:rPr>
                <w:rFonts w:hint="eastAsia"/>
              </w:rPr>
              <w:t>3.61</w:t>
            </w:r>
          </w:p>
        </w:tc>
        <w:tc>
          <w:tcPr>
            <w:tcW w:w="289" w:type="pct"/>
            <w:vAlign w:val="center"/>
          </w:tcPr>
          <w:p w14:paraId="19534352">
            <w:pPr>
              <w:pStyle w:val="64"/>
            </w:pPr>
            <w:r>
              <w:rPr>
                <w:rFonts w:hint="eastAsia"/>
              </w:rPr>
              <w:t>2.92</w:t>
            </w:r>
          </w:p>
        </w:tc>
        <w:tc>
          <w:tcPr>
            <w:tcW w:w="235" w:type="pct"/>
            <w:vAlign w:val="center"/>
          </w:tcPr>
          <w:p w14:paraId="2A4A517E">
            <w:pPr>
              <w:pStyle w:val="64"/>
            </w:pPr>
            <w:r>
              <w:rPr>
                <w:rFonts w:hint="eastAsia"/>
              </w:rPr>
              <w:t>0.83</w:t>
            </w:r>
          </w:p>
        </w:tc>
      </w:tr>
      <w:tr w14:paraId="6E8E97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6" w:type="pct"/>
            <w:vAlign w:val="center"/>
          </w:tcPr>
          <w:p w14:paraId="2CF59C50">
            <w:pPr>
              <w:pStyle w:val="64"/>
            </w:pPr>
            <w:r>
              <w:rPr>
                <w:rFonts w:hint="eastAsia"/>
              </w:rPr>
              <w:t>五月</w:t>
            </w:r>
          </w:p>
        </w:tc>
        <w:tc>
          <w:tcPr>
            <w:tcW w:w="235" w:type="pct"/>
            <w:vAlign w:val="center"/>
          </w:tcPr>
          <w:p w14:paraId="657A696D">
            <w:pPr>
              <w:pStyle w:val="64"/>
            </w:pPr>
            <w:r>
              <w:rPr>
                <w:rFonts w:hint="eastAsia"/>
              </w:rPr>
              <w:t>2.69</w:t>
            </w:r>
          </w:p>
        </w:tc>
        <w:tc>
          <w:tcPr>
            <w:tcW w:w="261" w:type="pct"/>
            <w:vAlign w:val="center"/>
          </w:tcPr>
          <w:p w14:paraId="242B63F3">
            <w:pPr>
              <w:pStyle w:val="64"/>
            </w:pPr>
            <w:r>
              <w:rPr>
                <w:rFonts w:hint="eastAsia"/>
              </w:rPr>
              <w:t>6.05</w:t>
            </w:r>
          </w:p>
        </w:tc>
        <w:tc>
          <w:tcPr>
            <w:tcW w:w="277" w:type="pct"/>
            <w:vAlign w:val="center"/>
          </w:tcPr>
          <w:p w14:paraId="2FA62397">
            <w:pPr>
              <w:pStyle w:val="64"/>
            </w:pPr>
            <w:r>
              <w:rPr>
                <w:rFonts w:hint="eastAsia"/>
              </w:rPr>
              <w:t>9.01</w:t>
            </w:r>
          </w:p>
        </w:tc>
        <w:tc>
          <w:tcPr>
            <w:tcW w:w="277" w:type="pct"/>
            <w:vAlign w:val="center"/>
          </w:tcPr>
          <w:p w14:paraId="13B0282E">
            <w:pPr>
              <w:pStyle w:val="64"/>
            </w:pPr>
            <w:r>
              <w:rPr>
                <w:rFonts w:hint="eastAsia"/>
              </w:rPr>
              <w:t>14.38</w:t>
            </w:r>
          </w:p>
        </w:tc>
        <w:tc>
          <w:tcPr>
            <w:tcW w:w="277" w:type="pct"/>
            <w:vAlign w:val="center"/>
          </w:tcPr>
          <w:p w14:paraId="68023BC2">
            <w:pPr>
              <w:pStyle w:val="64"/>
            </w:pPr>
            <w:r>
              <w:rPr>
                <w:rFonts w:hint="eastAsia"/>
              </w:rPr>
              <w:t>12.10</w:t>
            </w:r>
          </w:p>
        </w:tc>
        <w:tc>
          <w:tcPr>
            <w:tcW w:w="277" w:type="pct"/>
            <w:vAlign w:val="center"/>
          </w:tcPr>
          <w:p w14:paraId="38BB7385">
            <w:pPr>
              <w:pStyle w:val="64"/>
            </w:pPr>
            <w:r>
              <w:rPr>
                <w:rFonts w:hint="eastAsia"/>
              </w:rPr>
              <w:t>7.80</w:t>
            </w:r>
          </w:p>
        </w:tc>
        <w:tc>
          <w:tcPr>
            <w:tcW w:w="235" w:type="pct"/>
            <w:vAlign w:val="center"/>
          </w:tcPr>
          <w:p w14:paraId="0A4B7A54">
            <w:pPr>
              <w:pStyle w:val="64"/>
            </w:pPr>
            <w:r>
              <w:rPr>
                <w:rFonts w:hint="eastAsia"/>
              </w:rPr>
              <w:t>8.06</w:t>
            </w:r>
          </w:p>
        </w:tc>
        <w:tc>
          <w:tcPr>
            <w:tcW w:w="235" w:type="pct"/>
            <w:vAlign w:val="center"/>
          </w:tcPr>
          <w:p w14:paraId="0CA0A729">
            <w:pPr>
              <w:pStyle w:val="64"/>
            </w:pPr>
            <w:r>
              <w:rPr>
                <w:rFonts w:hint="eastAsia"/>
              </w:rPr>
              <w:t>7.12</w:t>
            </w:r>
          </w:p>
        </w:tc>
        <w:tc>
          <w:tcPr>
            <w:tcW w:w="235" w:type="pct"/>
            <w:vAlign w:val="center"/>
          </w:tcPr>
          <w:p w14:paraId="0A397DAE">
            <w:pPr>
              <w:pStyle w:val="64"/>
            </w:pPr>
            <w:r>
              <w:rPr>
                <w:rFonts w:hint="eastAsia"/>
              </w:rPr>
              <w:t>6.18</w:t>
            </w:r>
          </w:p>
        </w:tc>
        <w:tc>
          <w:tcPr>
            <w:tcW w:w="277" w:type="pct"/>
            <w:vAlign w:val="center"/>
          </w:tcPr>
          <w:p w14:paraId="5A972F03">
            <w:pPr>
              <w:pStyle w:val="64"/>
            </w:pPr>
            <w:r>
              <w:rPr>
                <w:rFonts w:hint="eastAsia"/>
              </w:rPr>
              <w:t>6.99</w:t>
            </w:r>
          </w:p>
        </w:tc>
        <w:tc>
          <w:tcPr>
            <w:tcW w:w="235" w:type="pct"/>
            <w:vAlign w:val="center"/>
          </w:tcPr>
          <w:p w14:paraId="74F365C5">
            <w:pPr>
              <w:pStyle w:val="64"/>
            </w:pPr>
            <w:r>
              <w:rPr>
                <w:rFonts w:hint="eastAsia"/>
              </w:rPr>
              <w:t>3.76</w:t>
            </w:r>
          </w:p>
        </w:tc>
        <w:tc>
          <w:tcPr>
            <w:tcW w:w="293" w:type="pct"/>
            <w:vAlign w:val="center"/>
          </w:tcPr>
          <w:p w14:paraId="3894350C">
            <w:pPr>
              <w:pStyle w:val="64"/>
            </w:pPr>
            <w:r>
              <w:rPr>
                <w:rFonts w:hint="eastAsia"/>
              </w:rPr>
              <w:t>3.49</w:t>
            </w:r>
          </w:p>
        </w:tc>
        <w:tc>
          <w:tcPr>
            <w:tcW w:w="235" w:type="pct"/>
            <w:vAlign w:val="center"/>
          </w:tcPr>
          <w:p w14:paraId="28C3D837">
            <w:pPr>
              <w:pStyle w:val="64"/>
            </w:pPr>
            <w:r>
              <w:rPr>
                <w:rFonts w:hint="eastAsia"/>
              </w:rPr>
              <w:t>3.90</w:t>
            </w:r>
          </w:p>
        </w:tc>
        <w:tc>
          <w:tcPr>
            <w:tcW w:w="308" w:type="pct"/>
            <w:vAlign w:val="center"/>
          </w:tcPr>
          <w:p w14:paraId="7C4A7B10">
            <w:pPr>
              <w:pStyle w:val="64"/>
            </w:pPr>
            <w:r>
              <w:rPr>
                <w:rFonts w:hint="eastAsia"/>
              </w:rPr>
              <w:t>2.02</w:t>
            </w:r>
          </w:p>
        </w:tc>
        <w:tc>
          <w:tcPr>
            <w:tcW w:w="235" w:type="pct"/>
            <w:vAlign w:val="center"/>
          </w:tcPr>
          <w:p w14:paraId="506000C9">
            <w:pPr>
              <w:pStyle w:val="64"/>
            </w:pPr>
            <w:r>
              <w:rPr>
                <w:rFonts w:hint="eastAsia"/>
              </w:rPr>
              <w:t>2.15</w:t>
            </w:r>
          </w:p>
        </w:tc>
        <w:tc>
          <w:tcPr>
            <w:tcW w:w="289" w:type="pct"/>
            <w:vAlign w:val="center"/>
          </w:tcPr>
          <w:p w14:paraId="0E0AEF1F">
            <w:pPr>
              <w:pStyle w:val="64"/>
            </w:pPr>
            <w:r>
              <w:rPr>
                <w:rFonts w:hint="eastAsia"/>
              </w:rPr>
              <w:t>2.42</w:t>
            </w:r>
          </w:p>
        </w:tc>
        <w:tc>
          <w:tcPr>
            <w:tcW w:w="235" w:type="pct"/>
            <w:vAlign w:val="center"/>
          </w:tcPr>
          <w:p w14:paraId="54843268">
            <w:pPr>
              <w:pStyle w:val="64"/>
            </w:pPr>
            <w:r>
              <w:rPr>
                <w:rFonts w:hint="eastAsia"/>
              </w:rPr>
              <w:t>1.88</w:t>
            </w:r>
          </w:p>
        </w:tc>
      </w:tr>
      <w:tr w14:paraId="4D921D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6" w:type="pct"/>
            <w:vAlign w:val="center"/>
          </w:tcPr>
          <w:p w14:paraId="6F633D89">
            <w:pPr>
              <w:pStyle w:val="64"/>
            </w:pPr>
            <w:r>
              <w:rPr>
                <w:rFonts w:hint="eastAsia"/>
              </w:rPr>
              <w:t>六月</w:t>
            </w:r>
          </w:p>
        </w:tc>
        <w:tc>
          <w:tcPr>
            <w:tcW w:w="235" w:type="pct"/>
            <w:vAlign w:val="center"/>
          </w:tcPr>
          <w:p w14:paraId="4D3CA07D">
            <w:pPr>
              <w:pStyle w:val="64"/>
            </w:pPr>
            <w:r>
              <w:rPr>
                <w:rFonts w:hint="eastAsia"/>
              </w:rPr>
              <w:t>2.22</w:t>
            </w:r>
          </w:p>
        </w:tc>
        <w:tc>
          <w:tcPr>
            <w:tcW w:w="261" w:type="pct"/>
            <w:vAlign w:val="center"/>
          </w:tcPr>
          <w:p w14:paraId="29E5AEA8">
            <w:pPr>
              <w:pStyle w:val="64"/>
            </w:pPr>
            <w:r>
              <w:rPr>
                <w:rFonts w:hint="eastAsia"/>
              </w:rPr>
              <w:t>1.94</w:t>
            </w:r>
          </w:p>
        </w:tc>
        <w:tc>
          <w:tcPr>
            <w:tcW w:w="277" w:type="pct"/>
            <w:vAlign w:val="center"/>
          </w:tcPr>
          <w:p w14:paraId="6B6A354D">
            <w:pPr>
              <w:pStyle w:val="64"/>
            </w:pPr>
            <w:r>
              <w:rPr>
                <w:rFonts w:hint="eastAsia"/>
              </w:rPr>
              <w:t>3.19</w:t>
            </w:r>
          </w:p>
        </w:tc>
        <w:tc>
          <w:tcPr>
            <w:tcW w:w="277" w:type="pct"/>
            <w:vAlign w:val="center"/>
          </w:tcPr>
          <w:p w14:paraId="648BB5BE">
            <w:pPr>
              <w:pStyle w:val="64"/>
            </w:pPr>
            <w:r>
              <w:rPr>
                <w:rFonts w:hint="eastAsia"/>
              </w:rPr>
              <w:t>10.00</w:t>
            </w:r>
          </w:p>
        </w:tc>
        <w:tc>
          <w:tcPr>
            <w:tcW w:w="277" w:type="pct"/>
            <w:vAlign w:val="center"/>
          </w:tcPr>
          <w:p w14:paraId="5EC83414">
            <w:pPr>
              <w:pStyle w:val="64"/>
            </w:pPr>
            <w:r>
              <w:rPr>
                <w:rFonts w:hint="eastAsia"/>
              </w:rPr>
              <w:t>13.89</w:t>
            </w:r>
          </w:p>
        </w:tc>
        <w:tc>
          <w:tcPr>
            <w:tcW w:w="277" w:type="pct"/>
            <w:vAlign w:val="center"/>
          </w:tcPr>
          <w:p w14:paraId="4182DF59">
            <w:pPr>
              <w:pStyle w:val="64"/>
            </w:pPr>
            <w:r>
              <w:rPr>
                <w:rFonts w:hint="eastAsia"/>
              </w:rPr>
              <w:t>10.83</w:t>
            </w:r>
          </w:p>
        </w:tc>
        <w:tc>
          <w:tcPr>
            <w:tcW w:w="235" w:type="pct"/>
            <w:vAlign w:val="center"/>
          </w:tcPr>
          <w:p w14:paraId="54BF2B61">
            <w:pPr>
              <w:pStyle w:val="64"/>
            </w:pPr>
            <w:r>
              <w:rPr>
                <w:rFonts w:hint="eastAsia"/>
              </w:rPr>
              <w:t>5.42</w:t>
            </w:r>
          </w:p>
        </w:tc>
        <w:tc>
          <w:tcPr>
            <w:tcW w:w="235" w:type="pct"/>
            <w:vAlign w:val="center"/>
          </w:tcPr>
          <w:p w14:paraId="44EFFE1B">
            <w:pPr>
              <w:pStyle w:val="64"/>
            </w:pPr>
            <w:r>
              <w:rPr>
                <w:rFonts w:hint="eastAsia"/>
              </w:rPr>
              <w:t>4.31</w:t>
            </w:r>
          </w:p>
        </w:tc>
        <w:tc>
          <w:tcPr>
            <w:tcW w:w="235" w:type="pct"/>
            <w:vAlign w:val="center"/>
          </w:tcPr>
          <w:p w14:paraId="45F431CB">
            <w:pPr>
              <w:pStyle w:val="64"/>
            </w:pPr>
            <w:r>
              <w:rPr>
                <w:rFonts w:hint="eastAsia"/>
              </w:rPr>
              <w:t>4.58</w:t>
            </w:r>
          </w:p>
        </w:tc>
        <w:tc>
          <w:tcPr>
            <w:tcW w:w="277" w:type="pct"/>
            <w:vAlign w:val="center"/>
          </w:tcPr>
          <w:p w14:paraId="4427065F">
            <w:pPr>
              <w:pStyle w:val="64"/>
            </w:pPr>
            <w:r>
              <w:rPr>
                <w:rFonts w:hint="eastAsia"/>
              </w:rPr>
              <w:t>11.53</w:t>
            </w:r>
          </w:p>
        </w:tc>
        <w:tc>
          <w:tcPr>
            <w:tcW w:w="235" w:type="pct"/>
            <w:vAlign w:val="center"/>
          </w:tcPr>
          <w:p w14:paraId="282C4B3F">
            <w:pPr>
              <w:pStyle w:val="64"/>
            </w:pPr>
            <w:r>
              <w:rPr>
                <w:rFonts w:hint="eastAsia"/>
              </w:rPr>
              <w:t>8.19</w:t>
            </w:r>
          </w:p>
        </w:tc>
        <w:tc>
          <w:tcPr>
            <w:tcW w:w="293" w:type="pct"/>
            <w:vAlign w:val="center"/>
          </w:tcPr>
          <w:p w14:paraId="464F7678">
            <w:pPr>
              <w:pStyle w:val="64"/>
            </w:pPr>
            <w:r>
              <w:rPr>
                <w:rFonts w:hint="eastAsia"/>
              </w:rPr>
              <w:t>5.42</w:t>
            </w:r>
          </w:p>
        </w:tc>
        <w:tc>
          <w:tcPr>
            <w:tcW w:w="235" w:type="pct"/>
            <w:vAlign w:val="center"/>
          </w:tcPr>
          <w:p w14:paraId="7180B77A">
            <w:pPr>
              <w:pStyle w:val="64"/>
            </w:pPr>
            <w:r>
              <w:rPr>
                <w:rFonts w:hint="eastAsia"/>
              </w:rPr>
              <w:t>6.39</w:t>
            </w:r>
          </w:p>
        </w:tc>
        <w:tc>
          <w:tcPr>
            <w:tcW w:w="308" w:type="pct"/>
            <w:vAlign w:val="center"/>
          </w:tcPr>
          <w:p w14:paraId="720BB402">
            <w:pPr>
              <w:pStyle w:val="64"/>
            </w:pPr>
            <w:r>
              <w:rPr>
                <w:rFonts w:hint="eastAsia"/>
              </w:rPr>
              <w:t>6.39</w:t>
            </w:r>
          </w:p>
        </w:tc>
        <w:tc>
          <w:tcPr>
            <w:tcW w:w="235" w:type="pct"/>
            <w:vAlign w:val="center"/>
          </w:tcPr>
          <w:p w14:paraId="4605B81F">
            <w:pPr>
              <w:pStyle w:val="64"/>
            </w:pPr>
            <w:r>
              <w:rPr>
                <w:rFonts w:hint="eastAsia"/>
              </w:rPr>
              <w:t>2.22</w:t>
            </w:r>
          </w:p>
        </w:tc>
        <w:tc>
          <w:tcPr>
            <w:tcW w:w="289" w:type="pct"/>
            <w:vAlign w:val="center"/>
          </w:tcPr>
          <w:p w14:paraId="64755FCA">
            <w:pPr>
              <w:pStyle w:val="64"/>
            </w:pPr>
            <w:r>
              <w:rPr>
                <w:rFonts w:hint="eastAsia"/>
              </w:rPr>
              <w:t>1.25</w:t>
            </w:r>
          </w:p>
        </w:tc>
        <w:tc>
          <w:tcPr>
            <w:tcW w:w="235" w:type="pct"/>
            <w:vAlign w:val="center"/>
          </w:tcPr>
          <w:p w14:paraId="05E8C31F">
            <w:pPr>
              <w:pStyle w:val="64"/>
            </w:pPr>
            <w:r>
              <w:rPr>
                <w:rFonts w:hint="eastAsia"/>
              </w:rPr>
              <w:t>2.22</w:t>
            </w:r>
          </w:p>
        </w:tc>
      </w:tr>
      <w:tr w14:paraId="5F1E65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6" w:type="pct"/>
            <w:vAlign w:val="center"/>
          </w:tcPr>
          <w:p w14:paraId="798696A0">
            <w:pPr>
              <w:pStyle w:val="64"/>
            </w:pPr>
            <w:r>
              <w:rPr>
                <w:rFonts w:hint="eastAsia"/>
              </w:rPr>
              <w:t>七月</w:t>
            </w:r>
          </w:p>
        </w:tc>
        <w:tc>
          <w:tcPr>
            <w:tcW w:w="235" w:type="pct"/>
            <w:vAlign w:val="center"/>
          </w:tcPr>
          <w:p w14:paraId="3B4D77BA">
            <w:pPr>
              <w:pStyle w:val="64"/>
            </w:pPr>
            <w:r>
              <w:rPr>
                <w:rFonts w:hint="eastAsia"/>
              </w:rPr>
              <w:t>1.48</w:t>
            </w:r>
          </w:p>
        </w:tc>
        <w:tc>
          <w:tcPr>
            <w:tcW w:w="261" w:type="pct"/>
            <w:vAlign w:val="center"/>
          </w:tcPr>
          <w:p w14:paraId="25F7014D">
            <w:pPr>
              <w:pStyle w:val="64"/>
            </w:pPr>
            <w:r>
              <w:rPr>
                <w:rFonts w:hint="eastAsia"/>
              </w:rPr>
              <w:t>1.48</w:t>
            </w:r>
          </w:p>
        </w:tc>
        <w:tc>
          <w:tcPr>
            <w:tcW w:w="277" w:type="pct"/>
            <w:vAlign w:val="center"/>
          </w:tcPr>
          <w:p w14:paraId="0FF99B93">
            <w:pPr>
              <w:pStyle w:val="64"/>
            </w:pPr>
            <w:r>
              <w:rPr>
                <w:rFonts w:hint="eastAsia"/>
              </w:rPr>
              <w:t>2.15</w:t>
            </w:r>
          </w:p>
        </w:tc>
        <w:tc>
          <w:tcPr>
            <w:tcW w:w="277" w:type="pct"/>
            <w:vAlign w:val="center"/>
          </w:tcPr>
          <w:p w14:paraId="75D21D82">
            <w:pPr>
              <w:pStyle w:val="64"/>
            </w:pPr>
            <w:r>
              <w:rPr>
                <w:rFonts w:hint="eastAsia"/>
              </w:rPr>
              <w:t>13.58</w:t>
            </w:r>
          </w:p>
        </w:tc>
        <w:tc>
          <w:tcPr>
            <w:tcW w:w="277" w:type="pct"/>
            <w:vAlign w:val="center"/>
          </w:tcPr>
          <w:p w14:paraId="18C2EC88">
            <w:pPr>
              <w:pStyle w:val="64"/>
            </w:pPr>
            <w:r>
              <w:rPr>
                <w:rFonts w:hint="eastAsia"/>
              </w:rPr>
              <w:t>16.53</w:t>
            </w:r>
          </w:p>
        </w:tc>
        <w:tc>
          <w:tcPr>
            <w:tcW w:w="277" w:type="pct"/>
            <w:vAlign w:val="center"/>
          </w:tcPr>
          <w:p w14:paraId="08F8CAE4">
            <w:pPr>
              <w:pStyle w:val="64"/>
            </w:pPr>
            <w:r>
              <w:rPr>
                <w:rFonts w:hint="eastAsia"/>
              </w:rPr>
              <w:t>9.14</w:t>
            </w:r>
          </w:p>
        </w:tc>
        <w:tc>
          <w:tcPr>
            <w:tcW w:w="235" w:type="pct"/>
            <w:vAlign w:val="center"/>
          </w:tcPr>
          <w:p w14:paraId="4B8C4A1E">
            <w:pPr>
              <w:pStyle w:val="64"/>
            </w:pPr>
            <w:r>
              <w:rPr>
                <w:rFonts w:hint="eastAsia"/>
              </w:rPr>
              <w:t>4.70</w:t>
            </w:r>
          </w:p>
        </w:tc>
        <w:tc>
          <w:tcPr>
            <w:tcW w:w="235" w:type="pct"/>
            <w:vAlign w:val="center"/>
          </w:tcPr>
          <w:p w14:paraId="60045111">
            <w:pPr>
              <w:pStyle w:val="64"/>
            </w:pPr>
            <w:r>
              <w:rPr>
                <w:rFonts w:hint="eastAsia"/>
              </w:rPr>
              <w:t>7.26</w:t>
            </w:r>
          </w:p>
        </w:tc>
        <w:tc>
          <w:tcPr>
            <w:tcW w:w="235" w:type="pct"/>
            <w:vAlign w:val="center"/>
          </w:tcPr>
          <w:p w14:paraId="20A6CFCC">
            <w:pPr>
              <w:pStyle w:val="64"/>
            </w:pPr>
            <w:r>
              <w:rPr>
                <w:rFonts w:hint="eastAsia"/>
              </w:rPr>
              <w:t>7.39</w:t>
            </w:r>
          </w:p>
        </w:tc>
        <w:tc>
          <w:tcPr>
            <w:tcW w:w="277" w:type="pct"/>
            <w:vAlign w:val="center"/>
          </w:tcPr>
          <w:p w14:paraId="3A7E77B0">
            <w:pPr>
              <w:pStyle w:val="64"/>
            </w:pPr>
            <w:r>
              <w:rPr>
                <w:rFonts w:hint="eastAsia"/>
              </w:rPr>
              <w:t>11.83</w:t>
            </w:r>
          </w:p>
        </w:tc>
        <w:tc>
          <w:tcPr>
            <w:tcW w:w="235" w:type="pct"/>
            <w:vAlign w:val="center"/>
          </w:tcPr>
          <w:p w14:paraId="20C265B8">
            <w:pPr>
              <w:pStyle w:val="64"/>
            </w:pPr>
            <w:r>
              <w:rPr>
                <w:rFonts w:hint="eastAsia"/>
              </w:rPr>
              <w:t>9.81</w:t>
            </w:r>
          </w:p>
        </w:tc>
        <w:tc>
          <w:tcPr>
            <w:tcW w:w="293" w:type="pct"/>
            <w:vAlign w:val="center"/>
          </w:tcPr>
          <w:p w14:paraId="5CC501F5">
            <w:pPr>
              <w:pStyle w:val="64"/>
            </w:pPr>
            <w:r>
              <w:rPr>
                <w:rFonts w:hint="eastAsia"/>
              </w:rPr>
              <w:t>8.60</w:t>
            </w:r>
          </w:p>
        </w:tc>
        <w:tc>
          <w:tcPr>
            <w:tcW w:w="235" w:type="pct"/>
            <w:vAlign w:val="center"/>
          </w:tcPr>
          <w:p w14:paraId="0CE9041A">
            <w:pPr>
              <w:pStyle w:val="64"/>
            </w:pPr>
            <w:r>
              <w:rPr>
                <w:rFonts w:hint="eastAsia"/>
              </w:rPr>
              <w:t>3.09</w:t>
            </w:r>
          </w:p>
        </w:tc>
        <w:tc>
          <w:tcPr>
            <w:tcW w:w="308" w:type="pct"/>
            <w:vAlign w:val="center"/>
          </w:tcPr>
          <w:p w14:paraId="624F02BB">
            <w:pPr>
              <w:pStyle w:val="64"/>
            </w:pPr>
            <w:r>
              <w:rPr>
                <w:rFonts w:hint="eastAsia"/>
              </w:rPr>
              <w:t>1.21</w:t>
            </w:r>
          </w:p>
        </w:tc>
        <w:tc>
          <w:tcPr>
            <w:tcW w:w="235" w:type="pct"/>
            <w:vAlign w:val="center"/>
          </w:tcPr>
          <w:p w14:paraId="0C289CFF">
            <w:pPr>
              <w:pStyle w:val="64"/>
            </w:pPr>
            <w:r>
              <w:rPr>
                <w:rFonts w:hint="eastAsia"/>
              </w:rPr>
              <w:t>0.54</w:t>
            </w:r>
          </w:p>
        </w:tc>
        <w:tc>
          <w:tcPr>
            <w:tcW w:w="289" w:type="pct"/>
            <w:vAlign w:val="center"/>
          </w:tcPr>
          <w:p w14:paraId="0D1BAD0B">
            <w:pPr>
              <w:pStyle w:val="64"/>
            </w:pPr>
            <w:r>
              <w:rPr>
                <w:rFonts w:hint="eastAsia"/>
              </w:rPr>
              <w:t>0.54</w:t>
            </w:r>
          </w:p>
        </w:tc>
        <w:tc>
          <w:tcPr>
            <w:tcW w:w="235" w:type="pct"/>
            <w:vAlign w:val="center"/>
          </w:tcPr>
          <w:p w14:paraId="79CA40A1">
            <w:pPr>
              <w:pStyle w:val="64"/>
            </w:pPr>
            <w:r>
              <w:rPr>
                <w:rFonts w:hint="eastAsia"/>
              </w:rPr>
              <w:t>0.67</w:t>
            </w:r>
          </w:p>
        </w:tc>
      </w:tr>
      <w:tr w14:paraId="4F4D38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6" w:type="pct"/>
            <w:vAlign w:val="center"/>
          </w:tcPr>
          <w:p w14:paraId="2C1CB04A">
            <w:pPr>
              <w:pStyle w:val="64"/>
            </w:pPr>
            <w:r>
              <w:rPr>
                <w:rFonts w:hint="eastAsia"/>
              </w:rPr>
              <w:t>八月</w:t>
            </w:r>
          </w:p>
        </w:tc>
        <w:tc>
          <w:tcPr>
            <w:tcW w:w="235" w:type="pct"/>
            <w:vAlign w:val="center"/>
          </w:tcPr>
          <w:p w14:paraId="63A3D628">
            <w:pPr>
              <w:pStyle w:val="64"/>
            </w:pPr>
            <w:r>
              <w:rPr>
                <w:rFonts w:hint="eastAsia"/>
              </w:rPr>
              <w:t>4.57</w:t>
            </w:r>
          </w:p>
        </w:tc>
        <w:tc>
          <w:tcPr>
            <w:tcW w:w="261" w:type="pct"/>
            <w:vAlign w:val="center"/>
          </w:tcPr>
          <w:p w14:paraId="1F5B9D1E">
            <w:pPr>
              <w:pStyle w:val="64"/>
            </w:pPr>
            <w:r>
              <w:rPr>
                <w:rFonts w:hint="eastAsia"/>
              </w:rPr>
              <w:t>5.24</w:t>
            </w:r>
          </w:p>
        </w:tc>
        <w:tc>
          <w:tcPr>
            <w:tcW w:w="277" w:type="pct"/>
            <w:vAlign w:val="center"/>
          </w:tcPr>
          <w:p w14:paraId="18A7408C">
            <w:pPr>
              <w:pStyle w:val="64"/>
            </w:pPr>
            <w:r>
              <w:rPr>
                <w:rFonts w:hint="eastAsia"/>
              </w:rPr>
              <w:t>6.18</w:t>
            </w:r>
          </w:p>
        </w:tc>
        <w:tc>
          <w:tcPr>
            <w:tcW w:w="277" w:type="pct"/>
            <w:vAlign w:val="center"/>
          </w:tcPr>
          <w:p w14:paraId="6363FA9F">
            <w:pPr>
              <w:pStyle w:val="64"/>
            </w:pPr>
            <w:r>
              <w:rPr>
                <w:rFonts w:hint="eastAsia"/>
              </w:rPr>
              <w:t>17.07</w:t>
            </w:r>
          </w:p>
        </w:tc>
        <w:tc>
          <w:tcPr>
            <w:tcW w:w="277" w:type="pct"/>
            <w:vAlign w:val="center"/>
          </w:tcPr>
          <w:p w14:paraId="0D9295B5">
            <w:pPr>
              <w:pStyle w:val="64"/>
            </w:pPr>
            <w:r>
              <w:rPr>
                <w:rFonts w:hint="eastAsia"/>
              </w:rPr>
              <w:t>22.85</w:t>
            </w:r>
          </w:p>
        </w:tc>
        <w:tc>
          <w:tcPr>
            <w:tcW w:w="277" w:type="pct"/>
            <w:vAlign w:val="center"/>
          </w:tcPr>
          <w:p w14:paraId="4B860277">
            <w:pPr>
              <w:pStyle w:val="64"/>
            </w:pPr>
            <w:r>
              <w:rPr>
                <w:rFonts w:hint="eastAsia"/>
              </w:rPr>
              <w:t>13.17</w:t>
            </w:r>
          </w:p>
        </w:tc>
        <w:tc>
          <w:tcPr>
            <w:tcW w:w="235" w:type="pct"/>
            <w:vAlign w:val="center"/>
          </w:tcPr>
          <w:p w14:paraId="6F197488">
            <w:pPr>
              <w:pStyle w:val="64"/>
            </w:pPr>
            <w:r>
              <w:rPr>
                <w:rFonts w:hint="eastAsia"/>
              </w:rPr>
              <w:t>5.78</w:t>
            </w:r>
          </w:p>
        </w:tc>
        <w:tc>
          <w:tcPr>
            <w:tcW w:w="235" w:type="pct"/>
            <w:vAlign w:val="center"/>
          </w:tcPr>
          <w:p w14:paraId="3E98756D">
            <w:pPr>
              <w:pStyle w:val="64"/>
            </w:pPr>
            <w:r>
              <w:rPr>
                <w:rFonts w:hint="eastAsia"/>
              </w:rPr>
              <w:t>3.23</w:t>
            </w:r>
          </w:p>
        </w:tc>
        <w:tc>
          <w:tcPr>
            <w:tcW w:w="235" w:type="pct"/>
            <w:vAlign w:val="center"/>
          </w:tcPr>
          <w:p w14:paraId="79DD9F5A">
            <w:pPr>
              <w:pStyle w:val="64"/>
            </w:pPr>
            <w:r>
              <w:rPr>
                <w:rFonts w:hint="eastAsia"/>
              </w:rPr>
              <w:t>1.88</w:t>
            </w:r>
          </w:p>
        </w:tc>
        <w:tc>
          <w:tcPr>
            <w:tcW w:w="277" w:type="pct"/>
            <w:vAlign w:val="center"/>
          </w:tcPr>
          <w:p w14:paraId="463727D8">
            <w:pPr>
              <w:pStyle w:val="64"/>
            </w:pPr>
            <w:r>
              <w:rPr>
                <w:rFonts w:hint="eastAsia"/>
              </w:rPr>
              <w:t>2.69</w:t>
            </w:r>
          </w:p>
        </w:tc>
        <w:tc>
          <w:tcPr>
            <w:tcW w:w="235" w:type="pct"/>
            <w:vAlign w:val="center"/>
          </w:tcPr>
          <w:p w14:paraId="4D0075E4">
            <w:pPr>
              <w:pStyle w:val="64"/>
            </w:pPr>
            <w:r>
              <w:rPr>
                <w:rFonts w:hint="eastAsia"/>
              </w:rPr>
              <w:t>3.23</w:t>
            </w:r>
          </w:p>
        </w:tc>
        <w:tc>
          <w:tcPr>
            <w:tcW w:w="293" w:type="pct"/>
            <w:vAlign w:val="center"/>
          </w:tcPr>
          <w:p w14:paraId="25B77F4D">
            <w:pPr>
              <w:pStyle w:val="64"/>
            </w:pPr>
            <w:r>
              <w:rPr>
                <w:rFonts w:hint="eastAsia"/>
              </w:rPr>
              <w:t>2.28</w:t>
            </w:r>
          </w:p>
        </w:tc>
        <w:tc>
          <w:tcPr>
            <w:tcW w:w="235" w:type="pct"/>
            <w:vAlign w:val="center"/>
          </w:tcPr>
          <w:p w14:paraId="0B9B6DCA">
            <w:pPr>
              <w:pStyle w:val="64"/>
            </w:pPr>
            <w:r>
              <w:rPr>
                <w:rFonts w:hint="eastAsia"/>
              </w:rPr>
              <w:t>3.63</w:t>
            </w:r>
          </w:p>
        </w:tc>
        <w:tc>
          <w:tcPr>
            <w:tcW w:w="308" w:type="pct"/>
            <w:vAlign w:val="center"/>
          </w:tcPr>
          <w:p w14:paraId="64CF966D">
            <w:pPr>
              <w:pStyle w:val="64"/>
            </w:pPr>
            <w:r>
              <w:rPr>
                <w:rFonts w:hint="eastAsia"/>
              </w:rPr>
              <w:t>1.88</w:t>
            </w:r>
          </w:p>
        </w:tc>
        <w:tc>
          <w:tcPr>
            <w:tcW w:w="235" w:type="pct"/>
            <w:vAlign w:val="center"/>
          </w:tcPr>
          <w:p w14:paraId="0ACACEB5">
            <w:pPr>
              <w:pStyle w:val="64"/>
            </w:pPr>
            <w:r>
              <w:rPr>
                <w:rFonts w:hint="eastAsia"/>
              </w:rPr>
              <w:t>1.34</w:t>
            </w:r>
          </w:p>
        </w:tc>
        <w:tc>
          <w:tcPr>
            <w:tcW w:w="289" w:type="pct"/>
            <w:vAlign w:val="center"/>
          </w:tcPr>
          <w:p w14:paraId="2168B9F1">
            <w:pPr>
              <w:pStyle w:val="64"/>
            </w:pPr>
            <w:r>
              <w:rPr>
                <w:rFonts w:hint="eastAsia"/>
              </w:rPr>
              <w:t>3.23</w:t>
            </w:r>
          </w:p>
        </w:tc>
        <w:tc>
          <w:tcPr>
            <w:tcW w:w="235" w:type="pct"/>
            <w:vAlign w:val="center"/>
          </w:tcPr>
          <w:p w14:paraId="49B21144">
            <w:pPr>
              <w:pStyle w:val="64"/>
            </w:pPr>
            <w:r>
              <w:rPr>
                <w:rFonts w:hint="eastAsia"/>
              </w:rPr>
              <w:t>1.75</w:t>
            </w:r>
          </w:p>
        </w:tc>
      </w:tr>
      <w:tr w14:paraId="23C2A9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6" w:type="pct"/>
            <w:vAlign w:val="center"/>
          </w:tcPr>
          <w:p w14:paraId="60897EF8">
            <w:pPr>
              <w:pStyle w:val="64"/>
            </w:pPr>
            <w:r>
              <w:rPr>
                <w:rFonts w:hint="eastAsia"/>
              </w:rPr>
              <w:t>九月</w:t>
            </w:r>
          </w:p>
        </w:tc>
        <w:tc>
          <w:tcPr>
            <w:tcW w:w="235" w:type="pct"/>
            <w:vAlign w:val="center"/>
          </w:tcPr>
          <w:p w14:paraId="15D8D028">
            <w:pPr>
              <w:pStyle w:val="64"/>
            </w:pPr>
            <w:r>
              <w:rPr>
                <w:rFonts w:hint="eastAsia"/>
              </w:rPr>
              <w:t>5.28</w:t>
            </w:r>
          </w:p>
        </w:tc>
        <w:tc>
          <w:tcPr>
            <w:tcW w:w="261" w:type="pct"/>
            <w:vAlign w:val="center"/>
          </w:tcPr>
          <w:p w14:paraId="39B63CC3">
            <w:pPr>
              <w:pStyle w:val="64"/>
            </w:pPr>
            <w:r>
              <w:rPr>
                <w:rFonts w:hint="eastAsia"/>
              </w:rPr>
              <w:t>5.00</w:t>
            </w:r>
          </w:p>
        </w:tc>
        <w:tc>
          <w:tcPr>
            <w:tcW w:w="277" w:type="pct"/>
            <w:vAlign w:val="center"/>
          </w:tcPr>
          <w:p w14:paraId="1F45E174">
            <w:pPr>
              <w:pStyle w:val="64"/>
            </w:pPr>
            <w:r>
              <w:rPr>
                <w:rFonts w:hint="eastAsia"/>
              </w:rPr>
              <w:t>15.69</w:t>
            </w:r>
          </w:p>
        </w:tc>
        <w:tc>
          <w:tcPr>
            <w:tcW w:w="277" w:type="pct"/>
            <w:vAlign w:val="center"/>
          </w:tcPr>
          <w:p w14:paraId="56E6E619">
            <w:pPr>
              <w:pStyle w:val="64"/>
            </w:pPr>
            <w:r>
              <w:rPr>
                <w:rFonts w:hint="eastAsia"/>
              </w:rPr>
              <w:t>24.03</w:t>
            </w:r>
          </w:p>
        </w:tc>
        <w:tc>
          <w:tcPr>
            <w:tcW w:w="277" w:type="pct"/>
            <w:vAlign w:val="center"/>
          </w:tcPr>
          <w:p w14:paraId="73162771">
            <w:pPr>
              <w:pStyle w:val="64"/>
            </w:pPr>
            <w:r>
              <w:rPr>
                <w:rFonts w:hint="eastAsia"/>
              </w:rPr>
              <w:t>21.11</w:t>
            </w:r>
          </w:p>
        </w:tc>
        <w:tc>
          <w:tcPr>
            <w:tcW w:w="277" w:type="pct"/>
            <w:vAlign w:val="center"/>
          </w:tcPr>
          <w:p w14:paraId="33F41C81">
            <w:pPr>
              <w:pStyle w:val="64"/>
            </w:pPr>
            <w:r>
              <w:rPr>
                <w:rFonts w:hint="eastAsia"/>
              </w:rPr>
              <w:t>8.33</w:t>
            </w:r>
          </w:p>
        </w:tc>
        <w:tc>
          <w:tcPr>
            <w:tcW w:w="235" w:type="pct"/>
            <w:vAlign w:val="center"/>
          </w:tcPr>
          <w:p w14:paraId="36F63D7B">
            <w:pPr>
              <w:pStyle w:val="64"/>
            </w:pPr>
            <w:r>
              <w:rPr>
                <w:rFonts w:hint="eastAsia"/>
              </w:rPr>
              <w:t>3.06</w:t>
            </w:r>
          </w:p>
        </w:tc>
        <w:tc>
          <w:tcPr>
            <w:tcW w:w="235" w:type="pct"/>
            <w:vAlign w:val="center"/>
          </w:tcPr>
          <w:p w14:paraId="1FA16F80">
            <w:pPr>
              <w:pStyle w:val="64"/>
            </w:pPr>
            <w:r>
              <w:rPr>
                <w:rFonts w:hint="eastAsia"/>
              </w:rPr>
              <w:t>2.08</w:t>
            </w:r>
          </w:p>
        </w:tc>
        <w:tc>
          <w:tcPr>
            <w:tcW w:w="235" w:type="pct"/>
            <w:vAlign w:val="center"/>
          </w:tcPr>
          <w:p w14:paraId="0F3F56D9">
            <w:pPr>
              <w:pStyle w:val="64"/>
            </w:pPr>
            <w:r>
              <w:rPr>
                <w:rFonts w:hint="eastAsia"/>
              </w:rPr>
              <w:t>1.11</w:t>
            </w:r>
          </w:p>
        </w:tc>
        <w:tc>
          <w:tcPr>
            <w:tcW w:w="277" w:type="pct"/>
            <w:vAlign w:val="center"/>
          </w:tcPr>
          <w:p w14:paraId="0BF3720A">
            <w:pPr>
              <w:pStyle w:val="64"/>
            </w:pPr>
            <w:r>
              <w:rPr>
                <w:rFonts w:hint="eastAsia"/>
              </w:rPr>
              <w:t>1.25</w:t>
            </w:r>
          </w:p>
        </w:tc>
        <w:tc>
          <w:tcPr>
            <w:tcW w:w="235" w:type="pct"/>
            <w:vAlign w:val="center"/>
          </w:tcPr>
          <w:p w14:paraId="156AADBF">
            <w:pPr>
              <w:pStyle w:val="64"/>
            </w:pPr>
            <w:r>
              <w:rPr>
                <w:rFonts w:hint="eastAsia"/>
              </w:rPr>
              <w:t>1.39</w:t>
            </w:r>
          </w:p>
        </w:tc>
        <w:tc>
          <w:tcPr>
            <w:tcW w:w="293" w:type="pct"/>
            <w:vAlign w:val="center"/>
          </w:tcPr>
          <w:p w14:paraId="38983022">
            <w:pPr>
              <w:pStyle w:val="64"/>
            </w:pPr>
            <w:r>
              <w:rPr>
                <w:rFonts w:hint="eastAsia"/>
              </w:rPr>
              <w:t>1.11</w:t>
            </w:r>
          </w:p>
        </w:tc>
        <w:tc>
          <w:tcPr>
            <w:tcW w:w="235" w:type="pct"/>
            <w:vAlign w:val="center"/>
          </w:tcPr>
          <w:p w14:paraId="417B6796">
            <w:pPr>
              <w:pStyle w:val="64"/>
            </w:pPr>
            <w:r>
              <w:rPr>
                <w:rFonts w:hint="eastAsia"/>
              </w:rPr>
              <w:t>1.53</w:t>
            </w:r>
          </w:p>
        </w:tc>
        <w:tc>
          <w:tcPr>
            <w:tcW w:w="308" w:type="pct"/>
            <w:vAlign w:val="center"/>
          </w:tcPr>
          <w:p w14:paraId="3641BA29">
            <w:pPr>
              <w:pStyle w:val="64"/>
            </w:pPr>
            <w:r>
              <w:rPr>
                <w:rFonts w:hint="eastAsia"/>
              </w:rPr>
              <w:t>2.78</w:t>
            </w:r>
          </w:p>
        </w:tc>
        <w:tc>
          <w:tcPr>
            <w:tcW w:w="235" w:type="pct"/>
            <w:vAlign w:val="center"/>
          </w:tcPr>
          <w:p w14:paraId="128F9A7A">
            <w:pPr>
              <w:pStyle w:val="64"/>
            </w:pPr>
            <w:r>
              <w:rPr>
                <w:rFonts w:hint="eastAsia"/>
              </w:rPr>
              <w:t>2.08</w:t>
            </w:r>
          </w:p>
        </w:tc>
        <w:tc>
          <w:tcPr>
            <w:tcW w:w="289" w:type="pct"/>
            <w:vAlign w:val="center"/>
          </w:tcPr>
          <w:p w14:paraId="2A25FD28">
            <w:pPr>
              <w:pStyle w:val="64"/>
            </w:pPr>
            <w:r>
              <w:rPr>
                <w:rFonts w:hint="eastAsia"/>
              </w:rPr>
              <w:t>3.33</w:t>
            </w:r>
          </w:p>
        </w:tc>
        <w:tc>
          <w:tcPr>
            <w:tcW w:w="235" w:type="pct"/>
            <w:vAlign w:val="center"/>
          </w:tcPr>
          <w:p w14:paraId="0E6DC246">
            <w:pPr>
              <w:pStyle w:val="64"/>
            </w:pPr>
            <w:r>
              <w:rPr>
                <w:rFonts w:hint="eastAsia"/>
              </w:rPr>
              <w:t>0.83</w:t>
            </w:r>
          </w:p>
        </w:tc>
      </w:tr>
      <w:tr w14:paraId="4ADFEF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6" w:type="pct"/>
            <w:vAlign w:val="center"/>
          </w:tcPr>
          <w:p w14:paraId="7DF27A26">
            <w:pPr>
              <w:pStyle w:val="64"/>
            </w:pPr>
            <w:r>
              <w:rPr>
                <w:rFonts w:hint="eastAsia"/>
              </w:rPr>
              <w:t>十月</w:t>
            </w:r>
          </w:p>
        </w:tc>
        <w:tc>
          <w:tcPr>
            <w:tcW w:w="235" w:type="pct"/>
            <w:vAlign w:val="center"/>
          </w:tcPr>
          <w:p w14:paraId="5A44FCE3">
            <w:pPr>
              <w:pStyle w:val="64"/>
            </w:pPr>
            <w:r>
              <w:rPr>
                <w:rFonts w:hint="eastAsia"/>
              </w:rPr>
              <w:t>1.88</w:t>
            </w:r>
          </w:p>
        </w:tc>
        <w:tc>
          <w:tcPr>
            <w:tcW w:w="261" w:type="pct"/>
            <w:vAlign w:val="center"/>
          </w:tcPr>
          <w:p w14:paraId="23A67EB0">
            <w:pPr>
              <w:pStyle w:val="64"/>
            </w:pPr>
            <w:r>
              <w:rPr>
                <w:rFonts w:hint="eastAsia"/>
              </w:rPr>
              <w:t>3.49</w:t>
            </w:r>
          </w:p>
        </w:tc>
        <w:tc>
          <w:tcPr>
            <w:tcW w:w="277" w:type="pct"/>
            <w:vAlign w:val="center"/>
          </w:tcPr>
          <w:p w14:paraId="4556E0D5">
            <w:pPr>
              <w:pStyle w:val="64"/>
            </w:pPr>
            <w:r>
              <w:rPr>
                <w:rFonts w:hint="eastAsia"/>
              </w:rPr>
              <w:t>8.87</w:t>
            </w:r>
          </w:p>
        </w:tc>
        <w:tc>
          <w:tcPr>
            <w:tcW w:w="277" w:type="pct"/>
            <w:vAlign w:val="center"/>
          </w:tcPr>
          <w:p w14:paraId="30FC1C61">
            <w:pPr>
              <w:pStyle w:val="64"/>
            </w:pPr>
            <w:r>
              <w:rPr>
                <w:rFonts w:hint="eastAsia"/>
              </w:rPr>
              <w:t>22.45</w:t>
            </w:r>
          </w:p>
        </w:tc>
        <w:tc>
          <w:tcPr>
            <w:tcW w:w="277" w:type="pct"/>
            <w:vAlign w:val="center"/>
          </w:tcPr>
          <w:p w14:paraId="52D97646">
            <w:pPr>
              <w:pStyle w:val="64"/>
            </w:pPr>
            <w:r>
              <w:rPr>
                <w:rFonts w:hint="eastAsia"/>
              </w:rPr>
              <w:t>19.22</w:t>
            </w:r>
          </w:p>
        </w:tc>
        <w:tc>
          <w:tcPr>
            <w:tcW w:w="277" w:type="pct"/>
            <w:vAlign w:val="center"/>
          </w:tcPr>
          <w:p w14:paraId="7B9B4EBE">
            <w:pPr>
              <w:pStyle w:val="64"/>
            </w:pPr>
            <w:r>
              <w:rPr>
                <w:rFonts w:hint="eastAsia"/>
              </w:rPr>
              <w:t>7.93</w:t>
            </w:r>
          </w:p>
        </w:tc>
        <w:tc>
          <w:tcPr>
            <w:tcW w:w="235" w:type="pct"/>
            <w:vAlign w:val="center"/>
          </w:tcPr>
          <w:p w14:paraId="1028BDC5">
            <w:pPr>
              <w:pStyle w:val="64"/>
            </w:pPr>
            <w:r>
              <w:rPr>
                <w:rFonts w:hint="eastAsia"/>
              </w:rPr>
              <w:t>5.11</w:t>
            </w:r>
          </w:p>
        </w:tc>
        <w:tc>
          <w:tcPr>
            <w:tcW w:w="235" w:type="pct"/>
            <w:vAlign w:val="center"/>
          </w:tcPr>
          <w:p w14:paraId="0604F407">
            <w:pPr>
              <w:pStyle w:val="64"/>
            </w:pPr>
            <w:r>
              <w:rPr>
                <w:rFonts w:hint="eastAsia"/>
              </w:rPr>
              <w:t>2.69</w:t>
            </w:r>
          </w:p>
        </w:tc>
        <w:tc>
          <w:tcPr>
            <w:tcW w:w="235" w:type="pct"/>
            <w:vAlign w:val="center"/>
          </w:tcPr>
          <w:p w14:paraId="071272A2">
            <w:pPr>
              <w:pStyle w:val="64"/>
            </w:pPr>
            <w:r>
              <w:rPr>
                <w:rFonts w:hint="eastAsia"/>
              </w:rPr>
              <w:t>2.28</w:t>
            </w:r>
          </w:p>
        </w:tc>
        <w:tc>
          <w:tcPr>
            <w:tcW w:w="277" w:type="pct"/>
            <w:vAlign w:val="center"/>
          </w:tcPr>
          <w:p w14:paraId="69C46C44">
            <w:pPr>
              <w:pStyle w:val="64"/>
            </w:pPr>
            <w:r>
              <w:rPr>
                <w:rFonts w:hint="eastAsia"/>
              </w:rPr>
              <w:t>4.30</w:t>
            </w:r>
          </w:p>
        </w:tc>
        <w:tc>
          <w:tcPr>
            <w:tcW w:w="235" w:type="pct"/>
            <w:vAlign w:val="center"/>
          </w:tcPr>
          <w:p w14:paraId="2F7A6E7B">
            <w:pPr>
              <w:pStyle w:val="64"/>
            </w:pPr>
            <w:r>
              <w:rPr>
                <w:rFonts w:hint="eastAsia"/>
              </w:rPr>
              <w:t>4.30</w:t>
            </w:r>
          </w:p>
        </w:tc>
        <w:tc>
          <w:tcPr>
            <w:tcW w:w="293" w:type="pct"/>
            <w:vAlign w:val="center"/>
          </w:tcPr>
          <w:p w14:paraId="06ED2F3E">
            <w:pPr>
              <w:pStyle w:val="64"/>
            </w:pPr>
            <w:r>
              <w:rPr>
                <w:rFonts w:hint="eastAsia"/>
              </w:rPr>
              <w:t>4.84</w:t>
            </w:r>
          </w:p>
        </w:tc>
        <w:tc>
          <w:tcPr>
            <w:tcW w:w="235" w:type="pct"/>
            <w:vAlign w:val="center"/>
          </w:tcPr>
          <w:p w14:paraId="543A06BC">
            <w:pPr>
              <w:pStyle w:val="64"/>
            </w:pPr>
            <w:r>
              <w:rPr>
                <w:rFonts w:hint="eastAsia"/>
              </w:rPr>
              <w:t>4.03</w:t>
            </w:r>
          </w:p>
        </w:tc>
        <w:tc>
          <w:tcPr>
            <w:tcW w:w="308" w:type="pct"/>
            <w:vAlign w:val="center"/>
          </w:tcPr>
          <w:p w14:paraId="51213064">
            <w:pPr>
              <w:pStyle w:val="64"/>
            </w:pPr>
            <w:r>
              <w:rPr>
                <w:rFonts w:hint="eastAsia"/>
              </w:rPr>
              <w:t>3.09</w:t>
            </w:r>
          </w:p>
        </w:tc>
        <w:tc>
          <w:tcPr>
            <w:tcW w:w="235" w:type="pct"/>
            <w:vAlign w:val="center"/>
          </w:tcPr>
          <w:p w14:paraId="014A3ADB">
            <w:pPr>
              <w:pStyle w:val="64"/>
            </w:pPr>
            <w:r>
              <w:rPr>
                <w:rFonts w:hint="eastAsia"/>
              </w:rPr>
              <w:t>1.08</w:t>
            </w:r>
          </w:p>
        </w:tc>
        <w:tc>
          <w:tcPr>
            <w:tcW w:w="289" w:type="pct"/>
            <w:vAlign w:val="center"/>
          </w:tcPr>
          <w:p w14:paraId="17C0A4D3">
            <w:pPr>
              <w:pStyle w:val="64"/>
            </w:pPr>
            <w:r>
              <w:rPr>
                <w:rFonts w:hint="eastAsia"/>
              </w:rPr>
              <w:t>1.48</w:t>
            </w:r>
          </w:p>
        </w:tc>
        <w:tc>
          <w:tcPr>
            <w:tcW w:w="235" w:type="pct"/>
            <w:vAlign w:val="center"/>
          </w:tcPr>
          <w:p w14:paraId="547FEE25">
            <w:pPr>
              <w:pStyle w:val="64"/>
            </w:pPr>
            <w:r>
              <w:rPr>
                <w:rFonts w:hint="eastAsia"/>
              </w:rPr>
              <w:t>2.96</w:t>
            </w:r>
          </w:p>
        </w:tc>
      </w:tr>
      <w:tr w14:paraId="0718F6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6" w:type="pct"/>
            <w:tcBorders>
              <w:bottom w:val="single" w:color="auto" w:sz="4" w:space="0"/>
            </w:tcBorders>
            <w:vAlign w:val="center"/>
          </w:tcPr>
          <w:p w14:paraId="0BED1846">
            <w:pPr>
              <w:pStyle w:val="64"/>
            </w:pPr>
            <w:r>
              <w:rPr>
                <w:rFonts w:hint="eastAsia"/>
              </w:rPr>
              <w:t>十一月</w:t>
            </w:r>
          </w:p>
        </w:tc>
        <w:tc>
          <w:tcPr>
            <w:tcW w:w="235" w:type="pct"/>
            <w:tcBorders>
              <w:bottom w:val="single" w:color="auto" w:sz="4" w:space="0"/>
            </w:tcBorders>
            <w:vAlign w:val="center"/>
          </w:tcPr>
          <w:p w14:paraId="21C8F618">
            <w:pPr>
              <w:pStyle w:val="64"/>
            </w:pPr>
            <w:r>
              <w:rPr>
                <w:rFonts w:hint="eastAsia"/>
              </w:rPr>
              <w:t>4.44</w:t>
            </w:r>
          </w:p>
        </w:tc>
        <w:tc>
          <w:tcPr>
            <w:tcW w:w="261" w:type="pct"/>
            <w:tcBorders>
              <w:bottom w:val="single" w:color="auto" w:sz="4" w:space="0"/>
            </w:tcBorders>
            <w:vAlign w:val="center"/>
          </w:tcPr>
          <w:p w14:paraId="3595C731">
            <w:pPr>
              <w:pStyle w:val="64"/>
            </w:pPr>
            <w:r>
              <w:rPr>
                <w:rFonts w:hint="eastAsia"/>
              </w:rPr>
              <w:t>6.11</w:t>
            </w:r>
          </w:p>
        </w:tc>
        <w:tc>
          <w:tcPr>
            <w:tcW w:w="277" w:type="pct"/>
            <w:tcBorders>
              <w:bottom w:val="single" w:color="auto" w:sz="4" w:space="0"/>
            </w:tcBorders>
            <w:vAlign w:val="center"/>
          </w:tcPr>
          <w:p w14:paraId="4E077FC9">
            <w:pPr>
              <w:pStyle w:val="64"/>
            </w:pPr>
            <w:r>
              <w:rPr>
                <w:rFonts w:hint="eastAsia"/>
              </w:rPr>
              <w:t>10.97</w:t>
            </w:r>
          </w:p>
        </w:tc>
        <w:tc>
          <w:tcPr>
            <w:tcW w:w="277" w:type="pct"/>
            <w:tcBorders>
              <w:bottom w:val="single" w:color="auto" w:sz="4" w:space="0"/>
            </w:tcBorders>
            <w:vAlign w:val="center"/>
          </w:tcPr>
          <w:p w14:paraId="10BE2BD2">
            <w:pPr>
              <w:pStyle w:val="64"/>
            </w:pPr>
            <w:r>
              <w:rPr>
                <w:rFonts w:hint="eastAsia"/>
              </w:rPr>
              <w:t>13.47</w:t>
            </w:r>
          </w:p>
        </w:tc>
        <w:tc>
          <w:tcPr>
            <w:tcW w:w="277" w:type="pct"/>
            <w:tcBorders>
              <w:bottom w:val="single" w:color="auto" w:sz="4" w:space="0"/>
            </w:tcBorders>
            <w:vAlign w:val="center"/>
          </w:tcPr>
          <w:p w14:paraId="6AA3DD0C">
            <w:pPr>
              <w:pStyle w:val="64"/>
            </w:pPr>
            <w:r>
              <w:rPr>
                <w:rFonts w:hint="eastAsia"/>
              </w:rPr>
              <w:t>10.56</w:t>
            </w:r>
          </w:p>
        </w:tc>
        <w:tc>
          <w:tcPr>
            <w:tcW w:w="277" w:type="pct"/>
            <w:tcBorders>
              <w:bottom w:val="single" w:color="auto" w:sz="4" w:space="0"/>
            </w:tcBorders>
            <w:vAlign w:val="center"/>
          </w:tcPr>
          <w:p w14:paraId="2B63F352">
            <w:pPr>
              <w:pStyle w:val="64"/>
            </w:pPr>
            <w:r>
              <w:rPr>
                <w:rFonts w:hint="eastAsia"/>
              </w:rPr>
              <w:t>6.81</w:t>
            </w:r>
          </w:p>
        </w:tc>
        <w:tc>
          <w:tcPr>
            <w:tcW w:w="235" w:type="pct"/>
            <w:tcBorders>
              <w:bottom w:val="single" w:color="auto" w:sz="4" w:space="0"/>
            </w:tcBorders>
            <w:vAlign w:val="center"/>
          </w:tcPr>
          <w:p w14:paraId="347A6216">
            <w:pPr>
              <w:pStyle w:val="64"/>
            </w:pPr>
            <w:r>
              <w:rPr>
                <w:rFonts w:hint="eastAsia"/>
              </w:rPr>
              <w:t>2.78</w:t>
            </w:r>
          </w:p>
        </w:tc>
        <w:tc>
          <w:tcPr>
            <w:tcW w:w="235" w:type="pct"/>
            <w:tcBorders>
              <w:bottom w:val="single" w:color="auto" w:sz="4" w:space="0"/>
            </w:tcBorders>
            <w:vAlign w:val="center"/>
          </w:tcPr>
          <w:p w14:paraId="5611C2E7">
            <w:pPr>
              <w:pStyle w:val="64"/>
            </w:pPr>
            <w:r>
              <w:rPr>
                <w:rFonts w:hint="eastAsia"/>
              </w:rPr>
              <w:t>2.36</w:t>
            </w:r>
          </w:p>
        </w:tc>
        <w:tc>
          <w:tcPr>
            <w:tcW w:w="235" w:type="pct"/>
            <w:tcBorders>
              <w:bottom w:val="single" w:color="auto" w:sz="4" w:space="0"/>
            </w:tcBorders>
            <w:vAlign w:val="center"/>
          </w:tcPr>
          <w:p w14:paraId="026EFAC1">
            <w:pPr>
              <w:pStyle w:val="64"/>
            </w:pPr>
            <w:r>
              <w:rPr>
                <w:rFonts w:hint="eastAsia"/>
              </w:rPr>
              <w:t>1.94</w:t>
            </w:r>
          </w:p>
        </w:tc>
        <w:tc>
          <w:tcPr>
            <w:tcW w:w="277" w:type="pct"/>
            <w:tcBorders>
              <w:bottom w:val="single" w:color="auto" w:sz="4" w:space="0"/>
            </w:tcBorders>
            <w:vAlign w:val="center"/>
          </w:tcPr>
          <w:p w14:paraId="769661A0">
            <w:pPr>
              <w:pStyle w:val="64"/>
            </w:pPr>
            <w:r>
              <w:rPr>
                <w:rFonts w:hint="eastAsia"/>
              </w:rPr>
              <w:t>6.81</w:t>
            </w:r>
          </w:p>
        </w:tc>
        <w:tc>
          <w:tcPr>
            <w:tcW w:w="235" w:type="pct"/>
            <w:tcBorders>
              <w:bottom w:val="single" w:color="auto" w:sz="4" w:space="0"/>
            </w:tcBorders>
            <w:vAlign w:val="center"/>
          </w:tcPr>
          <w:p w14:paraId="022C3B15">
            <w:pPr>
              <w:pStyle w:val="64"/>
            </w:pPr>
            <w:r>
              <w:rPr>
                <w:rFonts w:hint="eastAsia"/>
              </w:rPr>
              <w:t>7.64</w:t>
            </w:r>
          </w:p>
        </w:tc>
        <w:tc>
          <w:tcPr>
            <w:tcW w:w="293" w:type="pct"/>
            <w:tcBorders>
              <w:bottom w:val="single" w:color="auto" w:sz="4" w:space="0"/>
            </w:tcBorders>
            <w:vAlign w:val="center"/>
          </w:tcPr>
          <w:p w14:paraId="75E333B9">
            <w:pPr>
              <w:pStyle w:val="64"/>
            </w:pPr>
            <w:r>
              <w:rPr>
                <w:rFonts w:hint="eastAsia"/>
              </w:rPr>
              <w:t>4.86</w:t>
            </w:r>
          </w:p>
        </w:tc>
        <w:tc>
          <w:tcPr>
            <w:tcW w:w="235" w:type="pct"/>
            <w:tcBorders>
              <w:bottom w:val="single" w:color="auto" w:sz="4" w:space="0"/>
            </w:tcBorders>
            <w:vAlign w:val="center"/>
          </w:tcPr>
          <w:p w14:paraId="284428A9">
            <w:pPr>
              <w:pStyle w:val="64"/>
            </w:pPr>
            <w:r>
              <w:rPr>
                <w:rFonts w:hint="eastAsia"/>
              </w:rPr>
              <w:t>7.50</w:t>
            </w:r>
          </w:p>
        </w:tc>
        <w:tc>
          <w:tcPr>
            <w:tcW w:w="308" w:type="pct"/>
            <w:tcBorders>
              <w:bottom w:val="single" w:color="auto" w:sz="4" w:space="0"/>
            </w:tcBorders>
            <w:vAlign w:val="center"/>
          </w:tcPr>
          <w:p w14:paraId="59D8ADE4">
            <w:pPr>
              <w:pStyle w:val="64"/>
            </w:pPr>
            <w:r>
              <w:rPr>
                <w:rFonts w:hint="eastAsia"/>
              </w:rPr>
              <w:t>6.67</w:t>
            </w:r>
          </w:p>
        </w:tc>
        <w:tc>
          <w:tcPr>
            <w:tcW w:w="235" w:type="pct"/>
            <w:tcBorders>
              <w:bottom w:val="single" w:color="auto" w:sz="4" w:space="0"/>
            </w:tcBorders>
            <w:vAlign w:val="center"/>
          </w:tcPr>
          <w:p w14:paraId="6893DD24">
            <w:pPr>
              <w:pStyle w:val="64"/>
            </w:pPr>
            <w:r>
              <w:rPr>
                <w:rFonts w:hint="eastAsia"/>
              </w:rPr>
              <w:t>2.64</w:t>
            </w:r>
          </w:p>
        </w:tc>
        <w:tc>
          <w:tcPr>
            <w:tcW w:w="289" w:type="pct"/>
            <w:tcBorders>
              <w:bottom w:val="single" w:color="auto" w:sz="4" w:space="0"/>
            </w:tcBorders>
            <w:vAlign w:val="center"/>
          </w:tcPr>
          <w:p w14:paraId="0B979BB4">
            <w:pPr>
              <w:pStyle w:val="64"/>
            </w:pPr>
            <w:r>
              <w:rPr>
                <w:rFonts w:hint="eastAsia"/>
              </w:rPr>
              <w:t>3.75</w:t>
            </w:r>
          </w:p>
        </w:tc>
        <w:tc>
          <w:tcPr>
            <w:tcW w:w="235" w:type="pct"/>
            <w:tcBorders>
              <w:bottom w:val="single" w:color="auto" w:sz="4" w:space="0"/>
            </w:tcBorders>
            <w:vAlign w:val="center"/>
          </w:tcPr>
          <w:p w14:paraId="523CF1E6">
            <w:pPr>
              <w:pStyle w:val="64"/>
            </w:pPr>
            <w:r>
              <w:rPr>
                <w:rFonts w:hint="eastAsia"/>
              </w:rPr>
              <w:t>0.69</w:t>
            </w:r>
          </w:p>
        </w:tc>
      </w:tr>
      <w:tr w14:paraId="37901B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6" w:type="pct"/>
            <w:tcBorders>
              <w:top w:val="single" w:color="auto" w:sz="4" w:space="0"/>
              <w:left w:val="single" w:color="auto" w:sz="4" w:space="0"/>
              <w:bottom w:val="single" w:color="auto" w:sz="4" w:space="0"/>
              <w:right w:val="single" w:color="auto" w:sz="4" w:space="0"/>
            </w:tcBorders>
            <w:vAlign w:val="center"/>
          </w:tcPr>
          <w:p w14:paraId="63B630B8">
            <w:pPr>
              <w:pStyle w:val="64"/>
            </w:pPr>
            <w:r>
              <w:rPr>
                <w:rFonts w:hint="eastAsia"/>
              </w:rPr>
              <w:t>十二月</w:t>
            </w:r>
          </w:p>
        </w:tc>
        <w:tc>
          <w:tcPr>
            <w:tcW w:w="235" w:type="pct"/>
            <w:tcBorders>
              <w:top w:val="single" w:color="auto" w:sz="4" w:space="0"/>
              <w:left w:val="single" w:color="auto" w:sz="4" w:space="0"/>
              <w:bottom w:val="single" w:color="auto" w:sz="4" w:space="0"/>
              <w:right w:val="single" w:color="auto" w:sz="4" w:space="0"/>
            </w:tcBorders>
            <w:vAlign w:val="center"/>
          </w:tcPr>
          <w:p w14:paraId="5F77EBF7">
            <w:pPr>
              <w:pStyle w:val="64"/>
            </w:pPr>
            <w:r>
              <w:rPr>
                <w:rFonts w:hint="eastAsia"/>
              </w:rPr>
              <w:t>7.53</w:t>
            </w:r>
          </w:p>
        </w:tc>
        <w:tc>
          <w:tcPr>
            <w:tcW w:w="261" w:type="pct"/>
            <w:tcBorders>
              <w:top w:val="single" w:color="auto" w:sz="4" w:space="0"/>
              <w:left w:val="single" w:color="auto" w:sz="4" w:space="0"/>
              <w:bottom w:val="single" w:color="auto" w:sz="4" w:space="0"/>
              <w:right w:val="single" w:color="auto" w:sz="4" w:space="0"/>
            </w:tcBorders>
            <w:vAlign w:val="center"/>
          </w:tcPr>
          <w:p w14:paraId="16A45CDE">
            <w:pPr>
              <w:pStyle w:val="64"/>
            </w:pPr>
            <w:r>
              <w:rPr>
                <w:rFonts w:hint="eastAsia"/>
              </w:rPr>
              <w:t>3.90</w:t>
            </w:r>
          </w:p>
        </w:tc>
        <w:tc>
          <w:tcPr>
            <w:tcW w:w="277" w:type="pct"/>
            <w:tcBorders>
              <w:top w:val="single" w:color="auto" w:sz="4" w:space="0"/>
              <w:left w:val="single" w:color="auto" w:sz="4" w:space="0"/>
              <w:bottom w:val="single" w:color="auto" w:sz="4" w:space="0"/>
              <w:right w:val="single" w:color="auto" w:sz="4" w:space="0"/>
            </w:tcBorders>
            <w:vAlign w:val="center"/>
          </w:tcPr>
          <w:p w14:paraId="3A8B66F9">
            <w:pPr>
              <w:pStyle w:val="64"/>
            </w:pPr>
            <w:r>
              <w:rPr>
                <w:rFonts w:hint="eastAsia"/>
              </w:rPr>
              <w:t>8.06</w:t>
            </w:r>
          </w:p>
        </w:tc>
        <w:tc>
          <w:tcPr>
            <w:tcW w:w="277" w:type="pct"/>
            <w:tcBorders>
              <w:top w:val="single" w:color="auto" w:sz="4" w:space="0"/>
              <w:left w:val="single" w:color="auto" w:sz="4" w:space="0"/>
              <w:bottom w:val="single" w:color="auto" w:sz="4" w:space="0"/>
              <w:right w:val="single" w:color="auto" w:sz="4" w:space="0"/>
            </w:tcBorders>
            <w:vAlign w:val="center"/>
          </w:tcPr>
          <w:p w14:paraId="10FA2C63">
            <w:pPr>
              <w:pStyle w:val="64"/>
            </w:pPr>
            <w:r>
              <w:rPr>
                <w:rFonts w:hint="eastAsia"/>
              </w:rPr>
              <w:t>11.69</w:t>
            </w:r>
          </w:p>
        </w:tc>
        <w:tc>
          <w:tcPr>
            <w:tcW w:w="277" w:type="pct"/>
            <w:tcBorders>
              <w:top w:val="single" w:color="auto" w:sz="4" w:space="0"/>
              <w:left w:val="single" w:color="auto" w:sz="4" w:space="0"/>
              <w:bottom w:val="single" w:color="auto" w:sz="4" w:space="0"/>
              <w:right w:val="single" w:color="auto" w:sz="4" w:space="0"/>
            </w:tcBorders>
            <w:vAlign w:val="center"/>
          </w:tcPr>
          <w:p w14:paraId="688581D8">
            <w:pPr>
              <w:pStyle w:val="64"/>
            </w:pPr>
            <w:r>
              <w:rPr>
                <w:rFonts w:hint="eastAsia"/>
              </w:rPr>
              <w:t>11.29</w:t>
            </w:r>
          </w:p>
        </w:tc>
        <w:tc>
          <w:tcPr>
            <w:tcW w:w="277" w:type="pct"/>
            <w:tcBorders>
              <w:top w:val="single" w:color="auto" w:sz="4" w:space="0"/>
              <w:left w:val="single" w:color="auto" w:sz="4" w:space="0"/>
              <w:bottom w:val="single" w:color="auto" w:sz="4" w:space="0"/>
              <w:right w:val="single" w:color="auto" w:sz="4" w:space="0"/>
            </w:tcBorders>
            <w:vAlign w:val="center"/>
          </w:tcPr>
          <w:p w14:paraId="64D317EE">
            <w:pPr>
              <w:pStyle w:val="64"/>
            </w:pPr>
            <w:r>
              <w:rPr>
                <w:rFonts w:hint="eastAsia"/>
              </w:rPr>
              <w:t>4.30</w:t>
            </w:r>
          </w:p>
        </w:tc>
        <w:tc>
          <w:tcPr>
            <w:tcW w:w="235" w:type="pct"/>
            <w:tcBorders>
              <w:top w:val="single" w:color="auto" w:sz="4" w:space="0"/>
              <w:left w:val="single" w:color="auto" w:sz="4" w:space="0"/>
              <w:bottom w:val="single" w:color="auto" w:sz="4" w:space="0"/>
              <w:right w:val="single" w:color="auto" w:sz="4" w:space="0"/>
            </w:tcBorders>
            <w:vAlign w:val="center"/>
          </w:tcPr>
          <w:p w14:paraId="1149E4D9">
            <w:pPr>
              <w:pStyle w:val="64"/>
            </w:pPr>
            <w:r>
              <w:rPr>
                <w:rFonts w:hint="eastAsia"/>
              </w:rPr>
              <w:t>2.55</w:t>
            </w:r>
          </w:p>
        </w:tc>
        <w:tc>
          <w:tcPr>
            <w:tcW w:w="235" w:type="pct"/>
            <w:tcBorders>
              <w:top w:val="single" w:color="auto" w:sz="4" w:space="0"/>
              <w:left w:val="single" w:color="auto" w:sz="4" w:space="0"/>
              <w:bottom w:val="single" w:color="auto" w:sz="4" w:space="0"/>
              <w:right w:val="single" w:color="auto" w:sz="4" w:space="0"/>
            </w:tcBorders>
            <w:vAlign w:val="center"/>
          </w:tcPr>
          <w:p w14:paraId="5ADD1513">
            <w:pPr>
              <w:pStyle w:val="64"/>
            </w:pPr>
            <w:r>
              <w:rPr>
                <w:rFonts w:hint="eastAsia"/>
              </w:rPr>
              <w:t>2.28</w:t>
            </w:r>
          </w:p>
        </w:tc>
        <w:tc>
          <w:tcPr>
            <w:tcW w:w="235" w:type="pct"/>
            <w:tcBorders>
              <w:top w:val="single" w:color="auto" w:sz="4" w:space="0"/>
              <w:left w:val="single" w:color="auto" w:sz="4" w:space="0"/>
              <w:bottom w:val="single" w:color="auto" w:sz="4" w:space="0"/>
              <w:right w:val="single" w:color="auto" w:sz="4" w:space="0"/>
            </w:tcBorders>
            <w:vAlign w:val="center"/>
          </w:tcPr>
          <w:p w14:paraId="6E7E553D">
            <w:pPr>
              <w:pStyle w:val="64"/>
            </w:pPr>
            <w:r>
              <w:rPr>
                <w:rFonts w:hint="eastAsia"/>
              </w:rPr>
              <w:t>2.15</w:t>
            </w:r>
          </w:p>
        </w:tc>
        <w:tc>
          <w:tcPr>
            <w:tcW w:w="277" w:type="pct"/>
            <w:tcBorders>
              <w:top w:val="single" w:color="auto" w:sz="4" w:space="0"/>
              <w:left w:val="single" w:color="auto" w:sz="4" w:space="0"/>
              <w:bottom w:val="single" w:color="auto" w:sz="4" w:space="0"/>
              <w:right w:val="single" w:color="auto" w:sz="4" w:space="0"/>
            </w:tcBorders>
            <w:vAlign w:val="center"/>
          </w:tcPr>
          <w:p w14:paraId="7F98EF1B">
            <w:pPr>
              <w:pStyle w:val="64"/>
            </w:pPr>
            <w:r>
              <w:rPr>
                <w:rFonts w:hint="eastAsia"/>
              </w:rPr>
              <w:t>8.60</w:t>
            </w:r>
          </w:p>
        </w:tc>
        <w:tc>
          <w:tcPr>
            <w:tcW w:w="235" w:type="pct"/>
            <w:tcBorders>
              <w:top w:val="single" w:color="auto" w:sz="4" w:space="0"/>
              <w:left w:val="single" w:color="auto" w:sz="4" w:space="0"/>
              <w:bottom w:val="single" w:color="auto" w:sz="4" w:space="0"/>
              <w:right w:val="single" w:color="auto" w:sz="4" w:space="0"/>
            </w:tcBorders>
            <w:vAlign w:val="center"/>
          </w:tcPr>
          <w:p w14:paraId="2919D905">
            <w:pPr>
              <w:pStyle w:val="64"/>
            </w:pPr>
            <w:r>
              <w:rPr>
                <w:rFonts w:hint="eastAsia"/>
              </w:rPr>
              <w:t>9.68</w:t>
            </w:r>
          </w:p>
        </w:tc>
        <w:tc>
          <w:tcPr>
            <w:tcW w:w="293" w:type="pct"/>
            <w:tcBorders>
              <w:top w:val="single" w:color="auto" w:sz="4" w:space="0"/>
              <w:left w:val="single" w:color="auto" w:sz="4" w:space="0"/>
              <w:bottom w:val="single" w:color="auto" w:sz="4" w:space="0"/>
              <w:right w:val="single" w:color="auto" w:sz="4" w:space="0"/>
            </w:tcBorders>
            <w:vAlign w:val="center"/>
          </w:tcPr>
          <w:p w14:paraId="5FA7522E">
            <w:pPr>
              <w:pStyle w:val="64"/>
            </w:pPr>
            <w:r>
              <w:rPr>
                <w:rFonts w:hint="eastAsia"/>
              </w:rPr>
              <w:t>3.63</w:t>
            </w:r>
          </w:p>
        </w:tc>
        <w:tc>
          <w:tcPr>
            <w:tcW w:w="235" w:type="pct"/>
            <w:tcBorders>
              <w:top w:val="single" w:color="auto" w:sz="4" w:space="0"/>
              <w:left w:val="single" w:color="auto" w:sz="4" w:space="0"/>
              <w:bottom w:val="single" w:color="auto" w:sz="4" w:space="0"/>
              <w:right w:val="single" w:color="auto" w:sz="4" w:space="0"/>
            </w:tcBorders>
            <w:vAlign w:val="center"/>
          </w:tcPr>
          <w:p w14:paraId="3108A5D9">
            <w:pPr>
              <w:pStyle w:val="64"/>
            </w:pPr>
            <w:r>
              <w:rPr>
                <w:rFonts w:hint="eastAsia"/>
              </w:rPr>
              <w:t>3.36</w:t>
            </w:r>
          </w:p>
        </w:tc>
        <w:tc>
          <w:tcPr>
            <w:tcW w:w="308" w:type="pct"/>
            <w:tcBorders>
              <w:top w:val="single" w:color="auto" w:sz="4" w:space="0"/>
              <w:left w:val="single" w:color="auto" w:sz="4" w:space="0"/>
              <w:bottom w:val="single" w:color="auto" w:sz="4" w:space="0"/>
              <w:right w:val="single" w:color="auto" w:sz="4" w:space="0"/>
            </w:tcBorders>
            <w:vAlign w:val="center"/>
          </w:tcPr>
          <w:p w14:paraId="33CF4854">
            <w:pPr>
              <w:pStyle w:val="64"/>
            </w:pPr>
            <w:r>
              <w:rPr>
                <w:rFonts w:hint="eastAsia"/>
              </w:rPr>
              <w:t>7.26</w:t>
            </w:r>
          </w:p>
        </w:tc>
        <w:tc>
          <w:tcPr>
            <w:tcW w:w="235" w:type="pct"/>
            <w:tcBorders>
              <w:top w:val="single" w:color="auto" w:sz="4" w:space="0"/>
              <w:left w:val="single" w:color="auto" w:sz="4" w:space="0"/>
              <w:bottom w:val="single" w:color="auto" w:sz="4" w:space="0"/>
              <w:right w:val="single" w:color="auto" w:sz="4" w:space="0"/>
            </w:tcBorders>
            <w:vAlign w:val="center"/>
          </w:tcPr>
          <w:p w14:paraId="321697D5">
            <w:pPr>
              <w:pStyle w:val="64"/>
            </w:pPr>
            <w:r>
              <w:rPr>
                <w:rFonts w:hint="eastAsia"/>
              </w:rPr>
              <w:t>8.33</w:t>
            </w:r>
          </w:p>
        </w:tc>
        <w:tc>
          <w:tcPr>
            <w:tcW w:w="289" w:type="pct"/>
            <w:tcBorders>
              <w:top w:val="single" w:color="auto" w:sz="4" w:space="0"/>
              <w:left w:val="single" w:color="auto" w:sz="4" w:space="0"/>
              <w:bottom w:val="single" w:color="auto" w:sz="4" w:space="0"/>
              <w:right w:val="single" w:color="auto" w:sz="4" w:space="0"/>
            </w:tcBorders>
            <w:vAlign w:val="center"/>
          </w:tcPr>
          <w:p w14:paraId="27CB8DA3">
            <w:pPr>
              <w:pStyle w:val="64"/>
            </w:pPr>
            <w:r>
              <w:rPr>
                <w:rFonts w:hint="eastAsia"/>
              </w:rPr>
              <w:t>4.17</w:t>
            </w:r>
          </w:p>
        </w:tc>
        <w:tc>
          <w:tcPr>
            <w:tcW w:w="235" w:type="pct"/>
            <w:tcBorders>
              <w:top w:val="single" w:color="auto" w:sz="4" w:space="0"/>
              <w:left w:val="single" w:color="auto" w:sz="4" w:space="0"/>
              <w:bottom w:val="single" w:color="auto" w:sz="4" w:space="0"/>
              <w:right w:val="single" w:color="auto" w:sz="4" w:space="0"/>
            </w:tcBorders>
            <w:vAlign w:val="center"/>
          </w:tcPr>
          <w:p w14:paraId="47057617">
            <w:pPr>
              <w:pStyle w:val="64"/>
            </w:pPr>
            <w:r>
              <w:rPr>
                <w:rFonts w:hint="eastAsia"/>
              </w:rPr>
              <w:t>1.21</w:t>
            </w:r>
          </w:p>
        </w:tc>
      </w:tr>
    </w:tbl>
    <w:p w14:paraId="2E8D6A69">
      <w:pPr>
        <w:rPr>
          <w:rFonts w:cs="Times New Roman"/>
          <w:spacing w:val="-3"/>
        </w:rPr>
      </w:pPr>
    </w:p>
    <w:p w14:paraId="023800E9">
      <w:pPr>
        <w:rPr>
          <w:rFonts w:cs="Times New Roman"/>
          <w:spacing w:val="-3"/>
        </w:rPr>
        <w:sectPr>
          <w:pgSz w:w="16838" w:h="11906" w:orient="landscape"/>
          <w:pgMar w:top="1418" w:right="1418" w:bottom="1418" w:left="1418" w:header="851" w:footer="992" w:gutter="0"/>
          <w:cols w:space="425" w:num="1"/>
          <w:docGrid w:type="lines" w:linePitch="326" w:charSpace="0"/>
        </w:sectPr>
      </w:pPr>
    </w:p>
    <w:p w14:paraId="3987980D">
      <w:pPr>
        <w:pStyle w:val="4"/>
        <w:rPr>
          <w:rFonts w:hint="eastAsia"/>
        </w:rPr>
      </w:pPr>
      <w:bookmarkStart w:id="78" w:name="_Toc209720905"/>
      <w:bookmarkStart w:id="79" w:name="_Toc221056409"/>
      <w:r>
        <w:rPr>
          <w:rFonts w:hint="eastAsia"/>
        </w:rPr>
        <w:t>6.2.2预测模式</w:t>
      </w:r>
      <w:bookmarkEnd w:id="78"/>
      <w:bookmarkEnd w:id="79"/>
    </w:p>
    <w:p w14:paraId="21E1076A">
      <w:pPr>
        <w:ind w:firstLine="480" w:firstLineChars="200"/>
      </w:pPr>
      <w:r>
        <w:t>(1)预测因子</w:t>
      </w:r>
    </w:p>
    <w:p w14:paraId="50E62C12">
      <w:pPr>
        <w:ind w:firstLine="480" w:firstLineChars="200"/>
      </w:pPr>
      <w:r>
        <w:t>根据《大气环境影响评价技术导则 大气环境》(HJ2.2-2018)，本次评价</w:t>
      </w:r>
      <w:r>
        <w:rPr>
          <w:rFonts w:hint="eastAsia"/>
        </w:rPr>
        <w:t>选取非甲烷总烃(NMHC)、酚类、硫酸</w:t>
      </w:r>
      <w:r>
        <w:t>作为预测因子。</w:t>
      </w:r>
    </w:p>
    <w:p w14:paraId="2935A215">
      <w:pPr>
        <w:ind w:firstLine="480" w:firstLineChars="200"/>
      </w:pPr>
      <w:r>
        <w:t>(2)预测范围</w:t>
      </w:r>
    </w:p>
    <w:p w14:paraId="0997B68E">
      <w:pPr>
        <w:ind w:firstLine="480" w:firstLineChars="200"/>
      </w:pPr>
      <w:r>
        <w:t>根据</w:t>
      </w:r>
      <w:r>
        <w:rPr>
          <w:rFonts w:hint="eastAsia"/>
        </w:rPr>
        <w:t>《大气环境影响评价技术导则 大气环境》(HJ2.2-2018)及模型估算结果</w:t>
      </w:r>
      <w:r>
        <w:t>，本项目</w:t>
      </w:r>
      <w:r>
        <w:rPr>
          <w:rFonts w:hint="eastAsia"/>
        </w:rPr>
        <w:t>无D</w:t>
      </w:r>
      <w:r>
        <w:rPr>
          <w:rFonts w:hint="eastAsia"/>
          <w:vertAlign w:val="subscript"/>
        </w:rPr>
        <w:t>10%</w:t>
      </w:r>
      <w:r>
        <w:rPr>
          <w:rFonts w:hint="eastAsia"/>
        </w:rPr>
        <w:t>未超出5km，因此</w:t>
      </w:r>
      <w:r>
        <w:t>设置大气环境影响评价范围边长取5km，即以项目厂界为中心边长5km的矩形范围。</w:t>
      </w:r>
    </w:p>
    <w:p w14:paraId="1C431E89">
      <w:pPr>
        <w:pStyle w:val="16"/>
        <w:ind w:firstLine="480"/>
      </w:pPr>
      <w:r>
        <w:t>(3)预测内容</w:t>
      </w:r>
    </w:p>
    <w:p w14:paraId="55F7230B">
      <w:pPr>
        <w:pStyle w:val="16"/>
        <w:ind w:firstLine="480"/>
        <w:rPr>
          <w:lang w:val="zh-CN"/>
        </w:rPr>
      </w:pPr>
      <w:r>
        <w:rPr>
          <w:rFonts w:hint="eastAsia"/>
          <w:lang w:val="zh-CN"/>
        </w:rPr>
        <w:t>根据本项目污染物排放特点及《环境影响评价技术导则大气环境》(</w:t>
      </w:r>
      <w:r>
        <w:rPr>
          <w:lang w:val="zh-CN"/>
        </w:rPr>
        <w:t>HJ2.2-2018</w:t>
      </w:r>
      <w:r>
        <w:rPr>
          <w:rFonts w:hint="eastAsia"/>
          <w:lang w:val="zh-CN"/>
        </w:rPr>
        <w:t>)相关要求，结合区域污染气象特征，预测内容详见表6</w:t>
      </w:r>
      <w:r>
        <w:rPr>
          <w:lang w:val="zh-CN"/>
        </w:rPr>
        <w:t>.</w:t>
      </w:r>
      <w:r>
        <w:rPr>
          <w:rFonts w:hint="eastAsia"/>
        </w:rPr>
        <w:t>2</w:t>
      </w:r>
      <w:r>
        <w:rPr>
          <w:lang w:val="zh-CN"/>
        </w:rPr>
        <w:t>-</w:t>
      </w:r>
      <w:r>
        <w:rPr>
          <w:rFonts w:hint="eastAsia"/>
          <w:lang w:val="zh-CN"/>
        </w:rPr>
        <w:t>8。</w:t>
      </w:r>
    </w:p>
    <w:p w14:paraId="05083C75">
      <w:pPr>
        <w:pStyle w:val="28"/>
        <w:rPr>
          <w:rFonts w:hint="eastAsia"/>
        </w:rPr>
      </w:pPr>
      <w:r>
        <w:rPr>
          <w:rFonts w:hint="eastAsia"/>
        </w:rPr>
        <w:t>表6.2-8  环境空气影响预测内容</w:t>
      </w:r>
    </w:p>
    <w:tbl>
      <w:tblPr>
        <w:tblStyle w:val="3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26"/>
        <w:gridCol w:w="1521"/>
        <w:gridCol w:w="2087"/>
        <w:gridCol w:w="1889"/>
        <w:gridCol w:w="2463"/>
      </w:tblGrid>
      <w:tr w14:paraId="6A708E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4" w:type="pct"/>
            <w:vAlign w:val="center"/>
          </w:tcPr>
          <w:p w14:paraId="280417B7">
            <w:pPr>
              <w:pStyle w:val="64"/>
            </w:pPr>
            <w:r>
              <w:t>工况</w:t>
            </w:r>
          </w:p>
        </w:tc>
        <w:tc>
          <w:tcPr>
            <w:tcW w:w="819" w:type="pct"/>
            <w:vAlign w:val="center"/>
          </w:tcPr>
          <w:p w14:paraId="400E9EB3">
            <w:pPr>
              <w:pStyle w:val="64"/>
            </w:pPr>
            <w:r>
              <w:t>污染源</w:t>
            </w:r>
          </w:p>
        </w:tc>
        <w:tc>
          <w:tcPr>
            <w:tcW w:w="1124" w:type="pct"/>
            <w:vAlign w:val="center"/>
          </w:tcPr>
          <w:p w14:paraId="0BEAFCFE">
            <w:pPr>
              <w:pStyle w:val="64"/>
              <w:rPr>
                <w:lang w:val="zh-CN"/>
              </w:rPr>
            </w:pPr>
            <w:r>
              <w:rPr>
                <w:lang w:val="zh-CN"/>
              </w:rPr>
              <w:t>预测因子</w:t>
            </w:r>
          </w:p>
        </w:tc>
        <w:tc>
          <w:tcPr>
            <w:tcW w:w="1017" w:type="pct"/>
            <w:vAlign w:val="center"/>
          </w:tcPr>
          <w:p w14:paraId="50F84615">
            <w:pPr>
              <w:pStyle w:val="64"/>
            </w:pPr>
            <w:r>
              <w:t>预测内容</w:t>
            </w:r>
          </w:p>
        </w:tc>
        <w:tc>
          <w:tcPr>
            <w:tcW w:w="1326" w:type="pct"/>
            <w:vAlign w:val="center"/>
          </w:tcPr>
          <w:p w14:paraId="5FA57B1A">
            <w:pPr>
              <w:pStyle w:val="64"/>
            </w:pPr>
            <w:r>
              <w:t>评价内容</w:t>
            </w:r>
          </w:p>
        </w:tc>
      </w:tr>
      <w:tr w14:paraId="1F76EA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4" w:type="pct"/>
            <w:vMerge w:val="restart"/>
            <w:vAlign w:val="center"/>
          </w:tcPr>
          <w:p w14:paraId="7B206031">
            <w:pPr>
              <w:pStyle w:val="64"/>
            </w:pPr>
            <w:r>
              <w:t>正常排放</w:t>
            </w:r>
          </w:p>
        </w:tc>
        <w:tc>
          <w:tcPr>
            <w:tcW w:w="819" w:type="pct"/>
            <w:vAlign w:val="center"/>
          </w:tcPr>
          <w:p w14:paraId="241723D9">
            <w:pPr>
              <w:pStyle w:val="64"/>
            </w:pPr>
            <w:r>
              <w:t>新增污染源</w:t>
            </w:r>
          </w:p>
        </w:tc>
        <w:tc>
          <w:tcPr>
            <w:tcW w:w="1124" w:type="pct"/>
            <w:vAlign w:val="center"/>
          </w:tcPr>
          <w:p w14:paraId="26C712FA">
            <w:pPr>
              <w:pStyle w:val="64"/>
              <w:jc w:val="both"/>
            </w:pPr>
            <w:r>
              <w:rPr>
                <w:rFonts w:hint="eastAsia"/>
              </w:rPr>
              <w:t>非甲烷总烃</w:t>
            </w:r>
            <w:r>
              <w:t>、</w:t>
            </w:r>
            <w:r>
              <w:rPr>
                <w:rFonts w:hint="eastAsia"/>
                <w:bCs/>
                <w:kern w:val="0"/>
                <w:lang w:bidi="ar"/>
              </w:rPr>
              <w:t>酚类</w:t>
            </w:r>
            <w:r>
              <w:t>、</w:t>
            </w:r>
            <w:r>
              <w:rPr>
                <w:rFonts w:hint="eastAsia"/>
              </w:rPr>
              <w:t>硫酸雾</w:t>
            </w:r>
          </w:p>
        </w:tc>
        <w:tc>
          <w:tcPr>
            <w:tcW w:w="1017" w:type="pct"/>
            <w:vAlign w:val="center"/>
          </w:tcPr>
          <w:p w14:paraId="3E2FBDD0">
            <w:pPr>
              <w:pStyle w:val="64"/>
            </w:pPr>
            <w:r>
              <w:t>短期浓度</w:t>
            </w:r>
          </w:p>
          <w:p w14:paraId="4891A8DB">
            <w:pPr>
              <w:pStyle w:val="64"/>
            </w:pPr>
            <w:r>
              <w:t>长期浓度</w:t>
            </w:r>
          </w:p>
        </w:tc>
        <w:tc>
          <w:tcPr>
            <w:tcW w:w="1326" w:type="pct"/>
            <w:vAlign w:val="center"/>
          </w:tcPr>
          <w:p w14:paraId="1707C0AA">
            <w:pPr>
              <w:pStyle w:val="64"/>
            </w:pPr>
            <w:r>
              <w:t>最大浓度占标率</w:t>
            </w:r>
          </w:p>
        </w:tc>
      </w:tr>
      <w:tr w14:paraId="79F189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4" w:type="pct"/>
            <w:vMerge w:val="continue"/>
            <w:vAlign w:val="center"/>
          </w:tcPr>
          <w:p w14:paraId="301BEC9C">
            <w:pPr>
              <w:pStyle w:val="64"/>
            </w:pPr>
          </w:p>
        </w:tc>
        <w:tc>
          <w:tcPr>
            <w:tcW w:w="819" w:type="pct"/>
            <w:vAlign w:val="center"/>
          </w:tcPr>
          <w:p w14:paraId="3A50E07C">
            <w:pPr>
              <w:pStyle w:val="64"/>
              <w:jc w:val="both"/>
            </w:pPr>
            <w:r>
              <w:t>新增污染源-</w:t>
            </w:r>
            <w:r>
              <w:rPr>
                <w:rFonts w:hint="eastAsia"/>
              </w:rPr>
              <w:t>“以新带老”污染</w:t>
            </w:r>
            <w:r>
              <w:t>源+其他在建、拟建的污染源</w:t>
            </w:r>
          </w:p>
        </w:tc>
        <w:tc>
          <w:tcPr>
            <w:tcW w:w="1124" w:type="pct"/>
            <w:vAlign w:val="center"/>
          </w:tcPr>
          <w:p w14:paraId="4BC0B748">
            <w:pPr>
              <w:pStyle w:val="64"/>
              <w:jc w:val="both"/>
            </w:pPr>
            <w:r>
              <w:rPr>
                <w:rFonts w:hint="eastAsia"/>
              </w:rPr>
              <w:t>非甲烷总烃</w:t>
            </w:r>
            <w:r>
              <w:t>、</w:t>
            </w:r>
            <w:r>
              <w:rPr>
                <w:rFonts w:hint="eastAsia"/>
                <w:bCs/>
                <w:kern w:val="0"/>
                <w:lang w:bidi="ar"/>
              </w:rPr>
              <w:t>酚类、硫酸雾</w:t>
            </w:r>
          </w:p>
        </w:tc>
        <w:tc>
          <w:tcPr>
            <w:tcW w:w="1017" w:type="pct"/>
            <w:vAlign w:val="center"/>
          </w:tcPr>
          <w:p w14:paraId="3B4434E0">
            <w:pPr>
              <w:pStyle w:val="64"/>
            </w:pPr>
            <w:r>
              <w:t>短期浓度</w:t>
            </w:r>
          </w:p>
          <w:p w14:paraId="42AD488C">
            <w:pPr>
              <w:pStyle w:val="64"/>
            </w:pPr>
            <w:r>
              <w:t>长期浓度</w:t>
            </w:r>
          </w:p>
        </w:tc>
        <w:tc>
          <w:tcPr>
            <w:tcW w:w="1326" w:type="pct"/>
            <w:vAlign w:val="center"/>
          </w:tcPr>
          <w:p w14:paraId="0CC4EE2A">
            <w:pPr>
              <w:pStyle w:val="64"/>
            </w:pPr>
            <w:r>
              <w:t>叠加环境质量现状浓度后的保证率日平均质量浓度和年平均质量浓度的占标率；评价年平均质量浓度变化率</w:t>
            </w:r>
          </w:p>
        </w:tc>
      </w:tr>
      <w:tr w14:paraId="5953FC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4" w:type="pct"/>
            <w:vAlign w:val="center"/>
          </w:tcPr>
          <w:p w14:paraId="423FDDA1">
            <w:pPr>
              <w:pStyle w:val="64"/>
            </w:pPr>
            <w:r>
              <w:t>非正常排放</w:t>
            </w:r>
          </w:p>
        </w:tc>
        <w:tc>
          <w:tcPr>
            <w:tcW w:w="819" w:type="pct"/>
            <w:vAlign w:val="center"/>
          </w:tcPr>
          <w:p w14:paraId="27263BD6">
            <w:pPr>
              <w:pStyle w:val="64"/>
            </w:pPr>
            <w:r>
              <w:t>新增污染源</w:t>
            </w:r>
          </w:p>
        </w:tc>
        <w:tc>
          <w:tcPr>
            <w:tcW w:w="1124" w:type="pct"/>
            <w:vAlign w:val="center"/>
          </w:tcPr>
          <w:p w14:paraId="00D24C20">
            <w:pPr>
              <w:pStyle w:val="64"/>
            </w:pPr>
            <w:r>
              <w:rPr>
                <w:rFonts w:hint="eastAsia"/>
              </w:rPr>
              <w:t>非甲烷总烃</w:t>
            </w:r>
            <w:r>
              <w:t>、</w:t>
            </w:r>
            <w:r>
              <w:rPr>
                <w:rFonts w:hint="eastAsia"/>
                <w:bCs/>
                <w:kern w:val="0"/>
                <w:lang w:bidi="ar"/>
              </w:rPr>
              <w:t>酚类</w:t>
            </w:r>
          </w:p>
        </w:tc>
        <w:tc>
          <w:tcPr>
            <w:tcW w:w="1017" w:type="pct"/>
            <w:vAlign w:val="center"/>
          </w:tcPr>
          <w:p w14:paraId="1EBF10C3">
            <w:pPr>
              <w:pStyle w:val="64"/>
            </w:pPr>
            <w:r>
              <w:t>1h平均质量浓度</w:t>
            </w:r>
          </w:p>
        </w:tc>
        <w:tc>
          <w:tcPr>
            <w:tcW w:w="1326" w:type="pct"/>
            <w:vAlign w:val="center"/>
          </w:tcPr>
          <w:p w14:paraId="22F2D7F8">
            <w:pPr>
              <w:pStyle w:val="64"/>
            </w:pPr>
            <w:r>
              <w:t>最大浓度占标率</w:t>
            </w:r>
          </w:p>
        </w:tc>
      </w:tr>
    </w:tbl>
    <w:p w14:paraId="06191347">
      <w:pPr>
        <w:ind w:firstLine="480" w:firstLineChars="200"/>
        <w:rPr>
          <w:rFonts w:cs="Times New Roman"/>
        </w:rPr>
      </w:pPr>
    </w:p>
    <w:p w14:paraId="0B054A30">
      <w:pPr>
        <w:pStyle w:val="82"/>
        <w:ind w:firstLine="48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(4)估算模型</w:t>
      </w:r>
    </w:p>
    <w:p w14:paraId="64FBBA2C">
      <w:pPr>
        <w:pStyle w:val="82"/>
        <w:ind w:firstLine="480"/>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项目大气评价等级为一级，采用《环境影响评价技术导则-大气环境》(HJ2.2-2018)推荐的AERMOD模式系统进行预测。</w:t>
      </w:r>
    </w:p>
    <w:p w14:paraId="282226AB">
      <w:pPr>
        <w:pStyle w:val="82"/>
        <w:ind w:firstLine="480"/>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(5)源强参数</w:t>
      </w:r>
    </w:p>
    <w:p w14:paraId="41322B30">
      <w:pPr>
        <w:pStyle w:val="82"/>
        <w:ind w:firstLine="480"/>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根据工程分析，本项目排放参数见下表。</w:t>
      </w:r>
      <w:bookmarkStart w:id="80" w:name="_Toc209720906"/>
    </w:p>
    <w:p w14:paraId="3CAFABB3">
      <w:pPr>
        <w:pStyle w:val="82"/>
        <w:ind w:firstLine="480"/>
        <w:rPr>
          <w:rFonts w:ascii="Times New Roman" w:hAnsi="Times New Roman" w:cs="Times New Roman"/>
          <w:color w:val="000000" w:themeColor="text1"/>
          <w14:textFill>
            <w14:solidFill>
              <w14:schemeClr w14:val="tx1"/>
            </w14:solidFill>
          </w14:textFill>
        </w:rPr>
        <w:sectPr>
          <w:pgSz w:w="11906" w:h="16838"/>
          <w:pgMar w:top="1418" w:right="1418" w:bottom="1418" w:left="1418" w:header="851" w:footer="992" w:gutter="0"/>
          <w:cols w:space="425" w:num="1"/>
          <w:docGrid w:type="lines" w:linePitch="326" w:charSpace="0"/>
        </w:sectPr>
      </w:pPr>
    </w:p>
    <w:p w14:paraId="3A5AD502">
      <w:pPr>
        <w:pStyle w:val="82"/>
        <w:ind w:firstLine="0" w:firstLineChars="0"/>
        <w:jc w:val="center"/>
        <w:rPr>
          <w:rFonts w:ascii="Times New Roman" w:hAnsi="Times New Roman" w:eastAsia="黑体" w:cs="Times New Roman"/>
          <w:color w:val="000000" w:themeColor="text1"/>
          <w14:textFill>
            <w14:solidFill>
              <w14:schemeClr w14:val="tx1"/>
            </w14:solidFill>
          </w14:textFill>
        </w:rPr>
      </w:pPr>
      <w:r>
        <w:rPr>
          <w:rFonts w:ascii="Times New Roman" w:hAnsi="Times New Roman" w:eastAsia="黑体" w:cs="Times New Roman"/>
          <w:color w:val="000000" w:themeColor="text1"/>
          <w14:textFill>
            <w14:solidFill>
              <w14:schemeClr w14:val="tx1"/>
            </w14:solidFill>
          </w14:textFill>
        </w:rPr>
        <w:t>表6.2-</w:t>
      </w:r>
      <w:r>
        <w:rPr>
          <w:rFonts w:hint="eastAsia" w:ascii="Times New Roman" w:hAnsi="Times New Roman" w:eastAsia="黑体" w:cs="Times New Roman"/>
          <w:color w:val="000000" w:themeColor="text1"/>
          <w14:textFill>
            <w14:solidFill>
              <w14:schemeClr w14:val="tx1"/>
            </w14:solidFill>
          </w14:textFill>
        </w:rPr>
        <w:t>9</w:t>
      </w:r>
      <w:r>
        <w:rPr>
          <w:rFonts w:ascii="Times New Roman" w:hAnsi="Times New Roman" w:eastAsia="黑体" w:cs="Times New Roman"/>
          <w:color w:val="000000" w:themeColor="text1"/>
          <w14:textFill>
            <w14:solidFill>
              <w14:schemeClr w14:val="tx1"/>
            </w14:solidFill>
          </w14:textFill>
        </w:rPr>
        <w:t xml:space="preserve">  </w:t>
      </w:r>
      <w:r>
        <w:rPr>
          <w:rFonts w:hint="eastAsia" w:ascii="Times New Roman" w:hAnsi="Times New Roman" w:eastAsia="黑体" w:cs="Times New Roman"/>
          <w:color w:val="000000" w:themeColor="text1"/>
          <w14:textFill>
            <w14:solidFill>
              <w14:schemeClr w14:val="tx1"/>
            </w14:solidFill>
          </w14:textFill>
        </w:rPr>
        <w:t>本</w:t>
      </w:r>
      <w:r>
        <w:rPr>
          <w:rFonts w:ascii="Times New Roman" w:hAnsi="Times New Roman" w:eastAsia="黑体" w:cs="Times New Roman"/>
          <w:color w:val="000000" w:themeColor="text1"/>
          <w14:textFill>
            <w14:solidFill>
              <w14:schemeClr w14:val="tx1"/>
            </w14:solidFill>
          </w14:textFill>
        </w:rPr>
        <w:t>项目有组织废气污染源参数一览表</w:t>
      </w:r>
    </w:p>
    <w:tbl>
      <w:tblPr>
        <w:tblStyle w:val="3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67"/>
        <w:gridCol w:w="1152"/>
        <w:gridCol w:w="1007"/>
        <w:gridCol w:w="1442"/>
        <w:gridCol w:w="1009"/>
        <w:gridCol w:w="1152"/>
        <w:gridCol w:w="1297"/>
        <w:gridCol w:w="1007"/>
        <w:gridCol w:w="1155"/>
        <w:gridCol w:w="719"/>
        <w:gridCol w:w="1584"/>
        <w:gridCol w:w="827"/>
      </w:tblGrid>
      <w:tr w14:paraId="7324C7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7" w:type="pct"/>
            <w:vMerge w:val="restart"/>
            <w:tcBorders>
              <w:top w:val="single" w:color="auto" w:sz="4" w:space="0"/>
              <w:left w:val="single" w:color="auto" w:sz="4" w:space="0"/>
              <w:right w:val="single" w:color="auto" w:sz="4" w:space="0"/>
            </w:tcBorders>
            <w:vAlign w:val="center"/>
          </w:tcPr>
          <w:p w14:paraId="49AA858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排气筒编号</w:t>
            </w:r>
          </w:p>
        </w:tc>
        <w:tc>
          <w:tcPr>
            <w:tcW w:w="759" w:type="pct"/>
            <w:gridSpan w:val="2"/>
            <w:tcBorders>
              <w:top w:val="single" w:color="auto" w:sz="4" w:space="0"/>
              <w:left w:val="single" w:color="auto" w:sz="4" w:space="0"/>
              <w:bottom w:val="single" w:color="auto" w:sz="4" w:space="0"/>
              <w:right w:val="single" w:color="auto" w:sz="4" w:space="0"/>
            </w:tcBorders>
            <w:vAlign w:val="center"/>
          </w:tcPr>
          <w:p w14:paraId="2DD1FAD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排气筒底部中心坐标</w:t>
            </w:r>
          </w:p>
        </w:tc>
        <w:tc>
          <w:tcPr>
            <w:tcW w:w="507" w:type="pct"/>
            <w:vMerge w:val="restart"/>
            <w:tcBorders>
              <w:top w:val="single" w:color="auto" w:sz="4" w:space="0"/>
              <w:left w:val="single" w:color="auto" w:sz="4" w:space="0"/>
              <w:right w:val="single" w:color="auto" w:sz="4" w:space="0"/>
            </w:tcBorders>
            <w:vAlign w:val="center"/>
          </w:tcPr>
          <w:p w14:paraId="6B90DFA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排气筒底海拔高度/m</w:t>
            </w:r>
          </w:p>
        </w:tc>
        <w:tc>
          <w:tcPr>
            <w:tcW w:w="355" w:type="pct"/>
            <w:vMerge w:val="restart"/>
            <w:tcBorders>
              <w:top w:val="single" w:color="auto" w:sz="4" w:space="0"/>
              <w:left w:val="single" w:color="auto" w:sz="4" w:space="0"/>
              <w:right w:val="single" w:color="auto" w:sz="4" w:space="0"/>
            </w:tcBorders>
            <w:vAlign w:val="center"/>
          </w:tcPr>
          <w:p w14:paraId="2FE1B3F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排气筒高度/m</w:t>
            </w:r>
          </w:p>
        </w:tc>
        <w:tc>
          <w:tcPr>
            <w:tcW w:w="405" w:type="pct"/>
            <w:vMerge w:val="restart"/>
            <w:tcBorders>
              <w:top w:val="single" w:color="auto" w:sz="4" w:space="0"/>
              <w:left w:val="single" w:color="auto" w:sz="4" w:space="0"/>
              <w:right w:val="single" w:color="auto" w:sz="4" w:space="0"/>
            </w:tcBorders>
            <w:vAlign w:val="center"/>
          </w:tcPr>
          <w:p w14:paraId="00C19C3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排气筒内径/m</w:t>
            </w:r>
          </w:p>
        </w:tc>
        <w:tc>
          <w:tcPr>
            <w:tcW w:w="456" w:type="pct"/>
            <w:vMerge w:val="restart"/>
            <w:tcBorders>
              <w:top w:val="single" w:color="auto" w:sz="4" w:space="0"/>
              <w:left w:val="single" w:color="auto" w:sz="4" w:space="0"/>
              <w:right w:val="single" w:color="auto" w:sz="4" w:space="0"/>
            </w:tcBorders>
            <w:vAlign w:val="center"/>
          </w:tcPr>
          <w:p w14:paraId="1E91C3A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风量</w:t>
            </w:r>
            <w:r>
              <w:rPr>
                <w:rFonts w:ascii="Times New Roman" w:hAnsi="Times New Roman" w:cs="Times New Roman"/>
                <w:color w:val="000000" w:themeColor="text1"/>
                <w:sz w:val="21"/>
                <w:szCs w:val="21"/>
                <w14:textFill>
                  <w14:solidFill>
                    <w14:schemeClr w14:val="tx1"/>
                  </w14:solidFill>
                </w14:textFill>
              </w:rPr>
              <w:t>/(m</w:t>
            </w:r>
            <w:r>
              <w:rPr>
                <w:rFonts w:hint="eastAsia" w:ascii="Times New Roman" w:hAnsi="Times New Roman" w:cs="Times New Roman"/>
                <w:color w:val="000000" w:themeColor="text1"/>
                <w:sz w:val="21"/>
                <w:szCs w:val="21"/>
                <w:vertAlign w:val="superscript"/>
                <w14:textFill>
                  <w14:solidFill>
                    <w14:schemeClr w14:val="tx1"/>
                  </w14:solidFill>
                </w14:textFill>
              </w:rPr>
              <w:t>3</w:t>
            </w:r>
            <w:r>
              <w:rPr>
                <w:rFonts w:ascii="Times New Roman" w:hAnsi="Times New Roman" w:cs="Times New Roman"/>
                <w:color w:val="000000" w:themeColor="text1"/>
                <w:sz w:val="21"/>
                <w:szCs w:val="21"/>
                <w14:textFill>
                  <w14:solidFill>
                    <w14:schemeClr w14:val="tx1"/>
                  </w14:solidFill>
                </w14:textFill>
              </w:rPr>
              <w:t>/</w:t>
            </w:r>
            <w:r>
              <w:rPr>
                <w:rFonts w:hint="eastAsia" w:ascii="Times New Roman" w:hAnsi="Times New Roman" w:cs="Times New Roman"/>
                <w:color w:val="000000" w:themeColor="text1"/>
                <w:sz w:val="21"/>
                <w:szCs w:val="21"/>
                <w14:textFill>
                  <w14:solidFill>
                    <w14:schemeClr w14:val="tx1"/>
                  </w14:solidFill>
                </w14:textFill>
              </w:rPr>
              <w:t>h</w:t>
            </w:r>
            <w:r>
              <w:rPr>
                <w:rFonts w:ascii="Times New Roman" w:hAnsi="Times New Roman" w:cs="Times New Roman"/>
                <w:color w:val="000000" w:themeColor="text1"/>
                <w:sz w:val="21"/>
                <w:szCs w:val="21"/>
                <w14:textFill>
                  <w14:solidFill>
                    <w14:schemeClr w14:val="tx1"/>
                  </w14:solidFill>
                </w14:textFill>
              </w:rPr>
              <w:t>)</w:t>
            </w:r>
          </w:p>
        </w:tc>
        <w:tc>
          <w:tcPr>
            <w:tcW w:w="354" w:type="pct"/>
            <w:vMerge w:val="restart"/>
            <w:tcBorders>
              <w:top w:val="single" w:color="auto" w:sz="4" w:space="0"/>
              <w:left w:val="single" w:color="auto" w:sz="4" w:space="0"/>
              <w:right w:val="single" w:color="auto" w:sz="4" w:space="0"/>
            </w:tcBorders>
            <w:vAlign w:val="center"/>
          </w:tcPr>
          <w:p w14:paraId="590B3B2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烟气温度/℃</w:t>
            </w:r>
          </w:p>
        </w:tc>
        <w:tc>
          <w:tcPr>
            <w:tcW w:w="406" w:type="pct"/>
            <w:vMerge w:val="restart"/>
            <w:tcBorders>
              <w:top w:val="single" w:color="auto" w:sz="4" w:space="0"/>
              <w:left w:val="single" w:color="auto" w:sz="4" w:space="0"/>
              <w:right w:val="single" w:color="auto" w:sz="4" w:space="0"/>
            </w:tcBorders>
            <w:vAlign w:val="center"/>
          </w:tcPr>
          <w:p w14:paraId="1EE82A1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年排放小时数/h</w:t>
            </w:r>
          </w:p>
        </w:tc>
        <w:tc>
          <w:tcPr>
            <w:tcW w:w="253" w:type="pct"/>
            <w:vMerge w:val="restart"/>
            <w:tcBorders>
              <w:top w:val="single" w:color="auto" w:sz="4" w:space="0"/>
              <w:left w:val="single" w:color="auto" w:sz="4" w:space="0"/>
              <w:right w:val="single" w:color="auto" w:sz="4" w:space="0"/>
            </w:tcBorders>
            <w:vAlign w:val="center"/>
          </w:tcPr>
          <w:p w14:paraId="4BA3358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排放工况</w:t>
            </w:r>
          </w:p>
        </w:tc>
        <w:tc>
          <w:tcPr>
            <w:tcW w:w="848" w:type="pct"/>
            <w:gridSpan w:val="2"/>
            <w:vMerge w:val="restart"/>
            <w:tcBorders>
              <w:top w:val="single" w:color="auto" w:sz="4" w:space="0"/>
              <w:left w:val="single" w:color="auto" w:sz="4" w:space="0"/>
              <w:right w:val="single" w:color="auto" w:sz="4" w:space="0"/>
            </w:tcBorders>
            <w:vAlign w:val="center"/>
          </w:tcPr>
          <w:p w14:paraId="4F4A5ED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污染物排放速率/(kg/h)</w:t>
            </w:r>
          </w:p>
        </w:tc>
      </w:tr>
      <w:tr w14:paraId="654C6F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7" w:type="pct"/>
            <w:vMerge w:val="continue"/>
            <w:tcBorders>
              <w:left w:val="single" w:color="auto" w:sz="4" w:space="0"/>
              <w:bottom w:val="single" w:color="auto" w:sz="4" w:space="0"/>
              <w:right w:val="single" w:color="auto" w:sz="4" w:space="0"/>
            </w:tcBorders>
            <w:vAlign w:val="center"/>
          </w:tcPr>
          <w:p w14:paraId="650572B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c>
          <w:tcPr>
            <w:tcW w:w="405" w:type="pct"/>
            <w:tcBorders>
              <w:top w:val="single" w:color="auto" w:sz="4" w:space="0"/>
              <w:left w:val="single" w:color="auto" w:sz="4" w:space="0"/>
              <w:bottom w:val="single" w:color="auto" w:sz="4" w:space="0"/>
              <w:right w:val="single" w:color="auto" w:sz="4" w:space="0"/>
            </w:tcBorders>
            <w:vAlign w:val="center"/>
          </w:tcPr>
          <w:p w14:paraId="1D0E461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X</w:t>
            </w:r>
          </w:p>
        </w:tc>
        <w:tc>
          <w:tcPr>
            <w:tcW w:w="354" w:type="pct"/>
            <w:tcBorders>
              <w:top w:val="single" w:color="auto" w:sz="4" w:space="0"/>
              <w:left w:val="single" w:color="auto" w:sz="4" w:space="0"/>
              <w:bottom w:val="single" w:color="auto" w:sz="4" w:space="0"/>
              <w:right w:val="single" w:color="auto" w:sz="4" w:space="0"/>
            </w:tcBorders>
            <w:vAlign w:val="center"/>
          </w:tcPr>
          <w:p w14:paraId="47A302D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Y</w:t>
            </w:r>
          </w:p>
        </w:tc>
        <w:tc>
          <w:tcPr>
            <w:tcW w:w="507" w:type="pct"/>
            <w:vMerge w:val="continue"/>
            <w:tcBorders>
              <w:left w:val="single" w:color="auto" w:sz="4" w:space="0"/>
              <w:bottom w:val="single" w:color="auto" w:sz="4" w:space="0"/>
              <w:right w:val="single" w:color="auto" w:sz="4" w:space="0"/>
            </w:tcBorders>
            <w:vAlign w:val="center"/>
          </w:tcPr>
          <w:p w14:paraId="53B0FE4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c>
          <w:tcPr>
            <w:tcW w:w="355" w:type="pct"/>
            <w:vMerge w:val="continue"/>
            <w:tcBorders>
              <w:left w:val="single" w:color="auto" w:sz="4" w:space="0"/>
              <w:bottom w:val="single" w:color="auto" w:sz="4" w:space="0"/>
              <w:right w:val="single" w:color="auto" w:sz="4" w:space="0"/>
            </w:tcBorders>
            <w:vAlign w:val="center"/>
          </w:tcPr>
          <w:p w14:paraId="48187DA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c>
          <w:tcPr>
            <w:tcW w:w="405" w:type="pct"/>
            <w:vMerge w:val="continue"/>
            <w:tcBorders>
              <w:left w:val="single" w:color="auto" w:sz="4" w:space="0"/>
              <w:bottom w:val="single" w:color="auto" w:sz="4" w:space="0"/>
              <w:right w:val="single" w:color="auto" w:sz="4" w:space="0"/>
            </w:tcBorders>
            <w:vAlign w:val="center"/>
          </w:tcPr>
          <w:p w14:paraId="6E9A4E6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c>
          <w:tcPr>
            <w:tcW w:w="456" w:type="pct"/>
            <w:vMerge w:val="continue"/>
            <w:tcBorders>
              <w:left w:val="single" w:color="auto" w:sz="4" w:space="0"/>
              <w:bottom w:val="single" w:color="auto" w:sz="4" w:space="0"/>
              <w:right w:val="single" w:color="auto" w:sz="4" w:space="0"/>
            </w:tcBorders>
            <w:vAlign w:val="center"/>
          </w:tcPr>
          <w:p w14:paraId="30BECF9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c>
          <w:tcPr>
            <w:tcW w:w="354" w:type="pct"/>
            <w:vMerge w:val="continue"/>
            <w:tcBorders>
              <w:left w:val="single" w:color="auto" w:sz="4" w:space="0"/>
              <w:bottom w:val="single" w:color="auto" w:sz="4" w:space="0"/>
              <w:right w:val="single" w:color="auto" w:sz="4" w:space="0"/>
            </w:tcBorders>
            <w:vAlign w:val="center"/>
          </w:tcPr>
          <w:p w14:paraId="232E853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c>
          <w:tcPr>
            <w:tcW w:w="406" w:type="pct"/>
            <w:vMerge w:val="continue"/>
            <w:tcBorders>
              <w:left w:val="single" w:color="auto" w:sz="4" w:space="0"/>
              <w:bottom w:val="single" w:color="auto" w:sz="4" w:space="0"/>
              <w:right w:val="single" w:color="auto" w:sz="4" w:space="0"/>
            </w:tcBorders>
            <w:vAlign w:val="center"/>
          </w:tcPr>
          <w:p w14:paraId="4ABA1D2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c>
          <w:tcPr>
            <w:tcW w:w="253" w:type="pct"/>
            <w:vMerge w:val="continue"/>
            <w:tcBorders>
              <w:left w:val="single" w:color="auto" w:sz="4" w:space="0"/>
              <w:bottom w:val="single" w:color="auto" w:sz="4" w:space="0"/>
              <w:right w:val="single" w:color="auto" w:sz="4" w:space="0"/>
            </w:tcBorders>
            <w:vAlign w:val="center"/>
          </w:tcPr>
          <w:p w14:paraId="60FDFAA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c>
          <w:tcPr>
            <w:tcW w:w="848" w:type="pct"/>
            <w:gridSpan w:val="2"/>
            <w:vMerge w:val="continue"/>
            <w:tcBorders>
              <w:left w:val="single" w:color="auto" w:sz="4" w:space="0"/>
              <w:bottom w:val="single" w:color="auto" w:sz="4" w:space="0"/>
              <w:right w:val="single" w:color="auto" w:sz="4" w:space="0"/>
            </w:tcBorders>
            <w:vAlign w:val="center"/>
          </w:tcPr>
          <w:p w14:paraId="0A86829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r>
      <w:tr w14:paraId="322038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2" w:hRule="atLeast"/>
        </w:trPr>
        <w:tc>
          <w:tcPr>
            <w:tcW w:w="657" w:type="pct"/>
            <w:vMerge w:val="restart"/>
            <w:tcBorders>
              <w:top w:val="single" w:color="auto" w:sz="4" w:space="0"/>
              <w:left w:val="single" w:color="auto" w:sz="4" w:space="0"/>
              <w:bottom w:val="single" w:color="auto" w:sz="4" w:space="0"/>
              <w:right w:val="single" w:color="auto" w:sz="4" w:space="0"/>
            </w:tcBorders>
            <w:vAlign w:val="center"/>
          </w:tcPr>
          <w:p w14:paraId="4068595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DA023(东区RTO废气排放口)</w:t>
            </w:r>
          </w:p>
        </w:tc>
        <w:tc>
          <w:tcPr>
            <w:tcW w:w="405" w:type="pct"/>
            <w:vMerge w:val="restart"/>
            <w:tcBorders>
              <w:top w:val="single" w:color="auto" w:sz="4" w:space="0"/>
              <w:left w:val="single" w:color="auto" w:sz="4" w:space="0"/>
              <w:bottom w:val="single" w:color="auto" w:sz="4" w:space="0"/>
              <w:right w:val="single" w:color="auto" w:sz="4" w:space="0"/>
            </w:tcBorders>
            <w:vAlign w:val="center"/>
          </w:tcPr>
          <w:p w14:paraId="7E374B3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550</w:t>
            </w:r>
          </w:p>
        </w:tc>
        <w:tc>
          <w:tcPr>
            <w:tcW w:w="354" w:type="pct"/>
            <w:vMerge w:val="restart"/>
            <w:tcBorders>
              <w:top w:val="single" w:color="auto" w:sz="4" w:space="0"/>
              <w:left w:val="single" w:color="auto" w:sz="4" w:space="0"/>
              <w:bottom w:val="single" w:color="auto" w:sz="4" w:space="0"/>
              <w:right w:val="single" w:color="auto" w:sz="4" w:space="0"/>
            </w:tcBorders>
            <w:vAlign w:val="center"/>
          </w:tcPr>
          <w:p w14:paraId="2A4D988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17</w:t>
            </w:r>
          </w:p>
        </w:tc>
        <w:tc>
          <w:tcPr>
            <w:tcW w:w="507" w:type="pct"/>
            <w:vMerge w:val="restart"/>
            <w:tcBorders>
              <w:top w:val="single" w:color="auto" w:sz="4" w:space="0"/>
              <w:left w:val="single" w:color="auto" w:sz="4" w:space="0"/>
              <w:bottom w:val="single" w:color="auto" w:sz="4" w:space="0"/>
              <w:right w:val="single" w:color="auto" w:sz="4" w:space="0"/>
            </w:tcBorders>
            <w:vAlign w:val="center"/>
          </w:tcPr>
          <w:p w14:paraId="7DE1768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18</w:t>
            </w:r>
          </w:p>
        </w:tc>
        <w:tc>
          <w:tcPr>
            <w:tcW w:w="355" w:type="pct"/>
            <w:vMerge w:val="restart"/>
            <w:tcBorders>
              <w:top w:val="single" w:color="auto" w:sz="4" w:space="0"/>
              <w:left w:val="single" w:color="auto" w:sz="4" w:space="0"/>
              <w:bottom w:val="single" w:color="auto" w:sz="4" w:space="0"/>
              <w:right w:val="single" w:color="auto" w:sz="4" w:space="0"/>
            </w:tcBorders>
            <w:vAlign w:val="center"/>
          </w:tcPr>
          <w:p w14:paraId="4D8D83D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20</w:t>
            </w:r>
          </w:p>
        </w:tc>
        <w:tc>
          <w:tcPr>
            <w:tcW w:w="405" w:type="pct"/>
            <w:vMerge w:val="restart"/>
            <w:tcBorders>
              <w:top w:val="single" w:color="auto" w:sz="4" w:space="0"/>
              <w:left w:val="single" w:color="auto" w:sz="4" w:space="0"/>
              <w:bottom w:val="single" w:color="auto" w:sz="4" w:space="0"/>
              <w:right w:val="single" w:color="auto" w:sz="4" w:space="0"/>
            </w:tcBorders>
            <w:vAlign w:val="center"/>
          </w:tcPr>
          <w:p w14:paraId="4908BFA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0.6</w:t>
            </w:r>
          </w:p>
        </w:tc>
        <w:tc>
          <w:tcPr>
            <w:tcW w:w="456" w:type="pct"/>
            <w:vMerge w:val="restart"/>
            <w:tcBorders>
              <w:top w:val="single" w:color="auto" w:sz="4" w:space="0"/>
              <w:left w:val="single" w:color="auto" w:sz="4" w:space="0"/>
              <w:bottom w:val="single" w:color="auto" w:sz="4" w:space="0"/>
              <w:right w:val="single" w:color="auto" w:sz="4" w:space="0"/>
            </w:tcBorders>
            <w:vAlign w:val="center"/>
          </w:tcPr>
          <w:p w14:paraId="6FAE3C7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2000</w:t>
            </w:r>
          </w:p>
        </w:tc>
        <w:tc>
          <w:tcPr>
            <w:tcW w:w="354" w:type="pct"/>
            <w:vMerge w:val="restart"/>
            <w:tcBorders>
              <w:top w:val="single" w:color="auto" w:sz="4" w:space="0"/>
              <w:left w:val="single" w:color="auto" w:sz="4" w:space="0"/>
              <w:bottom w:val="single" w:color="auto" w:sz="4" w:space="0"/>
              <w:right w:val="single" w:color="auto" w:sz="4" w:space="0"/>
            </w:tcBorders>
            <w:vAlign w:val="center"/>
          </w:tcPr>
          <w:p w14:paraId="0A53962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50</w:t>
            </w:r>
          </w:p>
        </w:tc>
        <w:tc>
          <w:tcPr>
            <w:tcW w:w="406" w:type="pct"/>
            <w:vMerge w:val="restart"/>
            <w:tcBorders>
              <w:top w:val="single" w:color="auto" w:sz="4" w:space="0"/>
              <w:left w:val="single" w:color="auto" w:sz="4" w:space="0"/>
              <w:bottom w:val="single" w:color="auto" w:sz="4" w:space="0"/>
              <w:right w:val="single" w:color="auto" w:sz="4" w:space="0"/>
            </w:tcBorders>
            <w:vAlign w:val="center"/>
          </w:tcPr>
          <w:p w14:paraId="43B40AB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7920</w:t>
            </w:r>
          </w:p>
        </w:tc>
        <w:tc>
          <w:tcPr>
            <w:tcW w:w="253" w:type="pct"/>
            <w:vMerge w:val="restart"/>
            <w:tcBorders>
              <w:top w:val="single" w:color="auto" w:sz="4" w:space="0"/>
              <w:left w:val="single" w:color="auto" w:sz="4" w:space="0"/>
              <w:bottom w:val="single" w:color="auto" w:sz="4" w:space="0"/>
              <w:right w:val="single" w:color="auto" w:sz="4" w:space="0"/>
            </w:tcBorders>
            <w:vAlign w:val="center"/>
          </w:tcPr>
          <w:p w14:paraId="6D0B0EC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正常</w:t>
            </w:r>
          </w:p>
        </w:tc>
        <w:tc>
          <w:tcPr>
            <w:tcW w:w="557" w:type="pct"/>
            <w:tcBorders>
              <w:top w:val="single" w:color="auto" w:sz="4" w:space="0"/>
              <w:left w:val="single" w:color="auto" w:sz="4" w:space="0"/>
              <w:bottom w:val="single" w:color="auto" w:sz="4" w:space="0"/>
              <w:right w:val="single" w:color="auto" w:sz="4" w:space="0"/>
            </w:tcBorders>
            <w:vAlign w:val="center"/>
          </w:tcPr>
          <w:p w14:paraId="5C43BAE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bookmarkStart w:id="81" w:name="_Hlk219811744"/>
            <w:r>
              <w:rPr>
                <w:rFonts w:hint="eastAsia" w:ascii="Times New Roman" w:hAnsi="Times New Roman" w:cs="Times New Roman"/>
                <w:color w:val="000000" w:themeColor="text1"/>
                <w:sz w:val="21"/>
                <w:szCs w:val="21"/>
                <w14:textFill>
                  <w14:solidFill>
                    <w14:schemeClr w14:val="tx1"/>
                  </w14:solidFill>
                </w14:textFill>
              </w:rPr>
              <w:t>非甲烷总烃</w:t>
            </w:r>
            <w:bookmarkEnd w:id="81"/>
          </w:p>
        </w:tc>
        <w:tc>
          <w:tcPr>
            <w:tcW w:w="291" w:type="pct"/>
            <w:tcBorders>
              <w:top w:val="single" w:color="auto" w:sz="4" w:space="0"/>
              <w:left w:val="single" w:color="auto" w:sz="4" w:space="0"/>
              <w:bottom w:val="single" w:color="auto" w:sz="4" w:space="0"/>
              <w:right w:val="single" w:color="auto" w:sz="4" w:space="0"/>
            </w:tcBorders>
            <w:vAlign w:val="center"/>
          </w:tcPr>
          <w:p w14:paraId="2D65B6B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0.019</w:t>
            </w:r>
          </w:p>
        </w:tc>
      </w:tr>
      <w:tr w14:paraId="0192D6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7" w:type="pct"/>
            <w:vMerge w:val="continue"/>
            <w:tcBorders>
              <w:top w:val="single" w:color="auto" w:sz="4" w:space="0"/>
              <w:left w:val="single" w:color="auto" w:sz="4" w:space="0"/>
              <w:bottom w:val="single" w:color="auto" w:sz="4" w:space="0"/>
              <w:right w:val="single" w:color="auto" w:sz="4" w:space="0"/>
            </w:tcBorders>
            <w:vAlign w:val="center"/>
          </w:tcPr>
          <w:p w14:paraId="1922215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c>
          <w:tcPr>
            <w:tcW w:w="405" w:type="pct"/>
            <w:vMerge w:val="continue"/>
            <w:tcBorders>
              <w:top w:val="single" w:color="auto" w:sz="4" w:space="0"/>
              <w:left w:val="single" w:color="auto" w:sz="4" w:space="0"/>
              <w:bottom w:val="single" w:color="auto" w:sz="4" w:space="0"/>
              <w:right w:val="single" w:color="auto" w:sz="4" w:space="0"/>
            </w:tcBorders>
            <w:vAlign w:val="center"/>
          </w:tcPr>
          <w:p w14:paraId="4D65DBB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c>
          <w:tcPr>
            <w:tcW w:w="354" w:type="pct"/>
            <w:vMerge w:val="continue"/>
            <w:tcBorders>
              <w:top w:val="single" w:color="auto" w:sz="4" w:space="0"/>
              <w:left w:val="single" w:color="auto" w:sz="4" w:space="0"/>
              <w:bottom w:val="single" w:color="auto" w:sz="4" w:space="0"/>
              <w:right w:val="single" w:color="auto" w:sz="4" w:space="0"/>
            </w:tcBorders>
            <w:vAlign w:val="center"/>
          </w:tcPr>
          <w:p w14:paraId="57AB2F3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c>
          <w:tcPr>
            <w:tcW w:w="507" w:type="pct"/>
            <w:vMerge w:val="continue"/>
            <w:tcBorders>
              <w:top w:val="single" w:color="auto" w:sz="4" w:space="0"/>
              <w:left w:val="single" w:color="auto" w:sz="4" w:space="0"/>
              <w:bottom w:val="single" w:color="auto" w:sz="4" w:space="0"/>
              <w:right w:val="single" w:color="auto" w:sz="4" w:space="0"/>
            </w:tcBorders>
            <w:vAlign w:val="center"/>
          </w:tcPr>
          <w:p w14:paraId="5D3FE14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c>
          <w:tcPr>
            <w:tcW w:w="355" w:type="pct"/>
            <w:vMerge w:val="continue"/>
            <w:tcBorders>
              <w:top w:val="single" w:color="auto" w:sz="4" w:space="0"/>
              <w:left w:val="single" w:color="auto" w:sz="4" w:space="0"/>
              <w:bottom w:val="single" w:color="auto" w:sz="4" w:space="0"/>
              <w:right w:val="single" w:color="auto" w:sz="4" w:space="0"/>
            </w:tcBorders>
            <w:vAlign w:val="center"/>
          </w:tcPr>
          <w:p w14:paraId="76B1F10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c>
          <w:tcPr>
            <w:tcW w:w="405" w:type="pct"/>
            <w:vMerge w:val="continue"/>
            <w:tcBorders>
              <w:top w:val="single" w:color="auto" w:sz="4" w:space="0"/>
              <w:left w:val="single" w:color="auto" w:sz="4" w:space="0"/>
              <w:bottom w:val="single" w:color="auto" w:sz="4" w:space="0"/>
              <w:right w:val="single" w:color="auto" w:sz="4" w:space="0"/>
            </w:tcBorders>
            <w:vAlign w:val="center"/>
          </w:tcPr>
          <w:p w14:paraId="2379698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c>
          <w:tcPr>
            <w:tcW w:w="456" w:type="pct"/>
            <w:vMerge w:val="continue"/>
            <w:tcBorders>
              <w:top w:val="single" w:color="auto" w:sz="4" w:space="0"/>
              <w:left w:val="single" w:color="auto" w:sz="4" w:space="0"/>
              <w:bottom w:val="single" w:color="auto" w:sz="4" w:space="0"/>
              <w:right w:val="single" w:color="auto" w:sz="4" w:space="0"/>
            </w:tcBorders>
            <w:vAlign w:val="center"/>
          </w:tcPr>
          <w:p w14:paraId="03D1FF7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c>
          <w:tcPr>
            <w:tcW w:w="354" w:type="pct"/>
            <w:vMerge w:val="continue"/>
            <w:tcBorders>
              <w:top w:val="single" w:color="auto" w:sz="4" w:space="0"/>
              <w:left w:val="single" w:color="auto" w:sz="4" w:space="0"/>
              <w:bottom w:val="single" w:color="auto" w:sz="4" w:space="0"/>
              <w:right w:val="single" w:color="auto" w:sz="4" w:space="0"/>
            </w:tcBorders>
            <w:vAlign w:val="center"/>
          </w:tcPr>
          <w:p w14:paraId="2A4149A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c>
          <w:tcPr>
            <w:tcW w:w="406" w:type="pct"/>
            <w:vMerge w:val="continue"/>
            <w:tcBorders>
              <w:top w:val="single" w:color="auto" w:sz="4" w:space="0"/>
              <w:left w:val="single" w:color="auto" w:sz="4" w:space="0"/>
              <w:bottom w:val="single" w:color="auto" w:sz="4" w:space="0"/>
              <w:right w:val="single" w:color="auto" w:sz="4" w:space="0"/>
            </w:tcBorders>
            <w:vAlign w:val="center"/>
          </w:tcPr>
          <w:p w14:paraId="25B3369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c>
          <w:tcPr>
            <w:tcW w:w="253" w:type="pct"/>
            <w:vMerge w:val="continue"/>
            <w:tcBorders>
              <w:top w:val="single" w:color="auto" w:sz="4" w:space="0"/>
              <w:left w:val="single" w:color="auto" w:sz="4" w:space="0"/>
              <w:bottom w:val="single" w:color="auto" w:sz="4" w:space="0"/>
              <w:right w:val="single" w:color="auto" w:sz="4" w:space="0"/>
            </w:tcBorders>
            <w:vAlign w:val="center"/>
          </w:tcPr>
          <w:p w14:paraId="67428ED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c>
          <w:tcPr>
            <w:tcW w:w="557" w:type="pct"/>
            <w:tcBorders>
              <w:top w:val="single" w:color="auto" w:sz="4" w:space="0"/>
              <w:left w:val="single" w:color="auto" w:sz="4" w:space="0"/>
              <w:bottom w:val="single" w:color="auto" w:sz="4" w:space="0"/>
              <w:right w:val="single" w:color="auto" w:sz="4" w:space="0"/>
            </w:tcBorders>
            <w:vAlign w:val="center"/>
          </w:tcPr>
          <w:p w14:paraId="7F6F4A6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酚类</w:t>
            </w:r>
          </w:p>
        </w:tc>
        <w:tc>
          <w:tcPr>
            <w:tcW w:w="291" w:type="pct"/>
            <w:tcBorders>
              <w:top w:val="single" w:color="auto" w:sz="4" w:space="0"/>
              <w:left w:val="single" w:color="auto" w:sz="4" w:space="0"/>
              <w:bottom w:val="single" w:color="auto" w:sz="4" w:space="0"/>
              <w:right w:val="single" w:color="auto" w:sz="4" w:space="0"/>
            </w:tcBorders>
            <w:vAlign w:val="center"/>
          </w:tcPr>
          <w:p w14:paraId="6B85A83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0.016</w:t>
            </w:r>
          </w:p>
        </w:tc>
      </w:tr>
    </w:tbl>
    <w:p w14:paraId="794E8ABD">
      <w:pPr>
        <w:pStyle w:val="82"/>
        <w:spacing w:line="240" w:lineRule="auto"/>
        <w:ind w:firstLine="0" w:firstLineChars="0"/>
        <w:rPr>
          <w:rFonts w:hint="eastAsia" w:ascii="黑体" w:hAnsi="黑体" w:eastAsia="黑体" w:cs="Times New Roman"/>
          <w:color w:val="000000" w:themeColor="text1"/>
          <w:sz w:val="21"/>
          <w:szCs w:val="16"/>
          <w14:textFill>
            <w14:solidFill>
              <w14:schemeClr w14:val="tx1"/>
            </w14:solidFill>
          </w14:textFill>
        </w:rPr>
      </w:pPr>
      <w:r>
        <w:rPr>
          <w:rFonts w:hint="eastAsia" w:ascii="黑体" w:hAnsi="黑体" w:eastAsia="黑体" w:cs="Times New Roman"/>
          <w:color w:val="000000" w:themeColor="text1"/>
          <w:sz w:val="21"/>
          <w:szCs w:val="16"/>
          <w14:textFill>
            <w14:solidFill>
              <w14:schemeClr w14:val="tx1"/>
            </w14:solidFill>
          </w14:textFill>
        </w:rPr>
        <w:t>注：以厂区西南角(</w:t>
      </w:r>
      <w:r>
        <w:rPr>
          <w:rFonts w:ascii="黑体" w:hAnsi="黑体" w:eastAsia="黑体" w:cs="Times New Roman"/>
          <w:color w:val="000000" w:themeColor="text1"/>
          <w:sz w:val="21"/>
          <w:szCs w:val="16"/>
          <w14:textFill>
            <w14:solidFill>
              <w14:schemeClr w14:val="tx1"/>
            </w14:solidFill>
          </w14:textFill>
        </w:rPr>
        <w:t>117.590042</w:t>
      </w:r>
      <w:r>
        <w:rPr>
          <w:rFonts w:hint="eastAsia" w:ascii="黑体" w:hAnsi="黑体" w:eastAsia="黑体" w:cs="Times New Roman"/>
          <w:color w:val="000000" w:themeColor="text1"/>
          <w:sz w:val="21"/>
          <w:szCs w:val="16"/>
          <w14:textFill>
            <w14:solidFill>
              <w14:schemeClr w14:val="tx1"/>
            </w14:solidFill>
          </w14:textFill>
        </w:rPr>
        <w:t>,</w:t>
      </w:r>
      <w:r>
        <w:rPr>
          <w:rFonts w:ascii="黑体" w:hAnsi="黑体" w:eastAsia="黑体" w:cs="Times New Roman"/>
          <w:color w:val="000000" w:themeColor="text1"/>
          <w:sz w:val="21"/>
          <w:szCs w:val="16"/>
          <w14:textFill>
            <w14:solidFill>
              <w14:schemeClr w14:val="tx1"/>
            </w14:solidFill>
          </w14:textFill>
        </w:rPr>
        <w:t>32.98803</w:t>
      </w:r>
      <w:r>
        <w:rPr>
          <w:rFonts w:hint="eastAsia" w:ascii="黑体" w:hAnsi="黑体" w:eastAsia="黑体" w:cs="Times New Roman"/>
          <w:color w:val="000000" w:themeColor="text1"/>
          <w:sz w:val="21"/>
          <w:szCs w:val="16"/>
          <w14:textFill>
            <w14:solidFill>
              <w14:schemeClr w14:val="tx1"/>
            </w14:solidFill>
          </w14:textFill>
        </w:rPr>
        <w:t>2)为坐标原点。</w:t>
      </w:r>
    </w:p>
    <w:p w14:paraId="552D64E7">
      <w:pPr>
        <w:pStyle w:val="82"/>
        <w:ind w:firstLine="0" w:firstLineChars="0"/>
        <w:rPr>
          <w:rFonts w:ascii="Times New Roman" w:hAnsi="Times New Roman" w:cs="Times New Roman"/>
          <w:color w:val="000000" w:themeColor="text1"/>
          <w14:textFill>
            <w14:solidFill>
              <w14:schemeClr w14:val="tx1"/>
            </w14:solidFill>
          </w14:textFill>
        </w:rPr>
      </w:pPr>
    </w:p>
    <w:p w14:paraId="4984DB0B">
      <w:pPr>
        <w:pStyle w:val="28"/>
        <w:rPr>
          <w:rFonts w:eastAsia="Times New Roman" w:cs="Arial"/>
        </w:rPr>
      </w:pPr>
      <w:r>
        <w:rPr>
          <w:rFonts w:hint="eastAsia"/>
        </w:rPr>
        <w:t>表</w:t>
      </w:r>
      <w:r>
        <w:rPr>
          <w:rFonts w:hint="eastAsia" w:cs="Arial" w:eastAsiaTheme="minorEastAsia"/>
        </w:rPr>
        <w:t>6</w:t>
      </w:r>
      <w:r>
        <w:rPr>
          <w:rFonts w:eastAsia="Times New Roman" w:cs="Arial"/>
        </w:rPr>
        <w:t>.2</w:t>
      </w:r>
      <w:r>
        <w:rPr>
          <w:rFonts w:hint="eastAsia" w:eastAsia="Times New Roman" w:cs="Arial"/>
        </w:rPr>
        <w:t>-</w:t>
      </w:r>
      <w:r>
        <w:rPr>
          <w:rFonts w:hint="eastAsia" w:cs="Arial" w:eastAsiaTheme="minorEastAsia"/>
        </w:rPr>
        <w:t>10</w:t>
      </w:r>
      <w:r>
        <w:rPr>
          <w:rFonts w:hint="eastAsia" w:eastAsia="Times New Roman" w:cs="Arial"/>
        </w:rPr>
        <w:t xml:space="preserve">  </w:t>
      </w:r>
      <w:r>
        <w:rPr>
          <w:rFonts w:hint="eastAsia"/>
        </w:rPr>
        <w:t>本项目无组织废气排放情况一览表</w:t>
      </w:r>
    </w:p>
    <w:tbl>
      <w:tblPr>
        <w:tblStyle w:val="36"/>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93"/>
        <w:gridCol w:w="1275"/>
        <w:gridCol w:w="851"/>
        <w:gridCol w:w="1407"/>
        <w:gridCol w:w="1100"/>
        <w:gridCol w:w="991"/>
        <w:gridCol w:w="1248"/>
        <w:gridCol w:w="1105"/>
        <w:gridCol w:w="1102"/>
        <w:gridCol w:w="1343"/>
        <w:gridCol w:w="1546"/>
        <w:gridCol w:w="1041"/>
      </w:tblGrid>
      <w:tr w14:paraId="20338EA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93" w:type="dxa"/>
            <w:vMerge w:val="restart"/>
            <w:tcBorders>
              <w:top w:val="single" w:color="auto" w:sz="4" w:space="0"/>
              <w:left w:val="single" w:color="auto" w:sz="4" w:space="0"/>
              <w:bottom w:val="single" w:color="auto" w:sz="4" w:space="0"/>
            </w:tcBorders>
            <w:vAlign w:val="center"/>
          </w:tcPr>
          <w:p w14:paraId="08D408C5">
            <w:pPr>
              <w:pStyle w:val="64"/>
            </w:pPr>
            <w:r>
              <w:t>名称</w:t>
            </w:r>
          </w:p>
        </w:tc>
        <w:tc>
          <w:tcPr>
            <w:tcW w:w="2126" w:type="dxa"/>
            <w:gridSpan w:val="2"/>
            <w:tcBorders>
              <w:top w:val="single" w:color="auto" w:sz="4" w:space="0"/>
              <w:bottom w:val="single" w:color="auto" w:sz="4" w:space="0"/>
            </w:tcBorders>
            <w:vAlign w:val="center"/>
          </w:tcPr>
          <w:p w14:paraId="496123E4">
            <w:pPr>
              <w:pStyle w:val="64"/>
            </w:pPr>
            <w:r>
              <w:t>面源</w:t>
            </w:r>
            <w:r>
              <w:rPr>
                <w:rFonts w:hint="eastAsia"/>
              </w:rPr>
              <w:t>中心点</w:t>
            </w:r>
          </w:p>
        </w:tc>
        <w:tc>
          <w:tcPr>
            <w:tcW w:w="1407" w:type="dxa"/>
            <w:vMerge w:val="restart"/>
            <w:tcBorders>
              <w:top w:val="single" w:color="auto" w:sz="4" w:space="0"/>
              <w:bottom w:val="single" w:color="auto" w:sz="4" w:space="0"/>
            </w:tcBorders>
            <w:vAlign w:val="center"/>
          </w:tcPr>
          <w:p w14:paraId="2EAAAFC1">
            <w:pPr>
              <w:pStyle w:val="64"/>
            </w:pPr>
            <w:r>
              <w:t>污染物名称</w:t>
            </w:r>
          </w:p>
        </w:tc>
        <w:tc>
          <w:tcPr>
            <w:tcW w:w="1100" w:type="dxa"/>
            <w:vMerge w:val="restart"/>
            <w:tcBorders>
              <w:top w:val="single" w:color="auto" w:sz="4" w:space="0"/>
              <w:bottom w:val="single" w:color="auto" w:sz="4" w:space="0"/>
            </w:tcBorders>
            <w:vAlign w:val="center"/>
          </w:tcPr>
          <w:p w14:paraId="6525555B">
            <w:pPr>
              <w:pStyle w:val="64"/>
            </w:pPr>
            <w:r>
              <w:t>污染物排放量t/a</w:t>
            </w:r>
          </w:p>
        </w:tc>
        <w:tc>
          <w:tcPr>
            <w:tcW w:w="991" w:type="dxa"/>
            <w:vMerge w:val="restart"/>
            <w:tcBorders>
              <w:top w:val="single" w:color="auto" w:sz="4" w:space="0"/>
              <w:bottom w:val="single" w:color="auto" w:sz="4" w:space="0"/>
            </w:tcBorders>
            <w:vAlign w:val="center"/>
          </w:tcPr>
          <w:p w14:paraId="64486085">
            <w:pPr>
              <w:pStyle w:val="64"/>
            </w:pPr>
            <w:r>
              <w:t>排放速率kg/h</w:t>
            </w:r>
          </w:p>
        </w:tc>
        <w:tc>
          <w:tcPr>
            <w:tcW w:w="7385" w:type="dxa"/>
            <w:gridSpan w:val="6"/>
            <w:tcBorders>
              <w:top w:val="single" w:color="auto" w:sz="4" w:space="0"/>
              <w:bottom w:val="single" w:color="auto" w:sz="4" w:space="0"/>
              <w:right w:val="single" w:color="auto" w:sz="4" w:space="0"/>
            </w:tcBorders>
            <w:vAlign w:val="center"/>
          </w:tcPr>
          <w:p w14:paraId="47ABADB3">
            <w:pPr>
              <w:pStyle w:val="64"/>
            </w:pPr>
            <w:r>
              <w:t>面源参数</w:t>
            </w:r>
          </w:p>
        </w:tc>
      </w:tr>
      <w:tr w14:paraId="6AA6DE3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93" w:type="dxa"/>
            <w:vMerge w:val="continue"/>
            <w:tcBorders>
              <w:top w:val="single" w:color="auto" w:sz="4" w:space="0"/>
              <w:left w:val="single" w:color="auto" w:sz="4" w:space="0"/>
              <w:bottom w:val="single" w:color="auto" w:sz="4" w:space="0"/>
            </w:tcBorders>
            <w:vAlign w:val="center"/>
          </w:tcPr>
          <w:p w14:paraId="74F3B830">
            <w:pPr>
              <w:pStyle w:val="64"/>
            </w:pPr>
          </w:p>
        </w:tc>
        <w:tc>
          <w:tcPr>
            <w:tcW w:w="1275" w:type="dxa"/>
            <w:tcBorders>
              <w:top w:val="single" w:color="auto" w:sz="4" w:space="0"/>
              <w:bottom w:val="single" w:color="auto" w:sz="4" w:space="0"/>
            </w:tcBorders>
            <w:vAlign w:val="center"/>
          </w:tcPr>
          <w:p w14:paraId="44EDF363">
            <w:pPr>
              <w:pStyle w:val="64"/>
            </w:pPr>
            <w:r>
              <w:t>X</w:t>
            </w:r>
          </w:p>
        </w:tc>
        <w:tc>
          <w:tcPr>
            <w:tcW w:w="851" w:type="dxa"/>
            <w:tcBorders>
              <w:top w:val="single" w:color="auto" w:sz="4" w:space="0"/>
              <w:bottom w:val="single" w:color="auto" w:sz="4" w:space="0"/>
            </w:tcBorders>
            <w:vAlign w:val="center"/>
          </w:tcPr>
          <w:p w14:paraId="779EF0CE">
            <w:pPr>
              <w:pStyle w:val="64"/>
            </w:pPr>
            <w:r>
              <w:t>Y</w:t>
            </w:r>
          </w:p>
        </w:tc>
        <w:tc>
          <w:tcPr>
            <w:tcW w:w="1407" w:type="dxa"/>
            <w:vMerge w:val="continue"/>
            <w:tcBorders>
              <w:top w:val="single" w:color="auto" w:sz="4" w:space="0"/>
              <w:bottom w:val="single" w:color="auto" w:sz="4" w:space="0"/>
            </w:tcBorders>
            <w:vAlign w:val="center"/>
          </w:tcPr>
          <w:p w14:paraId="278918DB">
            <w:pPr>
              <w:pStyle w:val="64"/>
            </w:pPr>
          </w:p>
        </w:tc>
        <w:tc>
          <w:tcPr>
            <w:tcW w:w="1100" w:type="dxa"/>
            <w:vMerge w:val="continue"/>
            <w:tcBorders>
              <w:top w:val="single" w:color="auto" w:sz="4" w:space="0"/>
              <w:bottom w:val="single" w:color="auto" w:sz="4" w:space="0"/>
            </w:tcBorders>
            <w:vAlign w:val="center"/>
          </w:tcPr>
          <w:p w14:paraId="518B5383">
            <w:pPr>
              <w:pStyle w:val="64"/>
            </w:pPr>
          </w:p>
        </w:tc>
        <w:tc>
          <w:tcPr>
            <w:tcW w:w="991" w:type="dxa"/>
            <w:vMerge w:val="continue"/>
            <w:tcBorders>
              <w:top w:val="single" w:color="auto" w:sz="4" w:space="0"/>
              <w:bottom w:val="single" w:color="auto" w:sz="4" w:space="0"/>
            </w:tcBorders>
            <w:vAlign w:val="center"/>
          </w:tcPr>
          <w:p w14:paraId="690FAD24">
            <w:pPr>
              <w:pStyle w:val="64"/>
            </w:pPr>
          </w:p>
        </w:tc>
        <w:tc>
          <w:tcPr>
            <w:tcW w:w="1248" w:type="dxa"/>
            <w:tcBorders>
              <w:top w:val="single" w:color="auto" w:sz="4" w:space="0"/>
              <w:bottom w:val="single" w:color="auto" w:sz="4" w:space="0"/>
            </w:tcBorders>
            <w:vAlign w:val="center"/>
          </w:tcPr>
          <w:p w14:paraId="19723524">
            <w:pPr>
              <w:pStyle w:val="64"/>
            </w:pPr>
            <w:r>
              <w:t>面源海拔高度m</w:t>
            </w:r>
          </w:p>
        </w:tc>
        <w:tc>
          <w:tcPr>
            <w:tcW w:w="0" w:type="auto"/>
            <w:tcBorders>
              <w:top w:val="single" w:color="auto" w:sz="4" w:space="0"/>
              <w:bottom w:val="single" w:color="auto" w:sz="4" w:space="0"/>
            </w:tcBorders>
            <w:vAlign w:val="center"/>
          </w:tcPr>
          <w:p w14:paraId="4D6D719B">
            <w:pPr>
              <w:pStyle w:val="64"/>
            </w:pPr>
            <w:r>
              <w:t>面源长度m</w:t>
            </w:r>
          </w:p>
        </w:tc>
        <w:tc>
          <w:tcPr>
            <w:tcW w:w="0" w:type="auto"/>
            <w:tcBorders>
              <w:top w:val="single" w:color="auto" w:sz="4" w:space="0"/>
              <w:bottom w:val="single" w:color="auto" w:sz="4" w:space="0"/>
            </w:tcBorders>
            <w:vAlign w:val="center"/>
          </w:tcPr>
          <w:p w14:paraId="7AAC24BE">
            <w:pPr>
              <w:pStyle w:val="64"/>
              <w:rPr>
                <w:vertAlign w:val="superscript"/>
              </w:rPr>
            </w:pPr>
            <w:r>
              <w:t>面源宽度m</w:t>
            </w:r>
          </w:p>
        </w:tc>
        <w:tc>
          <w:tcPr>
            <w:tcW w:w="0" w:type="auto"/>
            <w:tcBorders>
              <w:top w:val="single" w:color="auto" w:sz="4" w:space="0"/>
              <w:bottom w:val="single" w:color="auto" w:sz="4" w:space="0"/>
            </w:tcBorders>
            <w:vAlign w:val="center"/>
          </w:tcPr>
          <w:p w14:paraId="390A7A45">
            <w:pPr>
              <w:pStyle w:val="64"/>
            </w:pPr>
            <w:r>
              <w:t>与正北向夹角°</w:t>
            </w:r>
          </w:p>
        </w:tc>
        <w:tc>
          <w:tcPr>
            <w:tcW w:w="1546" w:type="dxa"/>
            <w:tcBorders>
              <w:top w:val="single" w:color="auto" w:sz="4" w:space="0"/>
              <w:bottom w:val="single" w:color="auto" w:sz="4" w:space="0"/>
            </w:tcBorders>
            <w:vAlign w:val="center"/>
          </w:tcPr>
          <w:p w14:paraId="62017C9C">
            <w:pPr>
              <w:pStyle w:val="64"/>
            </w:pPr>
            <w:r>
              <w:t>面源有效排放高度m</w:t>
            </w:r>
          </w:p>
        </w:tc>
        <w:tc>
          <w:tcPr>
            <w:tcW w:w="1041" w:type="dxa"/>
            <w:tcBorders>
              <w:top w:val="single" w:color="auto" w:sz="4" w:space="0"/>
              <w:bottom w:val="single" w:color="auto" w:sz="4" w:space="0"/>
              <w:right w:val="single" w:color="auto" w:sz="4" w:space="0"/>
            </w:tcBorders>
            <w:vAlign w:val="center"/>
          </w:tcPr>
          <w:p w14:paraId="6E165AD0">
            <w:pPr>
              <w:pStyle w:val="64"/>
            </w:pPr>
            <w:r>
              <w:t>年排放小时数h</w:t>
            </w:r>
          </w:p>
        </w:tc>
      </w:tr>
      <w:tr w14:paraId="7DEA68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93" w:type="dxa"/>
            <w:vMerge w:val="restart"/>
            <w:tcBorders>
              <w:top w:val="single" w:color="auto" w:sz="4" w:space="0"/>
              <w:left w:val="single" w:color="auto" w:sz="4" w:space="0"/>
              <w:bottom w:val="single" w:color="auto" w:sz="4" w:space="0"/>
            </w:tcBorders>
            <w:vAlign w:val="center"/>
          </w:tcPr>
          <w:p w14:paraId="1EA7B92D">
            <w:pPr>
              <w:pStyle w:val="64"/>
              <w:rPr>
                <w:rFonts w:hint="eastAsia" w:ascii="宋体" w:hAnsi="宋体"/>
                <w:szCs w:val="21"/>
              </w:rPr>
            </w:pPr>
            <w:r>
              <w:rPr>
                <w:rFonts w:hint="eastAsia" w:ascii="宋体" w:hAnsi="宋体"/>
                <w:szCs w:val="21"/>
              </w:rPr>
              <w:t>装置区</w:t>
            </w:r>
          </w:p>
        </w:tc>
        <w:tc>
          <w:tcPr>
            <w:tcW w:w="1275" w:type="dxa"/>
            <w:vMerge w:val="restart"/>
            <w:tcBorders>
              <w:top w:val="single" w:color="auto" w:sz="4" w:space="0"/>
              <w:bottom w:val="single" w:color="auto" w:sz="4" w:space="0"/>
            </w:tcBorders>
            <w:vAlign w:val="center"/>
          </w:tcPr>
          <w:p w14:paraId="2377BAFB">
            <w:pPr>
              <w:pStyle w:val="64"/>
            </w:pPr>
            <w:r>
              <w:rPr>
                <w:rFonts w:hint="eastAsia"/>
              </w:rPr>
              <w:t>754</w:t>
            </w:r>
          </w:p>
        </w:tc>
        <w:tc>
          <w:tcPr>
            <w:tcW w:w="851" w:type="dxa"/>
            <w:vMerge w:val="restart"/>
            <w:tcBorders>
              <w:top w:val="single" w:color="auto" w:sz="4" w:space="0"/>
              <w:bottom w:val="single" w:color="auto" w:sz="4" w:space="0"/>
            </w:tcBorders>
            <w:vAlign w:val="center"/>
          </w:tcPr>
          <w:p w14:paraId="434CFB89">
            <w:pPr>
              <w:pStyle w:val="64"/>
            </w:pPr>
            <w:r>
              <w:rPr>
                <w:rFonts w:hint="eastAsia"/>
              </w:rPr>
              <w:t>259</w:t>
            </w:r>
          </w:p>
        </w:tc>
        <w:tc>
          <w:tcPr>
            <w:tcW w:w="1407" w:type="dxa"/>
            <w:tcBorders>
              <w:top w:val="single" w:color="auto" w:sz="4" w:space="0"/>
              <w:bottom w:val="single" w:color="auto" w:sz="4" w:space="0"/>
            </w:tcBorders>
            <w:vAlign w:val="center"/>
          </w:tcPr>
          <w:p w14:paraId="7B5A9420">
            <w:pPr>
              <w:pStyle w:val="64"/>
              <w:rPr>
                <w:lang w:bidi="ar"/>
              </w:rPr>
            </w:pPr>
            <w:r>
              <w:rPr>
                <w:rFonts w:hint="eastAsia" w:cs="Times New Roman"/>
                <w:szCs w:val="21"/>
              </w:rPr>
              <w:t>非甲烷总烃</w:t>
            </w:r>
          </w:p>
        </w:tc>
        <w:tc>
          <w:tcPr>
            <w:tcW w:w="1100" w:type="dxa"/>
            <w:tcBorders>
              <w:top w:val="single" w:color="auto" w:sz="4" w:space="0"/>
              <w:bottom w:val="single" w:color="auto" w:sz="4" w:space="0"/>
            </w:tcBorders>
            <w:vAlign w:val="center"/>
          </w:tcPr>
          <w:p w14:paraId="5CF19C44">
            <w:pPr>
              <w:pStyle w:val="64"/>
              <w:rPr>
                <w:lang w:bidi="ar"/>
              </w:rPr>
            </w:pPr>
            <w:r>
              <w:rPr>
                <w:lang w:bidi="ar"/>
              </w:rPr>
              <w:t>0.264</w:t>
            </w:r>
          </w:p>
        </w:tc>
        <w:tc>
          <w:tcPr>
            <w:tcW w:w="991" w:type="dxa"/>
            <w:tcBorders>
              <w:top w:val="single" w:color="auto" w:sz="4" w:space="0"/>
              <w:bottom w:val="single" w:color="auto" w:sz="4" w:space="0"/>
            </w:tcBorders>
            <w:vAlign w:val="center"/>
          </w:tcPr>
          <w:p w14:paraId="3C04B44B">
            <w:pPr>
              <w:pStyle w:val="64"/>
            </w:pPr>
            <w:r>
              <w:rPr>
                <w:rFonts w:hint="eastAsia"/>
              </w:rPr>
              <w:t>0</w:t>
            </w:r>
            <w:r>
              <w:t>.037</w:t>
            </w:r>
          </w:p>
        </w:tc>
        <w:tc>
          <w:tcPr>
            <w:tcW w:w="1248" w:type="dxa"/>
            <w:vMerge w:val="restart"/>
            <w:tcBorders>
              <w:top w:val="single" w:color="auto" w:sz="4" w:space="0"/>
              <w:bottom w:val="single" w:color="auto" w:sz="4" w:space="0"/>
            </w:tcBorders>
            <w:vAlign w:val="center"/>
          </w:tcPr>
          <w:p w14:paraId="1B85880D">
            <w:pPr>
              <w:pStyle w:val="64"/>
            </w:pPr>
            <w:r>
              <w:t>18</w:t>
            </w:r>
          </w:p>
        </w:tc>
        <w:tc>
          <w:tcPr>
            <w:tcW w:w="1105" w:type="dxa"/>
            <w:vMerge w:val="restart"/>
            <w:tcBorders>
              <w:top w:val="single" w:color="auto" w:sz="4" w:space="0"/>
              <w:bottom w:val="single" w:color="auto" w:sz="4" w:space="0"/>
            </w:tcBorders>
            <w:vAlign w:val="center"/>
          </w:tcPr>
          <w:p w14:paraId="6CC1164A">
            <w:pPr>
              <w:pStyle w:val="64"/>
            </w:pPr>
            <w:r>
              <w:rPr>
                <w:rFonts w:hint="eastAsia"/>
              </w:rPr>
              <w:t>132</w:t>
            </w:r>
          </w:p>
        </w:tc>
        <w:tc>
          <w:tcPr>
            <w:tcW w:w="1102" w:type="dxa"/>
            <w:vMerge w:val="restart"/>
            <w:tcBorders>
              <w:top w:val="single" w:color="auto" w:sz="4" w:space="0"/>
              <w:bottom w:val="single" w:color="auto" w:sz="4" w:space="0"/>
            </w:tcBorders>
            <w:vAlign w:val="center"/>
          </w:tcPr>
          <w:p w14:paraId="4680FE3B">
            <w:pPr>
              <w:pStyle w:val="64"/>
            </w:pPr>
            <w:r>
              <w:rPr>
                <w:rFonts w:hint="eastAsia"/>
              </w:rPr>
              <w:t>30</w:t>
            </w:r>
          </w:p>
        </w:tc>
        <w:tc>
          <w:tcPr>
            <w:tcW w:w="1343" w:type="dxa"/>
            <w:vMerge w:val="restart"/>
            <w:tcBorders>
              <w:top w:val="single" w:color="auto" w:sz="4" w:space="0"/>
              <w:bottom w:val="single" w:color="auto" w:sz="4" w:space="0"/>
            </w:tcBorders>
            <w:vAlign w:val="center"/>
          </w:tcPr>
          <w:p w14:paraId="5DA60642">
            <w:pPr>
              <w:pStyle w:val="64"/>
            </w:pPr>
            <w:r>
              <w:rPr>
                <w:rFonts w:hint="eastAsia"/>
              </w:rPr>
              <w:t>0</w:t>
            </w:r>
          </w:p>
        </w:tc>
        <w:tc>
          <w:tcPr>
            <w:tcW w:w="1546" w:type="dxa"/>
            <w:vMerge w:val="restart"/>
            <w:tcBorders>
              <w:top w:val="single" w:color="auto" w:sz="4" w:space="0"/>
              <w:bottom w:val="single" w:color="auto" w:sz="4" w:space="0"/>
            </w:tcBorders>
            <w:vAlign w:val="center"/>
          </w:tcPr>
          <w:p w14:paraId="454AF03D">
            <w:pPr>
              <w:pStyle w:val="64"/>
            </w:pPr>
            <w:r>
              <w:rPr>
                <w:rFonts w:hint="eastAsia"/>
              </w:rPr>
              <w:t>1</w:t>
            </w:r>
            <w:r>
              <w:t>0</w:t>
            </w:r>
          </w:p>
        </w:tc>
        <w:tc>
          <w:tcPr>
            <w:tcW w:w="1041" w:type="dxa"/>
            <w:vMerge w:val="restart"/>
            <w:tcBorders>
              <w:top w:val="single" w:color="auto" w:sz="4" w:space="0"/>
              <w:bottom w:val="single" w:color="auto" w:sz="4" w:space="0"/>
              <w:right w:val="single" w:color="auto" w:sz="4" w:space="0"/>
            </w:tcBorders>
            <w:vAlign w:val="center"/>
          </w:tcPr>
          <w:p w14:paraId="66EF1AF7">
            <w:pPr>
              <w:pStyle w:val="64"/>
            </w:pPr>
            <w:r>
              <w:rPr>
                <w:rFonts w:hint="eastAsia"/>
              </w:rPr>
              <w:t>72</w:t>
            </w:r>
            <w:r>
              <w:t>00</w:t>
            </w:r>
          </w:p>
        </w:tc>
      </w:tr>
      <w:tr w14:paraId="699414C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93" w:type="dxa"/>
            <w:vMerge w:val="continue"/>
            <w:tcBorders>
              <w:top w:val="single" w:color="auto" w:sz="4" w:space="0"/>
              <w:left w:val="single" w:color="auto" w:sz="4" w:space="0"/>
              <w:bottom w:val="single" w:color="auto" w:sz="4" w:space="0"/>
            </w:tcBorders>
            <w:vAlign w:val="center"/>
          </w:tcPr>
          <w:p w14:paraId="24B89AA6">
            <w:pPr>
              <w:pStyle w:val="64"/>
              <w:rPr>
                <w:rFonts w:hint="eastAsia" w:ascii="宋体" w:hAnsi="宋体"/>
                <w:lang w:bidi="ar"/>
              </w:rPr>
            </w:pPr>
          </w:p>
        </w:tc>
        <w:tc>
          <w:tcPr>
            <w:tcW w:w="1275" w:type="dxa"/>
            <w:vMerge w:val="continue"/>
            <w:tcBorders>
              <w:top w:val="single" w:color="auto" w:sz="4" w:space="0"/>
              <w:bottom w:val="single" w:color="auto" w:sz="4" w:space="0"/>
            </w:tcBorders>
            <w:vAlign w:val="center"/>
          </w:tcPr>
          <w:p w14:paraId="59118E2C">
            <w:pPr>
              <w:pStyle w:val="64"/>
            </w:pPr>
          </w:p>
        </w:tc>
        <w:tc>
          <w:tcPr>
            <w:tcW w:w="851" w:type="dxa"/>
            <w:vMerge w:val="continue"/>
            <w:tcBorders>
              <w:top w:val="single" w:color="auto" w:sz="4" w:space="0"/>
              <w:bottom w:val="single" w:color="auto" w:sz="4" w:space="0"/>
            </w:tcBorders>
            <w:vAlign w:val="center"/>
          </w:tcPr>
          <w:p w14:paraId="11880CD9">
            <w:pPr>
              <w:pStyle w:val="64"/>
            </w:pPr>
          </w:p>
        </w:tc>
        <w:tc>
          <w:tcPr>
            <w:tcW w:w="1407" w:type="dxa"/>
            <w:tcBorders>
              <w:top w:val="single" w:color="auto" w:sz="4" w:space="0"/>
              <w:bottom w:val="single" w:color="auto" w:sz="4" w:space="0"/>
            </w:tcBorders>
            <w:vAlign w:val="center"/>
          </w:tcPr>
          <w:p w14:paraId="2B6192A9">
            <w:pPr>
              <w:pStyle w:val="64"/>
              <w:rPr>
                <w:lang w:bidi="ar"/>
              </w:rPr>
            </w:pPr>
            <w:r>
              <w:rPr>
                <w:rFonts w:hint="eastAsia"/>
                <w:lang w:bidi="ar"/>
              </w:rPr>
              <w:t>酚类</w:t>
            </w:r>
          </w:p>
        </w:tc>
        <w:tc>
          <w:tcPr>
            <w:tcW w:w="1100" w:type="dxa"/>
            <w:tcBorders>
              <w:top w:val="single" w:color="auto" w:sz="4" w:space="0"/>
              <w:bottom w:val="single" w:color="auto" w:sz="4" w:space="0"/>
            </w:tcBorders>
            <w:vAlign w:val="center"/>
          </w:tcPr>
          <w:p w14:paraId="59442F37">
            <w:pPr>
              <w:pStyle w:val="64"/>
              <w:rPr>
                <w:lang w:bidi="ar"/>
              </w:rPr>
            </w:pPr>
            <w:r>
              <w:rPr>
                <w:rFonts w:hint="eastAsia"/>
                <w:lang w:bidi="ar"/>
              </w:rPr>
              <w:t>0.093</w:t>
            </w:r>
          </w:p>
        </w:tc>
        <w:tc>
          <w:tcPr>
            <w:tcW w:w="991" w:type="dxa"/>
            <w:tcBorders>
              <w:top w:val="single" w:color="auto" w:sz="4" w:space="0"/>
              <w:bottom w:val="single" w:color="auto" w:sz="4" w:space="0"/>
            </w:tcBorders>
            <w:vAlign w:val="center"/>
          </w:tcPr>
          <w:p w14:paraId="27D4384F">
            <w:pPr>
              <w:pStyle w:val="64"/>
            </w:pPr>
            <w:r>
              <w:rPr>
                <w:rFonts w:hint="eastAsia"/>
              </w:rPr>
              <w:t>0</w:t>
            </w:r>
            <w:r>
              <w:t>.013</w:t>
            </w:r>
          </w:p>
        </w:tc>
        <w:tc>
          <w:tcPr>
            <w:tcW w:w="1248" w:type="dxa"/>
            <w:vMerge w:val="continue"/>
            <w:tcBorders>
              <w:top w:val="single" w:color="auto" w:sz="4" w:space="0"/>
              <w:bottom w:val="single" w:color="auto" w:sz="4" w:space="0"/>
            </w:tcBorders>
            <w:vAlign w:val="center"/>
          </w:tcPr>
          <w:p w14:paraId="1380F4AF">
            <w:pPr>
              <w:pStyle w:val="64"/>
            </w:pPr>
          </w:p>
        </w:tc>
        <w:tc>
          <w:tcPr>
            <w:tcW w:w="1105" w:type="dxa"/>
            <w:vMerge w:val="continue"/>
            <w:tcBorders>
              <w:top w:val="single" w:color="auto" w:sz="4" w:space="0"/>
              <w:bottom w:val="single" w:color="auto" w:sz="4" w:space="0"/>
            </w:tcBorders>
            <w:vAlign w:val="center"/>
          </w:tcPr>
          <w:p w14:paraId="5537AA13">
            <w:pPr>
              <w:pStyle w:val="64"/>
            </w:pPr>
          </w:p>
        </w:tc>
        <w:tc>
          <w:tcPr>
            <w:tcW w:w="1102" w:type="dxa"/>
            <w:vMerge w:val="continue"/>
            <w:tcBorders>
              <w:top w:val="single" w:color="auto" w:sz="4" w:space="0"/>
              <w:bottom w:val="single" w:color="auto" w:sz="4" w:space="0"/>
            </w:tcBorders>
            <w:vAlign w:val="center"/>
          </w:tcPr>
          <w:p w14:paraId="53848633">
            <w:pPr>
              <w:pStyle w:val="64"/>
            </w:pPr>
          </w:p>
        </w:tc>
        <w:tc>
          <w:tcPr>
            <w:tcW w:w="1343" w:type="dxa"/>
            <w:vMerge w:val="continue"/>
            <w:tcBorders>
              <w:top w:val="single" w:color="auto" w:sz="4" w:space="0"/>
              <w:bottom w:val="single" w:color="auto" w:sz="4" w:space="0"/>
            </w:tcBorders>
            <w:vAlign w:val="center"/>
          </w:tcPr>
          <w:p w14:paraId="1E1D3091">
            <w:pPr>
              <w:pStyle w:val="64"/>
            </w:pPr>
          </w:p>
        </w:tc>
        <w:tc>
          <w:tcPr>
            <w:tcW w:w="1546" w:type="dxa"/>
            <w:vMerge w:val="continue"/>
            <w:tcBorders>
              <w:top w:val="single" w:color="auto" w:sz="4" w:space="0"/>
              <w:bottom w:val="single" w:color="auto" w:sz="4" w:space="0"/>
            </w:tcBorders>
            <w:vAlign w:val="center"/>
          </w:tcPr>
          <w:p w14:paraId="60DCDC94">
            <w:pPr>
              <w:pStyle w:val="64"/>
            </w:pPr>
          </w:p>
        </w:tc>
        <w:tc>
          <w:tcPr>
            <w:tcW w:w="1041" w:type="dxa"/>
            <w:vMerge w:val="continue"/>
            <w:tcBorders>
              <w:top w:val="single" w:color="auto" w:sz="4" w:space="0"/>
              <w:bottom w:val="single" w:color="auto" w:sz="4" w:space="0"/>
              <w:right w:val="single" w:color="auto" w:sz="4" w:space="0"/>
            </w:tcBorders>
            <w:vAlign w:val="center"/>
          </w:tcPr>
          <w:p w14:paraId="1406F28F">
            <w:pPr>
              <w:pStyle w:val="64"/>
            </w:pPr>
          </w:p>
        </w:tc>
      </w:tr>
      <w:tr w14:paraId="4EC573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93" w:type="dxa"/>
            <w:vMerge w:val="restart"/>
            <w:tcBorders>
              <w:top w:val="single" w:color="auto" w:sz="4" w:space="0"/>
              <w:left w:val="single" w:color="auto" w:sz="4" w:space="0"/>
              <w:bottom w:val="single" w:color="auto" w:sz="4" w:space="0"/>
              <w:right w:val="single" w:color="auto" w:sz="4" w:space="0"/>
            </w:tcBorders>
            <w:vAlign w:val="center"/>
          </w:tcPr>
          <w:p w14:paraId="70EE761A">
            <w:pPr>
              <w:pStyle w:val="64"/>
              <w:rPr>
                <w:rFonts w:hint="eastAsia" w:ascii="宋体" w:hAnsi="宋体"/>
                <w:szCs w:val="21"/>
              </w:rPr>
            </w:pPr>
            <w:r>
              <w:rPr>
                <w:rFonts w:hint="eastAsia" w:ascii="宋体" w:hAnsi="宋体"/>
                <w:szCs w:val="21"/>
              </w:rPr>
              <w:t>罐区</w:t>
            </w:r>
          </w:p>
        </w:tc>
        <w:tc>
          <w:tcPr>
            <w:tcW w:w="1275" w:type="dxa"/>
            <w:vMerge w:val="restart"/>
            <w:tcBorders>
              <w:top w:val="single" w:color="auto" w:sz="4" w:space="0"/>
              <w:left w:val="single" w:color="auto" w:sz="4" w:space="0"/>
              <w:bottom w:val="single" w:color="auto" w:sz="4" w:space="0"/>
              <w:right w:val="single" w:color="auto" w:sz="4" w:space="0"/>
            </w:tcBorders>
            <w:vAlign w:val="center"/>
          </w:tcPr>
          <w:p w14:paraId="0735B2CB">
            <w:pPr>
              <w:pStyle w:val="64"/>
            </w:pPr>
            <w:r>
              <w:rPr>
                <w:rFonts w:hint="eastAsia"/>
              </w:rPr>
              <w:t>904</w:t>
            </w:r>
          </w:p>
        </w:tc>
        <w:tc>
          <w:tcPr>
            <w:tcW w:w="851" w:type="dxa"/>
            <w:vMerge w:val="restart"/>
            <w:tcBorders>
              <w:top w:val="single" w:color="auto" w:sz="4" w:space="0"/>
              <w:left w:val="single" w:color="auto" w:sz="4" w:space="0"/>
              <w:bottom w:val="single" w:color="auto" w:sz="4" w:space="0"/>
              <w:right w:val="single" w:color="auto" w:sz="4" w:space="0"/>
            </w:tcBorders>
            <w:vAlign w:val="center"/>
          </w:tcPr>
          <w:p w14:paraId="3218C63A">
            <w:pPr>
              <w:pStyle w:val="64"/>
            </w:pPr>
            <w:r>
              <w:rPr>
                <w:rFonts w:hint="eastAsia"/>
              </w:rPr>
              <w:t>58</w:t>
            </w:r>
          </w:p>
        </w:tc>
        <w:tc>
          <w:tcPr>
            <w:tcW w:w="1407" w:type="dxa"/>
            <w:tcBorders>
              <w:top w:val="single" w:color="auto" w:sz="4" w:space="0"/>
              <w:left w:val="single" w:color="auto" w:sz="4" w:space="0"/>
              <w:bottom w:val="single" w:color="auto" w:sz="4" w:space="0"/>
            </w:tcBorders>
            <w:vAlign w:val="center"/>
          </w:tcPr>
          <w:p w14:paraId="7B79668C">
            <w:pPr>
              <w:pStyle w:val="64"/>
              <w:rPr>
                <w:bCs/>
                <w:lang w:bidi="ar"/>
              </w:rPr>
            </w:pPr>
            <w:r>
              <w:rPr>
                <w:lang w:bidi="ar"/>
              </w:rPr>
              <w:t>酚类</w:t>
            </w:r>
          </w:p>
        </w:tc>
        <w:tc>
          <w:tcPr>
            <w:tcW w:w="1100" w:type="dxa"/>
            <w:tcBorders>
              <w:top w:val="single" w:color="auto" w:sz="4" w:space="0"/>
              <w:bottom w:val="single" w:color="auto" w:sz="4" w:space="0"/>
            </w:tcBorders>
            <w:vAlign w:val="center"/>
          </w:tcPr>
          <w:p w14:paraId="7B6013FF">
            <w:pPr>
              <w:pStyle w:val="64"/>
              <w:rPr>
                <w:lang w:bidi="ar"/>
              </w:rPr>
            </w:pPr>
            <w:r>
              <w:rPr>
                <w:lang w:bidi="ar"/>
              </w:rPr>
              <w:t>0.010</w:t>
            </w:r>
          </w:p>
        </w:tc>
        <w:tc>
          <w:tcPr>
            <w:tcW w:w="991" w:type="dxa"/>
            <w:tcBorders>
              <w:top w:val="single" w:color="auto" w:sz="4" w:space="0"/>
              <w:bottom w:val="single" w:color="auto" w:sz="4" w:space="0"/>
              <w:right w:val="single" w:color="auto" w:sz="4" w:space="0"/>
            </w:tcBorders>
            <w:vAlign w:val="center"/>
          </w:tcPr>
          <w:p w14:paraId="2FEC29AE">
            <w:pPr>
              <w:pStyle w:val="64"/>
              <w:rPr>
                <w:lang w:bidi="ar"/>
              </w:rPr>
            </w:pPr>
            <w:r>
              <w:rPr>
                <w:rFonts w:hint="eastAsia"/>
                <w:lang w:bidi="ar"/>
              </w:rPr>
              <w:t>0</w:t>
            </w:r>
            <w:r>
              <w:rPr>
                <w:lang w:bidi="ar"/>
              </w:rPr>
              <w:t>.0014</w:t>
            </w:r>
          </w:p>
        </w:tc>
        <w:tc>
          <w:tcPr>
            <w:tcW w:w="1248" w:type="dxa"/>
            <w:vMerge w:val="restart"/>
            <w:tcBorders>
              <w:top w:val="single" w:color="auto" w:sz="4" w:space="0"/>
              <w:left w:val="single" w:color="auto" w:sz="4" w:space="0"/>
              <w:bottom w:val="single" w:color="auto" w:sz="4" w:space="0"/>
              <w:right w:val="single" w:color="auto" w:sz="4" w:space="0"/>
            </w:tcBorders>
            <w:vAlign w:val="center"/>
          </w:tcPr>
          <w:p w14:paraId="1207BE6C">
            <w:pPr>
              <w:pStyle w:val="64"/>
            </w:pPr>
            <w:r>
              <w:t>18</w:t>
            </w:r>
          </w:p>
        </w:tc>
        <w:tc>
          <w:tcPr>
            <w:tcW w:w="1105" w:type="dxa"/>
            <w:vMerge w:val="restart"/>
            <w:tcBorders>
              <w:top w:val="single" w:color="auto" w:sz="4" w:space="0"/>
              <w:left w:val="single" w:color="auto" w:sz="4" w:space="0"/>
              <w:bottom w:val="single" w:color="auto" w:sz="4" w:space="0"/>
              <w:right w:val="single" w:color="auto" w:sz="4" w:space="0"/>
            </w:tcBorders>
            <w:vAlign w:val="center"/>
          </w:tcPr>
          <w:p w14:paraId="4E20F047">
            <w:pPr>
              <w:pStyle w:val="64"/>
            </w:pPr>
            <w:r>
              <w:rPr>
                <w:rFonts w:hint="eastAsia"/>
              </w:rPr>
              <w:t>100</w:t>
            </w:r>
          </w:p>
        </w:tc>
        <w:tc>
          <w:tcPr>
            <w:tcW w:w="1102" w:type="dxa"/>
            <w:vMerge w:val="restart"/>
            <w:tcBorders>
              <w:top w:val="single" w:color="auto" w:sz="4" w:space="0"/>
              <w:left w:val="single" w:color="auto" w:sz="4" w:space="0"/>
              <w:bottom w:val="single" w:color="auto" w:sz="4" w:space="0"/>
              <w:right w:val="single" w:color="auto" w:sz="4" w:space="0"/>
            </w:tcBorders>
            <w:vAlign w:val="center"/>
          </w:tcPr>
          <w:p w14:paraId="60AEB2BA">
            <w:pPr>
              <w:pStyle w:val="64"/>
            </w:pPr>
            <w:r>
              <w:rPr>
                <w:rFonts w:hint="eastAsia"/>
              </w:rPr>
              <w:t>50</w:t>
            </w:r>
          </w:p>
        </w:tc>
        <w:tc>
          <w:tcPr>
            <w:tcW w:w="1343" w:type="dxa"/>
            <w:vMerge w:val="restart"/>
            <w:tcBorders>
              <w:top w:val="single" w:color="auto" w:sz="4" w:space="0"/>
              <w:left w:val="single" w:color="auto" w:sz="4" w:space="0"/>
              <w:bottom w:val="single" w:color="auto" w:sz="4" w:space="0"/>
              <w:right w:val="single" w:color="auto" w:sz="4" w:space="0"/>
            </w:tcBorders>
            <w:vAlign w:val="center"/>
          </w:tcPr>
          <w:p w14:paraId="290B68BB">
            <w:pPr>
              <w:pStyle w:val="64"/>
            </w:pPr>
            <w:r>
              <w:rPr>
                <w:rFonts w:hint="eastAsia"/>
              </w:rPr>
              <w:t>0</w:t>
            </w:r>
          </w:p>
        </w:tc>
        <w:tc>
          <w:tcPr>
            <w:tcW w:w="1546" w:type="dxa"/>
            <w:vMerge w:val="restart"/>
            <w:tcBorders>
              <w:top w:val="single" w:color="auto" w:sz="4" w:space="0"/>
              <w:left w:val="single" w:color="auto" w:sz="4" w:space="0"/>
              <w:bottom w:val="single" w:color="auto" w:sz="4" w:space="0"/>
              <w:right w:val="single" w:color="auto" w:sz="4" w:space="0"/>
            </w:tcBorders>
            <w:vAlign w:val="center"/>
          </w:tcPr>
          <w:p w14:paraId="35BD9BA3">
            <w:pPr>
              <w:pStyle w:val="64"/>
            </w:pPr>
            <w:r>
              <w:rPr>
                <w:rFonts w:hint="eastAsia"/>
              </w:rPr>
              <w:t>1</w:t>
            </w:r>
            <w:r>
              <w:t>0</w:t>
            </w:r>
          </w:p>
        </w:tc>
        <w:tc>
          <w:tcPr>
            <w:tcW w:w="1041" w:type="dxa"/>
            <w:vMerge w:val="restart"/>
            <w:tcBorders>
              <w:top w:val="single" w:color="auto" w:sz="4" w:space="0"/>
              <w:left w:val="single" w:color="auto" w:sz="4" w:space="0"/>
              <w:bottom w:val="single" w:color="auto" w:sz="4" w:space="0"/>
              <w:right w:val="single" w:color="auto" w:sz="4" w:space="0"/>
            </w:tcBorders>
            <w:vAlign w:val="center"/>
          </w:tcPr>
          <w:p w14:paraId="46087D8D">
            <w:pPr>
              <w:pStyle w:val="64"/>
            </w:pPr>
            <w:r>
              <w:rPr>
                <w:rFonts w:hint="eastAsia"/>
              </w:rPr>
              <w:t>72</w:t>
            </w:r>
            <w:r>
              <w:t>00</w:t>
            </w:r>
          </w:p>
        </w:tc>
      </w:tr>
      <w:tr w14:paraId="250E596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93" w:type="dxa"/>
            <w:vMerge w:val="continue"/>
            <w:tcBorders>
              <w:top w:val="single" w:color="auto" w:sz="4" w:space="0"/>
              <w:left w:val="single" w:color="auto" w:sz="4" w:space="0"/>
              <w:bottom w:val="single" w:color="auto" w:sz="4" w:space="0"/>
              <w:right w:val="single" w:color="auto" w:sz="4" w:space="0"/>
            </w:tcBorders>
            <w:vAlign w:val="center"/>
          </w:tcPr>
          <w:p w14:paraId="07DB719F">
            <w:pPr>
              <w:pStyle w:val="64"/>
              <w:rPr>
                <w:lang w:bidi="ar"/>
              </w:rPr>
            </w:pPr>
          </w:p>
        </w:tc>
        <w:tc>
          <w:tcPr>
            <w:tcW w:w="1275" w:type="dxa"/>
            <w:vMerge w:val="continue"/>
            <w:tcBorders>
              <w:top w:val="single" w:color="auto" w:sz="4" w:space="0"/>
              <w:left w:val="single" w:color="auto" w:sz="4" w:space="0"/>
              <w:bottom w:val="single" w:color="auto" w:sz="4" w:space="0"/>
              <w:right w:val="single" w:color="auto" w:sz="4" w:space="0"/>
            </w:tcBorders>
            <w:vAlign w:val="center"/>
          </w:tcPr>
          <w:p w14:paraId="08A2A793">
            <w:pPr>
              <w:pStyle w:val="64"/>
            </w:pPr>
          </w:p>
        </w:tc>
        <w:tc>
          <w:tcPr>
            <w:tcW w:w="851" w:type="dxa"/>
            <w:vMerge w:val="continue"/>
            <w:tcBorders>
              <w:top w:val="single" w:color="auto" w:sz="4" w:space="0"/>
              <w:left w:val="single" w:color="auto" w:sz="4" w:space="0"/>
              <w:bottom w:val="single" w:color="auto" w:sz="4" w:space="0"/>
              <w:right w:val="single" w:color="auto" w:sz="4" w:space="0"/>
            </w:tcBorders>
            <w:vAlign w:val="center"/>
          </w:tcPr>
          <w:p w14:paraId="63035877">
            <w:pPr>
              <w:pStyle w:val="64"/>
            </w:pPr>
          </w:p>
        </w:tc>
        <w:tc>
          <w:tcPr>
            <w:tcW w:w="1407" w:type="dxa"/>
            <w:tcBorders>
              <w:top w:val="single" w:color="auto" w:sz="4" w:space="0"/>
              <w:left w:val="single" w:color="auto" w:sz="4" w:space="0"/>
              <w:bottom w:val="single" w:color="auto" w:sz="4" w:space="0"/>
            </w:tcBorders>
            <w:vAlign w:val="center"/>
          </w:tcPr>
          <w:p w14:paraId="1265B190">
            <w:pPr>
              <w:pStyle w:val="64"/>
              <w:rPr>
                <w:bCs/>
                <w:lang w:bidi="ar"/>
              </w:rPr>
            </w:pPr>
            <w:r>
              <w:rPr>
                <w:rFonts w:hint="eastAsia" w:cs="Times New Roman"/>
                <w:szCs w:val="21"/>
              </w:rPr>
              <w:t>非甲烷总烃</w:t>
            </w:r>
          </w:p>
        </w:tc>
        <w:tc>
          <w:tcPr>
            <w:tcW w:w="1100" w:type="dxa"/>
            <w:tcBorders>
              <w:top w:val="single" w:color="auto" w:sz="4" w:space="0"/>
              <w:bottom w:val="single" w:color="auto" w:sz="4" w:space="0"/>
            </w:tcBorders>
            <w:vAlign w:val="center"/>
          </w:tcPr>
          <w:p w14:paraId="62599D1A">
            <w:pPr>
              <w:pStyle w:val="64"/>
              <w:rPr>
                <w:lang w:bidi="ar"/>
              </w:rPr>
            </w:pPr>
            <w:r>
              <w:rPr>
                <w:rFonts w:hint="eastAsia"/>
                <w:lang w:bidi="ar"/>
              </w:rPr>
              <w:t>0</w:t>
            </w:r>
            <w:r>
              <w:rPr>
                <w:lang w:bidi="ar"/>
              </w:rPr>
              <w:t>.</w:t>
            </w:r>
            <w:r>
              <w:rPr>
                <w:rFonts w:hint="eastAsia"/>
                <w:lang w:bidi="ar"/>
              </w:rPr>
              <w:t>0</w:t>
            </w:r>
            <w:r>
              <w:rPr>
                <w:lang w:bidi="ar"/>
              </w:rPr>
              <w:t>14</w:t>
            </w:r>
          </w:p>
        </w:tc>
        <w:tc>
          <w:tcPr>
            <w:tcW w:w="991" w:type="dxa"/>
            <w:tcBorders>
              <w:top w:val="single" w:color="auto" w:sz="4" w:space="0"/>
              <w:bottom w:val="single" w:color="auto" w:sz="4" w:space="0"/>
              <w:right w:val="single" w:color="auto" w:sz="4" w:space="0"/>
            </w:tcBorders>
            <w:vAlign w:val="center"/>
          </w:tcPr>
          <w:p w14:paraId="22ECECB4">
            <w:pPr>
              <w:pStyle w:val="64"/>
              <w:rPr>
                <w:lang w:bidi="ar"/>
              </w:rPr>
            </w:pPr>
            <w:r>
              <w:rPr>
                <w:rFonts w:hint="eastAsia"/>
                <w:lang w:bidi="ar"/>
              </w:rPr>
              <w:t>0</w:t>
            </w:r>
            <w:r>
              <w:rPr>
                <w:lang w:bidi="ar"/>
              </w:rPr>
              <w:t>.0019</w:t>
            </w:r>
          </w:p>
        </w:tc>
        <w:tc>
          <w:tcPr>
            <w:tcW w:w="1248" w:type="dxa"/>
            <w:vMerge w:val="continue"/>
            <w:tcBorders>
              <w:top w:val="single" w:color="auto" w:sz="4" w:space="0"/>
              <w:left w:val="single" w:color="auto" w:sz="4" w:space="0"/>
              <w:bottom w:val="single" w:color="auto" w:sz="4" w:space="0"/>
              <w:right w:val="single" w:color="auto" w:sz="4" w:space="0"/>
            </w:tcBorders>
            <w:vAlign w:val="center"/>
          </w:tcPr>
          <w:p w14:paraId="76416B56">
            <w:pPr>
              <w:tabs>
                <w:tab w:val="left" w:pos="995"/>
              </w:tabs>
              <w:adjustRightInd w:val="0"/>
              <w:jc w:val="center"/>
              <w:rPr>
                <w:kern w:val="0"/>
                <w:sz w:val="18"/>
                <w:szCs w:val="18"/>
              </w:rPr>
            </w:pPr>
          </w:p>
        </w:tc>
        <w:tc>
          <w:tcPr>
            <w:tcW w:w="1105" w:type="dxa"/>
            <w:vMerge w:val="continue"/>
            <w:tcBorders>
              <w:top w:val="single" w:color="auto" w:sz="4" w:space="0"/>
              <w:left w:val="single" w:color="auto" w:sz="4" w:space="0"/>
              <w:bottom w:val="single" w:color="auto" w:sz="4" w:space="0"/>
              <w:right w:val="single" w:color="auto" w:sz="4" w:space="0"/>
            </w:tcBorders>
            <w:vAlign w:val="center"/>
          </w:tcPr>
          <w:p w14:paraId="46BFBA0D">
            <w:pPr>
              <w:tabs>
                <w:tab w:val="left" w:pos="995"/>
              </w:tabs>
              <w:adjustRightInd w:val="0"/>
              <w:jc w:val="center"/>
              <w:rPr>
                <w:kern w:val="0"/>
                <w:sz w:val="18"/>
                <w:szCs w:val="18"/>
              </w:rPr>
            </w:pPr>
          </w:p>
        </w:tc>
        <w:tc>
          <w:tcPr>
            <w:tcW w:w="1102" w:type="dxa"/>
            <w:vMerge w:val="continue"/>
            <w:tcBorders>
              <w:top w:val="single" w:color="auto" w:sz="4" w:space="0"/>
              <w:left w:val="single" w:color="auto" w:sz="4" w:space="0"/>
              <w:bottom w:val="single" w:color="auto" w:sz="4" w:space="0"/>
              <w:right w:val="single" w:color="auto" w:sz="4" w:space="0"/>
            </w:tcBorders>
            <w:vAlign w:val="center"/>
          </w:tcPr>
          <w:p w14:paraId="44516FA5">
            <w:pPr>
              <w:tabs>
                <w:tab w:val="left" w:pos="995"/>
              </w:tabs>
              <w:adjustRightInd w:val="0"/>
              <w:jc w:val="center"/>
              <w:rPr>
                <w:kern w:val="0"/>
                <w:sz w:val="18"/>
                <w:szCs w:val="18"/>
              </w:rPr>
            </w:pPr>
          </w:p>
        </w:tc>
        <w:tc>
          <w:tcPr>
            <w:tcW w:w="1343" w:type="dxa"/>
            <w:vMerge w:val="continue"/>
            <w:tcBorders>
              <w:top w:val="single" w:color="auto" w:sz="4" w:space="0"/>
              <w:left w:val="single" w:color="auto" w:sz="4" w:space="0"/>
              <w:bottom w:val="single" w:color="auto" w:sz="4" w:space="0"/>
              <w:right w:val="single" w:color="auto" w:sz="4" w:space="0"/>
            </w:tcBorders>
            <w:vAlign w:val="center"/>
          </w:tcPr>
          <w:p w14:paraId="0334EE81">
            <w:pPr>
              <w:tabs>
                <w:tab w:val="left" w:pos="995"/>
              </w:tabs>
              <w:adjustRightInd w:val="0"/>
              <w:jc w:val="center"/>
              <w:rPr>
                <w:kern w:val="0"/>
                <w:sz w:val="18"/>
                <w:szCs w:val="18"/>
              </w:rPr>
            </w:pPr>
          </w:p>
        </w:tc>
        <w:tc>
          <w:tcPr>
            <w:tcW w:w="1546" w:type="dxa"/>
            <w:vMerge w:val="continue"/>
            <w:tcBorders>
              <w:top w:val="single" w:color="auto" w:sz="4" w:space="0"/>
              <w:left w:val="single" w:color="auto" w:sz="4" w:space="0"/>
              <w:bottom w:val="single" w:color="auto" w:sz="4" w:space="0"/>
              <w:right w:val="single" w:color="auto" w:sz="4" w:space="0"/>
            </w:tcBorders>
            <w:vAlign w:val="center"/>
          </w:tcPr>
          <w:p w14:paraId="20AE6B02">
            <w:pPr>
              <w:tabs>
                <w:tab w:val="left" w:pos="995"/>
              </w:tabs>
              <w:adjustRightInd w:val="0"/>
              <w:jc w:val="center"/>
              <w:rPr>
                <w:kern w:val="0"/>
                <w:sz w:val="18"/>
                <w:szCs w:val="18"/>
              </w:rPr>
            </w:pPr>
          </w:p>
        </w:tc>
        <w:tc>
          <w:tcPr>
            <w:tcW w:w="1041" w:type="dxa"/>
            <w:vMerge w:val="continue"/>
            <w:tcBorders>
              <w:top w:val="single" w:color="auto" w:sz="4" w:space="0"/>
              <w:left w:val="single" w:color="auto" w:sz="4" w:space="0"/>
              <w:bottom w:val="single" w:color="auto" w:sz="4" w:space="0"/>
              <w:right w:val="single" w:color="auto" w:sz="4" w:space="0"/>
            </w:tcBorders>
            <w:vAlign w:val="center"/>
          </w:tcPr>
          <w:p w14:paraId="5E4C02A5">
            <w:pPr>
              <w:tabs>
                <w:tab w:val="left" w:pos="995"/>
              </w:tabs>
              <w:adjustRightInd w:val="0"/>
              <w:jc w:val="center"/>
              <w:rPr>
                <w:kern w:val="0"/>
                <w:sz w:val="18"/>
                <w:szCs w:val="18"/>
              </w:rPr>
            </w:pPr>
          </w:p>
        </w:tc>
      </w:tr>
      <w:tr w14:paraId="2A2F50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93" w:type="dxa"/>
            <w:vMerge w:val="continue"/>
            <w:tcBorders>
              <w:top w:val="single" w:color="auto" w:sz="4" w:space="0"/>
              <w:left w:val="single" w:color="auto" w:sz="4" w:space="0"/>
              <w:bottom w:val="single" w:color="auto" w:sz="4" w:space="0"/>
              <w:right w:val="single" w:color="auto" w:sz="4" w:space="0"/>
            </w:tcBorders>
            <w:vAlign w:val="center"/>
          </w:tcPr>
          <w:p w14:paraId="32884F49">
            <w:pPr>
              <w:pStyle w:val="64"/>
              <w:rPr>
                <w:lang w:bidi="ar"/>
              </w:rPr>
            </w:pPr>
          </w:p>
        </w:tc>
        <w:tc>
          <w:tcPr>
            <w:tcW w:w="1275" w:type="dxa"/>
            <w:vMerge w:val="continue"/>
            <w:tcBorders>
              <w:top w:val="single" w:color="auto" w:sz="4" w:space="0"/>
              <w:left w:val="single" w:color="auto" w:sz="4" w:space="0"/>
              <w:bottom w:val="single" w:color="auto" w:sz="4" w:space="0"/>
              <w:right w:val="single" w:color="auto" w:sz="4" w:space="0"/>
            </w:tcBorders>
            <w:vAlign w:val="center"/>
          </w:tcPr>
          <w:p w14:paraId="325663F6">
            <w:pPr>
              <w:pStyle w:val="64"/>
            </w:pPr>
          </w:p>
        </w:tc>
        <w:tc>
          <w:tcPr>
            <w:tcW w:w="851" w:type="dxa"/>
            <w:vMerge w:val="continue"/>
            <w:tcBorders>
              <w:top w:val="single" w:color="auto" w:sz="4" w:space="0"/>
              <w:left w:val="single" w:color="auto" w:sz="4" w:space="0"/>
              <w:bottom w:val="single" w:color="auto" w:sz="4" w:space="0"/>
              <w:right w:val="single" w:color="auto" w:sz="4" w:space="0"/>
            </w:tcBorders>
            <w:vAlign w:val="center"/>
          </w:tcPr>
          <w:p w14:paraId="37458FF0">
            <w:pPr>
              <w:pStyle w:val="64"/>
            </w:pPr>
          </w:p>
        </w:tc>
        <w:tc>
          <w:tcPr>
            <w:tcW w:w="1407" w:type="dxa"/>
            <w:tcBorders>
              <w:top w:val="single" w:color="auto" w:sz="4" w:space="0"/>
              <w:left w:val="single" w:color="auto" w:sz="4" w:space="0"/>
              <w:bottom w:val="single" w:color="auto" w:sz="4" w:space="0"/>
            </w:tcBorders>
            <w:vAlign w:val="center"/>
          </w:tcPr>
          <w:p w14:paraId="02AFAD2D">
            <w:pPr>
              <w:pStyle w:val="64"/>
              <w:rPr>
                <w:bCs/>
                <w:lang w:bidi="ar"/>
              </w:rPr>
            </w:pPr>
            <w:r>
              <w:rPr>
                <w:rFonts w:hint="eastAsia"/>
                <w:bCs/>
                <w:lang w:bidi="ar"/>
              </w:rPr>
              <w:t>硫酸</w:t>
            </w:r>
          </w:p>
        </w:tc>
        <w:tc>
          <w:tcPr>
            <w:tcW w:w="1100" w:type="dxa"/>
            <w:tcBorders>
              <w:top w:val="single" w:color="auto" w:sz="4" w:space="0"/>
              <w:bottom w:val="single" w:color="auto" w:sz="4" w:space="0"/>
            </w:tcBorders>
            <w:vAlign w:val="center"/>
          </w:tcPr>
          <w:p w14:paraId="289359A9">
            <w:pPr>
              <w:pStyle w:val="64"/>
              <w:rPr>
                <w:lang w:bidi="ar"/>
              </w:rPr>
            </w:pPr>
            <w:r>
              <w:rPr>
                <w:lang w:bidi="ar"/>
              </w:rPr>
              <w:t>0.0</w:t>
            </w:r>
            <w:r>
              <w:rPr>
                <w:rFonts w:hint="eastAsia"/>
                <w:lang w:bidi="ar"/>
              </w:rPr>
              <w:t>0</w:t>
            </w:r>
            <w:r>
              <w:rPr>
                <w:lang w:bidi="ar"/>
              </w:rPr>
              <w:t>26</w:t>
            </w:r>
          </w:p>
        </w:tc>
        <w:tc>
          <w:tcPr>
            <w:tcW w:w="991" w:type="dxa"/>
            <w:tcBorders>
              <w:top w:val="single" w:color="auto" w:sz="4" w:space="0"/>
              <w:bottom w:val="single" w:color="auto" w:sz="4" w:space="0"/>
              <w:right w:val="single" w:color="auto" w:sz="4" w:space="0"/>
            </w:tcBorders>
            <w:vAlign w:val="center"/>
          </w:tcPr>
          <w:p w14:paraId="37E378B9">
            <w:pPr>
              <w:pStyle w:val="64"/>
              <w:rPr>
                <w:lang w:bidi="ar"/>
              </w:rPr>
            </w:pPr>
            <w:r>
              <w:rPr>
                <w:rFonts w:hint="eastAsia"/>
                <w:lang w:bidi="ar"/>
              </w:rPr>
              <w:t>0</w:t>
            </w:r>
            <w:r>
              <w:rPr>
                <w:lang w:bidi="ar"/>
              </w:rPr>
              <w:t>.0036</w:t>
            </w:r>
          </w:p>
        </w:tc>
        <w:tc>
          <w:tcPr>
            <w:tcW w:w="1248" w:type="dxa"/>
            <w:vMerge w:val="continue"/>
            <w:tcBorders>
              <w:top w:val="single" w:color="auto" w:sz="4" w:space="0"/>
              <w:left w:val="single" w:color="auto" w:sz="4" w:space="0"/>
              <w:bottom w:val="single" w:color="auto" w:sz="4" w:space="0"/>
              <w:right w:val="single" w:color="auto" w:sz="4" w:space="0"/>
            </w:tcBorders>
            <w:vAlign w:val="center"/>
          </w:tcPr>
          <w:p w14:paraId="2C9B10E6">
            <w:pPr>
              <w:tabs>
                <w:tab w:val="left" w:pos="995"/>
              </w:tabs>
              <w:adjustRightInd w:val="0"/>
              <w:jc w:val="center"/>
              <w:rPr>
                <w:kern w:val="0"/>
                <w:sz w:val="18"/>
                <w:szCs w:val="18"/>
              </w:rPr>
            </w:pPr>
          </w:p>
        </w:tc>
        <w:tc>
          <w:tcPr>
            <w:tcW w:w="1105" w:type="dxa"/>
            <w:vMerge w:val="continue"/>
            <w:tcBorders>
              <w:top w:val="single" w:color="auto" w:sz="4" w:space="0"/>
              <w:left w:val="single" w:color="auto" w:sz="4" w:space="0"/>
              <w:bottom w:val="single" w:color="auto" w:sz="4" w:space="0"/>
              <w:right w:val="single" w:color="auto" w:sz="4" w:space="0"/>
            </w:tcBorders>
            <w:vAlign w:val="center"/>
          </w:tcPr>
          <w:p w14:paraId="53E40A2A">
            <w:pPr>
              <w:tabs>
                <w:tab w:val="left" w:pos="995"/>
              </w:tabs>
              <w:adjustRightInd w:val="0"/>
              <w:jc w:val="center"/>
              <w:rPr>
                <w:kern w:val="0"/>
                <w:sz w:val="18"/>
                <w:szCs w:val="18"/>
              </w:rPr>
            </w:pPr>
          </w:p>
        </w:tc>
        <w:tc>
          <w:tcPr>
            <w:tcW w:w="1102" w:type="dxa"/>
            <w:vMerge w:val="continue"/>
            <w:tcBorders>
              <w:top w:val="single" w:color="auto" w:sz="4" w:space="0"/>
              <w:left w:val="single" w:color="auto" w:sz="4" w:space="0"/>
              <w:bottom w:val="single" w:color="auto" w:sz="4" w:space="0"/>
              <w:right w:val="single" w:color="auto" w:sz="4" w:space="0"/>
            </w:tcBorders>
            <w:vAlign w:val="center"/>
          </w:tcPr>
          <w:p w14:paraId="6E66D974">
            <w:pPr>
              <w:tabs>
                <w:tab w:val="left" w:pos="995"/>
              </w:tabs>
              <w:adjustRightInd w:val="0"/>
              <w:jc w:val="center"/>
              <w:rPr>
                <w:kern w:val="0"/>
                <w:sz w:val="18"/>
                <w:szCs w:val="18"/>
              </w:rPr>
            </w:pPr>
          </w:p>
        </w:tc>
        <w:tc>
          <w:tcPr>
            <w:tcW w:w="1343" w:type="dxa"/>
            <w:vMerge w:val="continue"/>
            <w:tcBorders>
              <w:top w:val="single" w:color="auto" w:sz="4" w:space="0"/>
              <w:left w:val="single" w:color="auto" w:sz="4" w:space="0"/>
              <w:bottom w:val="single" w:color="auto" w:sz="4" w:space="0"/>
              <w:right w:val="single" w:color="auto" w:sz="4" w:space="0"/>
            </w:tcBorders>
            <w:vAlign w:val="center"/>
          </w:tcPr>
          <w:p w14:paraId="7AB11C11">
            <w:pPr>
              <w:tabs>
                <w:tab w:val="left" w:pos="995"/>
              </w:tabs>
              <w:adjustRightInd w:val="0"/>
              <w:jc w:val="center"/>
              <w:rPr>
                <w:kern w:val="0"/>
                <w:sz w:val="18"/>
                <w:szCs w:val="18"/>
              </w:rPr>
            </w:pPr>
          </w:p>
        </w:tc>
        <w:tc>
          <w:tcPr>
            <w:tcW w:w="1546" w:type="dxa"/>
            <w:vMerge w:val="continue"/>
            <w:tcBorders>
              <w:top w:val="single" w:color="auto" w:sz="4" w:space="0"/>
              <w:left w:val="single" w:color="auto" w:sz="4" w:space="0"/>
              <w:bottom w:val="single" w:color="auto" w:sz="4" w:space="0"/>
              <w:right w:val="single" w:color="auto" w:sz="4" w:space="0"/>
            </w:tcBorders>
            <w:vAlign w:val="center"/>
          </w:tcPr>
          <w:p w14:paraId="778EABC9">
            <w:pPr>
              <w:tabs>
                <w:tab w:val="left" w:pos="995"/>
              </w:tabs>
              <w:adjustRightInd w:val="0"/>
              <w:jc w:val="center"/>
              <w:rPr>
                <w:kern w:val="0"/>
                <w:sz w:val="18"/>
                <w:szCs w:val="18"/>
              </w:rPr>
            </w:pPr>
          </w:p>
        </w:tc>
        <w:tc>
          <w:tcPr>
            <w:tcW w:w="1041" w:type="dxa"/>
            <w:vMerge w:val="continue"/>
            <w:tcBorders>
              <w:top w:val="single" w:color="auto" w:sz="4" w:space="0"/>
              <w:left w:val="single" w:color="auto" w:sz="4" w:space="0"/>
              <w:bottom w:val="single" w:color="auto" w:sz="4" w:space="0"/>
              <w:right w:val="single" w:color="auto" w:sz="4" w:space="0"/>
            </w:tcBorders>
            <w:vAlign w:val="center"/>
          </w:tcPr>
          <w:p w14:paraId="376148B6">
            <w:pPr>
              <w:tabs>
                <w:tab w:val="left" w:pos="995"/>
              </w:tabs>
              <w:adjustRightInd w:val="0"/>
              <w:jc w:val="center"/>
              <w:rPr>
                <w:kern w:val="0"/>
                <w:sz w:val="18"/>
                <w:szCs w:val="18"/>
              </w:rPr>
            </w:pPr>
          </w:p>
        </w:tc>
      </w:tr>
    </w:tbl>
    <w:p w14:paraId="742A4530">
      <w:pPr>
        <w:pStyle w:val="28"/>
        <w:rPr>
          <w:rFonts w:hint="eastAsia"/>
        </w:rPr>
      </w:pPr>
    </w:p>
    <w:p w14:paraId="14AD40FF">
      <w:pPr>
        <w:pStyle w:val="28"/>
        <w:rPr>
          <w:rFonts w:hint="eastAsia" w:cs="Arial"/>
        </w:rPr>
      </w:pPr>
      <w:r>
        <w:rPr>
          <w:rFonts w:hint="eastAsia"/>
        </w:rPr>
        <w:t>表</w:t>
      </w:r>
      <w:r>
        <w:rPr>
          <w:rFonts w:hint="eastAsia" w:cs="Arial" w:eastAsiaTheme="minorEastAsia"/>
        </w:rPr>
        <w:t>6</w:t>
      </w:r>
      <w:r>
        <w:rPr>
          <w:rFonts w:hint="eastAsia" w:eastAsia="Times New Roman" w:cs="Arial"/>
        </w:rPr>
        <w:t>.2-1</w:t>
      </w:r>
      <w:r>
        <w:rPr>
          <w:rFonts w:hint="eastAsia" w:cs="Arial" w:eastAsiaTheme="minorEastAsia"/>
        </w:rPr>
        <w:t>1</w:t>
      </w:r>
      <w:r>
        <w:rPr>
          <w:rFonts w:hint="eastAsia" w:eastAsia="Times New Roman" w:cs="Arial"/>
        </w:rPr>
        <w:t xml:space="preserve">  </w:t>
      </w:r>
      <w:r>
        <w:rPr>
          <w:rFonts w:hint="eastAsia"/>
        </w:rPr>
        <w:t>本项目非正常工况废气排放情况一览表</w:t>
      </w:r>
    </w:p>
    <w:tbl>
      <w:tblPr>
        <w:tblStyle w:val="36"/>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00"/>
        <w:gridCol w:w="1009"/>
        <w:gridCol w:w="864"/>
        <w:gridCol w:w="1583"/>
        <w:gridCol w:w="1154"/>
        <w:gridCol w:w="1151"/>
        <w:gridCol w:w="1026"/>
        <w:gridCol w:w="1137"/>
        <w:gridCol w:w="1293"/>
        <w:gridCol w:w="1586"/>
        <w:gridCol w:w="1109"/>
      </w:tblGrid>
      <w:tr w14:paraId="302EC1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09" w:type="pct"/>
            <w:vMerge w:val="restart"/>
            <w:vAlign w:val="center"/>
          </w:tcPr>
          <w:p w14:paraId="55A3222B">
            <w:pPr>
              <w:pStyle w:val="64"/>
              <w:rPr>
                <w:rFonts w:cs="Times New Roman"/>
              </w:rPr>
            </w:pPr>
            <w:r>
              <w:rPr>
                <w:rFonts w:cs="Times New Roman"/>
              </w:rPr>
              <w:t>点源编号</w:t>
            </w:r>
          </w:p>
        </w:tc>
        <w:tc>
          <w:tcPr>
            <w:tcW w:w="355" w:type="pct"/>
            <w:vMerge w:val="restart"/>
            <w:vAlign w:val="center"/>
          </w:tcPr>
          <w:p w14:paraId="6E62B9EA">
            <w:pPr>
              <w:pStyle w:val="64"/>
              <w:rPr>
                <w:rFonts w:cs="Times New Roman"/>
              </w:rPr>
            </w:pPr>
            <w:r>
              <w:rPr>
                <w:rFonts w:cs="Times New Roman"/>
              </w:rPr>
              <w:t>X</w:t>
            </w:r>
          </w:p>
        </w:tc>
        <w:tc>
          <w:tcPr>
            <w:tcW w:w="304" w:type="pct"/>
            <w:vMerge w:val="restart"/>
            <w:vAlign w:val="center"/>
          </w:tcPr>
          <w:p w14:paraId="5C832E3B">
            <w:pPr>
              <w:pStyle w:val="64"/>
              <w:rPr>
                <w:rFonts w:cs="Times New Roman"/>
              </w:rPr>
            </w:pPr>
            <w:r>
              <w:rPr>
                <w:rFonts w:cs="Times New Roman"/>
              </w:rPr>
              <w:t>Y</w:t>
            </w:r>
          </w:p>
        </w:tc>
        <w:tc>
          <w:tcPr>
            <w:tcW w:w="557" w:type="pct"/>
            <w:vMerge w:val="restart"/>
            <w:vAlign w:val="center"/>
          </w:tcPr>
          <w:p w14:paraId="2F9180C0">
            <w:pPr>
              <w:pStyle w:val="64"/>
              <w:rPr>
                <w:rFonts w:cs="Times New Roman"/>
              </w:rPr>
            </w:pPr>
            <w:r>
              <w:rPr>
                <w:rFonts w:cs="Times New Roman"/>
              </w:rPr>
              <w:t>排气筒底部海拔高度</w:t>
            </w:r>
            <w:r>
              <w:rPr>
                <w:rFonts w:hint="eastAsia" w:cs="Times New Roman"/>
              </w:rPr>
              <w:t>/</w:t>
            </w:r>
            <w:r>
              <w:rPr>
                <w:rFonts w:cs="Times New Roman"/>
              </w:rPr>
              <w:t>m</w:t>
            </w:r>
          </w:p>
        </w:tc>
        <w:tc>
          <w:tcPr>
            <w:tcW w:w="406" w:type="pct"/>
            <w:vMerge w:val="restart"/>
            <w:vAlign w:val="center"/>
          </w:tcPr>
          <w:p w14:paraId="7C050E21">
            <w:pPr>
              <w:pStyle w:val="64"/>
              <w:rPr>
                <w:rFonts w:cs="Times New Roman"/>
              </w:rPr>
            </w:pPr>
            <w:r>
              <w:rPr>
                <w:rFonts w:cs="Times New Roman"/>
              </w:rPr>
              <w:t>排气筒高度</w:t>
            </w:r>
            <w:r>
              <w:rPr>
                <w:rFonts w:hint="eastAsia" w:cs="Times New Roman"/>
              </w:rPr>
              <w:t>/</w:t>
            </w:r>
            <w:r>
              <w:rPr>
                <w:rFonts w:cs="Times New Roman"/>
              </w:rPr>
              <w:t>m</w:t>
            </w:r>
          </w:p>
        </w:tc>
        <w:tc>
          <w:tcPr>
            <w:tcW w:w="405" w:type="pct"/>
            <w:vMerge w:val="restart"/>
            <w:vAlign w:val="center"/>
          </w:tcPr>
          <w:p w14:paraId="68FBF3A8">
            <w:pPr>
              <w:pStyle w:val="64"/>
              <w:rPr>
                <w:rFonts w:cs="Times New Roman"/>
              </w:rPr>
            </w:pPr>
            <w:r>
              <w:rPr>
                <w:rFonts w:cs="Times New Roman"/>
              </w:rPr>
              <w:t>排气筒内径</w:t>
            </w:r>
            <w:r>
              <w:rPr>
                <w:rFonts w:hint="eastAsia" w:cs="Times New Roman"/>
              </w:rPr>
              <w:t>/</w:t>
            </w:r>
            <w:r>
              <w:rPr>
                <w:rFonts w:cs="Times New Roman"/>
              </w:rPr>
              <w:t>m</w:t>
            </w:r>
          </w:p>
        </w:tc>
        <w:tc>
          <w:tcPr>
            <w:tcW w:w="361" w:type="pct"/>
            <w:vMerge w:val="restart"/>
            <w:vAlign w:val="center"/>
          </w:tcPr>
          <w:p w14:paraId="24BF74FC">
            <w:pPr>
              <w:pStyle w:val="64"/>
              <w:rPr>
                <w:rFonts w:cs="Times New Roman"/>
              </w:rPr>
            </w:pPr>
            <w:r>
              <w:rPr>
                <w:rFonts w:hint="eastAsia" w:cs="Times New Roman"/>
                <w:szCs w:val="21"/>
              </w:rPr>
              <w:t>风量</w:t>
            </w:r>
            <w:r>
              <w:rPr>
                <w:rFonts w:cs="Times New Roman"/>
                <w:szCs w:val="21"/>
              </w:rPr>
              <w:t>/(m</w:t>
            </w:r>
            <w:r>
              <w:rPr>
                <w:rFonts w:hint="eastAsia" w:cs="Times New Roman"/>
                <w:szCs w:val="21"/>
                <w:vertAlign w:val="superscript"/>
              </w:rPr>
              <w:t>3</w:t>
            </w:r>
            <w:r>
              <w:rPr>
                <w:rFonts w:cs="Times New Roman"/>
                <w:szCs w:val="21"/>
              </w:rPr>
              <w:t>/</w:t>
            </w:r>
            <w:r>
              <w:rPr>
                <w:rFonts w:hint="eastAsia" w:cs="Times New Roman"/>
                <w:szCs w:val="21"/>
              </w:rPr>
              <w:t>h</w:t>
            </w:r>
            <w:r>
              <w:rPr>
                <w:rFonts w:cs="Times New Roman"/>
                <w:szCs w:val="21"/>
              </w:rPr>
              <w:t>)</w:t>
            </w:r>
          </w:p>
        </w:tc>
        <w:tc>
          <w:tcPr>
            <w:tcW w:w="400" w:type="pct"/>
            <w:vMerge w:val="restart"/>
            <w:vAlign w:val="center"/>
          </w:tcPr>
          <w:p w14:paraId="5FF7B22D">
            <w:pPr>
              <w:pStyle w:val="64"/>
              <w:rPr>
                <w:rFonts w:cs="Times New Roman"/>
              </w:rPr>
            </w:pPr>
            <w:r>
              <w:rPr>
                <w:rFonts w:cs="Times New Roman"/>
              </w:rPr>
              <w:t>烟气出口温度℃</w:t>
            </w:r>
          </w:p>
        </w:tc>
        <w:tc>
          <w:tcPr>
            <w:tcW w:w="455" w:type="pct"/>
            <w:vMerge w:val="restart"/>
            <w:vAlign w:val="center"/>
          </w:tcPr>
          <w:p w14:paraId="3C7B3EE4">
            <w:pPr>
              <w:pStyle w:val="64"/>
              <w:rPr>
                <w:rFonts w:cs="Times New Roman"/>
              </w:rPr>
            </w:pPr>
            <w:r>
              <w:rPr>
                <w:rFonts w:cs="Times New Roman"/>
              </w:rPr>
              <w:t>排放工况</w:t>
            </w:r>
          </w:p>
        </w:tc>
        <w:tc>
          <w:tcPr>
            <w:tcW w:w="948" w:type="pct"/>
            <w:gridSpan w:val="2"/>
            <w:vAlign w:val="center"/>
          </w:tcPr>
          <w:p w14:paraId="5F2882CC">
            <w:pPr>
              <w:pStyle w:val="64"/>
              <w:rPr>
                <w:rFonts w:cs="Times New Roman"/>
              </w:rPr>
            </w:pPr>
            <w:r>
              <w:rPr>
                <w:rFonts w:cs="Times New Roman"/>
              </w:rPr>
              <w:t>评价因子</w:t>
            </w:r>
          </w:p>
        </w:tc>
      </w:tr>
      <w:tr w14:paraId="7BE66A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09" w:type="pct"/>
            <w:vMerge w:val="continue"/>
            <w:vAlign w:val="center"/>
          </w:tcPr>
          <w:p w14:paraId="0CBD3D9F">
            <w:pPr>
              <w:pStyle w:val="64"/>
              <w:rPr>
                <w:rFonts w:cs="Times New Roman"/>
              </w:rPr>
            </w:pPr>
          </w:p>
        </w:tc>
        <w:tc>
          <w:tcPr>
            <w:tcW w:w="355" w:type="pct"/>
            <w:vMerge w:val="continue"/>
            <w:vAlign w:val="center"/>
          </w:tcPr>
          <w:p w14:paraId="52F1A3A6">
            <w:pPr>
              <w:pStyle w:val="64"/>
              <w:rPr>
                <w:rFonts w:cs="Times New Roman"/>
              </w:rPr>
            </w:pPr>
          </w:p>
        </w:tc>
        <w:tc>
          <w:tcPr>
            <w:tcW w:w="304" w:type="pct"/>
            <w:vMerge w:val="continue"/>
            <w:vAlign w:val="center"/>
          </w:tcPr>
          <w:p w14:paraId="1B1FFB90">
            <w:pPr>
              <w:pStyle w:val="64"/>
              <w:rPr>
                <w:rFonts w:cs="Times New Roman"/>
              </w:rPr>
            </w:pPr>
          </w:p>
        </w:tc>
        <w:tc>
          <w:tcPr>
            <w:tcW w:w="557" w:type="pct"/>
            <w:vMerge w:val="continue"/>
            <w:vAlign w:val="center"/>
          </w:tcPr>
          <w:p w14:paraId="35027823">
            <w:pPr>
              <w:pStyle w:val="64"/>
              <w:rPr>
                <w:rFonts w:cs="Times New Roman"/>
              </w:rPr>
            </w:pPr>
          </w:p>
        </w:tc>
        <w:tc>
          <w:tcPr>
            <w:tcW w:w="406" w:type="pct"/>
            <w:vMerge w:val="continue"/>
            <w:vAlign w:val="center"/>
          </w:tcPr>
          <w:p w14:paraId="3AC7B2BA">
            <w:pPr>
              <w:pStyle w:val="64"/>
              <w:rPr>
                <w:rFonts w:cs="Times New Roman"/>
              </w:rPr>
            </w:pPr>
          </w:p>
        </w:tc>
        <w:tc>
          <w:tcPr>
            <w:tcW w:w="405" w:type="pct"/>
            <w:vMerge w:val="continue"/>
            <w:vAlign w:val="center"/>
          </w:tcPr>
          <w:p w14:paraId="1A206583">
            <w:pPr>
              <w:pStyle w:val="64"/>
              <w:rPr>
                <w:rFonts w:cs="Times New Roman"/>
              </w:rPr>
            </w:pPr>
          </w:p>
        </w:tc>
        <w:tc>
          <w:tcPr>
            <w:tcW w:w="361" w:type="pct"/>
            <w:vMerge w:val="continue"/>
            <w:vAlign w:val="center"/>
          </w:tcPr>
          <w:p w14:paraId="67E30131">
            <w:pPr>
              <w:pStyle w:val="64"/>
              <w:rPr>
                <w:rFonts w:cs="Times New Roman"/>
              </w:rPr>
            </w:pPr>
          </w:p>
        </w:tc>
        <w:tc>
          <w:tcPr>
            <w:tcW w:w="400" w:type="pct"/>
            <w:vMerge w:val="continue"/>
            <w:vAlign w:val="center"/>
          </w:tcPr>
          <w:p w14:paraId="0AB1B442">
            <w:pPr>
              <w:pStyle w:val="64"/>
              <w:rPr>
                <w:rFonts w:cs="Times New Roman"/>
              </w:rPr>
            </w:pPr>
          </w:p>
        </w:tc>
        <w:tc>
          <w:tcPr>
            <w:tcW w:w="455" w:type="pct"/>
            <w:vMerge w:val="continue"/>
            <w:vAlign w:val="center"/>
          </w:tcPr>
          <w:p w14:paraId="5E5CFA54">
            <w:pPr>
              <w:pStyle w:val="64"/>
              <w:rPr>
                <w:rFonts w:cs="Times New Roman"/>
              </w:rPr>
            </w:pPr>
          </w:p>
        </w:tc>
        <w:tc>
          <w:tcPr>
            <w:tcW w:w="948" w:type="pct"/>
            <w:gridSpan w:val="2"/>
            <w:vAlign w:val="center"/>
          </w:tcPr>
          <w:p w14:paraId="2FFC44C1">
            <w:pPr>
              <w:pStyle w:val="64"/>
            </w:pPr>
            <w:r>
              <w:rPr>
                <w:rFonts w:cs="Times New Roman"/>
                <w:szCs w:val="21"/>
              </w:rPr>
              <w:t>污染物排放速率/(kg/h)</w:t>
            </w:r>
          </w:p>
        </w:tc>
      </w:tr>
      <w:tr w14:paraId="18DDDB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09" w:type="pct"/>
            <w:vMerge w:val="restart"/>
            <w:vAlign w:val="center"/>
          </w:tcPr>
          <w:p w14:paraId="519411D3">
            <w:pPr>
              <w:pStyle w:val="64"/>
              <w:rPr>
                <w:rFonts w:cs="Times New Roman"/>
              </w:rPr>
            </w:pPr>
            <w:r>
              <w:rPr>
                <w:rFonts w:hint="eastAsia" w:cs="Times New Roman"/>
                <w:szCs w:val="21"/>
              </w:rPr>
              <w:t>DA023(东区RTO废气排放口)</w:t>
            </w:r>
          </w:p>
        </w:tc>
        <w:tc>
          <w:tcPr>
            <w:tcW w:w="355" w:type="pct"/>
            <w:vMerge w:val="restart"/>
            <w:vAlign w:val="center"/>
          </w:tcPr>
          <w:p w14:paraId="387CA5F1">
            <w:pPr>
              <w:pStyle w:val="64"/>
              <w:rPr>
                <w:rFonts w:cs="Times New Roman"/>
              </w:rPr>
            </w:pPr>
            <w:r>
              <w:rPr>
                <w:rFonts w:hint="eastAsia" w:cs="Times New Roman"/>
                <w:szCs w:val="21"/>
              </w:rPr>
              <w:t>550</w:t>
            </w:r>
          </w:p>
        </w:tc>
        <w:tc>
          <w:tcPr>
            <w:tcW w:w="304" w:type="pct"/>
            <w:vMerge w:val="restart"/>
            <w:vAlign w:val="center"/>
          </w:tcPr>
          <w:p w14:paraId="20F6E3AC">
            <w:pPr>
              <w:pStyle w:val="64"/>
              <w:rPr>
                <w:rFonts w:cs="Times New Roman"/>
              </w:rPr>
            </w:pPr>
            <w:r>
              <w:rPr>
                <w:rFonts w:hint="eastAsia" w:cs="Times New Roman"/>
                <w:szCs w:val="21"/>
              </w:rPr>
              <w:t>17</w:t>
            </w:r>
          </w:p>
        </w:tc>
        <w:tc>
          <w:tcPr>
            <w:tcW w:w="557" w:type="pct"/>
            <w:vMerge w:val="restart"/>
            <w:vAlign w:val="center"/>
          </w:tcPr>
          <w:p w14:paraId="3A88FE26">
            <w:pPr>
              <w:pStyle w:val="64"/>
              <w:rPr>
                <w:rFonts w:cs="Times New Roman"/>
              </w:rPr>
            </w:pPr>
            <w:r>
              <w:rPr>
                <w:rFonts w:cs="Times New Roman"/>
              </w:rPr>
              <w:t>18</w:t>
            </w:r>
          </w:p>
        </w:tc>
        <w:tc>
          <w:tcPr>
            <w:tcW w:w="406" w:type="pct"/>
            <w:vMerge w:val="restart"/>
            <w:vAlign w:val="center"/>
          </w:tcPr>
          <w:p w14:paraId="348AC847">
            <w:pPr>
              <w:pStyle w:val="64"/>
              <w:rPr>
                <w:rFonts w:cs="Times New Roman"/>
              </w:rPr>
            </w:pPr>
            <w:r>
              <w:rPr>
                <w:rFonts w:cs="Times New Roman"/>
              </w:rPr>
              <w:t>2</w:t>
            </w:r>
            <w:r>
              <w:rPr>
                <w:rFonts w:hint="eastAsia" w:cs="Times New Roman"/>
              </w:rPr>
              <w:t>0</w:t>
            </w:r>
          </w:p>
        </w:tc>
        <w:tc>
          <w:tcPr>
            <w:tcW w:w="405" w:type="pct"/>
            <w:vMerge w:val="restart"/>
            <w:vAlign w:val="center"/>
          </w:tcPr>
          <w:p w14:paraId="4B3228C7">
            <w:pPr>
              <w:pStyle w:val="64"/>
              <w:rPr>
                <w:rFonts w:cs="Times New Roman"/>
              </w:rPr>
            </w:pPr>
            <w:r>
              <w:rPr>
                <w:rFonts w:hint="eastAsia" w:cs="Times New Roman"/>
              </w:rPr>
              <w:t>0.6</w:t>
            </w:r>
          </w:p>
        </w:tc>
        <w:tc>
          <w:tcPr>
            <w:tcW w:w="361" w:type="pct"/>
            <w:vMerge w:val="restart"/>
            <w:vAlign w:val="center"/>
          </w:tcPr>
          <w:p w14:paraId="5E534417">
            <w:pPr>
              <w:pStyle w:val="64"/>
              <w:rPr>
                <w:rFonts w:cs="Times New Roman"/>
              </w:rPr>
            </w:pPr>
            <w:r>
              <w:rPr>
                <w:rFonts w:hint="eastAsia" w:cs="Times New Roman"/>
                <w:szCs w:val="21"/>
              </w:rPr>
              <w:t>2000</w:t>
            </w:r>
          </w:p>
        </w:tc>
        <w:tc>
          <w:tcPr>
            <w:tcW w:w="400" w:type="pct"/>
            <w:vMerge w:val="restart"/>
            <w:vAlign w:val="center"/>
          </w:tcPr>
          <w:p w14:paraId="3B68127A">
            <w:pPr>
              <w:pStyle w:val="64"/>
              <w:rPr>
                <w:rFonts w:cs="Times New Roman"/>
              </w:rPr>
            </w:pPr>
            <w:r>
              <w:rPr>
                <w:rFonts w:hint="eastAsia" w:cs="Times New Roman"/>
              </w:rPr>
              <w:t>50</w:t>
            </w:r>
          </w:p>
        </w:tc>
        <w:tc>
          <w:tcPr>
            <w:tcW w:w="455" w:type="pct"/>
            <w:vMerge w:val="restart"/>
            <w:vAlign w:val="center"/>
          </w:tcPr>
          <w:p w14:paraId="2299B048">
            <w:pPr>
              <w:pStyle w:val="64"/>
              <w:rPr>
                <w:rFonts w:cs="Times New Roman"/>
              </w:rPr>
            </w:pPr>
            <w:r>
              <w:rPr>
                <w:rFonts w:cs="Times New Roman"/>
              </w:rPr>
              <w:t>非正常工况</w:t>
            </w:r>
          </w:p>
        </w:tc>
        <w:tc>
          <w:tcPr>
            <w:tcW w:w="558" w:type="pct"/>
            <w:vAlign w:val="center"/>
          </w:tcPr>
          <w:p w14:paraId="7D0C8B73">
            <w:pPr>
              <w:pStyle w:val="64"/>
              <w:rPr>
                <w:rFonts w:cs="Times New Roman"/>
              </w:rPr>
            </w:pPr>
            <w:r>
              <w:rPr>
                <w:rFonts w:cs="Times New Roman"/>
                <w:lang w:bidi="ar"/>
              </w:rPr>
              <w:t>非甲烷总烃</w:t>
            </w:r>
          </w:p>
        </w:tc>
        <w:tc>
          <w:tcPr>
            <w:tcW w:w="390" w:type="pct"/>
            <w:vAlign w:val="center"/>
          </w:tcPr>
          <w:p w14:paraId="654EBE0D">
            <w:pPr>
              <w:pStyle w:val="64"/>
            </w:pPr>
            <w:r>
              <w:rPr>
                <w:rFonts w:hint="eastAsia"/>
              </w:rPr>
              <w:t>0</w:t>
            </w:r>
            <w:r>
              <w:rPr>
                <w:bCs/>
              </w:rPr>
              <w:t>.</w:t>
            </w:r>
            <w:r>
              <w:rPr>
                <w:rFonts w:hint="eastAsia"/>
                <w:bCs/>
              </w:rPr>
              <w:t>95</w:t>
            </w:r>
          </w:p>
        </w:tc>
      </w:tr>
      <w:tr w14:paraId="78D15E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09" w:type="pct"/>
            <w:vMerge w:val="continue"/>
            <w:vAlign w:val="center"/>
          </w:tcPr>
          <w:p w14:paraId="123CA078">
            <w:pPr>
              <w:pStyle w:val="64"/>
              <w:rPr>
                <w:rFonts w:cs="Times New Roman"/>
              </w:rPr>
            </w:pPr>
          </w:p>
        </w:tc>
        <w:tc>
          <w:tcPr>
            <w:tcW w:w="355" w:type="pct"/>
            <w:vMerge w:val="continue"/>
            <w:vAlign w:val="center"/>
          </w:tcPr>
          <w:p w14:paraId="3AE4D2D1">
            <w:pPr>
              <w:pStyle w:val="64"/>
              <w:rPr>
                <w:rFonts w:cs="Times New Roman"/>
              </w:rPr>
            </w:pPr>
          </w:p>
        </w:tc>
        <w:tc>
          <w:tcPr>
            <w:tcW w:w="304" w:type="pct"/>
            <w:vMerge w:val="continue"/>
            <w:vAlign w:val="center"/>
          </w:tcPr>
          <w:p w14:paraId="777870BE">
            <w:pPr>
              <w:pStyle w:val="64"/>
              <w:rPr>
                <w:rFonts w:cs="Times New Roman"/>
              </w:rPr>
            </w:pPr>
          </w:p>
        </w:tc>
        <w:tc>
          <w:tcPr>
            <w:tcW w:w="557" w:type="pct"/>
            <w:vMerge w:val="continue"/>
            <w:vAlign w:val="center"/>
          </w:tcPr>
          <w:p w14:paraId="628A1A8A">
            <w:pPr>
              <w:pStyle w:val="64"/>
              <w:rPr>
                <w:rFonts w:cs="Times New Roman"/>
              </w:rPr>
            </w:pPr>
          </w:p>
        </w:tc>
        <w:tc>
          <w:tcPr>
            <w:tcW w:w="406" w:type="pct"/>
            <w:vMerge w:val="continue"/>
            <w:vAlign w:val="center"/>
          </w:tcPr>
          <w:p w14:paraId="6729012A">
            <w:pPr>
              <w:pStyle w:val="64"/>
              <w:rPr>
                <w:rFonts w:cs="Times New Roman"/>
              </w:rPr>
            </w:pPr>
          </w:p>
        </w:tc>
        <w:tc>
          <w:tcPr>
            <w:tcW w:w="405" w:type="pct"/>
            <w:vMerge w:val="continue"/>
            <w:vAlign w:val="center"/>
          </w:tcPr>
          <w:p w14:paraId="2B1E8AB7">
            <w:pPr>
              <w:pStyle w:val="64"/>
              <w:rPr>
                <w:rFonts w:cs="Times New Roman"/>
              </w:rPr>
            </w:pPr>
          </w:p>
        </w:tc>
        <w:tc>
          <w:tcPr>
            <w:tcW w:w="361" w:type="pct"/>
            <w:vMerge w:val="continue"/>
            <w:vAlign w:val="center"/>
          </w:tcPr>
          <w:p w14:paraId="4DBC5BE2">
            <w:pPr>
              <w:pStyle w:val="64"/>
              <w:rPr>
                <w:rFonts w:cs="Times New Roman"/>
              </w:rPr>
            </w:pPr>
          </w:p>
        </w:tc>
        <w:tc>
          <w:tcPr>
            <w:tcW w:w="400" w:type="pct"/>
            <w:vMerge w:val="continue"/>
            <w:vAlign w:val="center"/>
          </w:tcPr>
          <w:p w14:paraId="4E1DB8EE">
            <w:pPr>
              <w:pStyle w:val="64"/>
              <w:rPr>
                <w:rFonts w:cs="Times New Roman"/>
              </w:rPr>
            </w:pPr>
          </w:p>
        </w:tc>
        <w:tc>
          <w:tcPr>
            <w:tcW w:w="455" w:type="pct"/>
            <w:vMerge w:val="continue"/>
            <w:vAlign w:val="center"/>
          </w:tcPr>
          <w:p w14:paraId="654C5568">
            <w:pPr>
              <w:pStyle w:val="64"/>
              <w:rPr>
                <w:rFonts w:cs="Times New Roman"/>
              </w:rPr>
            </w:pPr>
          </w:p>
        </w:tc>
        <w:tc>
          <w:tcPr>
            <w:tcW w:w="558" w:type="pct"/>
            <w:vAlign w:val="center"/>
          </w:tcPr>
          <w:p w14:paraId="3C75538B">
            <w:pPr>
              <w:pStyle w:val="64"/>
              <w:rPr>
                <w:rFonts w:cs="Times New Roman"/>
              </w:rPr>
            </w:pPr>
            <w:r>
              <w:rPr>
                <w:rFonts w:hint="eastAsia" w:cs="Times New Roman"/>
                <w:lang w:bidi="ar"/>
              </w:rPr>
              <w:t>酚类</w:t>
            </w:r>
          </w:p>
        </w:tc>
        <w:tc>
          <w:tcPr>
            <w:tcW w:w="390" w:type="pct"/>
            <w:vAlign w:val="center"/>
          </w:tcPr>
          <w:p w14:paraId="7C12D063">
            <w:pPr>
              <w:pStyle w:val="64"/>
              <w:rPr>
                <w:lang w:bidi="ar"/>
              </w:rPr>
            </w:pPr>
            <w:r>
              <w:rPr>
                <w:rFonts w:hint="eastAsia"/>
              </w:rPr>
              <w:t>0.80</w:t>
            </w:r>
          </w:p>
        </w:tc>
      </w:tr>
    </w:tbl>
    <w:p w14:paraId="13213E9E">
      <w:pPr>
        <w:pStyle w:val="82"/>
        <w:ind w:firstLine="0" w:firstLineChars="0"/>
        <w:rPr>
          <w:rFonts w:ascii="Times New Roman" w:hAnsi="Times New Roman" w:cs="Times New Roman"/>
          <w:color w:val="000000" w:themeColor="text1"/>
          <w14:textFill>
            <w14:solidFill>
              <w14:schemeClr w14:val="tx1"/>
            </w14:solidFill>
          </w14:textFill>
        </w:rPr>
      </w:pPr>
    </w:p>
    <w:p w14:paraId="7D6BE8F8">
      <w:pPr>
        <w:pStyle w:val="28"/>
        <w:rPr>
          <w:rFonts w:hint="eastAsia"/>
          <w:szCs w:val="22"/>
        </w:rPr>
      </w:pPr>
      <w:r>
        <w:rPr>
          <w:szCs w:val="22"/>
        </w:rPr>
        <w:t>表</w:t>
      </w:r>
      <w:r>
        <w:rPr>
          <w:rFonts w:hint="eastAsia"/>
          <w:szCs w:val="22"/>
        </w:rPr>
        <w:t xml:space="preserve">6.2-12 </w:t>
      </w:r>
      <w:r>
        <w:rPr>
          <w:szCs w:val="22"/>
        </w:rPr>
        <w:t xml:space="preserve"> </w:t>
      </w:r>
      <w:r>
        <w:rPr>
          <w:rFonts w:hint="eastAsia"/>
          <w:szCs w:val="22"/>
        </w:rPr>
        <w:t>拟被替代的</w:t>
      </w:r>
      <w:r>
        <w:rPr>
          <w:rFonts w:hint="eastAsia"/>
        </w:rPr>
        <w:t>有组织</w:t>
      </w:r>
      <w:r>
        <w:t>污染源参数一览表</w:t>
      </w:r>
    </w:p>
    <w:tbl>
      <w:tblPr>
        <w:tblStyle w:val="3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67"/>
        <w:gridCol w:w="1006"/>
        <w:gridCol w:w="1152"/>
        <w:gridCol w:w="1442"/>
        <w:gridCol w:w="1009"/>
        <w:gridCol w:w="1152"/>
        <w:gridCol w:w="1297"/>
        <w:gridCol w:w="1007"/>
        <w:gridCol w:w="1155"/>
        <w:gridCol w:w="719"/>
        <w:gridCol w:w="1297"/>
        <w:gridCol w:w="1115"/>
      </w:tblGrid>
      <w:tr w14:paraId="221C26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7" w:type="pct"/>
            <w:vMerge w:val="restart"/>
            <w:tcBorders>
              <w:top w:val="single" w:color="auto" w:sz="4" w:space="0"/>
              <w:left w:val="single" w:color="auto" w:sz="4" w:space="0"/>
              <w:right w:val="single" w:color="auto" w:sz="4" w:space="0"/>
            </w:tcBorders>
            <w:vAlign w:val="center"/>
          </w:tcPr>
          <w:p w14:paraId="2FD56D6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排气筒编号</w:t>
            </w:r>
          </w:p>
        </w:tc>
        <w:tc>
          <w:tcPr>
            <w:tcW w:w="759" w:type="pct"/>
            <w:gridSpan w:val="2"/>
            <w:tcBorders>
              <w:top w:val="single" w:color="auto" w:sz="4" w:space="0"/>
              <w:left w:val="single" w:color="auto" w:sz="4" w:space="0"/>
              <w:bottom w:val="single" w:color="auto" w:sz="4" w:space="0"/>
              <w:right w:val="single" w:color="auto" w:sz="4" w:space="0"/>
            </w:tcBorders>
            <w:vAlign w:val="center"/>
          </w:tcPr>
          <w:p w14:paraId="29D3C7D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排气筒底部中心坐标</w:t>
            </w:r>
          </w:p>
        </w:tc>
        <w:tc>
          <w:tcPr>
            <w:tcW w:w="507" w:type="pct"/>
            <w:vMerge w:val="restart"/>
            <w:tcBorders>
              <w:top w:val="single" w:color="auto" w:sz="4" w:space="0"/>
              <w:left w:val="single" w:color="auto" w:sz="4" w:space="0"/>
              <w:right w:val="single" w:color="auto" w:sz="4" w:space="0"/>
            </w:tcBorders>
            <w:vAlign w:val="center"/>
          </w:tcPr>
          <w:p w14:paraId="3CA6436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排气筒底海拔高度/m</w:t>
            </w:r>
          </w:p>
        </w:tc>
        <w:tc>
          <w:tcPr>
            <w:tcW w:w="355" w:type="pct"/>
            <w:vMerge w:val="restart"/>
            <w:tcBorders>
              <w:top w:val="single" w:color="auto" w:sz="4" w:space="0"/>
              <w:left w:val="single" w:color="auto" w:sz="4" w:space="0"/>
              <w:right w:val="single" w:color="auto" w:sz="4" w:space="0"/>
            </w:tcBorders>
            <w:vAlign w:val="center"/>
          </w:tcPr>
          <w:p w14:paraId="51744DA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排气筒高度/m</w:t>
            </w:r>
          </w:p>
        </w:tc>
        <w:tc>
          <w:tcPr>
            <w:tcW w:w="405" w:type="pct"/>
            <w:vMerge w:val="restart"/>
            <w:tcBorders>
              <w:top w:val="single" w:color="auto" w:sz="4" w:space="0"/>
              <w:left w:val="single" w:color="auto" w:sz="4" w:space="0"/>
              <w:right w:val="single" w:color="auto" w:sz="4" w:space="0"/>
            </w:tcBorders>
            <w:vAlign w:val="center"/>
          </w:tcPr>
          <w:p w14:paraId="75D5242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排气筒内径/m</w:t>
            </w:r>
          </w:p>
        </w:tc>
        <w:tc>
          <w:tcPr>
            <w:tcW w:w="456" w:type="pct"/>
            <w:vMerge w:val="restart"/>
            <w:tcBorders>
              <w:top w:val="single" w:color="auto" w:sz="4" w:space="0"/>
              <w:left w:val="single" w:color="auto" w:sz="4" w:space="0"/>
              <w:right w:val="single" w:color="auto" w:sz="4" w:space="0"/>
            </w:tcBorders>
            <w:vAlign w:val="center"/>
          </w:tcPr>
          <w:p w14:paraId="0CD9473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风量</w:t>
            </w:r>
            <w:r>
              <w:rPr>
                <w:rFonts w:ascii="Times New Roman" w:hAnsi="Times New Roman" w:cs="Times New Roman"/>
                <w:color w:val="000000" w:themeColor="text1"/>
                <w:sz w:val="21"/>
                <w:szCs w:val="21"/>
                <w14:textFill>
                  <w14:solidFill>
                    <w14:schemeClr w14:val="tx1"/>
                  </w14:solidFill>
                </w14:textFill>
              </w:rPr>
              <w:t>/(m</w:t>
            </w:r>
            <w:r>
              <w:rPr>
                <w:rFonts w:hint="eastAsia" w:ascii="Times New Roman" w:hAnsi="Times New Roman" w:cs="Times New Roman"/>
                <w:color w:val="000000" w:themeColor="text1"/>
                <w:sz w:val="21"/>
                <w:szCs w:val="21"/>
                <w:vertAlign w:val="superscript"/>
                <w14:textFill>
                  <w14:solidFill>
                    <w14:schemeClr w14:val="tx1"/>
                  </w14:solidFill>
                </w14:textFill>
              </w:rPr>
              <w:t>3</w:t>
            </w:r>
            <w:r>
              <w:rPr>
                <w:rFonts w:ascii="Times New Roman" w:hAnsi="Times New Roman" w:cs="Times New Roman"/>
                <w:color w:val="000000" w:themeColor="text1"/>
                <w:sz w:val="21"/>
                <w:szCs w:val="21"/>
                <w14:textFill>
                  <w14:solidFill>
                    <w14:schemeClr w14:val="tx1"/>
                  </w14:solidFill>
                </w14:textFill>
              </w:rPr>
              <w:t>/</w:t>
            </w:r>
            <w:r>
              <w:rPr>
                <w:rFonts w:hint="eastAsia" w:ascii="Times New Roman" w:hAnsi="Times New Roman" w:cs="Times New Roman"/>
                <w:color w:val="000000" w:themeColor="text1"/>
                <w:sz w:val="21"/>
                <w:szCs w:val="21"/>
                <w14:textFill>
                  <w14:solidFill>
                    <w14:schemeClr w14:val="tx1"/>
                  </w14:solidFill>
                </w14:textFill>
              </w:rPr>
              <w:t>h</w:t>
            </w:r>
            <w:r>
              <w:rPr>
                <w:rFonts w:ascii="Times New Roman" w:hAnsi="Times New Roman" w:cs="Times New Roman"/>
                <w:color w:val="000000" w:themeColor="text1"/>
                <w:sz w:val="21"/>
                <w:szCs w:val="21"/>
                <w14:textFill>
                  <w14:solidFill>
                    <w14:schemeClr w14:val="tx1"/>
                  </w14:solidFill>
                </w14:textFill>
              </w:rPr>
              <w:t>)</w:t>
            </w:r>
          </w:p>
        </w:tc>
        <w:tc>
          <w:tcPr>
            <w:tcW w:w="354" w:type="pct"/>
            <w:vMerge w:val="restart"/>
            <w:tcBorders>
              <w:top w:val="single" w:color="auto" w:sz="4" w:space="0"/>
              <w:left w:val="single" w:color="auto" w:sz="4" w:space="0"/>
              <w:right w:val="single" w:color="auto" w:sz="4" w:space="0"/>
            </w:tcBorders>
            <w:vAlign w:val="center"/>
          </w:tcPr>
          <w:p w14:paraId="068CAD8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烟气温度/℃</w:t>
            </w:r>
          </w:p>
        </w:tc>
        <w:tc>
          <w:tcPr>
            <w:tcW w:w="406" w:type="pct"/>
            <w:vMerge w:val="restart"/>
            <w:tcBorders>
              <w:top w:val="single" w:color="auto" w:sz="4" w:space="0"/>
              <w:left w:val="single" w:color="auto" w:sz="4" w:space="0"/>
              <w:right w:val="single" w:color="auto" w:sz="4" w:space="0"/>
            </w:tcBorders>
            <w:vAlign w:val="center"/>
          </w:tcPr>
          <w:p w14:paraId="5DE979D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年排放小时数/h</w:t>
            </w:r>
          </w:p>
        </w:tc>
        <w:tc>
          <w:tcPr>
            <w:tcW w:w="253" w:type="pct"/>
            <w:vMerge w:val="restart"/>
            <w:tcBorders>
              <w:top w:val="single" w:color="auto" w:sz="4" w:space="0"/>
              <w:left w:val="single" w:color="auto" w:sz="4" w:space="0"/>
              <w:right w:val="single" w:color="auto" w:sz="4" w:space="0"/>
            </w:tcBorders>
            <w:vAlign w:val="center"/>
          </w:tcPr>
          <w:p w14:paraId="60F3311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排放工况</w:t>
            </w:r>
          </w:p>
        </w:tc>
        <w:tc>
          <w:tcPr>
            <w:tcW w:w="848" w:type="pct"/>
            <w:gridSpan w:val="2"/>
            <w:vMerge w:val="restart"/>
            <w:tcBorders>
              <w:top w:val="single" w:color="auto" w:sz="4" w:space="0"/>
              <w:left w:val="single" w:color="auto" w:sz="4" w:space="0"/>
              <w:right w:val="single" w:color="auto" w:sz="4" w:space="0"/>
            </w:tcBorders>
            <w:vAlign w:val="center"/>
          </w:tcPr>
          <w:p w14:paraId="6CAF74A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污染物排放速率/(kg/h)</w:t>
            </w:r>
          </w:p>
        </w:tc>
      </w:tr>
      <w:tr w14:paraId="28E3AB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7" w:type="pct"/>
            <w:vMerge w:val="continue"/>
            <w:tcBorders>
              <w:left w:val="single" w:color="auto" w:sz="4" w:space="0"/>
              <w:bottom w:val="single" w:color="auto" w:sz="4" w:space="0"/>
              <w:right w:val="single" w:color="auto" w:sz="4" w:space="0"/>
            </w:tcBorders>
            <w:vAlign w:val="center"/>
          </w:tcPr>
          <w:p w14:paraId="2D0E4BB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c>
          <w:tcPr>
            <w:tcW w:w="354" w:type="pct"/>
            <w:tcBorders>
              <w:top w:val="single" w:color="auto" w:sz="4" w:space="0"/>
              <w:left w:val="single" w:color="auto" w:sz="4" w:space="0"/>
              <w:bottom w:val="single" w:color="auto" w:sz="4" w:space="0"/>
              <w:right w:val="single" w:color="auto" w:sz="4" w:space="0"/>
            </w:tcBorders>
            <w:vAlign w:val="center"/>
          </w:tcPr>
          <w:p w14:paraId="187B310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X</w:t>
            </w:r>
          </w:p>
        </w:tc>
        <w:tc>
          <w:tcPr>
            <w:tcW w:w="405" w:type="pct"/>
            <w:tcBorders>
              <w:top w:val="single" w:color="auto" w:sz="4" w:space="0"/>
              <w:left w:val="single" w:color="auto" w:sz="4" w:space="0"/>
              <w:bottom w:val="single" w:color="auto" w:sz="4" w:space="0"/>
              <w:right w:val="single" w:color="auto" w:sz="4" w:space="0"/>
            </w:tcBorders>
            <w:vAlign w:val="center"/>
          </w:tcPr>
          <w:p w14:paraId="49149DF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Y</w:t>
            </w:r>
          </w:p>
        </w:tc>
        <w:tc>
          <w:tcPr>
            <w:tcW w:w="507" w:type="pct"/>
            <w:vMerge w:val="continue"/>
            <w:tcBorders>
              <w:left w:val="single" w:color="auto" w:sz="4" w:space="0"/>
              <w:bottom w:val="single" w:color="auto" w:sz="4" w:space="0"/>
              <w:right w:val="single" w:color="auto" w:sz="4" w:space="0"/>
            </w:tcBorders>
            <w:vAlign w:val="center"/>
          </w:tcPr>
          <w:p w14:paraId="36FC6D4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c>
          <w:tcPr>
            <w:tcW w:w="355" w:type="pct"/>
            <w:vMerge w:val="continue"/>
            <w:tcBorders>
              <w:left w:val="single" w:color="auto" w:sz="4" w:space="0"/>
              <w:bottom w:val="single" w:color="auto" w:sz="4" w:space="0"/>
              <w:right w:val="single" w:color="auto" w:sz="4" w:space="0"/>
            </w:tcBorders>
            <w:vAlign w:val="center"/>
          </w:tcPr>
          <w:p w14:paraId="0CF8721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c>
          <w:tcPr>
            <w:tcW w:w="405" w:type="pct"/>
            <w:vMerge w:val="continue"/>
            <w:tcBorders>
              <w:left w:val="single" w:color="auto" w:sz="4" w:space="0"/>
              <w:bottom w:val="single" w:color="auto" w:sz="4" w:space="0"/>
              <w:right w:val="single" w:color="auto" w:sz="4" w:space="0"/>
            </w:tcBorders>
            <w:vAlign w:val="center"/>
          </w:tcPr>
          <w:p w14:paraId="323DB28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c>
          <w:tcPr>
            <w:tcW w:w="456" w:type="pct"/>
            <w:vMerge w:val="continue"/>
            <w:tcBorders>
              <w:left w:val="single" w:color="auto" w:sz="4" w:space="0"/>
              <w:bottom w:val="single" w:color="auto" w:sz="4" w:space="0"/>
              <w:right w:val="single" w:color="auto" w:sz="4" w:space="0"/>
            </w:tcBorders>
            <w:vAlign w:val="center"/>
          </w:tcPr>
          <w:p w14:paraId="03F6942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c>
          <w:tcPr>
            <w:tcW w:w="354" w:type="pct"/>
            <w:vMerge w:val="continue"/>
            <w:tcBorders>
              <w:left w:val="single" w:color="auto" w:sz="4" w:space="0"/>
              <w:bottom w:val="single" w:color="auto" w:sz="4" w:space="0"/>
              <w:right w:val="single" w:color="auto" w:sz="4" w:space="0"/>
            </w:tcBorders>
            <w:vAlign w:val="center"/>
          </w:tcPr>
          <w:p w14:paraId="259F3F7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c>
          <w:tcPr>
            <w:tcW w:w="406" w:type="pct"/>
            <w:vMerge w:val="continue"/>
            <w:tcBorders>
              <w:left w:val="single" w:color="auto" w:sz="4" w:space="0"/>
              <w:bottom w:val="single" w:color="auto" w:sz="4" w:space="0"/>
              <w:right w:val="single" w:color="auto" w:sz="4" w:space="0"/>
            </w:tcBorders>
            <w:vAlign w:val="center"/>
          </w:tcPr>
          <w:p w14:paraId="695380A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c>
          <w:tcPr>
            <w:tcW w:w="253" w:type="pct"/>
            <w:vMerge w:val="continue"/>
            <w:tcBorders>
              <w:left w:val="single" w:color="auto" w:sz="4" w:space="0"/>
              <w:bottom w:val="single" w:color="auto" w:sz="4" w:space="0"/>
              <w:right w:val="single" w:color="auto" w:sz="4" w:space="0"/>
            </w:tcBorders>
            <w:vAlign w:val="center"/>
          </w:tcPr>
          <w:p w14:paraId="437AF27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c>
          <w:tcPr>
            <w:tcW w:w="848" w:type="pct"/>
            <w:gridSpan w:val="2"/>
            <w:vMerge w:val="continue"/>
            <w:tcBorders>
              <w:left w:val="single" w:color="auto" w:sz="4" w:space="0"/>
              <w:bottom w:val="single" w:color="auto" w:sz="4" w:space="0"/>
              <w:right w:val="single" w:color="auto" w:sz="4" w:space="0"/>
            </w:tcBorders>
            <w:vAlign w:val="center"/>
          </w:tcPr>
          <w:p w14:paraId="5EB38AE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r>
      <w:tr w14:paraId="5F41DB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2" w:hRule="atLeast"/>
        </w:trPr>
        <w:tc>
          <w:tcPr>
            <w:tcW w:w="657" w:type="pct"/>
            <w:vMerge w:val="restart"/>
            <w:tcBorders>
              <w:top w:val="single" w:color="auto" w:sz="4" w:space="0"/>
              <w:left w:val="single" w:color="auto" w:sz="4" w:space="0"/>
              <w:right w:val="single" w:color="auto" w:sz="4" w:space="0"/>
            </w:tcBorders>
            <w:vAlign w:val="center"/>
          </w:tcPr>
          <w:p w14:paraId="4139744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DA023(东区RTO废气排放口)</w:t>
            </w:r>
          </w:p>
        </w:tc>
        <w:tc>
          <w:tcPr>
            <w:tcW w:w="354" w:type="pct"/>
            <w:vMerge w:val="restart"/>
            <w:tcBorders>
              <w:top w:val="single" w:color="auto" w:sz="4" w:space="0"/>
              <w:left w:val="single" w:color="auto" w:sz="4" w:space="0"/>
              <w:right w:val="single" w:color="auto" w:sz="4" w:space="0"/>
            </w:tcBorders>
            <w:vAlign w:val="center"/>
          </w:tcPr>
          <w:p w14:paraId="542E8DC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550</w:t>
            </w:r>
          </w:p>
        </w:tc>
        <w:tc>
          <w:tcPr>
            <w:tcW w:w="405" w:type="pct"/>
            <w:vMerge w:val="restart"/>
            <w:tcBorders>
              <w:top w:val="single" w:color="auto" w:sz="4" w:space="0"/>
              <w:left w:val="single" w:color="auto" w:sz="4" w:space="0"/>
              <w:right w:val="single" w:color="auto" w:sz="4" w:space="0"/>
            </w:tcBorders>
            <w:vAlign w:val="center"/>
          </w:tcPr>
          <w:p w14:paraId="1901D7C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17</w:t>
            </w:r>
          </w:p>
        </w:tc>
        <w:tc>
          <w:tcPr>
            <w:tcW w:w="507" w:type="pct"/>
            <w:vMerge w:val="restart"/>
            <w:tcBorders>
              <w:top w:val="single" w:color="auto" w:sz="4" w:space="0"/>
              <w:left w:val="single" w:color="auto" w:sz="4" w:space="0"/>
              <w:right w:val="single" w:color="auto" w:sz="4" w:space="0"/>
            </w:tcBorders>
            <w:vAlign w:val="center"/>
          </w:tcPr>
          <w:p w14:paraId="76C0720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18</w:t>
            </w:r>
          </w:p>
        </w:tc>
        <w:tc>
          <w:tcPr>
            <w:tcW w:w="355" w:type="pct"/>
            <w:vMerge w:val="restart"/>
            <w:tcBorders>
              <w:top w:val="single" w:color="auto" w:sz="4" w:space="0"/>
              <w:left w:val="single" w:color="auto" w:sz="4" w:space="0"/>
              <w:right w:val="single" w:color="auto" w:sz="4" w:space="0"/>
            </w:tcBorders>
            <w:vAlign w:val="center"/>
          </w:tcPr>
          <w:p w14:paraId="4FE3EE0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20</w:t>
            </w:r>
          </w:p>
        </w:tc>
        <w:tc>
          <w:tcPr>
            <w:tcW w:w="405" w:type="pct"/>
            <w:vMerge w:val="restart"/>
            <w:tcBorders>
              <w:top w:val="single" w:color="auto" w:sz="4" w:space="0"/>
              <w:left w:val="single" w:color="auto" w:sz="4" w:space="0"/>
              <w:right w:val="single" w:color="auto" w:sz="4" w:space="0"/>
            </w:tcBorders>
            <w:vAlign w:val="center"/>
          </w:tcPr>
          <w:p w14:paraId="762F813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0.6</w:t>
            </w:r>
          </w:p>
        </w:tc>
        <w:tc>
          <w:tcPr>
            <w:tcW w:w="456" w:type="pct"/>
            <w:vMerge w:val="restart"/>
            <w:tcBorders>
              <w:top w:val="single" w:color="auto" w:sz="4" w:space="0"/>
              <w:left w:val="single" w:color="auto" w:sz="4" w:space="0"/>
              <w:right w:val="single" w:color="auto" w:sz="4" w:space="0"/>
            </w:tcBorders>
            <w:vAlign w:val="center"/>
          </w:tcPr>
          <w:p w14:paraId="177E2DA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2000</w:t>
            </w:r>
          </w:p>
        </w:tc>
        <w:tc>
          <w:tcPr>
            <w:tcW w:w="354" w:type="pct"/>
            <w:vMerge w:val="restart"/>
            <w:tcBorders>
              <w:top w:val="single" w:color="auto" w:sz="4" w:space="0"/>
              <w:left w:val="single" w:color="auto" w:sz="4" w:space="0"/>
              <w:right w:val="single" w:color="auto" w:sz="4" w:space="0"/>
            </w:tcBorders>
            <w:vAlign w:val="center"/>
          </w:tcPr>
          <w:p w14:paraId="5EA9F22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50</w:t>
            </w:r>
          </w:p>
        </w:tc>
        <w:tc>
          <w:tcPr>
            <w:tcW w:w="406" w:type="pct"/>
            <w:vMerge w:val="restart"/>
            <w:tcBorders>
              <w:top w:val="single" w:color="auto" w:sz="4" w:space="0"/>
              <w:left w:val="single" w:color="auto" w:sz="4" w:space="0"/>
              <w:right w:val="single" w:color="auto" w:sz="4" w:space="0"/>
            </w:tcBorders>
            <w:vAlign w:val="center"/>
          </w:tcPr>
          <w:p w14:paraId="38BC7D0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7920</w:t>
            </w:r>
          </w:p>
        </w:tc>
        <w:tc>
          <w:tcPr>
            <w:tcW w:w="253" w:type="pct"/>
            <w:vMerge w:val="restart"/>
            <w:tcBorders>
              <w:top w:val="single" w:color="auto" w:sz="4" w:space="0"/>
              <w:left w:val="single" w:color="auto" w:sz="4" w:space="0"/>
              <w:right w:val="single" w:color="auto" w:sz="4" w:space="0"/>
            </w:tcBorders>
            <w:vAlign w:val="center"/>
          </w:tcPr>
          <w:p w14:paraId="3214E60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正常</w:t>
            </w:r>
          </w:p>
        </w:tc>
        <w:tc>
          <w:tcPr>
            <w:tcW w:w="456" w:type="pct"/>
            <w:tcBorders>
              <w:top w:val="single" w:color="auto" w:sz="4" w:space="0"/>
              <w:left w:val="single" w:color="auto" w:sz="4" w:space="0"/>
              <w:bottom w:val="single" w:color="auto" w:sz="4" w:space="0"/>
              <w:right w:val="single" w:color="auto" w:sz="4" w:space="0"/>
            </w:tcBorders>
            <w:vAlign w:val="center"/>
          </w:tcPr>
          <w:p w14:paraId="66C9AA1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非甲烷总烃</w:t>
            </w:r>
          </w:p>
        </w:tc>
        <w:tc>
          <w:tcPr>
            <w:tcW w:w="392" w:type="pct"/>
            <w:tcBorders>
              <w:top w:val="single" w:color="auto" w:sz="4" w:space="0"/>
              <w:left w:val="single" w:color="auto" w:sz="4" w:space="0"/>
              <w:bottom w:val="single" w:color="auto" w:sz="4" w:space="0"/>
              <w:right w:val="single" w:color="auto" w:sz="4" w:space="0"/>
            </w:tcBorders>
            <w:vAlign w:val="center"/>
          </w:tcPr>
          <w:p w14:paraId="618FA88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0.036</w:t>
            </w:r>
          </w:p>
        </w:tc>
      </w:tr>
      <w:tr w14:paraId="5F946A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7" w:type="pct"/>
            <w:vMerge w:val="continue"/>
            <w:tcBorders>
              <w:left w:val="single" w:color="auto" w:sz="4" w:space="0"/>
              <w:right w:val="single" w:color="auto" w:sz="4" w:space="0"/>
            </w:tcBorders>
            <w:vAlign w:val="center"/>
          </w:tcPr>
          <w:p w14:paraId="7C8BB2E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c>
          <w:tcPr>
            <w:tcW w:w="354" w:type="pct"/>
            <w:vMerge w:val="continue"/>
            <w:tcBorders>
              <w:left w:val="single" w:color="auto" w:sz="4" w:space="0"/>
              <w:right w:val="single" w:color="auto" w:sz="4" w:space="0"/>
            </w:tcBorders>
            <w:vAlign w:val="center"/>
          </w:tcPr>
          <w:p w14:paraId="165AF44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c>
          <w:tcPr>
            <w:tcW w:w="405" w:type="pct"/>
            <w:vMerge w:val="continue"/>
            <w:tcBorders>
              <w:left w:val="single" w:color="auto" w:sz="4" w:space="0"/>
              <w:right w:val="single" w:color="auto" w:sz="4" w:space="0"/>
            </w:tcBorders>
            <w:vAlign w:val="center"/>
          </w:tcPr>
          <w:p w14:paraId="3A5A0FA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c>
          <w:tcPr>
            <w:tcW w:w="507" w:type="pct"/>
            <w:vMerge w:val="continue"/>
            <w:tcBorders>
              <w:left w:val="single" w:color="auto" w:sz="4" w:space="0"/>
              <w:right w:val="single" w:color="auto" w:sz="4" w:space="0"/>
            </w:tcBorders>
            <w:vAlign w:val="center"/>
          </w:tcPr>
          <w:p w14:paraId="2C17349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c>
          <w:tcPr>
            <w:tcW w:w="355" w:type="pct"/>
            <w:vMerge w:val="continue"/>
            <w:tcBorders>
              <w:left w:val="single" w:color="auto" w:sz="4" w:space="0"/>
              <w:right w:val="single" w:color="auto" w:sz="4" w:space="0"/>
            </w:tcBorders>
            <w:vAlign w:val="center"/>
          </w:tcPr>
          <w:p w14:paraId="1148495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c>
          <w:tcPr>
            <w:tcW w:w="405" w:type="pct"/>
            <w:vMerge w:val="continue"/>
            <w:tcBorders>
              <w:left w:val="single" w:color="auto" w:sz="4" w:space="0"/>
              <w:right w:val="single" w:color="auto" w:sz="4" w:space="0"/>
            </w:tcBorders>
            <w:vAlign w:val="center"/>
          </w:tcPr>
          <w:p w14:paraId="1D31431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c>
          <w:tcPr>
            <w:tcW w:w="456" w:type="pct"/>
            <w:vMerge w:val="continue"/>
            <w:tcBorders>
              <w:left w:val="single" w:color="auto" w:sz="4" w:space="0"/>
              <w:right w:val="single" w:color="auto" w:sz="4" w:space="0"/>
            </w:tcBorders>
            <w:vAlign w:val="center"/>
          </w:tcPr>
          <w:p w14:paraId="05E8096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c>
          <w:tcPr>
            <w:tcW w:w="354" w:type="pct"/>
            <w:vMerge w:val="continue"/>
            <w:tcBorders>
              <w:left w:val="single" w:color="auto" w:sz="4" w:space="0"/>
              <w:right w:val="single" w:color="auto" w:sz="4" w:space="0"/>
            </w:tcBorders>
            <w:vAlign w:val="center"/>
          </w:tcPr>
          <w:p w14:paraId="31BD567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c>
          <w:tcPr>
            <w:tcW w:w="406" w:type="pct"/>
            <w:vMerge w:val="continue"/>
            <w:tcBorders>
              <w:left w:val="single" w:color="auto" w:sz="4" w:space="0"/>
              <w:right w:val="single" w:color="auto" w:sz="4" w:space="0"/>
            </w:tcBorders>
            <w:vAlign w:val="center"/>
          </w:tcPr>
          <w:p w14:paraId="47A9CBF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c>
          <w:tcPr>
            <w:tcW w:w="253" w:type="pct"/>
            <w:vMerge w:val="continue"/>
            <w:tcBorders>
              <w:left w:val="single" w:color="auto" w:sz="4" w:space="0"/>
              <w:right w:val="single" w:color="auto" w:sz="4" w:space="0"/>
            </w:tcBorders>
            <w:vAlign w:val="center"/>
          </w:tcPr>
          <w:p w14:paraId="5803D02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c>
          <w:tcPr>
            <w:tcW w:w="456" w:type="pct"/>
            <w:tcBorders>
              <w:top w:val="single" w:color="auto" w:sz="4" w:space="0"/>
              <w:left w:val="single" w:color="auto" w:sz="4" w:space="0"/>
              <w:bottom w:val="single" w:color="auto" w:sz="4" w:space="0"/>
              <w:right w:val="single" w:color="auto" w:sz="4" w:space="0"/>
            </w:tcBorders>
            <w:vAlign w:val="center"/>
          </w:tcPr>
          <w:p w14:paraId="25552BD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酚类</w:t>
            </w:r>
          </w:p>
        </w:tc>
        <w:tc>
          <w:tcPr>
            <w:tcW w:w="392" w:type="pct"/>
            <w:tcBorders>
              <w:top w:val="single" w:color="auto" w:sz="4" w:space="0"/>
              <w:left w:val="single" w:color="auto" w:sz="4" w:space="0"/>
              <w:bottom w:val="single" w:color="auto" w:sz="4" w:space="0"/>
              <w:right w:val="single" w:color="auto" w:sz="4" w:space="0"/>
            </w:tcBorders>
            <w:vAlign w:val="center"/>
          </w:tcPr>
          <w:p w14:paraId="4F7F3EA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0.033</w:t>
            </w:r>
          </w:p>
        </w:tc>
      </w:tr>
    </w:tbl>
    <w:p w14:paraId="5BD2599E"/>
    <w:p w14:paraId="2FC4FB1C">
      <w:pPr>
        <w:pStyle w:val="28"/>
        <w:rPr>
          <w:rFonts w:hint="eastAsia"/>
          <w:szCs w:val="22"/>
        </w:rPr>
      </w:pPr>
      <w:r>
        <w:rPr>
          <w:szCs w:val="22"/>
        </w:rPr>
        <w:t>表</w:t>
      </w:r>
      <w:r>
        <w:rPr>
          <w:rFonts w:hint="eastAsia"/>
          <w:szCs w:val="22"/>
        </w:rPr>
        <w:t xml:space="preserve">6.2-13 </w:t>
      </w:r>
      <w:r>
        <w:rPr>
          <w:szCs w:val="22"/>
        </w:rPr>
        <w:t xml:space="preserve"> </w:t>
      </w:r>
      <w:r>
        <w:rPr>
          <w:rFonts w:hint="eastAsia"/>
          <w:szCs w:val="22"/>
        </w:rPr>
        <w:t>拟被替代的</w:t>
      </w:r>
      <w:r>
        <w:rPr>
          <w:rFonts w:hint="eastAsia"/>
        </w:rPr>
        <w:t>无组织</w:t>
      </w:r>
      <w:r>
        <w:t>污染源参数一览表</w:t>
      </w:r>
    </w:p>
    <w:tbl>
      <w:tblPr>
        <w:tblStyle w:val="36"/>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29"/>
        <w:gridCol w:w="993"/>
        <w:gridCol w:w="992"/>
        <w:gridCol w:w="1411"/>
        <w:gridCol w:w="1099"/>
        <w:gridCol w:w="991"/>
        <w:gridCol w:w="1246"/>
        <w:gridCol w:w="1104"/>
        <w:gridCol w:w="1101"/>
        <w:gridCol w:w="1342"/>
        <w:gridCol w:w="1544"/>
        <w:gridCol w:w="1040"/>
      </w:tblGrid>
      <w:tr w14:paraId="35C75D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29" w:type="dxa"/>
            <w:vMerge w:val="restart"/>
            <w:tcBorders>
              <w:top w:val="single" w:color="auto" w:sz="4" w:space="0"/>
              <w:left w:val="single" w:color="auto" w:sz="4" w:space="0"/>
              <w:bottom w:val="single" w:color="auto" w:sz="4" w:space="0"/>
            </w:tcBorders>
            <w:vAlign w:val="center"/>
          </w:tcPr>
          <w:p w14:paraId="32E22C8D">
            <w:pPr>
              <w:pStyle w:val="64"/>
            </w:pPr>
            <w:r>
              <w:t>名称</w:t>
            </w:r>
          </w:p>
        </w:tc>
        <w:tc>
          <w:tcPr>
            <w:tcW w:w="1985" w:type="dxa"/>
            <w:gridSpan w:val="2"/>
            <w:tcBorders>
              <w:top w:val="single" w:color="auto" w:sz="4" w:space="0"/>
              <w:bottom w:val="single" w:color="auto" w:sz="4" w:space="0"/>
            </w:tcBorders>
            <w:vAlign w:val="center"/>
          </w:tcPr>
          <w:p w14:paraId="29D3ECB9">
            <w:pPr>
              <w:pStyle w:val="64"/>
            </w:pPr>
            <w:r>
              <w:t>面源</w:t>
            </w:r>
            <w:r>
              <w:rPr>
                <w:rFonts w:hint="eastAsia"/>
              </w:rPr>
              <w:t>中心点</w:t>
            </w:r>
          </w:p>
        </w:tc>
        <w:tc>
          <w:tcPr>
            <w:tcW w:w="1411" w:type="dxa"/>
            <w:vMerge w:val="restart"/>
            <w:tcBorders>
              <w:top w:val="single" w:color="auto" w:sz="4" w:space="0"/>
              <w:bottom w:val="single" w:color="auto" w:sz="4" w:space="0"/>
            </w:tcBorders>
            <w:vAlign w:val="center"/>
          </w:tcPr>
          <w:p w14:paraId="422D4455">
            <w:pPr>
              <w:pStyle w:val="64"/>
            </w:pPr>
            <w:r>
              <w:t>污染物名称</w:t>
            </w:r>
          </w:p>
        </w:tc>
        <w:tc>
          <w:tcPr>
            <w:tcW w:w="1099" w:type="dxa"/>
            <w:vMerge w:val="restart"/>
            <w:tcBorders>
              <w:top w:val="single" w:color="auto" w:sz="4" w:space="0"/>
              <w:bottom w:val="single" w:color="auto" w:sz="4" w:space="0"/>
            </w:tcBorders>
            <w:vAlign w:val="center"/>
          </w:tcPr>
          <w:p w14:paraId="5DA34386">
            <w:pPr>
              <w:pStyle w:val="64"/>
            </w:pPr>
            <w:r>
              <w:t>污染物排放量t/a</w:t>
            </w:r>
          </w:p>
        </w:tc>
        <w:tc>
          <w:tcPr>
            <w:tcW w:w="991" w:type="dxa"/>
            <w:vMerge w:val="restart"/>
            <w:tcBorders>
              <w:top w:val="single" w:color="auto" w:sz="4" w:space="0"/>
              <w:bottom w:val="single" w:color="auto" w:sz="4" w:space="0"/>
            </w:tcBorders>
            <w:vAlign w:val="center"/>
          </w:tcPr>
          <w:p w14:paraId="5B6252EE">
            <w:pPr>
              <w:pStyle w:val="64"/>
            </w:pPr>
            <w:r>
              <w:t>排放速率kg/h</w:t>
            </w:r>
          </w:p>
        </w:tc>
        <w:tc>
          <w:tcPr>
            <w:tcW w:w="7377" w:type="dxa"/>
            <w:gridSpan w:val="6"/>
            <w:tcBorders>
              <w:top w:val="single" w:color="auto" w:sz="4" w:space="0"/>
              <w:bottom w:val="single" w:color="auto" w:sz="4" w:space="0"/>
              <w:right w:val="single" w:color="auto" w:sz="4" w:space="0"/>
            </w:tcBorders>
            <w:vAlign w:val="center"/>
          </w:tcPr>
          <w:p w14:paraId="661459D6">
            <w:pPr>
              <w:pStyle w:val="64"/>
            </w:pPr>
            <w:r>
              <w:t>面源参数</w:t>
            </w:r>
          </w:p>
        </w:tc>
      </w:tr>
      <w:tr w14:paraId="599002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29" w:type="dxa"/>
            <w:vMerge w:val="continue"/>
            <w:tcBorders>
              <w:top w:val="single" w:color="auto" w:sz="4" w:space="0"/>
              <w:left w:val="single" w:color="auto" w:sz="4" w:space="0"/>
              <w:bottom w:val="single" w:color="auto" w:sz="4" w:space="0"/>
            </w:tcBorders>
            <w:vAlign w:val="center"/>
          </w:tcPr>
          <w:p w14:paraId="3C63937E">
            <w:pPr>
              <w:pStyle w:val="64"/>
            </w:pPr>
          </w:p>
        </w:tc>
        <w:tc>
          <w:tcPr>
            <w:tcW w:w="993" w:type="dxa"/>
            <w:tcBorders>
              <w:top w:val="single" w:color="auto" w:sz="4" w:space="0"/>
              <w:bottom w:val="single" w:color="auto" w:sz="4" w:space="0"/>
            </w:tcBorders>
            <w:vAlign w:val="center"/>
          </w:tcPr>
          <w:p w14:paraId="531E2A54">
            <w:pPr>
              <w:pStyle w:val="64"/>
            </w:pPr>
            <w:r>
              <w:t>X</w:t>
            </w:r>
          </w:p>
        </w:tc>
        <w:tc>
          <w:tcPr>
            <w:tcW w:w="992" w:type="dxa"/>
            <w:tcBorders>
              <w:top w:val="single" w:color="auto" w:sz="4" w:space="0"/>
              <w:bottom w:val="single" w:color="auto" w:sz="4" w:space="0"/>
            </w:tcBorders>
            <w:vAlign w:val="center"/>
          </w:tcPr>
          <w:p w14:paraId="474AC563">
            <w:pPr>
              <w:pStyle w:val="64"/>
            </w:pPr>
            <w:r>
              <w:t>Y</w:t>
            </w:r>
          </w:p>
        </w:tc>
        <w:tc>
          <w:tcPr>
            <w:tcW w:w="1411" w:type="dxa"/>
            <w:vMerge w:val="continue"/>
            <w:tcBorders>
              <w:top w:val="single" w:color="auto" w:sz="4" w:space="0"/>
              <w:bottom w:val="single" w:color="auto" w:sz="4" w:space="0"/>
            </w:tcBorders>
            <w:vAlign w:val="center"/>
          </w:tcPr>
          <w:p w14:paraId="1A833DE2">
            <w:pPr>
              <w:pStyle w:val="64"/>
            </w:pPr>
          </w:p>
        </w:tc>
        <w:tc>
          <w:tcPr>
            <w:tcW w:w="1099" w:type="dxa"/>
            <w:vMerge w:val="continue"/>
            <w:tcBorders>
              <w:top w:val="single" w:color="auto" w:sz="4" w:space="0"/>
              <w:bottom w:val="single" w:color="auto" w:sz="4" w:space="0"/>
            </w:tcBorders>
            <w:vAlign w:val="center"/>
          </w:tcPr>
          <w:p w14:paraId="37E9D58D">
            <w:pPr>
              <w:pStyle w:val="64"/>
            </w:pPr>
          </w:p>
        </w:tc>
        <w:tc>
          <w:tcPr>
            <w:tcW w:w="991" w:type="dxa"/>
            <w:vMerge w:val="continue"/>
            <w:tcBorders>
              <w:top w:val="single" w:color="auto" w:sz="4" w:space="0"/>
              <w:bottom w:val="single" w:color="auto" w:sz="4" w:space="0"/>
            </w:tcBorders>
            <w:vAlign w:val="center"/>
          </w:tcPr>
          <w:p w14:paraId="20B262E2">
            <w:pPr>
              <w:pStyle w:val="64"/>
            </w:pPr>
          </w:p>
        </w:tc>
        <w:tc>
          <w:tcPr>
            <w:tcW w:w="1246" w:type="dxa"/>
            <w:tcBorders>
              <w:top w:val="single" w:color="auto" w:sz="4" w:space="0"/>
              <w:bottom w:val="single" w:color="auto" w:sz="4" w:space="0"/>
            </w:tcBorders>
            <w:vAlign w:val="center"/>
          </w:tcPr>
          <w:p w14:paraId="768837B6">
            <w:pPr>
              <w:pStyle w:val="64"/>
            </w:pPr>
            <w:r>
              <w:t>面源海拔高度m</w:t>
            </w:r>
          </w:p>
        </w:tc>
        <w:tc>
          <w:tcPr>
            <w:tcW w:w="0" w:type="auto"/>
            <w:tcBorders>
              <w:top w:val="single" w:color="auto" w:sz="4" w:space="0"/>
              <w:bottom w:val="single" w:color="auto" w:sz="4" w:space="0"/>
            </w:tcBorders>
            <w:vAlign w:val="center"/>
          </w:tcPr>
          <w:p w14:paraId="62CE497C">
            <w:pPr>
              <w:pStyle w:val="64"/>
            </w:pPr>
            <w:r>
              <w:t>面源长度m</w:t>
            </w:r>
          </w:p>
        </w:tc>
        <w:tc>
          <w:tcPr>
            <w:tcW w:w="0" w:type="auto"/>
            <w:tcBorders>
              <w:top w:val="single" w:color="auto" w:sz="4" w:space="0"/>
              <w:bottom w:val="single" w:color="auto" w:sz="4" w:space="0"/>
            </w:tcBorders>
            <w:vAlign w:val="center"/>
          </w:tcPr>
          <w:p w14:paraId="1EE60A5E">
            <w:pPr>
              <w:pStyle w:val="64"/>
              <w:rPr>
                <w:vertAlign w:val="superscript"/>
              </w:rPr>
            </w:pPr>
            <w:r>
              <w:t>面源宽度m</w:t>
            </w:r>
          </w:p>
        </w:tc>
        <w:tc>
          <w:tcPr>
            <w:tcW w:w="0" w:type="auto"/>
            <w:tcBorders>
              <w:top w:val="single" w:color="auto" w:sz="4" w:space="0"/>
              <w:bottom w:val="single" w:color="auto" w:sz="4" w:space="0"/>
            </w:tcBorders>
            <w:vAlign w:val="center"/>
          </w:tcPr>
          <w:p w14:paraId="7A287656">
            <w:pPr>
              <w:pStyle w:val="64"/>
            </w:pPr>
            <w:r>
              <w:t>与正北向夹角°</w:t>
            </w:r>
          </w:p>
        </w:tc>
        <w:tc>
          <w:tcPr>
            <w:tcW w:w="1544" w:type="dxa"/>
            <w:tcBorders>
              <w:top w:val="single" w:color="auto" w:sz="4" w:space="0"/>
              <w:bottom w:val="single" w:color="auto" w:sz="4" w:space="0"/>
            </w:tcBorders>
            <w:vAlign w:val="center"/>
          </w:tcPr>
          <w:p w14:paraId="7D50B84D">
            <w:pPr>
              <w:pStyle w:val="64"/>
            </w:pPr>
            <w:r>
              <w:t>面源有效排放高度m</w:t>
            </w:r>
          </w:p>
        </w:tc>
        <w:tc>
          <w:tcPr>
            <w:tcW w:w="1040" w:type="dxa"/>
            <w:tcBorders>
              <w:top w:val="single" w:color="auto" w:sz="4" w:space="0"/>
              <w:bottom w:val="single" w:color="auto" w:sz="4" w:space="0"/>
              <w:right w:val="single" w:color="auto" w:sz="4" w:space="0"/>
            </w:tcBorders>
            <w:vAlign w:val="center"/>
          </w:tcPr>
          <w:p w14:paraId="1CBB53F1">
            <w:pPr>
              <w:pStyle w:val="64"/>
            </w:pPr>
            <w:r>
              <w:t>年排放小时数h</w:t>
            </w:r>
          </w:p>
        </w:tc>
      </w:tr>
      <w:tr w14:paraId="727368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29" w:type="dxa"/>
            <w:vMerge w:val="restart"/>
            <w:tcBorders>
              <w:top w:val="single" w:color="auto" w:sz="4" w:space="0"/>
              <w:left w:val="single" w:color="auto" w:sz="4" w:space="0"/>
              <w:bottom w:val="single" w:color="auto" w:sz="4" w:space="0"/>
            </w:tcBorders>
            <w:vAlign w:val="center"/>
          </w:tcPr>
          <w:p w14:paraId="04C323DB">
            <w:pPr>
              <w:pStyle w:val="64"/>
              <w:rPr>
                <w:rFonts w:hint="eastAsia" w:ascii="宋体" w:hAnsi="宋体"/>
                <w:szCs w:val="21"/>
              </w:rPr>
            </w:pPr>
            <w:r>
              <w:rPr>
                <w:rFonts w:hint="eastAsia" w:ascii="宋体" w:hAnsi="宋体"/>
                <w:szCs w:val="21"/>
              </w:rPr>
              <w:t>装置区</w:t>
            </w:r>
          </w:p>
        </w:tc>
        <w:tc>
          <w:tcPr>
            <w:tcW w:w="993" w:type="dxa"/>
            <w:vMerge w:val="restart"/>
            <w:tcBorders>
              <w:top w:val="single" w:color="auto" w:sz="4" w:space="0"/>
              <w:bottom w:val="single" w:color="auto" w:sz="4" w:space="0"/>
            </w:tcBorders>
            <w:vAlign w:val="center"/>
          </w:tcPr>
          <w:p w14:paraId="4D4331D8">
            <w:pPr>
              <w:pStyle w:val="64"/>
            </w:pPr>
            <w:r>
              <w:rPr>
                <w:rFonts w:hint="eastAsia"/>
              </w:rPr>
              <w:t>754</w:t>
            </w:r>
          </w:p>
        </w:tc>
        <w:tc>
          <w:tcPr>
            <w:tcW w:w="992" w:type="dxa"/>
            <w:vMerge w:val="restart"/>
            <w:tcBorders>
              <w:top w:val="single" w:color="auto" w:sz="4" w:space="0"/>
              <w:bottom w:val="single" w:color="auto" w:sz="4" w:space="0"/>
            </w:tcBorders>
            <w:vAlign w:val="center"/>
          </w:tcPr>
          <w:p w14:paraId="25DC0888">
            <w:pPr>
              <w:pStyle w:val="64"/>
            </w:pPr>
            <w:r>
              <w:rPr>
                <w:rFonts w:hint="eastAsia"/>
              </w:rPr>
              <w:t>259</w:t>
            </w:r>
          </w:p>
        </w:tc>
        <w:tc>
          <w:tcPr>
            <w:tcW w:w="1411" w:type="dxa"/>
            <w:tcBorders>
              <w:top w:val="single" w:color="auto" w:sz="4" w:space="0"/>
              <w:bottom w:val="single" w:color="auto" w:sz="4" w:space="0"/>
            </w:tcBorders>
            <w:vAlign w:val="center"/>
          </w:tcPr>
          <w:p w14:paraId="054013D0">
            <w:pPr>
              <w:pStyle w:val="64"/>
              <w:rPr>
                <w:lang w:bidi="ar"/>
              </w:rPr>
            </w:pPr>
            <w:r>
              <w:rPr>
                <w:rFonts w:hint="eastAsia"/>
                <w:lang w:bidi="ar"/>
              </w:rPr>
              <w:t>非甲烷总烃</w:t>
            </w:r>
          </w:p>
        </w:tc>
        <w:tc>
          <w:tcPr>
            <w:tcW w:w="1099" w:type="dxa"/>
            <w:tcBorders>
              <w:top w:val="single" w:color="auto" w:sz="4" w:space="0"/>
              <w:bottom w:val="single" w:color="auto" w:sz="4" w:space="0"/>
            </w:tcBorders>
            <w:vAlign w:val="center"/>
          </w:tcPr>
          <w:p w14:paraId="0644D434">
            <w:pPr>
              <w:pStyle w:val="64"/>
              <w:rPr>
                <w:lang w:bidi="ar"/>
              </w:rPr>
            </w:pPr>
            <w:r>
              <w:rPr>
                <w:lang w:bidi="ar"/>
              </w:rPr>
              <w:t>0.264</w:t>
            </w:r>
          </w:p>
        </w:tc>
        <w:tc>
          <w:tcPr>
            <w:tcW w:w="991" w:type="dxa"/>
            <w:tcBorders>
              <w:top w:val="single" w:color="auto" w:sz="4" w:space="0"/>
              <w:bottom w:val="single" w:color="auto" w:sz="4" w:space="0"/>
            </w:tcBorders>
            <w:vAlign w:val="center"/>
          </w:tcPr>
          <w:p w14:paraId="198D86DD">
            <w:pPr>
              <w:pStyle w:val="64"/>
            </w:pPr>
            <w:r>
              <w:rPr>
                <w:rFonts w:hint="eastAsia"/>
              </w:rPr>
              <w:t>0</w:t>
            </w:r>
            <w:r>
              <w:t>.037</w:t>
            </w:r>
          </w:p>
        </w:tc>
        <w:tc>
          <w:tcPr>
            <w:tcW w:w="1246" w:type="dxa"/>
            <w:vMerge w:val="restart"/>
            <w:tcBorders>
              <w:top w:val="single" w:color="auto" w:sz="4" w:space="0"/>
              <w:bottom w:val="single" w:color="auto" w:sz="4" w:space="0"/>
            </w:tcBorders>
            <w:vAlign w:val="center"/>
          </w:tcPr>
          <w:p w14:paraId="657B9A0F">
            <w:pPr>
              <w:pStyle w:val="64"/>
            </w:pPr>
            <w:r>
              <w:t>18</w:t>
            </w:r>
          </w:p>
        </w:tc>
        <w:tc>
          <w:tcPr>
            <w:tcW w:w="1104" w:type="dxa"/>
            <w:vMerge w:val="restart"/>
            <w:tcBorders>
              <w:top w:val="single" w:color="auto" w:sz="4" w:space="0"/>
              <w:bottom w:val="single" w:color="auto" w:sz="4" w:space="0"/>
            </w:tcBorders>
            <w:vAlign w:val="center"/>
          </w:tcPr>
          <w:p w14:paraId="51D2201E">
            <w:pPr>
              <w:pStyle w:val="64"/>
            </w:pPr>
            <w:r>
              <w:rPr>
                <w:rFonts w:hint="eastAsia"/>
              </w:rPr>
              <w:t>132</w:t>
            </w:r>
          </w:p>
        </w:tc>
        <w:tc>
          <w:tcPr>
            <w:tcW w:w="1101" w:type="dxa"/>
            <w:vMerge w:val="restart"/>
            <w:tcBorders>
              <w:top w:val="single" w:color="auto" w:sz="4" w:space="0"/>
              <w:bottom w:val="single" w:color="auto" w:sz="4" w:space="0"/>
            </w:tcBorders>
            <w:vAlign w:val="center"/>
          </w:tcPr>
          <w:p w14:paraId="0527039B">
            <w:pPr>
              <w:pStyle w:val="64"/>
            </w:pPr>
            <w:r>
              <w:rPr>
                <w:rFonts w:hint="eastAsia"/>
              </w:rPr>
              <w:t>30</w:t>
            </w:r>
          </w:p>
        </w:tc>
        <w:tc>
          <w:tcPr>
            <w:tcW w:w="1342" w:type="dxa"/>
            <w:vMerge w:val="restart"/>
            <w:tcBorders>
              <w:top w:val="single" w:color="auto" w:sz="4" w:space="0"/>
              <w:bottom w:val="single" w:color="auto" w:sz="4" w:space="0"/>
            </w:tcBorders>
            <w:vAlign w:val="center"/>
          </w:tcPr>
          <w:p w14:paraId="44C20994">
            <w:pPr>
              <w:pStyle w:val="64"/>
            </w:pPr>
            <w:r>
              <w:rPr>
                <w:rFonts w:hint="eastAsia"/>
              </w:rPr>
              <w:t>0</w:t>
            </w:r>
          </w:p>
        </w:tc>
        <w:tc>
          <w:tcPr>
            <w:tcW w:w="1544" w:type="dxa"/>
            <w:vMerge w:val="restart"/>
            <w:tcBorders>
              <w:top w:val="single" w:color="auto" w:sz="4" w:space="0"/>
              <w:bottom w:val="single" w:color="auto" w:sz="4" w:space="0"/>
            </w:tcBorders>
            <w:vAlign w:val="center"/>
          </w:tcPr>
          <w:p w14:paraId="62F65C6A">
            <w:pPr>
              <w:pStyle w:val="64"/>
            </w:pPr>
            <w:r>
              <w:rPr>
                <w:rFonts w:hint="eastAsia"/>
              </w:rPr>
              <w:t>1</w:t>
            </w:r>
            <w:r>
              <w:t>0</w:t>
            </w:r>
          </w:p>
        </w:tc>
        <w:tc>
          <w:tcPr>
            <w:tcW w:w="1040" w:type="dxa"/>
            <w:vMerge w:val="restart"/>
            <w:tcBorders>
              <w:top w:val="single" w:color="auto" w:sz="4" w:space="0"/>
              <w:bottom w:val="single" w:color="auto" w:sz="4" w:space="0"/>
              <w:right w:val="single" w:color="auto" w:sz="4" w:space="0"/>
            </w:tcBorders>
            <w:vAlign w:val="center"/>
          </w:tcPr>
          <w:p w14:paraId="20442CB2">
            <w:pPr>
              <w:pStyle w:val="64"/>
            </w:pPr>
            <w:r>
              <w:rPr>
                <w:rFonts w:hint="eastAsia"/>
              </w:rPr>
              <w:t>72</w:t>
            </w:r>
            <w:r>
              <w:t>00</w:t>
            </w:r>
          </w:p>
        </w:tc>
      </w:tr>
      <w:tr w14:paraId="372D6D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29" w:type="dxa"/>
            <w:vMerge w:val="continue"/>
            <w:tcBorders>
              <w:top w:val="single" w:color="auto" w:sz="4" w:space="0"/>
              <w:left w:val="single" w:color="auto" w:sz="4" w:space="0"/>
              <w:bottom w:val="single" w:color="auto" w:sz="4" w:space="0"/>
            </w:tcBorders>
            <w:vAlign w:val="center"/>
          </w:tcPr>
          <w:p w14:paraId="507CED69">
            <w:pPr>
              <w:pStyle w:val="64"/>
              <w:rPr>
                <w:rFonts w:hint="eastAsia" w:ascii="宋体" w:hAnsi="宋体"/>
                <w:lang w:bidi="ar"/>
              </w:rPr>
            </w:pPr>
          </w:p>
        </w:tc>
        <w:tc>
          <w:tcPr>
            <w:tcW w:w="993" w:type="dxa"/>
            <w:vMerge w:val="continue"/>
            <w:tcBorders>
              <w:top w:val="single" w:color="auto" w:sz="4" w:space="0"/>
              <w:bottom w:val="single" w:color="auto" w:sz="4" w:space="0"/>
            </w:tcBorders>
            <w:vAlign w:val="center"/>
          </w:tcPr>
          <w:p w14:paraId="63ACB92C">
            <w:pPr>
              <w:pStyle w:val="64"/>
            </w:pPr>
          </w:p>
        </w:tc>
        <w:tc>
          <w:tcPr>
            <w:tcW w:w="992" w:type="dxa"/>
            <w:vMerge w:val="continue"/>
            <w:tcBorders>
              <w:top w:val="single" w:color="auto" w:sz="4" w:space="0"/>
              <w:bottom w:val="single" w:color="auto" w:sz="4" w:space="0"/>
            </w:tcBorders>
            <w:vAlign w:val="center"/>
          </w:tcPr>
          <w:p w14:paraId="7448B9A1">
            <w:pPr>
              <w:pStyle w:val="64"/>
            </w:pPr>
          </w:p>
        </w:tc>
        <w:tc>
          <w:tcPr>
            <w:tcW w:w="1411" w:type="dxa"/>
            <w:tcBorders>
              <w:top w:val="single" w:color="auto" w:sz="4" w:space="0"/>
              <w:bottom w:val="single" w:color="auto" w:sz="4" w:space="0"/>
            </w:tcBorders>
            <w:vAlign w:val="center"/>
          </w:tcPr>
          <w:p w14:paraId="25063DDE">
            <w:pPr>
              <w:pStyle w:val="64"/>
              <w:rPr>
                <w:lang w:bidi="ar"/>
              </w:rPr>
            </w:pPr>
            <w:r>
              <w:rPr>
                <w:rFonts w:hint="eastAsia"/>
                <w:lang w:bidi="ar"/>
              </w:rPr>
              <w:t>酚类</w:t>
            </w:r>
          </w:p>
        </w:tc>
        <w:tc>
          <w:tcPr>
            <w:tcW w:w="1099" w:type="dxa"/>
            <w:tcBorders>
              <w:top w:val="single" w:color="auto" w:sz="4" w:space="0"/>
              <w:bottom w:val="single" w:color="auto" w:sz="4" w:space="0"/>
            </w:tcBorders>
            <w:vAlign w:val="center"/>
          </w:tcPr>
          <w:p w14:paraId="7B80222B">
            <w:pPr>
              <w:pStyle w:val="64"/>
              <w:rPr>
                <w:lang w:bidi="ar"/>
              </w:rPr>
            </w:pPr>
            <w:r>
              <w:rPr>
                <w:rFonts w:hint="eastAsia"/>
                <w:lang w:bidi="ar"/>
              </w:rPr>
              <w:t>0.093</w:t>
            </w:r>
          </w:p>
        </w:tc>
        <w:tc>
          <w:tcPr>
            <w:tcW w:w="991" w:type="dxa"/>
            <w:tcBorders>
              <w:top w:val="single" w:color="auto" w:sz="4" w:space="0"/>
              <w:bottom w:val="single" w:color="auto" w:sz="4" w:space="0"/>
            </w:tcBorders>
            <w:vAlign w:val="center"/>
          </w:tcPr>
          <w:p w14:paraId="7DABD87C">
            <w:pPr>
              <w:pStyle w:val="64"/>
            </w:pPr>
            <w:r>
              <w:rPr>
                <w:rFonts w:hint="eastAsia"/>
              </w:rPr>
              <w:t>0</w:t>
            </w:r>
            <w:r>
              <w:t>.013</w:t>
            </w:r>
          </w:p>
        </w:tc>
        <w:tc>
          <w:tcPr>
            <w:tcW w:w="1246" w:type="dxa"/>
            <w:vMerge w:val="continue"/>
            <w:tcBorders>
              <w:top w:val="single" w:color="auto" w:sz="4" w:space="0"/>
              <w:bottom w:val="single" w:color="auto" w:sz="4" w:space="0"/>
            </w:tcBorders>
            <w:vAlign w:val="center"/>
          </w:tcPr>
          <w:p w14:paraId="449CF978">
            <w:pPr>
              <w:pStyle w:val="64"/>
            </w:pPr>
          </w:p>
        </w:tc>
        <w:tc>
          <w:tcPr>
            <w:tcW w:w="1104" w:type="dxa"/>
            <w:vMerge w:val="continue"/>
            <w:tcBorders>
              <w:top w:val="single" w:color="auto" w:sz="4" w:space="0"/>
              <w:bottom w:val="single" w:color="auto" w:sz="4" w:space="0"/>
            </w:tcBorders>
            <w:vAlign w:val="center"/>
          </w:tcPr>
          <w:p w14:paraId="551B4423">
            <w:pPr>
              <w:pStyle w:val="64"/>
            </w:pPr>
          </w:p>
        </w:tc>
        <w:tc>
          <w:tcPr>
            <w:tcW w:w="1101" w:type="dxa"/>
            <w:vMerge w:val="continue"/>
            <w:tcBorders>
              <w:top w:val="single" w:color="auto" w:sz="4" w:space="0"/>
              <w:bottom w:val="single" w:color="auto" w:sz="4" w:space="0"/>
            </w:tcBorders>
            <w:vAlign w:val="center"/>
          </w:tcPr>
          <w:p w14:paraId="1211E0DD">
            <w:pPr>
              <w:pStyle w:val="64"/>
            </w:pPr>
          </w:p>
        </w:tc>
        <w:tc>
          <w:tcPr>
            <w:tcW w:w="1342" w:type="dxa"/>
            <w:vMerge w:val="continue"/>
            <w:tcBorders>
              <w:top w:val="single" w:color="auto" w:sz="4" w:space="0"/>
              <w:bottom w:val="single" w:color="auto" w:sz="4" w:space="0"/>
            </w:tcBorders>
            <w:vAlign w:val="center"/>
          </w:tcPr>
          <w:p w14:paraId="52EC3236">
            <w:pPr>
              <w:pStyle w:val="64"/>
            </w:pPr>
          </w:p>
        </w:tc>
        <w:tc>
          <w:tcPr>
            <w:tcW w:w="1544" w:type="dxa"/>
            <w:vMerge w:val="continue"/>
            <w:tcBorders>
              <w:top w:val="single" w:color="auto" w:sz="4" w:space="0"/>
              <w:bottom w:val="single" w:color="auto" w:sz="4" w:space="0"/>
            </w:tcBorders>
            <w:vAlign w:val="center"/>
          </w:tcPr>
          <w:p w14:paraId="4A4F16BC">
            <w:pPr>
              <w:pStyle w:val="64"/>
            </w:pPr>
          </w:p>
        </w:tc>
        <w:tc>
          <w:tcPr>
            <w:tcW w:w="1040" w:type="dxa"/>
            <w:vMerge w:val="continue"/>
            <w:tcBorders>
              <w:top w:val="single" w:color="auto" w:sz="4" w:space="0"/>
              <w:bottom w:val="single" w:color="auto" w:sz="4" w:space="0"/>
              <w:right w:val="single" w:color="auto" w:sz="4" w:space="0"/>
            </w:tcBorders>
            <w:vAlign w:val="center"/>
          </w:tcPr>
          <w:p w14:paraId="57281152">
            <w:pPr>
              <w:pStyle w:val="64"/>
            </w:pPr>
          </w:p>
        </w:tc>
      </w:tr>
      <w:tr w14:paraId="27FBA01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29" w:type="dxa"/>
            <w:vMerge w:val="restart"/>
            <w:tcBorders>
              <w:top w:val="single" w:color="auto" w:sz="4" w:space="0"/>
              <w:left w:val="single" w:color="auto" w:sz="4" w:space="0"/>
              <w:bottom w:val="single" w:color="auto" w:sz="4" w:space="0"/>
            </w:tcBorders>
            <w:vAlign w:val="center"/>
          </w:tcPr>
          <w:p w14:paraId="64D3701C">
            <w:pPr>
              <w:pStyle w:val="64"/>
              <w:rPr>
                <w:rFonts w:hint="eastAsia" w:ascii="宋体" w:hAnsi="宋体"/>
                <w:szCs w:val="21"/>
              </w:rPr>
            </w:pPr>
            <w:r>
              <w:rPr>
                <w:rFonts w:hint="eastAsia" w:ascii="宋体" w:hAnsi="宋体"/>
                <w:szCs w:val="21"/>
              </w:rPr>
              <w:t>罐区</w:t>
            </w:r>
          </w:p>
        </w:tc>
        <w:tc>
          <w:tcPr>
            <w:tcW w:w="993" w:type="dxa"/>
            <w:vMerge w:val="restart"/>
            <w:tcBorders>
              <w:top w:val="single" w:color="auto" w:sz="4" w:space="0"/>
              <w:bottom w:val="single" w:color="auto" w:sz="4" w:space="0"/>
            </w:tcBorders>
            <w:vAlign w:val="center"/>
          </w:tcPr>
          <w:p w14:paraId="1E80CBF9">
            <w:pPr>
              <w:pStyle w:val="64"/>
            </w:pPr>
            <w:r>
              <w:rPr>
                <w:rFonts w:hint="eastAsia"/>
              </w:rPr>
              <w:t>904</w:t>
            </w:r>
          </w:p>
        </w:tc>
        <w:tc>
          <w:tcPr>
            <w:tcW w:w="992" w:type="dxa"/>
            <w:vMerge w:val="restart"/>
            <w:tcBorders>
              <w:top w:val="single" w:color="auto" w:sz="4" w:space="0"/>
              <w:bottom w:val="single" w:color="auto" w:sz="4" w:space="0"/>
            </w:tcBorders>
            <w:vAlign w:val="center"/>
          </w:tcPr>
          <w:p w14:paraId="4E1DD537">
            <w:pPr>
              <w:pStyle w:val="64"/>
            </w:pPr>
            <w:r>
              <w:rPr>
                <w:rFonts w:hint="eastAsia"/>
              </w:rPr>
              <w:t>58</w:t>
            </w:r>
          </w:p>
        </w:tc>
        <w:tc>
          <w:tcPr>
            <w:tcW w:w="1411" w:type="dxa"/>
            <w:tcBorders>
              <w:top w:val="single" w:color="auto" w:sz="4" w:space="0"/>
              <w:bottom w:val="single" w:color="auto" w:sz="4" w:space="0"/>
            </w:tcBorders>
            <w:vAlign w:val="center"/>
          </w:tcPr>
          <w:p w14:paraId="69897CF0">
            <w:pPr>
              <w:pStyle w:val="64"/>
              <w:rPr>
                <w:bCs/>
                <w:lang w:bidi="ar"/>
              </w:rPr>
            </w:pPr>
            <w:r>
              <w:rPr>
                <w:lang w:bidi="ar"/>
              </w:rPr>
              <w:t>酚类</w:t>
            </w:r>
          </w:p>
        </w:tc>
        <w:tc>
          <w:tcPr>
            <w:tcW w:w="1099" w:type="dxa"/>
            <w:tcBorders>
              <w:top w:val="single" w:color="auto" w:sz="4" w:space="0"/>
              <w:bottom w:val="single" w:color="auto" w:sz="4" w:space="0"/>
            </w:tcBorders>
            <w:vAlign w:val="center"/>
          </w:tcPr>
          <w:p w14:paraId="5A8AFAD9">
            <w:pPr>
              <w:pStyle w:val="64"/>
              <w:rPr>
                <w:lang w:bidi="ar"/>
              </w:rPr>
            </w:pPr>
            <w:r>
              <w:rPr>
                <w:lang w:bidi="ar"/>
              </w:rPr>
              <w:t>0.010</w:t>
            </w:r>
          </w:p>
        </w:tc>
        <w:tc>
          <w:tcPr>
            <w:tcW w:w="991" w:type="dxa"/>
            <w:tcBorders>
              <w:top w:val="single" w:color="auto" w:sz="4" w:space="0"/>
              <w:bottom w:val="single" w:color="auto" w:sz="4" w:space="0"/>
            </w:tcBorders>
            <w:vAlign w:val="center"/>
          </w:tcPr>
          <w:p w14:paraId="20C633BF">
            <w:pPr>
              <w:pStyle w:val="64"/>
              <w:rPr>
                <w:lang w:bidi="ar"/>
              </w:rPr>
            </w:pPr>
            <w:r>
              <w:rPr>
                <w:rFonts w:hint="eastAsia"/>
                <w:lang w:bidi="ar"/>
              </w:rPr>
              <w:t>0</w:t>
            </w:r>
            <w:r>
              <w:rPr>
                <w:lang w:bidi="ar"/>
              </w:rPr>
              <w:t>.0014</w:t>
            </w:r>
          </w:p>
        </w:tc>
        <w:tc>
          <w:tcPr>
            <w:tcW w:w="1246" w:type="dxa"/>
            <w:vMerge w:val="restart"/>
            <w:tcBorders>
              <w:top w:val="single" w:color="auto" w:sz="4" w:space="0"/>
              <w:bottom w:val="single" w:color="auto" w:sz="4" w:space="0"/>
            </w:tcBorders>
            <w:vAlign w:val="center"/>
          </w:tcPr>
          <w:p w14:paraId="6EBBE2DA">
            <w:pPr>
              <w:pStyle w:val="64"/>
            </w:pPr>
            <w:r>
              <w:t>18</w:t>
            </w:r>
          </w:p>
        </w:tc>
        <w:tc>
          <w:tcPr>
            <w:tcW w:w="1104" w:type="dxa"/>
            <w:vMerge w:val="restart"/>
            <w:tcBorders>
              <w:top w:val="single" w:color="auto" w:sz="4" w:space="0"/>
              <w:bottom w:val="single" w:color="auto" w:sz="4" w:space="0"/>
            </w:tcBorders>
            <w:vAlign w:val="center"/>
          </w:tcPr>
          <w:p w14:paraId="38FAB570">
            <w:pPr>
              <w:pStyle w:val="64"/>
            </w:pPr>
            <w:r>
              <w:rPr>
                <w:rFonts w:hint="eastAsia"/>
              </w:rPr>
              <w:t>100</w:t>
            </w:r>
          </w:p>
        </w:tc>
        <w:tc>
          <w:tcPr>
            <w:tcW w:w="1101" w:type="dxa"/>
            <w:vMerge w:val="restart"/>
            <w:tcBorders>
              <w:top w:val="single" w:color="auto" w:sz="4" w:space="0"/>
              <w:bottom w:val="single" w:color="auto" w:sz="4" w:space="0"/>
            </w:tcBorders>
            <w:vAlign w:val="center"/>
          </w:tcPr>
          <w:p w14:paraId="050F676D">
            <w:pPr>
              <w:pStyle w:val="64"/>
            </w:pPr>
            <w:r>
              <w:rPr>
                <w:rFonts w:hint="eastAsia"/>
              </w:rPr>
              <w:t>50</w:t>
            </w:r>
          </w:p>
        </w:tc>
        <w:tc>
          <w:tcPr>
            <w:tcW w:w="1342" w:type="dxa"/>
            <w:vMerge w:val="restart"/>
            <w:tcBorders>
              <w:top w:val="single" w:color="auto" w:sz="4" w:space="0"/>
              <w:bottom w:val="single" w:color="auto" w:sz="4" w:space="0"/>
            </w:tcBorders>
            <w:vAlign w:val="center"/>
          </w:tcPr>
          <w:p w14:paraId="3AFF7CFE">
            <w:pPr>
              <w:pStyle w:val="64"/>
            </w:pPr>
            <w:r>
              <w:rPr>
                <w:rFonts w:hint="eastAsia"/>
              </w:rPr>
              <w:t>0</w:t>
            </w:r>
          </w:p>
        </w:tc>
        <w:tc>
          <w:tcPr>
            <w:tcW w:w="1544" w:type="dxa"/>
            <w:vMerge w:val="restart"/>
            <w:tcBorders>
              <w:top w:val="single" w:color="auto" w:sz="4" w:space="0"/>
              <w:bottom w:val="single" w:color="auto" w:sz="4" w:space="0"/>
            </w:tcBorders>
            <w:vAlign w:val="center"/>
          </w:tcPr>
          <w:p w14:paraId="766ADF2E">
            <w:pPr>
              <w:pStyle w:val="64"/>
            </w:pPr>
            <w:r>
              <w:rPr>
                <w:rFonts w:hint="eastAsia"/>
              </w:rPr>
              <w:t>1</w:t>
            </w:r>
            <w:r>
              <w:t>0</w:t>
            </w:r>
          </w:p>
        </w:tc>
        <w:tc>
          <w:tcPr>
            <w:tcW w:w="1040" w:type="dxa"/>
            <w:vMerge w:val="restart"/>
            <w:tcBorders>
              <w:top w:val="single" w:color="auto" w:sz="4" w:space="0"/>
              <w:bottom w:val="single" w:color="auto" w:sz="4" w:space="0"/>
              <w:right w:val="single" w:color="auto" w:sz="4" w:space="0"/>
            </w:tcBorders>
            <w:vAlign w:val="center"/>
          </w:tcPr>
          <w:p w14:paraId="7D00EFC7">
            <w:pPr>
              <w:pStyle w:val="64"/>
            </w:pPr>
            <w:r>
              <w:rPr>
                <w:rFonts w:hint="eastAsia"/>
              </w:rPr>
              <w:t>72</w:t>
            </w:r>
            <w:r>
              <w:t>00</w:t>
            </w:r>
          </w:p>
        </w:tc>
      </w:tr>
      <w:tr w14:paraId="27903F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29" w:type="dxa"/>
            <w:vMerge w:val="continue"/>
            <w:tcBorders>
              <w:top w:val="single" w:color="auto" w:sz="4" w:space="0"/>
              <w:left w:val="single" w:color="auto" w:sz="4" w:space="0"/>
              <w:bottom w:val="single" w:color="auto" w:sz="4" w:space="0"/>
            </w:tcBorders>
            <w:vAlign w:val="center"/>
          </w:tcPr>
          <w:p w14:paraId="7B39D431">
            <w:pPr>
              <w:pStyle w:val="64"/>
              <w:rPr>
                <w:lang w:bidi="ar"/>
              </w:rPr>
            </w:pPr>
          </w:p>
        </w:tc>
        <w:tc>
          <w:tcPr>
            <w:tcW w:w="993" w:type="dxa"/>
            <w:vMerge w:val="continue"/>
            <w:tcBorders>
              <w:top w:val="single" w:color="auto" w:sz="4" w:space="0"/>
              <w:bottom w:val="single" w:color="auto" w:sz="4" w:space="0"/>
            </w:tcBorders>
            <w:vAlign w:val="center"/>
          </w:tcPr>
          <w:p w14:paraId="748E5854">
            <w:pPr>
              <w:pStyle w:val="64"/>
            </w:pPr>
          </w:p>
        </w:tc>
        <w:tc>
          <w:tcPr>
            <w:tcW w:w="992" w:type="dxa"/>
            <w:vMerge w:val="continue"/>
            <w:tcBorders>
              <w:top w:val="single" w:color="auto" w:sz="4" w:space="0"/>
              <w:bottom w:val="single" w:color="auto" w:sz="4" w:space="0"/>
            </w:tcBorders>
            <w:vAlign w:val="center"/>
          </w:tcPr>
          <w:p w14:paraId="13DF8A86">
            <w:pPr>
              <w:pStyle w:val="64"/>
            </w:pPr>
          </w:p>
        </w:tc>
        <w:tc>
          <w:tcPr>
            <w:tcW w:w="1411" w:type="dxa"/>
            <w:tcBorders>
              <w:top w:val="single" w:color="auto" w:sz="4" w:space="0"/>
              <w:bottom w:val="single" w:color="auto" w:sz="4" w:space="0"/>
            </w:tcBorders>
            <w:vAlign w:val="center"/>
          </w:tcPr>
          <w:p w14:paraId="01D201D6">
            <w:pPr>
              <w:pStyle w:val="64"/>
              <w:rPr>
                <w:bCs/>
                <w:lang w:bidi="ar"/>
              </w:rPr>
            </w:pPr>
            <w:r>
              <w:rPr>
                <w:lang w:bidi="ar"/>
              </w:rPr>
              <w:t>非甲烷总烃</w:t>
            </w:r>
          </w:p>
        </w:tc>
        <w:tc>
          <w:tcPr>
            <w:tcW w:w="1099" w:type="dxa"/>
            <w:tcBorders>
              <w:top w:val="single" w:color="auto" w:sz="4" w:space="0"/>
              <w:bottom w:val="single" w:color="auto" w:sz="4" w:space="0"/>
            </w:tcBorders>
            <w:vAlign w:val="center"/>
          </w:tcPr>
          <w:p w14:paraId="709D2955">
            <w:pPr>
              <w:pStyle w:val="64"/>
              <w:rPr>
                <w:lang w:bidi="ar"/>
              </w:rPr>
            </w:pPr>
            <w:r>
              <w:rPr>
                <w:rFonts w:hint="eastAsia"/>
                <w:lang w:bidi="ar"/>
              </w:rPr>
              <w:t>0</w:t>
            </w:r>
            <w:r>
              <w:rPr>
                <w:lang w:bidi="ar"/>
              </w:rPr>
              <w:t>.</w:t>
            </w:r>
            <w:r>
              <w:rPr>
                <w:rFonts w:hint="eastAsia"/>
                <w:lang w:bidi="ar"/>
              </w:rPr>
              <w:t>0</w:t>
            </w:r>
            <w:r>
              <w:rPr>
                <w:lang w:bidi="ar"/>
              </w:rPr>
              <w:t>14</w:t>
            </w:r>
          </w:p>
        </w:tc>
        <w:tc>
          <w:tcPr>
            <w:tcW w:w="991" w:type="dxa"/>
            <w:tcBorders>
              <w:top w:val="single" w:color="auto" w:sz="4" w:space="0"/>
              <w:bottom w:val="single" w:color="auto" w:sz="4" w:space="0"/>
            </w:tcBorders>
            <w:vAlign w:val="center"/>
          </w:tcPr>
          <w:p w14:paraId="5847A3BB">
            <w:pPr>
              <w:pStyle w:val="64"/>
              <w:rPr>
                <w:lang w:bidi="ar"/>
              </w:rPr>
            </w:pPr>
            <w:r>
              <w:rPr>
                <w:rFonts w:hint="eastAsia"/>
                <w:lang w:bidi="ar"/>
              </w:rPr>
              <w:t>0</w:t>
            </w:r>
            <w:r>
              <w:rPr>
                <w:lang w:bidi="ar"/>
              </w:rPr>
              <w:t>.0019</w:t>
            </w:r>
          </w:p>
        </w:tc>
        <w:tc>
          <w:tcPr>
            <w:tcW w:w="1246" w:type="dxa"/>
            <w:vMerge w:val="continue"/>
            <w:tcBorders>
              <w:top w:val="single" w:color="auto" w:sz="4" w:space="0"/>
              <w:bottom w:val="single" w:color="auto" w:sz="4" w:space="0"/>
            </w:tcBorders>
            <w:vAlign w:val="center"/>
          </w:tcPr>
          <w:p w14:paraId="4F612575">
            <w:pPr>
              <w:tabs>
                <w:tab w:val="left" w:pos="995"/>
              </w:tabs>
              <w:adjustRightInd w:val="0"/>
              <w:jc w:val="center"/>
              <w:rPr>
                <w:kern w:val="0"/>
                <w:sz w:val="18"/>
                <w:szCs w:val="18"/>
              </w:rPr>
            </w:pPr>
          </w:p>
        </w:tc>
        <w:tc>
          <w:tcPr>
            <w:tcW w:w="1104" w:type="dxa"/>
            <w:vMerge w:val="continue"/>
            <w:tcBorders>
              <w:top w:val="single" w:color="auto" w:sz="4" w:space="0"/>
              <w:bottom w:val="single" w:color="auto" w:sz="4" w:space="0"/>
            </w:tcBorders>
            <w:vAlign w:val="center"/>
          </w:tcPr>
          <w:p w14:paraId="5CE6E241">
            <w:pPr>
              <w:tabs>
                <w:tab w:val="left" w:pos="995"/>
              </w:tabs>
              <w:adjustRightInd w:val="0"/>
              <w:jc w:val="center"/>
              <w:rPr>
                <w:kern w:val="0"/>
                <w:sz w:val="18"/>
                <w:szCs w:val="18"/>
              </w:rPr>
            </w:pPr>
          </w:p>
        </w:tc>
        <w:tc>
          <w:tcPr>
            <w:tcW w:w="1101" w:type="dxa"/>
            <w:vMerge w:val="continue"/>
            <w:tcBorders>
              <w:top w:val="single" w:color="auto" w:sz="4" w:space="0"/>
              <w:bottom w:val="single" w:color="auto" w:sz="4" w:space="0"/>
            </w:tcBorders>
            <w:vAlign w:val="center"/>
          </w:tcPr>
          <w:p w14:paraId="2082AEE8">
            <w:pPr>
              <w:tabs>
                <w:tab w:val="left" w:pos="995"/>
              </w:tabs>
              <w:adjustRightInd w:val="0"/>
              <w:jc w:val="center"/>
              <w:rPr>
                <w:kern w:val="0"/>
                <w:sz w:val="18"/>
                <w:szCs w:val="18"/>
              </w:rPr>
            </w:pPr>
          </w:p>
        </w:tc>
        <w:tc>
          <w:tcPr>
            <w:tcW w:w="1342" w:type="dxa"/>
            <w:vMerge w:val="continue"/>
            <w:tcBorders>
              <w:top w:val="single" w:color="auto" w:sz="4" w:space="0"/>
              <w:bottom w:val="single" w:color="auto" w:sz="4" w:space="0"/>
            </w:tcBorders>
            <w:vAlign w:val="center"/>
          </w:tcPr>
          <w:p w14:paraId="507CC535">
            <w:pPr>
              <w:tabs>
                <w:tab w:val="left" w:pos="995"/>
              </w:tabs>
              <w:adjustRightInd w:val="0"/>
              <w:jc w:val="center"/>
              <w:rPr>
                <w:kern w:val="0"/>
                <w:sz w:val="18"/>
                <w:szCs w:val="18"/>
              </w:rPr>
            </w:pPr>
          </w:p>
        </w:tc>
        <w:tc>
          <w:tcPr>
            <w:tcW w:w="1544" w:type="dxa"/>
            <w:vMerge w:val="continue"/>
            <w:tcBorders>
              <w:top w:val="single" w:color="auto" w:sz="4" w:space="0"/>
              <w:bottom w:val="single" w:color="auto" w:sz="4" w:space="0"/>
            </w:tcBorders>
            <w:vAlign w:val="center"/>
          </w:tcPr>
          <w:p w14:paraId="5DA674AB">
            <w:pPr>
              <w:tabs>
                <w:tab w:val="left" w:pos="995"/>
              </w:tabs>
              <w:adjustRightInd w:val="0"/>
              <w:jc w:val="center"/>
              <w:rPr>
                <w:kern w:val="0"/>
                <w:sz w:val="18"/>
                <w:szCs w:val="18"/>
              </w:rPr>
            </w:pPr>
          </w:p>
        </w:tc>
        <w:tc>
          <w:tcPr>
            <w:tcW w:w="1040" w:type="dxa"/>
            <w:vMerge w:val="continue"/>
            <w:tcBorders>
              <w:top w:val="single" w:color="auto" w:sz="4" w:space="0"/>
              <w:bottom w:val="single" w:color="auto" w:sz="4" w:space="0"/>
              <w:right w:val="single" w:color="auto" w:sz="4" w:space="0"/>
            </w:tcBorders>
            <w:vAlign w:val="center"/>
          </w:tcPr>
          <w:p w14:paraId="55D6ABF8">
            <w:pPr>
              <w:tabs>
                <w:tab w:val="left" w:pos="995"/>
              </w:tabs>
              <w:adjustRightInd w:val="0"/>
              <w:jc w:val="center"/>
              <w:rPr>
                <w:kern w:val="0"/>
                <w:sz w:val="18"/>
                <w:szCs w:val="18"/>
              </w:rPr>
            </w:pPr>
          </w:p>
        </w:tc>
      </w:tr>
      <w:tr w14:paraId="25BB690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29" w:type="dxa"/>
            <w:vMerge w:val="continue"/>
            <w:tcBorders>
              <w:top w:val="single" w:color="auto" w:sz="4" w:space="0"/>
              <w:left w:val="single" w:color="auto" w:sz="4" w:space="0"/>
              <w:bottom w:val="single" w:color="auto" w:sz="4" w:space="0"/>
            </w:tcBorders>
            <w:vAlign w:val="center"/>
          </w:tcPr>
          <w:p w14:paraId="63EE8A93">
            <w:pPr>
              <w:pStyle w:val="64"/>
              <w:rPr>
                <w:lang w:bidi="ar"/>
              </w:rPr>
            </w:pPr>
          </w:p>
        </w:tc>
        <w:tc>
          <w:tcPr>
            <w:tcW w:w="993" w:type="dxa"/>
            <w:vMerge w:val="continue"/>
            <w:tcBorders>
              <w:top w:val="single" w:color="auto" w:sz="4" w:space="0"/>
              <w:bottom w:val="single" w:color="auto" w:sz="4" w:space="0"/>
            </w:tcBorders>
            <w:vAlign w:val="center"/>
          </w:tcPr>
          <w:p w14:paraId="51471752">
            <w:pPr>
              <w:pStyle w:val="64"/>
            </w:pPr>
          </w:p>
        </w:tc>
        <w:tc>
          <w:tcPr>
            <w:tcW w:w="992" w:type="dxa"/>
            <w:vMerge w:val="continue"/>
            <w:tcBorders>
              <w:top w:val="single" w:color="auto" w:sz="4" w:space="0"/>
              <w:bottom w:val="single" w:color="auto" w:sz="4" w:space="0"/>
            </w:tcBorders>
            <w:vAlign w:val="center"/>
          </w:tcPr>
          <w:p w14:paraId="2F56908A">
            <w:pPr>
              <w:pStyle w:val="64"/>
            </w:pPr>
          </w:p>
        </w:tc>
        <w:tc>
          <w:tcPr>
            <w:tcW w:w="1411" w:type="dxa"/>
            <w:tcBorders>
              <w:top w:val="single" w:color="auto" w:sz="4" w:space="0"/>
              <w:bottom w:val="single" w:color="auto" w:sz="4" w:space="0"/>
            </w:tcBorders>
            <w:vAlign w:val="center"/>
          </w:tcPr>
          <w:p w14:paraId="26F3B941">
            <w:pPr>
              <w:pStyle w:val="64"/>
              <w:rPr>
                <w:bCs/>
                <w:lang w:bidi="ar"/>
              </w:rPr>
            </w:pPr>
            <w:r>
              <w:rPr>
                <w:rFonts w:hint="eastAsia"/>
                <w:bCs/>
                <w:lang w:bidi="ar"/>
              </w:rPr>
              <w:t>硫酸</w:t>
            </w:r>
          </w:p>
        </w:tc>
        <w:tc>
          <w:tcPr>
            <w:tcW w:w="1099" w:type="dxa"/>
            <w:tcBorders>
              <w:top w:val="single" w:color="auto" w:sz="4" w:space="0"/>
              <w:bottom w:val="single" w:color="auto" w:sz="4" w:space="0"/>
            </w:tcBorders>
            <w:vAlign w:val="center"/>
          </w:tcPr>
          <w:p w14:paraId="6F16B226">
            <w:pPr>
              <w:pStyle w:val="64"/>
              <w:rPr>
                <w:lang w:bidi="ar"/>
              </w:rPr>
            </w:pPr>
            <w:r>
              <w:rPr>
                <w:lang w:bidi="ar"/>
              </w:rPr>
              <w:t>0.0</w:t>
            </w:r>
            <w:r>
              <w:rPr>
                <w:rFonts w:hint="eastAsia"/>
                <w:lang w:bidi="ar"/>
              </w:rPr>
              <w:t>0</w:t>
            </w:r>
            <w:r>
              <w:rPr>
                <w:lang w:bidi="ar"/>
              </w:rPr>
              <w:t>26</w:t>
            </w:r>
          </w:p>
        </w:tc>
        <w:tc>
          <w:tcPr>
            <w:tcW w:w="991" w:type="dxa"/>
            <w:tcBorders>
              <w:top w:val="single" w:color="auto" w:sz="4" w:space="0"/>
              <w:bottom w:val="single" w:color="auto" w:sz="4" w:space="0"/>
            </w:tcBorders>
            <w:vAlign w:val="center"/>
          </w:tcPr>
          <w:p w14:paraId="54BD5D34">
            <w:pPr>
              <w:pStyle w:val="64"/>
              <w:rPr>
                <w:lang w:bidi="ar"/>
              </w:rPr>
            </w:pPr>
            <w:r>
              <w:rPr>
                <w:rFonts w:hint="eastAsia"/>
                <w:lang w:bidi="ar"/>
              </w:rPr>
              <w:t>0</w:t>
            </w:r>
            <w:r>
              <w:rPr>
                <w:lang w:bidi="ar"/>
              </w:rPr>
              <w:t>.0036</w:t>
            </w:r>
          </w:p>
        </w:tc>
        <w:tc>
          <w:tcPr>
            <w:tcW w:w="1246" w:type="dxa"/>
            <w:vMerge w:val="continue"/>
            <w:tcBorders>
              <w:top w:val="single" w:color="auto" w:sz="4" w:space="0"/>
              <w:bottom w:val="single" w:color="auto" w:sz="4" w:space="0"/>
            </w:tcBorders>
            <w:vAlign w:val="center"/>
          </w:tcPr>
          <w:p w14:paraId="7FAD8867">
            <w:pPr>
              <w:tabs>
                <w:tab w:val="left" w:pos="995"/>
              </w:tabs>
              <w:adjustRightInd w:val="0"/>
              <w:jc w:val="center"/>
              <w:rPr>
                <w:kern w:val="0"/>
                <w:sz w:val="18"/>
                <w:szCs w:val="18"/>
              </w:rPr>
            </w:pPr>
          </w:p>
        </w:tc>
        <w:tc>
          <w:tcPr>
            <w:tcW w:w="1104" w:type="dxa"/>
            <w:vMerge w:val="continue"/>
            <w:tcBorders>
              <w:top w:val="single" w:color="auto" w:sz="4" w:space="0"/>
              <w:bottom w:val="single" w:color="auto" w:sz="4" w:space="0"/>
            </w:tcBorders>
            <w:vAlign w:val="center"/>
          </w:tcPr>
          <w:p w14:paraId="3F56C291">
            <w:pPr>
              <w:tabs>
                <w:tab w:val="left" w:pos="995"/>
              </w:tabs>
              <w:adjustRightInd w:val="0"/>
              <w:jc w:val="center"/>
              <w:rPr>
                <w:kern w:val="0"/>
                <w:sz w:val="18"/>
                <w:szCs w:val="18"/>
              </w:rPr>
            </w:pPr>
          </w:p>
        </w:tc>
        <w:tc>
          <w:tcPr>
            <w:tcW w:w="1101" w:type="dxa"/>
            <w:vMerge w:val="continue"/>
            <w:tcBorders>
              <w:top w:val="single" w:color="auto" w:sz="4" w:space="0"/>
              <w:bottom w:val="single" w:color="auto" w:sz="4" w:space="0"/>
            </w:tcBorders>
            <w:vAlign w:val="center"/>
          </w:tcPr>
          <w:p w14:paraId="7E7304EC">
            <w:pPr>
              <w:tabs>
                <w:tab w:val="left" w:pos="995"/>
              </w:tabs>
              <w:adjustRightInd w:val="0"/>
              <w:jc w:val="center"/>
              <w:rPr>
                <w:kern w:val="0"/>
                <w:sz w:val="18"/>
                <w:szCs w:val="18"/>
              </w:rPr>
            </w:pPr>
          </w:p>
        </w:tc>
        <w:tc>
          <w:tcPr>
            <w:tcW w:w="1342" w:type="dxa"/>
            <w:vMerge w:val="continue"/>
            <w:tcBorders>
              <w:top w:val="single" w:color="auto" w:sz="4" w:space="0"/>
              <w:bottom w:val="single" w:color="auto" w:sz="4" w:space="0"/>
            </w:tcBorders>
            <w:vAlign w:val="center"/>
          </w:tcPr>
          <w:p w14:paraId="1D90C02E">
            <w:pPr>
              <w:tabs>
                <w:tab w:val="left" w:pos="995"/>
              </w:tabs>
              <w:adjustRightInd w:val="0"/>
              <w:jc w:val="center"/>
              <w:rPr>
                <w:kern w:val="0"/>
                <w:sz w:val="18"/>
                <w:szCs w:val="18"/>
              </w:rPr>
            </w:pPr>
          </w:p>
        </w:tc>
        <w:tc>
          <w:tcPr>
            <w:tcW w:w="1544" w:type="dxa"/>
            <w:vMerge w:val="continue"/>
            <w:tcBorders>
              <w:top w:val="single" w:color="auto" w:sz="4" w:space="0"/>
              <w:bottom w:val="single" w:color="auto" w:sz="4" w:space="0"/>
            </w:tcBorders>
            <w:vAlign w:val="center"/>
          </w:tcPr>
          <w:p w14:paraId="552974A9">
            <w:pPr>
              <w:tabs>
                <w:tab w:val="left" w:pos="995"/>
              </w:tabs>
              <w:adjustRightInd w:val="0"/>
              <w:jc w:val="center"/>
              <w:rPr>
                <w:kern w:val="0"/>
                <w:sz w:val="18"/>
                <w:szCs w:val="18"/>
              </w:rPr>
            </w:pPr>
          </w:p>
        </w:tc>
        <w:tc>
          <w:tcPr>
            <w:tcW w:w="1040" w:type="dxa"/>
            <w:vMerge w:val="continue"/>
            <w:tcBorders>
              <w:top w:val="single" w:color="auto" w:sz="4" w:space="0"/>
              <w:bottom w:val="single" w:color="auto" w:sz="4" w:space="0"/>
              <w:right w:val="single" w:color="auto" w:sz="4" w:space="0"/>
            </w:tcBorders>
            <w:vAlign w:val="center"/>
          </w:tcPr>
          <w:p w14:paraId="326D49F7">
            <w:pPr>
              <w:tabs>
                <w:tab w:val="left" w:pos="995"/>
              </w:tabs>
              <w:adjustRightInd w:val="0"/>
              <w:jc w:val="center"/>
              <w:rPr>
                <w:kern w:val="0"/>
                <w:sz w:val="18"/>
                <w:szCs w:val="18"/>
              </w:rPr>
            </w:pPr>
          </w:p>
        </w:tc>
      </w:tr>
    </w:tbl>
    <w:p w14:paraId="21B88197">
      <w:pPr>
        <w:spacing w:line="240" w:lineRule="auto"/>
        <w:rPr>
          <w:rFonts w:hint="eastAsia" w:ascii="黑体" w:hAnsi="黑体" w:eastAsia="黑体"/>
          <w:sz w:val="21"/>
          <w:szCs w:val="21"/>
        </w:rPr>
      </w:pPr>
      <w:r>
        <w:rPr>
          <w:rFonts w:hint="eastAsia" w:ascii="黑体" w:hAnsi="黑体" w:eastAsia="黑体"/>
          <w:sz w:val="21"/>
          <w:szCs w:val="21"/>
        </w:rPr>
        <w:t>注：本项目为技改项目，技改后现有项目停止排放污染物，因此将现有项目污染源作为拟被替代的污染源进行大气环境影响评价预测。</w:t>
      </w:r>
    </w:p>
    <w:p w14:paraId="3E504E1B"/>
    <w:p w14:paraId="29D129E4">
      <w:pPr>
        <w:pStyle w:val="28"/>
        <w:rPr>
          <w:rFonts w:hint="eastAsia"/>
          <w:szCs w:val="22"/>
        </w:rPr>
      </w:pPr>
      <w:r>
        <w:rPr>
          <w:szCs w:val="22"/>
        </w:rPr>
        <w:t>表</w:t>
      </w:r>
      <w:r>
        <w:rPr>
          <w:rFonts w:hint="eastAsia"/>
          <w:szCs w:val="22"/>
        </w:rPr>
        <w:t xml:space="preserve">6.2-14 </w:t>
      </w:r>
      <w:r>
        <w:rPr>
          <w:szCs w:val="22"/>
        </w:rPr>
        <w:t xml:space="preserve"> </w:t>
      </w:r>
      <w:r>
        <w:rPr>
          <w:rFonts w:hint="eastAsia"/>
        </w:rPr>
        <w:t>评价范围内其他拟建、在建项目</w:t>
      </w:r>
      <w:r>
        <w:t>废气污染源参数一览表</w:t>
      </w:r>
    </w:p>
    <w:tbl>
      <w:tblPr>
        <w:tblStyle w:val="3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776"/>
        <w:gridCol w:w="1032"/>
        <w:gridCol w:w="1206"/>
        <w:gridCol w:w="1373"/>
        <w:gridCol w:w="1547"/>
        <w:gridCol w:w="1891"/>
        <w:gridCol w:w="859"/>
        <w:gridCol w:w="2534"/>
      </w:tblGrid>
      <w:tr w14:paraId="4871AD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28" w:type="pct"/>
            <w:vMerge w:val="restart"/>
            <w:vAlign w:val="center"/>
          </w:tcPr>
          <w:p w14:paraId="5840DFA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14:ligatures w14:val="none"/>
              </w:rPr>
              <w:t>项目名称</w:t>
            </w:r>
          </w:p>
        </w:tc>
        <w:tc>
          <w:tcPr>
            <w:tcW w:w="363" w:type="pct"/>
            <w:vMerge w:val="restart"/>
            <w:vAlign w:val="center"/>
          </w:tcPr>
          <w:p w14:paraId="4BCFE81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14:ligatures w14:val="none"/>
              </w:rPr>
              <w:t>编号</w:t>
            </w:r>
          </w:p>
        </w:tc>
        <w:tc>
          <w:tcPr>
            <w:tcW w:w="1451" w:type="pct"/>
            <w:gridSpan w:val="3"/>
            <w:vAlign w:val="center"/>
          </w:tcPr>
          <w:p w14:paraId="0208D5C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14:ligatures w14:val="none"/>
              </w:rPr>
              <w:t>排气筒</w:t>
            </w:r>
            <w:r>
              <w:rPr>
                <w:rFonts w:hint="eastAsia" w:ascii="Times New Roman" w:hAnsi="Times New Roman" w:cs="Times New Roman"/>
                <w:color w:val="000000" w:themeColor="text1"/>
                <w:sz w:val="21"/>
                <w:szCs w:val="21"/>
                <w14:textFill>
                  <w14:solidFill>
                    <w14:schemeClr w14:val="tx1"/>
                  </w14:solidFill>
                </w14:textFill>
                <w14:ligatures w14:val="none"/>
              </w:rPr>
              <w:t>参数</w:t>
            </w:r>
          </w:p>
        </w:tc>
        <w:tc>
          <w:tcPr>
            <w:tcW w:w="665" w:type="pct"/>
            <w:vMerge w:val="restart"/>
            <w:vAlign w:val="center"/>
          </w:tcPr>
          <w:p w14:paraId="27FE68C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14:ligatures w14:val="none"/>
              </w:rPr>
              <w:t>年排放小时数(h)</w:t>
            </w:r>
          </w:p>
        </w:tc>
        <w:tc>
          <w:tcPr>
            <w:tcW w:w="302" w:type="pct"/>
            <w:vMerge w:val="restart"/>
            <w:vAlign w:val="center"/>
          </w:tcPr>
          <w:p w14:paraId="660624D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14:ligatures w14:val="none"/>
              </w:rPr>
              <w:t>排放工况</w:t>
            </w:r>
          </w:p>
        </w:tc>
        <w:tc>
          <w:tcPr>
            <w:tcW w:w="891" w:type="pct"/>
            <w:vMerge w:val="restart"/>
            <w:vAlign w:val="center"/>
          </w:tcPr>
          <w:p w14:paraId="14C0EDD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14:ligatures w14:val="none"/>
              </w:rPr>
              <w:t>污染物排放速率(kg/h)</w:t>
            </w:r>
          </w:p>
        </w:tc>
      </w:tr>
      <w:tr w14:paraId="57977D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28" w:type="pct"/>
            <w:vMerge w:val="continue"/>
            <w:vAlign w:val="center"/>
          </w:tcPr>
          <w:p w14:paraId="4C1B962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p>
        </w:tc>
        <w:tc>
          <w:tcPr>
            <w:tcW w:w="363" w:type="pct"/>
            <w:vMerge w:val="continue"/>
            <w:vAlign w:val="center"/>
          </w:tcPr>
          <w:p w14:paraId="595CE64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p>
        </w:tc>
        <w:tc>
          <w:tcPr>
            <w:tcW w:w="424" w:type="pct"/>
            <w:vAlign w:val="center"/>
          </w:tcPr>
          <w:p w14:paraId="5BFC33B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14:ligatures w14:val="none"/>
              </w:rPr>
              <w:t>高度(m)</w:t>
            </w:r>
          </w:p>
        </w:tc>
        <w:tc>
          <w:tcPr>
            <w:tcW w:w="483" w:type="pct"/>
            <w:vAlign w:val="center"/>
          </w:tcPr>
          <w:p w14:paraId="755A186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14:ligatures w14:val="none"/>
              </w:rPr>
              <w:t>内径(m)</w:t>
            </w:r>
          </w:p>
        </w:tc>
        <w:tc>
          <w:tcPr>
            <w:tcW w:w="544" w:type="pct"/>
            <w:vAlign w:val="center"/>
          </w:tcPr>
          <w:p w14:paraId="1C67F8F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14:ligatures w14:val="none"/>
              </w:rPr>
              <w:t>风量(m</w:t>
            </w:r>
            <w:r>
              <w:rPr>
                <w:rFonts w:ascii="Times New Roman" w:hAnsi="Times New Roman" w:cs="Times New Roman"/>
                <w:color w:val="000000" w:themeColor="text1"/>
                <w:sz w:val="21"/>
                <w:szCs w:val="21"/>
                <w:vertAlign w:val="superscript"/>
                <w14:textFill>
                  <w14:solidFill>
                    <w14:schemeClr w14:val="tx1"/>
                  </w14:solidFill>
                </w14:textFill>
                <w14:ligatures w14:val="none"/>
              </w:rPr>
              <w:t>3</w:t>
            </w:r>
            <w:r>
              <w:rPr>
                <w:rFonts w:ascii="Times New Roman" w:hAnsi="Times New Roman" w:cs="Times New Roman"/>
                <w:color w:val="000000" w:themeColor="text1"/>
                <w:sz w:val="21"/>
                <w:szCs w:val="21"/>
                <w14:textFill>
                  <w14:solidFill>
                    <w14:schemeClr w14:val="tx1"/>
                  </w14:solidFill>
                </w14:textFill>
                <w14:ligatures w14:val="none"/>
              </w:rPr>
              <w:t>/h)</w:t>
            </w:r>
          </w:p>
        </w:tc>
        <w:tc>
          <w:tcPr>
            <w:tcW w:w="665" w:type="pct"/>
            <w:vMerge w:val="continue"/>
            <w:vAlign w:val="center"/>
          </w:tcPr>
          <w:p w14:paraId="5BC7272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p>
        </w:tc>
        <w:tc>
          <w:tcPr>
            <w:tcW w:w="302" w:type="pct"/>
            <w:vMerge w:val="continue"/>
            <w:vAlign w:val="center"/>
          </w:tcPr>
          <w:p w14:paraId="02369E1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p>
        </w:tc>
        <w:tc>
          <w:tcPr>
            <w:tcW w:w="891" w:type="pct"/>
            <w:vMerge w:val="continue"/>
            <w:vAlign w:val="center"/>
          </w:tcPr>
          <w:p w14:paraId="045BFA2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p>
        </w:tc>
      </w:tr>
      <w:tr w14:paraId="686F01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28" w:type="pct"/>
            <w:vMerge w:val="restart"/>
            <w:vAlign w:val="center"/>
          </w:tcPr>
          <w:p w14:paraId="69BD8E2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14:ligatures w14:val="none"/>
              </w:rPr>
              <w:t>安徽海华科技集团有限公司薄荷醇优化技改项目</w:t>
            </w:r>
          </w:p>
        </w:tc>
        <w:tc>
          <w:tcPr>
            <w:tcW w:w="363" w:type="pct"/>
            <w:vAlign w:val="center"/>
          </w:tcPr>
          <w:p w14:paraId="2803A58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14:ligatures w14:val="none"/>
              </w:rPr>
              <w:t>DA019</w:t>
            </w:r>
          </w:p>
        </w:tc>
        <w:tc>
          <w:tcPr>
            <w:tcW w:w="424" w:type="pct"/>
            <w:vAlign w:val="center"/>
          </w:tcPr>
          <w:p w14:paraId="2EF1A50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14:ligatures w14:val="none"/>
              </w:rPr>
              <w:t>20</w:t>
            </w:r>
          </w:p>
        </w:tc>
        <w:tc>
          <w:tcPr>
            <w:tcW w:w="483" w:type="pct"/>
            <w:vAlign w:val="center"/>
          </w:tcPr>
          <w:p w14:paraId="0753C7F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14:ligatures w14:val="none"/>
              </w:rPr>
              <w:t>1</w:t>
            </w:r>
          </w:p>
        </w:tc>
        <w:tc>
          <w:tcPr>
            <w:tcW w:w="544" w:type="pct"/>
            <w:vAlign w:val="center"/>
          </w:tcPr>
          <w:p w14:paraId="342C30B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14:ligatures w14:val="none"/>
              </w:rPr>
              <w:t>11000</w:t>
            </w:r>
          </w:p>
        </w:tc>
        <w:tc>
          <w:tcPr>
            <w:tcW w:w="665" w:type="pct"/>
            <w:vAlign w:val="center"/>
          </w:tcPr>
          <w:p w14:paraId="1E54D2D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14:ligatures w14:val="none"/>
              </w:rPr>
              <w:t>7200</w:t>
            </w:r>
          </w:p>
        </w:tc>
        <w:tc>
          <w:tcPr>
            <w:tcW w:w="302" w:type="pct"/>
            <w:vAlign w:val="center"/>
          </w:tcPr>
          <w:p w14:paraId="3729421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14:ligatures w14:val="none"/>
              </w:rPr>
              <w:t>连续</w:t>
            </w:r>
          </w:p>
        </w:tc>
        <w:tc>
          <w:tcPr>
            <w:tcW w:w="891" w:type="pct"/>
            <w:vAlign w:val="center"/>
          </w:tcPr>
          <w:p w14:paraId="44D9713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14:ligatures w14:val="none"/>
              </w:rPr>
              <w:t>酚类：0.06</w:t>
            </w:r>
          </w:p>
          <w:p w14:paraId="64D8B39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hint="eastAsia" w:ascii="Times New Roman" w:hAnsi="Times New Roman" w:cs="Times New Roman"/>
                <w:color w:val="000000" w:themeColor="text1"/>
                <w:sz w:val="21"/>
                <w:szCs w:val="21"/>
                <w14:textFill>
                  <w14:solidFill>
                    <w14:schemeClr w14:val="tx1"/>
                  </w14:solidFill>
                </w14:textFill>
              </w:rPr>
              <w:t>非甲烷总烃</w:t>
            </w:r>
            <w:r>
              <w:rPr>
                <w:rFonts w:ascii="Times New Roman" w:hAnsi="Times New Roman" w:cs="Times New Roman"/>
                <w:color w:val="000000" w:themeColor="text1"/>
                <w:sz w:val="21"/>
                <w:szCs w:val="21"/>
                <w14:textFill>
                  <w14:solidFill>
                    <w14:schemeClr w14:val="tx1"/>
                  </w14:solidFill>
                </w14:textFill>
                <w14:ligatures w14:val="none"/>
              </w:rPr>
              <w:t>：0.690</w:t>
            </w:r>
          </w:p>
        </w:tc>
      </w:tr>
      <w:tr w14:paraId="608ACC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28" w:type="pct"/>
            <w:vMerge w:val="continue"/>
            <w:vAlign w:val="center"/>
          </w:tcPr>
          <w:p w14:paraId="05947EF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p>
        </w:tc>
        <w:tc>
          <w:tcPr>
            <w:tcW w:w="363" w:type="pct"/>
            <w:vAlign w:val="center"/>
          </w:tcPr>
          <w:p w14:paraId="2CD7A15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14:ligatures w14:val="none"/>
              </w:rPr>
              <w:t>DA020</w:t>
            </w:r>
          </w:p>
        </w:tc>
        <w:tc>
          <w:tcPr>
            <w:tcW w:w="424" w:type="pct"/>
            <w:vAlign w:val="center"/>
          </w:tcPr>
          <w:p w14:paraId="6754AD9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14:ligatures w14:val="none"/>
              </w:rPr>
              <w:t>15</w:t>
            </w:r>
          </w:p>
        </w:tc>
        <w:tc>
          <w:tcPr>
            <w:tcW w:w="483" w:type="pct"/>
            <w:vAlign w:val="center"/>
          </w:tcPr>
          <w:p w14:paraId="36945BC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14:ligatures w14:val="none"/>
              </w:rPr>
              <w:t>2</w:t>
            </w:r>
          </w:p>
        </w:tc>
        <w:tc>
          <w:tcPr>
            <w:tcW w:w="544" w:type="pct"/>
            <w:vAlign w:val="center"/>
          </w:tcPr>
          <w:p w14:paraId="7492175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14:ligatures w14:val="none"/>
              </w:rPr>
              <w:t>25000</w:t>
            </w:r>
          </w:p>
        </w:tc>
        <w:tc>
          <w:tcPr>
            <w:tcW w:w="665" w:type="pct"/>
            <w:vAlign w:val="center"/>
          </w:tcPr>
          <w:p w14:paraId="239759D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14:ligatures w14:val="none"/>
              </w:rPr>
              <w:t>2400</w:t>
            </w:r>
          </w:p>
        </w:tc>
        <w:tc>
          <w:tcPr>
            <w:tcW w:w="302" w:type="pct"/>
            <w:vAlign w:val="center"/>
          </w:tcPr>
          <w:p w14:paraId="005DC40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14:ligatures w14:val="none"/>
              </w:rPr>
              <w:t>连续</w:t>
            </w:r>
          </w:p>
        </w:tc>
        <w:tc>
          <w:tcPr>
            <w:tcW w:w="891" w:type="pct"/>
            <w:vAlign w:val="center"/>
          </w:tcPr>
          <w:p w14:paraId="2836FCB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hint="eastAsia" w:ascii="Times New Roman" w:hAnsi="Times New Roman" w:cs="Times New Roman"/>
                <w:color w:val="000000" w:themeColor="text1"/>
                <w:sz w:val="21"/>
                <w:szCs w:val="21"/>
                <w14:textFill>
                  <w14:solidFill>
                    <w14:schemeClr w14:val="tx1"/>
                  </w14:solidFill>
                </w14:textFill>
              </w:rPr>
              <w:t>非甲烷总烃</w:t>
            </w:r>
            <w:r>
              <w:rPr>
                <w:rFonts w:ascii="Times New Roman" w:hAnsi="Times New Roman" w:cs="Times New Roman"/>
                <w:color w:val="000000" w:themeColor="text1"/>
                <w:sz w:val="21"/>
                <w:szCs w:val="21"/>
                <w14:textFill>
                  <w14:solidFill>
                    <w14:schemeClr w14:val="tx1"/>
                  </w14:solidFill>
                </w14:textFill>
                <w14:ligatures w14:val="none"/>
              </w:rPr>
              <w:t>：0.738</w:t>
            </w:r>
          </w:p>
        </w:tc>
      </w:tr>
      <w:tr w14:paraId="2A86AF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28" w:type="pct"/>
            <w:vAlign w:val="center"/>
          </w:tcPr>
          <w:p w14:paraId="47D743E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14:ligatures w14:val="none"/>
              </w:rPr>
              <w:t>安徽海华科技集团有限公司</w:t>
            </w:r>
            <w:r>
              <w:rPr>
                <w:rFonts w:hint="eastAsia" w:ascii="Times New Roman" w:hAnsi="Times New Roman" w:cs="Times New Roman"/>
                <w:color w:val="000000" w:themeColor="text1"/>
                <w:sz w:val="21"/>
                <w:szCs w:val="21"/>
                <w14:textFill>
                  <w14:solidFill>
                    <w14:schemeClr w14:val="tx1"/>
                  </w14:solidFill>
                </w14:textFill>
                <w14:ligatures w14:val="none"/>
              </w:rPr>
              <w:t>甲基化合成三甲基苯酚项目</w:t>
            </w:r>
          </w:p>
        </w:tc>
        <w:tc>
          <w:tcPr>
            <w:tcW w:w="363" w:type="pct"/>
            <w:vAlign w:val="center"/>
          </w:tcPr>
          <w:p w14:paraId="2854AB3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hint="eastAsia" w:ascii="Times New Roman" w:hAnsi="Times New Roman" w:cs="Times New Roman"/>
                <w:color w:val="000000" w:themeColor="text1"/>
                <w:sz w:val="21"/>
                <w:szCs w:val="21"/>
                <w14:textFill>
                  <w14:solidFill>
                    <w14:schemeClr w14:val="tx1"/>
                  </w14:solidFill>
                </w14:textFill>
                <w14:ligatures w14:val="none"/>
              </w:rPr>
              <w:t>DA023</w:t>
            </w:r>
          </w:p>
        </w:tc>
        <w:tc>
          <w:tcPr>
            <w:tcW w:w="424" w:type="pct"/>
            <w:vAlign w:val="center"/>
          </w:tcPr>
          <w:p w14:paraId="533A377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hint="eastAsia" w:ascii="Times New Roman" w:hAnsi="Times New Roman" w:cs="Times New Roman"/>
                <w:color w:val="000000" w:themeColor="text1"/>
                <w:sz w:val="21"/>
                <w:szCs w:val="21"/>
                <w14:textFill>
                  <w14:solidFill>
                    <w14:schemeClr w14:val="tx1"/>
                  </w14:solidFill>
                </w14:textFill>
                <w14:ligatures w14:val="none"/>
              </w:rPr>
              <w:t>20</w:t>
            </w:r>
          </w:p>
        </w:tc>
        <w:tc>
          <w:tcPr>
            <w:tcW w:w="483" w:type="pct"/>
            <w:vAlign w:val="center"/>
          </w:tcPr>
          <w:p w14:paraId="7B6E0D0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hint="eastAsia" w:ascii="Times New Roman" w:hAnsi="Times New Roman" w:cs="Times New Roman"/>
                <w:color w:val="000000" w:themeColor="text1"/>
                <w:sz w:val="21"/>
                <w:szCs w:val="21"/>
                <w14:textFill>
                  <w14:solidFill>
                    <w14:schemeClr w14:val="tx1"/>
                  </w14:solidFill>
                </w14:textFill>
                <w14:ligatures w14:val="none"/>
              </w:rPr>
              <w:t>0.6</w:t>
            </w:r>
          </w:p>
        </w:tc>
        <w:tc>
          <w:tcPr>
            <w:tcW w:w="544" w:type="pct"/>
            <w:vAlign w:val="center"/>
          </w:tcPr>
          <w:p w14:paraId="47F6554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hint="eastAsia" w:ascii="Times New Roman" w:hAnsi="Times New Roman" w:cs="Times New Roman"/>
                <w:color w:val="000000" w:themeColor="text1"/>
                <w:sz w:val="21"/>
                <w:szCs w:val="21"/>
                <w14:textFill>
                  <w14:solidFill>
                    <w14:schemeClr w14:val="tx1"/>
                  </w14:solidFill>
                </w14:textFill>
                <w14:ligatures w14:val="none"/>
              </w:rPr>
              <w:t>6100</w:t>
            </w:r>
          </w:p>
        </w:tc>
        <w:tc>
          <w:tcPr>
            <w:tcW w:w="665" w:type="pct"/>
            <w:vAlign w:val="center"/>
          </w:tcPr>
          <w:p w14:paraId="5032645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hint="eastAsia" w:ascii="Times New Roman" w:hAnsi="Times New Roman" w:cs="Times New Roman"/>
                <w:color w:val="000000" w:themeColor="text1"/>
                <w:sz w:val="21"/>
                <w:szCs w:val="21"/>
                <w14:textFill>
                  <w14:solidFill>
                    <w14:schemeClr w14:val="tx1"/>
                  </w14:solidFill>
                </w14:textFill>
                <w14:ligatures w14:val="none"/>
              </w:rPr>
              <w:t>7200</w:t>
            </w:r>
          </w:p>
        </w:tc>
        <w:tc>
          <w:tcPr>
            <w:tcW w:w="302" w:type="pct"/>
            <w:vAlign w:val="center"/>
          </w:tcPr>
          <w:p w14:paraId="383FB4B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hint="eastAsia" w:ascii="Times New Roman" w:hAnsi="Times New Roman" w:cs="Times New Roman"/>
                <w:color w:val="000000" w:themeColor="text1"/>
                <w:sz w:val="21"/>
                <w:szCs w:val="21"/>
                <w14:textFill>
                  <w14:solidFill>
                    <w14:schemeClr w14:val="tx1"/>
                  </w14:solidFill>
                </w14:textFill>
                <w14:ligatures w14:val="none"/>
              </w:rPr>
              <w:t>连续</w:t>
            </w:r>
          </w:p>
        </w:tc>
        <w:tc>
          <w:tcPr>
            <w:tcW w:w="891" w:type="pct"/>
            <w:vAlign w:val="center"/>
          </w:tcPr>
          <w:p w14:paraId="7F03E3C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非甲烷总烃：0.138</w:t>
            </w:r>
          </w:p>
          <w:p w14:paraId="5345742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酚类：0.079</w:t>
            </w:r>
          </w:p>
        </w:tc>
      </w:tr>
      <w:tr w14:paraId="365160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28" w:type="pct"/>
            <w:vAlign w:val="center"/>
          </w:tcPr>
          <w:p w14:paraId="0BF465E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安徽百川生物医药产业园有限公司G5车间高端原料药和医药中间体生产基地建设项目</w:t>
            </w:r>
          </w:p>
        </w:tc>
        <w:tc>
          <w:tcPr>
            <w:tcW w:w="363" w:type="pct"/>
            <w:vAlign w:val="center"/>
          </w:tcPr>
          <w:p w14:paraId="39F4F1C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14:ligatures w14:val="none"/>
              </w:rPr>
              <w:t>DA001</w:t>
            </w:r>
          </w:p>
        </w:tc>
        <w:tc>
          <w:tcPr>
            <w:tcW w:w="424" w:type="pct"/>
            <w:vAlign w:val="center"/>
          </w:tcPr>
          <w:p w14:paraId="04ED44D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14:ligatures w14:val="none"/>
              </w:rPr>
              <w:t>25</w:t>
            </w:r>
          </w:p>
        </w:tc>
        <w:tc>
          <w:tcPr>
            <w:tcW w:w="483" w:type="pct"/>
            <w:vAlign w:val="center"/>
          </w:tcPr>
          <w:p w14:paraId="1D7730F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14:ligatures w14:val="none"/>
              </w:rPr>
              <w:t>0.8</w:t>
            </w:r>
          </w:p>
        </w:tc>
        <w:tc>
          <w:tcPr>
            <w:tcW w:w="544" w:type="pct"/>
            <w:vAlign w:val="center"/>
          </w:tcPr>
          <w:p w14:paraId="009D6DE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14:ligatures w14:val="none"/>
              </w:rPr>
              <w:t>15000</w:t>
            </w:r>
          </w:p>
        </w:tc>
        <w:tc>
          <w:tcPr>
            <w:tcW w:w="665" w:type="pct"/>
            <w:vAlign w:val="center"/>
          </w:tcPr>
          <w:p w14:paraId="328E4DC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14:ligatures w14:val="none"/>
              </w:rPr>
              <w:t>7200</w:t>
            </w:r>
          </w:p>
        </w:tc>
        <w:tc>
          <w:tcPr>
            <w:tcW w:w="302" w:type="pct"/>
            <w:vAlign w:val="center"/>
          </w:tcPr>
          <w:p w14:paraId="18498AE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14:ligatures w14:val="none"/>
              </w:rPr>
              <w:t>连续</w:t>
            </w:r>
          </w:p>
        </w:tc>
        <w:tc>
          <w:tcPr>
            <w:tcW w:w="891" w:type="pct"/>
            <w:vAlign w:val="center"/>
          </w:tcPr>
          <w:p w14:paraId="5861ADB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hint="eastAsia" w:ascii="Times New Roman" w:hAnsi="Times New Roman" w:cs="Times New Roman"/>
                <w:color w:val="000000" w:themeColor="text1"/>
                <w:sz w:val="21"/>
                <w:szCs w:val="21"/>
                <w14:textFill>
                  <w14:solidFill>
                    <w14:schemeClr w14:val="tx1"/>
                  </w14:solidFill>
                </w14:textFill>
              </w:rPr>
              <w:t>非甲烷总烃</w:t>
            </w:r>
            <w:r>
              <w:rPr>
                <w:rFonts w:ascii="Times New Roman" w:hAnsi="Times New Roman" w:cs="Times New Roman"/>
                <w:color w:val="000000" w:themeColor="text1"/>
                <w:sz w:val="21"/>
                <w:szCs w:val="21"/>
                <w14:textFill>
                  <w14:solidFill>
                    <w14:schemeClr w14:val="tx1"/>
                  </w14:solidFill>
                </w14:textFill>
                <w14:ligatures w14:val="none"/>
              </w:rPr>
              <w:t>：0.123</w:t>
            </w:r>
          </w:p>
        </w:tc>
      </w:tr>
      <w:tr w14:paraId="2FB2F0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28" w:type="pct"/>
            <w:vAlign w:val="center"/>
          </w:tcPr>
          <w:p w14:paraId="6AF3579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安徽钰鹏化工有限公司10万吨/年粗苯加氢精制项目</w:t>
            </w:r>
          </w:p>
        </w:tc>
        <w:tc>
          <w:tcPr>
            <w:tcW w:w="363" w:type="pct"/>
            <w:vAlign w:val="center"/>
          </w:tcPr>
          <w:p w14:paraId="147555A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14:ligatures w14:val="none"/>
              </w:rPr>
              <w:t>DA004</w:t>
            </w:r>
          </w:p>
        </w:tc>
        <w:tc>
          <w:tcPr>
            <w:tcW w:w="424" w:type="pct"/>
            <w:vAlign w:val="center"/>
          </w:tcPr>
          <w:p w14:paraId="7463373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14:ligatures w14:val="none"/>
              </w:rPr>
              <w:t>30</w:t>
            </w:r>
          </w:p>
        </w:tc>
        <w:tc>
          <w:tcPr>
            <w:tcW w:w="483" w:type="pct"/>
            <w:vAlign w:val="center"/>
          </w:tcPr>
          <w:p w14:paraId="1D4918A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14:ligatures w14:val="none"/>
              </w:rPr>
              <w:t>1.5</w:t>
            </w:r>
          </w:p>
        </w:tc>
        <w:tc>
          <w:tcPr>
            <w:tcW w:w="544" w:type="pct"/>
            <w:vAlign w:val="center"/>
          </w:tcPr>
          <w:p w14:paraId="1842E3C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14:ligatures w14:val="none"/>
              </w:rPr>
              <w:t>2000</w:t>
            </w:r>
          </w:p>
        </w:tc>
        <w:tc>
          <w:tcPr>
            <w:tcW w:w="665" w:type="pct"/>
            <w:vAlign w:val="center"/>
          </w:tcPr>
          <w:p w14:paraId="59293CD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14:ligatures w14:val="none"/>
              </w:rPr>
              <w:t>7200</w:t>
            </w:r>
          </w:p>
        </w:tc>
        <w:tc>
          <w:tcPr>
            <w:tcW w:w="302" w:type="pct"/>
            <w:vAlign w:val="center"/>
          </w:tcPr>
          <w:p w14:paraId="1E0F94A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14:ligatures w14:val="none"/>
              </w:rPr>
              <w:t>连续</w:t>
            </w:r>
          </w:p>
        </w:tc>
        <w:tc>
          <w:tcPr>
            <w:tcW w:w="891" w:type="pct"/>
            <w:vAlign w:val="center"/>
          </w:tcPr>
          <w:p w14:paraId="56C71D1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hint="eastAsia" w:ascii="Times New Roman" w:hAnsi="Times New Roman" w:cs="Times New Roman"/>
                <w:color w:val="000000" w:themeColor="text1"/>
                <w:sz w:val="21"/>
                <w:szCs w:val="21"/>
                <w14:textFill>
                  <w14:solidFill>
                    <w14:schemeClr w14:val="tx1"/>
                  </w14:solidFill>
                </w14:textFill>
              </w:rPr>
              <w:t>非甲烷总烃</w:t>
            </w:r>
            <w:r>
              <w:rPr>
                <w:rFonts w:ascii="Times New Roman" w:hAnsi="Times New Roman" w:cs="Times New Roman"/>
                <w:color w:val="000000" w:themeColor="text1"/>
                <w:sz w:val="21"/>
                <w:szCs w:val="21"/>
                <w14:textFill>
                  <w14:solidFill>
                    <w14:schemeClr w14:val="tx1"/>
                  </w14:solidFill>
                </w14:textFill>
                <w14:ligatures w14:val="none"/>
              </w:rPr>
              <w:t>：0.00045</w:t>
            </w:r>
          </w:p>
        </w:tc>
      </w:tr>
      <w:tr w14:paraId="7D8FA5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28" w:type="pct"/>
            <w:vMerge w:val="restart"/>
            <w:vAlign w:val="center"/>
          </w:tcPr>
          <w:p w14:paraId="7ECD3B0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安徽辉隆瑞美福生物工程有限公司年产2000吨氯虫苯甲酰胺原药及中间体项目</w:t>
            </w:r>
          </w:p>
        </w:tc>
        <w:tc>
          <w:tcPr>
            <w:tcW w:w="363" w:type="pct"/>
            <w:vAlign w:val="center"/>
          </w:tcPr>
          <w:p w14:paraId="225E186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hint="eastAsia" w:ascii="Times New Roman" w:hAnsi="Times New Roman" w:cs="Times New Roman"/>
                <w:color w:val="000000" w:themeColor="text1"/>
                <w:sz w:val="21"/>
                <w:szCs w:val="21"/>
                <w14:textFill>
                  <w14:solidFill>
                    <w14:schemeClr w14:val="tx1"/>
                  </w14:solidFill>
                </w14:textFill>
                <w14:ligatures w14:val="none"/>
              </w:rPr>
              <w:t>DA001</w:t>
            </w:r>
          </w:p>
        </w:tc>
        <w:tc>
          <w:tcPr>
            <w:tcW w:w="424" w:type="pct"/>
            <w:vAlign w:val="center"/>
          </w:tcPr>
          <w:p w14:paraId="0EDA8B9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hint="eastAsia" w:ascii="Times New Roman" w:hAnsi="Times New Roman" w:cs="Times New Roman"/>
                <w:color w:val="000000" w:themeColor="text1"/>
                <w:sz w:val="21"/>
                <w:szCs w:val="21"/>
                <w14:textFill>
                  <w14:solidFill>
                    <w14:schemeClr w14:val="tx1"/>
                  </w14:solidFill>
                </w14:textFill>
                <w14:ligatures w14:val="none"/>
              </w:rPr>
              <w:t>25</w:t>
            </w:r>
          </w:p>
        </w:tc>
        <w:tc>
          <w:tcPr>
            <w:tcW w:w="483" w:type="pct"/>
            <w:vAlign w:val="center"/>
          </w:tcPr>
          <w:p w14:paraId="712B1DB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hint="eastAsia" w:ascii="Times New Roman" w:hAnsi="Times New Roman" w:cs="Times New Roman"/>
                <w:color w:val="000000" w:themeColor="text1"/>
                <w:sz w:val="21"/>
                <w:szCs w:val="21"/>
                <w14:textFill>
                  <w14:solidFill>
                    <w14:schemeClr w14:val="tx1"/>
                  </w14:solidFill>
                </w14:textFill>
                <w14:ligatures w14:val="none"/>
              </w:rPr>
              <w:t>1.3</w:t>
            </w:r>
          </w:p>
        </w:tc>
        <w:tc>
          <w:tcPr>
            <w:tcW w:w="544" w:type="pct"/>
            <w:vAlign w:val="center"/>
          </w:tcPr>
          <w:p w14:paraId="1E1EDB5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hint="eastAsia" w:ascii="Times New Roman" w:hAnsi="Times New Roman" w:cs="Times New Roman"/>
                <w:color w:val="000000" w:themeColor="text1"/>
                <w:sz w:val="21"/>
                <w:szCs w:val="21"/>
                <w14:textFill>
                  <w14:solidFill>
                    <w14:schemeClr w14:val="tx1"/>
                  </w14:solidFill>
                </w14:textFill>
                <w14:ligatures w14:val="none"/>
              </w:rPr>
              <w:t>30000</w:t>
            </w:r>
          </w:p>
        </w:tc>
        <w:tc>
          <w:tcPr>
            <w:tcW w:w="665" w:type="pct"/>
            <w:vAlign w:val="center"/>
          </w:tcPr>
          <w:p w14:paraId="20D1F3A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14:ligatures w14:val="none"/>
              </w:rPr>
              <w:t>7200</w:t>
            </w:r>
          </w:p>
        </w:tc>
        <w:tc>
          <w:tcPr>
            <w:tcW w:w="302" w:type="pct"/>
            <w:vAlign w:val="center"/>
          </w:tcPr>
          <w:p w14:paraId="317BF22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14:ligatures w14:val="none"/>
              </w:rPr>
              <w:t>连续</w:t>
            </w:r>
          </w:p>
        </w:tc>
        <w:tc>
          <w:tcPr>
            <w:tcW w:w="891" w:type="pct"/>
            <w:vAlign w:val="center"/>
          </w:tcPr>
          <w:p w14:paraId="7B04ADE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非甲烷总烃</w:t>
            </w:r>
            <w:r>
              <w:rPr>
                <w:rFonts w:ascii="Times New Roman" w:hAnsi="Times New Roman" w:cs="Times New Roman"/>
                <w:color w:val="000000" w:themeColor="text1"/>
                <w:sz w:val="21"/>
                <w:szCs w:val="21"/>
                <w14:textFill>
                  <w14:solidFill>
                    <w14:schemeClr w14:val="tx1"/>
                  </w14:solidFill>
                </w14:textFill>
                <w14:ligatures w14:val="none"/>
              </w:rPr>
              <w:t>：</w:t>
            </w:r>
            <w:r>
              <w:rPr>
                <w:rFonts w:hint="eastAsia" w:ascii="Times New Roman" w:hAnsi="Times New Roman" w:cs="Times New Roman"/>
                <w:color w:val="000000" w:themeColor="text1"/>
                <w:sz w:val="21"/>
                <w:szCs w:val="21"/>
                <w14:textFill>
                  <w14:solidFill>
                    <w14:schemeClr w14:val="tx1"/>
                  </w14:solidFill>
                </w14:textFill>
                <w14:ligatures w14:val="none"/>
              </w:rPr>
              <w:t>0.095</w:t>
            </w:r>
          </w:p>
        </w:tc>
      </w:tr>
      <w:tr w14:paraId="4A1D56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28" w:type="pct"/>
            <w:vMerge w:val="continue"/>
            <w:vAlign w:val="center"/>
          </w:tcPr>
          <w:p w14:paraId="0AC8FBE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c>
          <w:tcPr>
            <w:tcW w:w="363" w:type="pct"/>
            <w:vAlign w:val="center"/>
          </w:tcPr>
          <w:p w14:paraId="5B75335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hint="eastAsia" w:ascii="Times New Roman" w:hAnsi="Times New Roman" w:cs="Times New Roman"/>
                <w:color w:val="000000" w:themeColor="text1"/>
                <w:sz w:val="21"/>
                <w:szCs w:val="21"/>
                <w14:textFill>
                  <w14:solidFill>
                    <w14:schemeClr w14:val="tx1"/>
                  </w14:solidFill>
                </w14:textFill>
                <w14:ligatures w14:val="none"/>
              </w:rPr>
              <w:t>DA002</w:t>
            </w:r>
          </w:p>
        </w:tc>
        <w:tc>
          <w:tcPr>
            <w:tcW w:w="424" w:type="pct"/>
            <w:vAlign w:val="center"/>
          </w:tcPr>
          <w:p w14:paraId="3A3EBF8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hint="eastAsia" w:ascii="Times New Roman" w:hAnsi="Times New Roman" w:cs="Times New Roman"/>
                <w:color w:val="000000" w:themeColor="text1"/>
                <w:sz w:val="21"/>
                <w:szCs w:val="21"/>
                <w14:textFill>
                  <w14:solidFill>
                    <w14:schemeClr w14:val="tx1"/>
                  </w14:solidFill>
                </w14:textFill>
                <w14:ligatures w14:val="none"/>
              </w:rPr>
              <w:t>25</w:t>
            </w:r>
          </w:p>
        </w:tc>
        <w:tc>
          <w:tcPr>
            <w:tcW w:w="483" w:type="pct"/>
            <w:vAlign w:val="center"/>
          </w:tcPr>
          <w:p w14:paraId="1446B01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hint="eastAsia" w:ascii="Times New Roman" w:hAnsi="Times New Roman" w:cs="Times New Roman"/>
                <w:color w:val="000000" w:themeColor="text1"/>
                <w:sz w:val="21"/>
                <w:szCs w:val="21"/>
                <w14:textFill>
                  <w14:solidFill>
                    <w14:schemeClr w14:val="tx1"/>
                  </w14:solidFill>
                </w14:textFill>
                <w14:ligatures w14:val="none"/>
              </w:rPr>
              <w:t>0.3</w:t>
            </w:r>
          </w:p>
        </w:tc>
        <w:tc>
          <w:tcPr>
            <w:tcW w:w="544" w:type="pct"/>
            <w:vAlign w:val="center"/>
          </w:tcPr>
          <w:p w14:paraId="76DDC9C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hint="eastAsia" w:ascii="Times New Roman" w:hAnsi="Times New Roman" w:cs="Times New Roman"/>
                <w:color w:val="000000" w:themeColor="text1"/>
                <w:sz w:val="21"/>
                <w:szCs w:val="21"/>
                <w14:textFill>
                  <w14:solidFill>
                    <w14:schemeClr w14:val="tx1"/>
                  </w14:solidFill>
                </w14:textFill>
                <w14:ligatures w14:val="none"/>
              </w:rPr>
              <w:t>4000</w:t>
            </w:r>
          </w:p>
        </w:tc>
        <w:tc>
          <w:tcPr>
            <w:tcW w:w="665" w:type="pct"/>
            <w:vAlign w:val="center"/>
          </w:tcPr>
          <w:p w14:paraId="3592C15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14:ligatures w14:val="none"/>
              </w:rPr>
              <w:t>7200</w:t>
            </w:r>
          </w:p>
        </w:tc>
        <w:tc>
          <w:tcPr>
            <w:tcW w:w="302" w:type="pct"/>
            <w:vAlign w:val="center"/>
          </w:tcPr>
          <w:p w14:paraId="5A0F1B2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14:ligatures w14:val="none"/>
              </w:rPr>
              <w:t>连续</w:t>
            </w:r>
          </w:p>
        </w:tc>
        <w:tc>
          <w:tcPr>
            <w:tcW w:w="891" w:type="pct"/>
            <w:vAlign w:val="center"/>
          </w:tcPr>
          <w:p w14:paraId="1091F2D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非甲烷总烃</w:t>
            </w:r>
            <w:r>
              <w:rPr>
                <w:rFonts w:ascii="Times New Roman" w:hAnsi="Times New Roman" w:cs="Times New Roman"/>
                <w:color w:val="000000" w:themeColor="text1"/>
                <w:sz w:val="21"/>
                <w:szCs w:val="21"/>
                <w14:textFill>
                  <w14:solidFill>
                    <w14:schemeClr w14:val="tx1"/>
                  </w14:solidFill>
                </w14:textFill>
                <w14:ligatures w14:val="none"/>
              </w:rPr>
              <w:t>：0.0</w:t>
            </w:r>
            <w:r>
              <w:rPr>
                <w:rFonts w:hint="eastAsia" w:ascii="Times New Roman" w:hAnsi="Times New Roman" w:cs="Times New Roman"/>
                <w:color w:val="000000" w:themeColor="text1"/>
                <w:sz w:val="21"/>
                <w:szCs w:val="21"/>
                <w14:textFill>
                  <w14:solidFill>
                    <w14:schemeClr w14:val="tx1"/>
                  </w14:solidFill>
                </w14:textFill>
                <w14:ligatures w14:val="none"/>
              </w:rPr>
              <w:t>56</w:t>
            </w:r>
          </w:p>
        </w:tc>
      </w:tr>
      <w:tr w14:paraId="54E9A4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28" w:type="pct"/>
            <w:vMerge w:val="continue"/>
            <w:vAlign w:val="center"/>
          </w:tcPr>
          <w:p w14:paraId="629DA15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c>
          <w:tcPr>
            <w:tcW w:w="363" w:type="pct"/>
            <w:vAlign w:val="center"/>
          </w:tcPr>
          <w:p w14:paraId="544434A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hint="eastAsia" w:ascii="Times New Roman" w:hAnsi="Times New Roman" w:cs="Times New Roman"/>
                <w:color w:val="000000" w:themeColor="text1"/>
                <w:sz w:val="21"/>
                <w:szCs w:val="21"/>
                <w14:textFill>
                  <w14:solidFill>
                    <w14:schemeClr w14:val="tx1"/>
                  </w14:solidFill>
                </w14:textFill>
                <w14:ligatures w14:val="none"/>
              </w:rPr>
              <w:t>DA003</w:t>
            </w:r>
          </w:p>
        </w:tc>
        <w:tc>
          <w:tcPr>
            <w:tcW w:w="424" w:type="pct"/>
            <w:vAlign w:val="center"/>
          </w:tcPr>
          <w:p w14:paraId="57A458D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hint="eastAsia" w:ascii="Times New Roman" w:hAnsi="Times New Roman" w:cs="Times New Roman"/>
                <w:color w:val="000000" w:themeColor="text1"/>
                <w:sz w:val="21"/>
                <w:szCs w:val="21"/>
                <w14:textFill>
                  <w14:solidFill>
                    <w14:schemeClr w14:val="tx1"/>
                  </w14:solidFill>
                </w14:textFill>
                <w14:ligatures w14:val="none"/>
              </w:rPr>
              <w:t>25</w:t>
            </w:r>
          </w:p>
        </w:tc>
        <w:tc>
          <w:tcPr>
            <w:tcW w:w="483" w:type="pct"/>
            <w:vAlign w:val="center"/>
          </w:tcPr>
          <w:p w14:paraId="56F0DAB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hint="eastAsia" w:ascii="Times New Roman" w:hAnsi="Times New Roman" w:cs="Times New Roman"/>
                <w:color w:val="000000" w:themeColor="text1"/>
                <w:sz w:val="21"/>
                <w:szCs w:val="21"/>
                <w14:textFill>
                  <w14:solidFill>
                    <w14:schemeClr w14:val="tx1"/>
                  </w14:solidFill>
                </w14:textFill>
                <w14:ligatures w14:val="none"/>
              </w:rPr>
              <w:t>0.26</w:t>
            </w:r>
          </w:p>
        </w:tc>
        <w:tc>
          <w:tcPr>
            <w:tcW w:w="544" w:type="pct"/>
            <w:vAlign w:val="center"/>
          </w:tcPr>
          <w:p w14:paraId="71046C0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hint="eastAsia" w:ascii="Times New Roman" w:hAnsi="Times New Roman" w:cs="Times New Roman"/>
                <w:color w:val="000000" w:themeColor="text1"/>
                <w:sz w:val="21"/>
                <w:szCs w:val="21"/>
                <w14:textFill>
                  <w14:solidFill>
                    <w14:schemeClr w14:val="tx1"/>
                  </w14:solidFill>
                </w14:textFill>
                <w14:ligatures w14:val="none"/>
              </w:rPr>
              <w:t>3000</w:t>
            </w:r>
          </w:p>
        </w:tc>
        <w:tc>
          <w:tcPr>
            <w:tcW w:w="665" w:type="pct"/>
            <w:vAlign w:val="center"/>
          </w:tcPr>
          <w:p w14:paraId="51B26EC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14:ligatures w14:val="none"/>
              </w:rPr>
              <w:t>7200</w:t>
            </w:r>
          </w:p>
        </w:tc>
        <w:tc>
          <w:tcPr>
            <w:tcW w:w="302" w:type="pct"/>
            <w:vAlign w:val="center"/>
          </w:tcPr>
          <w:p w14:paraId="45501DA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14:ligatures w14:val="none"/>
              </w:rPr>
              <w:t>连续</w:t>
            </w:r>
          </w:p>
        </w:tc>
        <w:tc>
          <w:tcPr>
            <w:tcW w:w="891" w:type="pct"/>
            <w:vAlign w:val="center"/>
          </w:tcPr>
          <w:p w14:paraId="2D8EA8A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非甲烷总烃</w:t>
            </w:r>
            <w:r>
              <w:rPr>
                <w:rFonts w:ascii="Times New Roman" w:hAnsi="Times New Roman" w:cs="Times New Roman"/>
                <w:color w:val="000000" w:themeColor="text1"/>
                <w:sz w:val="21"/>
                <w:szCs w:val="21"/>
                <w14:textFill>
                  <w14:solidFill>
                    <w14:schemeClr w14:val="tx1"/>
                  </w14:solidFill>
                </w14:textFill>
                <w14:ligatures w14:val="none"/>
              </w:rPr>
              <w:t>：0.0</w:t>
            </w:r>
            <w:r>
              <w:rPr>
                <w:rFonts w:hint="eastAsia" w:ascii="Times New Roman" w:hAnsi="Times New Roman" w:cs="Times New Roman"/>
                <w:color w:val="000000" w:themeColor="text1"/>
                <w:sz w:val="21"/>
                <w:szCs w:val="21"/>
                <w14:textFill>
                  <w14:solidFill>
                    <w14:schemeClr w14:val="tx1"/>
                  </w14:solidFill>
                </w14:textFill>
                <w14:ligatures w14:val="none"/>
              </w:rPr>
              <w:t>127</w:t>
            </w:r>
          </w:p>
        </w:tc>
      </w:tr>
      <w:tr w14:paraId="63790F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28" w:type="pct"/>
            <w:vMerge w:val="continue"/>
            <w:vAlign w:val="center"/>
          </w:tcPr>
          <w:p w14:paraId="22670FC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c>
          <w:tcPr>
            <w:tcW w:w="363" w:type="pct"/>
            <w:vAlign w:val="center"/>
          </w:tcPr>
          <w:p w14:paraId="66D4F61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hint="eastAsia" w:ascii="Times New Roman" w:hAnsi="Times New Roman" w:cs="Times New Roman"/>
                <w:color w:val="000000" w:themeColor="text1"/>
                <w:sz w:val="21"/>
                <w:szCs w:val="21"/>
                <w14:textFill>
                  <w14:solidFill>
                    <w14:schemeClr w14:val="tx1"/>
                  </w14:solidFill>
                </w14:textFill>
                <w14:ligatures w14:val="none"/>
              </w:rPr>
              <w:t>DA004</w:t>
            </w:r>
          </w:p>
        </w:tc>
        <w:tc>
          <w:tcPr>
            <w:tcW w:w="424" w:type="pct"/>
            <w:vAlign w:val="center"/>
          </w:tcPr>
          <w:p w14:paraId="12F0F3E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hint="eastAsia" w:ascii="Times New Roman" w:hAnsi="Times New Roman" w:cs="Times New Roman"/>
                <w:color w:val="000000" w:themeColor="text1"/>
                <w:sz w:val="21"/>
                <w:szCs w:val="21"/>
                <w14:textFill>
                  <w14:solidFill>
                    <w14:schemeClr w14:val="tx1"/>
                  </w14:solidFill>
                </w14:textFill>
                <w14:ligatures w14:val="none"/>
              </w:rPr>
              <w:t>15</w:t>
            </w:r>
          </w:p>
        </w:tc>
        <w:tc>
          <w:tcPr>
            <w:tcW w:w="483" w:type="pct"/>
            <w:vAlign w:val="center"/>
          </w:tcPr>
          <w:p w14:paraId="40C96C7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hint="eastAsia" w:ascii="Times New Roman" w:hAnsi="Times New Roman" w:cs="Times New Roman"/>
                <w:color w:val="000000" w:themeColor="text1"/>
                <w:sz w:val="21"/>
                <w:szCs w:val="21"/>
                <w14:textFill>
                  <w14:solidFill>
                    <w14:schemeClr w14:val="tx1"/>
                  </w14:solidFill>
                </w14:textFill>
                <w14:ligatures w14:val="none"/>
              </w:rPr>
              <w:t>0.8</w:t>
            </w:r>
          </w:p>
        </w:tc>
        <w:tc>
          <w:tcPr>
            <w:tcW w:w="544" w:type="pct"/>
            <w:vAlign w:val="center"/>
          </w:tcPr>
          <w:p w14:paraId="0A53B82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hint="eastAsia" w:ascii="Times New Roman" w:hAnsi="Times New Roman" w:cs="Times New Roman"/>
                <w:color w:val="000000" w:themeColor="text1"/>
                <w:sz w:val="21"/>
                <w:szCs w:val="21"/>
                <w14:textFill>
                  <w14:solidFill>
                    <w14:schemeClr w14:val="tx1"/>
                  </w14:solidFill>
                </w14:textFill>
                <w14:ligatures w14:val="none"/>
              </w:rPr>
              <w:t>28000</w:t>
            </w:r>
          </w:p>
        </w:tc>
        <w:tc>
          <w:tcPr>
            <w:tcW w:w="665" w:type="pct"/>
            <w:vAlign w:val="center"/>
          </w:tcPr>
          <w:p w14:paraId="48CC613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14:ligatures w14:val="none"/>
              </w:rPr>
              <w:t>7200</w:t>
            </w:r>
          </w:p>
        </w:tc>
        <w:tc>
          <w:tcPr>
            <w:tcW w:w="302" w:type="pct"/>
            <w:vAlign w:val="center"/>
          </w:tcPr>
          <w:p w14:paraId="63BB86C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14:ligatures w14:val="none"/>
              </w:rPr>
              <w:t>连续</w:t>
            </w:r>
          </w:p>
        </w:tc>
        <w:tc>
          <w:tcPr>
            <w:tcW w:w="891" w:type="pct"/>
            <w:vAlign w:val="center"/>
          </w:tcPr>
          <w:p w14:paraId="2C2D5DE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非甲烷总烃</w:t>
            </w:r>
            <w:r>
              <w:rPr>
                <w:rFonts w:ascii="Times New Roman" w:hAnsi="Times New Roman" w:cs="Times New Roman"/>
                <w:color w:val="000000" w:themeColor="text1"/>
                <w:sz w:val="21"/>
                <w:szCs w:val="21"/>
                <w14:textFill>
                  <w14:solidFill>
                    <w14:schemeClr w14:val="tx1"/>
                  </w14:solidFill>
                </w14:textFill>
                <w14:ligatures w14:val="none"/>
              </w:rPr>
              <w:t>：0.0</w:t>
            </w:r>
            <w:r>
              <w:rPr>
                <w:rFonts w:hint="eastAsia" w:ascii="Times New Roman" w:hAnsi="Times New Roman" w:cs="Times New Roman"/>
                <w:color w:val="000000" w:themeColor="text1"/>
                <w:sz w:val="21"/>
                <w:szCs w:val="21"/>
                <w14:textFill>
                  <w14:solidFill>
                    <w14:schemeClr w14:val="tx1"/>
                  </w14:solidFill>
                </w14:textFill>
                <w14:ligatures w14:val="none"/>
              </w:rPr>
              <w:t>7</w:t>
            </w:r>
          </w:p>
        </w:tc>
      </w:tr>
      <w:tr w14:paraId="28A681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28" w:type="pct"/>
            <w:vAlign w:val="center"/>
          </w:tcPr>
          <w:p w14:paraId="364E1F9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蚌埠市圣光化工有限公司年产5万吨七水硫酸镁、1万吨无水硫酸镁及2万吨三水醋酸钠项目</w:t>
            </w:r>
          </w:p>
        </w:tc>
        <w:tc>
          <w:tcPr>
            <w:tcW w:w="363" w:type="pct"/>
            <w:vAlign w:val="center"/>
          </w:tcPr>
          <w:p w14:paraId="6E1F03C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14:ligatures w14:val="none"/>
              </w:rPr>
              <w:t>DA001</w:t>
            </w:r>
          </w:p>
        </w:tc>
        <w:tc>
          <w:tcPr>
            <w:tcW w:w="424" w:type="pct"/>
            <w:tcBorders>
              <w:left w:val="single" w:color="000000" w:sz="4" w:space="0"/>
              <w:right w:val="single" w:color="000000" w:sz="4" w:space="0"/>
            </w:tcBorders>
            <w:vAlign w:val="center"/>
          </w:tcPr>
          <w:p w14:paraId="36DFCE6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14:ligatures w14:val="none"/>
              </w:rPr>
              <w:t>15</w:t>
            </w:r>
          </w:p>
        </w:tc>
        <w:tc>
          <w:tcPr>
            <w:tcW w:w="483" w:type="pct"/>
            <w:vAlign w:val="center"/>
          </w:tcPr>
          <w:p w14:paraId="42FEA77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14:ligatures w14:val="none"/>
              </w:rPr>
              <w:t>0.3</w:t>
            </w:r>
          </w:p>
        </w:tc>
        <w:tc>
          <w:tcPr>
            <w:tcW w:w="544" w:type="pct"/>
            <w:tcBorders>
              <w:left w:val="single" w:color="000000" w:sz="4" w:space="0"/>
            </w:tcBorders>
            <w:vAlign w:val="center"/>
          </w:tcPr>
          <w:p w14:paraId="3E6BCD8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14:ligatures w14:val="none"/>
              </w:rPr>
              <w:t>3000</w:t>
            </w:r>
          </w:p>
        </w:tc>
        <w:tc>
          <w:tcPr>
            <w:tcW w:w="665" w:type="pct"/>
            <w:vAlign w:val="center"/>
          </w:tcPr>
          <w:p w14:paraId="48B8CEE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14:ligatures w14:val="none"/>
              </w:rPr>
              <w:t>7200</w:t>
            </w:r>
          </w:p>
        </w:tc>
        <w:tc>
          <w:tcPr>
            <w:tcW w:w="302" w:type="pct"/>
            <w:vAlign w:val="center"/>
          </w:tcPr>
          <w:p w14:paraId="74E6F88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14:ligatures w14:val="none"/>
              </w:rPr>
              <w:t>连续</w:t>
            </w:r>
          </w:p>
        </w:tc>
        <w:tc>
          <w:tcPr>
            <w:tcW w:w="891" w:type="pct"/>
            <w:vAlign w:val="center"/>
          </w:tcPr>
          <w:p w14:paraId="5BD8D66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14:ligatures w14:val="none"/>
              </w:rPr>
              <w:t>硫酸雾：0.094</w:t>
            </w:r>
          </w:p>
        </w:tc>
      </w:tr>
      <w:tr w14:paraId="56915D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28" w:type="pct"/>
            <w:vAlign w:val="center"/>
          </w:tcPr>
          <w:p w14:paraId="16B32E5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安徽皖东树脂科技有限公司五河分公司年产三万吨七水硫酸镁和3000立方米混床树脂精制项目</w:t>
            </w:r>
          </w:p>
        </w:tc>
        <w:tc>
          <w:tcPr>
            <w:tcW w:w="363" w:type="pct"/>
            <w:vAlign w:val="center"/>
          </w:tcPr>
          <w:p w14:paraId="73068BE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hint="eastAsia" w:ascii="Times New Roman" w:hAnsi="Times New Roman" w:cs="Times New Roman"/>
                <w:color w:val="000000" w:themeColor="text1"/>
                <w:sz w:val="21"/>
                <w:szCs w:val="21"/>
                <w14:textFill>
                  <w14:solidFill>
                    <w14:schemeClr w14:val="tx1"/>
                  </w14:solidFill>
                </w14:textFill>
                <w14:ligatures w14:val="none"/>
              </w:rPr>
              <w:t>DA001</w:t>
            </w:r>
          </w:p>
        </w:tc>
        <w:tc>
          <w:tcPr>
            <w:tcW w:w="424" w:type="pct"/>
            <w:tcBorders>
              <w:left w:val="single" w:color="000000" w:sz="4" w:space="0"/>
              <w:right w:val="single" w:color="000000" w:sz="4" w:space="0"/>
            </w:tcBorders>
            <w:vAlign w:val="center"/>
          </w:tcPr>
          <w:p w14:paraId="5D32599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hint="eastAsia" w:ascii="Times New Roman" w:hAnsi="Times New Roman" w:cs="Times New Roman"/>
                <w:color w:val="000000" w:themeColor="text1"/>
                <w:sz w:val="21"/>
                <w:szCs w:val="21"/>
                <w14:textFill>
                  <w14:solidFill>
                    <w14:schemeClr w14:val="tx1"/>
                  </w14:solidFill>
                </w14:textFill>
                <w14:ligatures w14:val="none"/>
              </w:rPr>
              <w:t>15</w:t>
            </w:r>
          </w:p>
        </w:tc>
        <w:tc>
          <w:tcPr>
            <w:tcW w:w="483" w:type="pct"/>
            <w:vAlign w:val="center"/>
          </w:tcPr>
          <w:p w14:paraId="6FA3B7B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hint="eastAsia" w:ascii="Times New Roman" w:hAnsi="Times New Roman" w:cs="Times New Roman"/>
                <w:color w:val="000000" w:themeColor="text1"/>
                <w:sz w:val="21"/>
                <w:szCs w:val="21"/>
                <w14:textFill>
                  <w14:solidFill>
                    <w14:schemeClr w14:val="tx1"/>
                  </w14:solidFill>
                </w14:textFill>
                <w14:ligatures w14:val="none"/>
              </w:rPr>
              <w:t>0.8</w:t>
            </w:r>
          </w:p>
        </w:tc>
        <w:tc>
          <w:tcPr>
            <w:tcW w:w="544" w:type="pct"/>
            <w:tcBorders>
              <w:left w:val="single" w:color="000000" w:sz="4" w:space="0"/>
            </w:tcBorders>
            <w:vAlign w:val="center"/>
          </w:tcPr>
          <w:p w14:paraId="76CBDAB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hint="eastAsia" w:ascii="Times New Roman" w:hAnsi="Times New Roman" w:cs="Times New Roman"/>
                <w:color w:val="000000" w:themeColor="text1"/>
                <w:sz w:val="21"/>
                <w:szCs w:val="21"/>
                <w14:textFill>
                  <w14:solidFill>
                    <w14:schemeClr w14:val="tx1"/>
                  </w14:solidFill>
                </w14:textFill>
                <w14:ligatures w14:val="none"/>
              </w:rPr>
              <w:t>13000</w:t>
            </w:r>
          </w:p>
        </w:tc>
        <w:tc>
          <w:tcPr>
            <w:tcW w:w="665" w:type="pct"/>
            <w:vAlign w:val="center"/>
          </w:tcPr>
          <w:p w14:paraId="0592ACC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hint="eastAsia" w:ascii="Times New Roman" w:hAnsi="Times New Roman" w:cs="Times New Roman"/>
                <w:color w:val="000000" w:themeColor="text1"/>
                <w:sz w:val="21"/>
                <w:szCs w:val="21"/>
                <w14:textFill>
                  <w14:solidFill>
                    <w14:schemeClr w14:val="tx1"/>
                  </w14:solidFill>
                </w14:textFill>
                <w14:ligatures w14:val="none"/>
              </w:rPr>
              <w:t>7200</w:t>
            </w:r>
          </w:p>
        </w:tc>
        <w:tc>
          <w:tcPr>
            <w:tcW w:w="302" w:type="pct"/>
            <w:vAlign w:val="center"/>
          </w:tcPr>
          <w:p w14:paraId="66FAD90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hint="eastAsia" w:ascii="Times New Roman" w:hAnsi="Times New Roman" w:cs="Times New Roman"/>
                <w:color w:val="000000" w:themeColor="text1"/>
                <w:sz w:val="21"/>
                <w:szCs w:val="21"/>
                <w14:textFill>
                  <w14:solidFill>
                    <w14:schemeClr w14:val="tx1"/>
                  </w14:solidFill>
                </w14:textFill>
                <w14:ligatures w14:val="none"/>
              </w:rPr>
              <w:t>连续</w:t>
            </w:r>
          </w:p>
        </w:tc>
        <w:tc>
          <w:tcPr>
            <w:tcW w:w="891" w:type="pct"/>
            <w:vAlign w:val="center"/>
          </w:tcPr>
          <w:p w14:paraId="4063FA9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hint="eastAsia" w:ascii="Times New Roman" w:hAnsi="Times New Roman" w:cs="Times New Roman"/>
                <w:color w:val="000000" w:themeColor="text1"/>
                <w:sz w:val="21"/>
                <w:szCs w:val="21"/>
                <w14:textFill>
                  <w14:solidFill>
                    <w14:schemeClr w14:val="tx1"/>
                  </w14:solidFill>
                </w14:textFill>
                <w14:ligatures w14:val="none"/>
              </w:rPr>
              <w:t>硫酸雾：0.011</w:t>
            </w:r>
          </w:p>
        </w:tc>
      </w:tr>
      <w:tr w14:paraId="34EC97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28" w:type="pct"/>
            <w:vMerge w:val="restart"/>
            <w:vAlign w:val="center"/>
          </w:tcPr>
          <w:p w14:paraId="21AABE2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安徽瑞辰植保工程有限公司年产15000吨生物医药及环境友好型新制剂复配项目</w:t>
            </w:r>
          </w:p>
        </w:tc>
        <w:tc>
          <w:tcPr>
            <w:tcW w:w="363" w:type="pct"/>
            <w:vAlign w:val="center"/>
          </w:tcPr>
          <w:p w14:paraId="2E4D5AC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DA003</w:t>
            </w:r>
          </w:p>
        </w:tc>
        <w:tc>
          <w:tcPr>
            <w:tcW w:w="424" w:type="pct"/>
            <w:tcBorders>
              <w:left w:val="single" w:color="000000" w:sz="4" w:space="0"/>
              <w:right w:val="single" w:color="000000" w:sz="4" w:space="0"/>
            </w:tcBorders>
            <w:vAlign w:val="center"/>
          </w:tcPr>
          <w:p w14:paraId="68A1174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14:ligatures w14:val="none"/>
              </w:rPr>
              <w:t>15</w:t>
            </w:r>
          </w:p>
        </w:tc>
        <w:tc>
          <w:tcPr>
            <w:tcW w:w="483" w:type="pct"/>
            <w:vAlign w:val="center"/>
          </w:tcPr>
          <w:p w14:paraId="0706F07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14:ligatures w14:val="none"/>
              </w:rPr>
              <w:t>0.7</w:t>
            </w:r>
          </w:p>
        </w:tc>
        <w:tc>
          <w:tcPr>
            <w:tcW w:w="544" w:type="pct"/>
            <w:tcBorders>
              <w:left w:val="single" w:color="000000" w:sz="4" w:space="0"/>
            </w:tcBorders>
            <w:vAlign w:val="center"/>
          </w:tcPr>
          <w:p w14:paraId="3043A76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18000</w:t>
            </w:r>
          </w:p>
        </w:tc>
        <w:tc>
          <w:tcPr>
            <w:tcW w:w="665" w:type="pct"/>
            <w:vAlign w:val="center"/>
          </w:tcPr>
          <w:p w14:paraId="2E79C74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14:ligatures w14:val="none"/>
              </w:rPr>
              <w:t>7200</w:t>
            </w:r>
          </w:p>
        </w:tc>
        <w:tc>
          <w:tcPr>
            <w:tcW w:w="302" w:type="pct"/>
            <w:vAlign w:val="center"/>
          </w:tcPr>
          <w:p w14:paraId="10DFA73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14:ligatures w14:val="none"/>
              </w:rPr>
              <w:t>连续</w:t>
            </w:r>
          </w:p>
        </w:tc>
        <w:tc>
          <w:tcPr>
            <w:tcW w:w="891" w:type="pct"/>
            <w:vAlign w:val="center"/>
          </w:tcPr>
          <w:p w14:paraId="6F1FE04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hint="eastAsia" w:ascii="Times New Roman" w:hAnsi="Times New Roman" w:cs="Times New Roman"/>
                <w:color w:val="000000" w:themeColor="text1"/>
                <w:sz w:val="21"/>
                <w:szCs w:val="21"/>
                <w14:textFill>
                  <w14:solidFill>
                    <w14:schemeClr w14:val="tx1"/>
                  </w14:solidFill>
                </w14:textFill>
              </w:rPr>
              <w:t>非甲烷总烃</w:t>
            </w:r>
            <w:r>
              <w:rPr>
                <w:rFonts w:ascii="Times New Roman" w:hAnsi="Times New Roman" w:cs="Times New Roman"/>
                <w:color w:val="000000" w:themeColor="text1"/>
                <w:sz w:val="21"/>
                <w:szCs w:val="21"/>
                <w14:textFill>
                  <w14:solidFill>
                    <w14:schemeClr w14:val="tx1"/>
                  </w14:solidFill>
                </w14:textFill>
                <w14:ligatures w14:val="none"/>
              </w:rPr>
              <w:t>：</w:t>
            </w:r>
            <w:r>
              <w:rPr>
                <w:rFonts w:ascii="Times New Roman" w:hAnsi="Times New Roman" w:cs="Times New Roman"/>
                <w:color w:val="000000" w:themeColor="text1"/>
                <w:sz w:val="21"/>
                <w:szCs w:val="21"/>
                <w14:textFill>
                  <w14:solidFill>
                    <w14:schemeClr w14:val="tx1"/>
                  </w14:solidFill>
                </w14:textFill>
              </w:rPr>
              <w:t>0.028</w:t>
            </w:r>
          </w:p>
        </w:tc>
      </w:tr>
      <w:tr w14:paraId="4E3AB2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28" w:type="pct"/>
            <w:vMerge w:val="continue"/>
            <w:vAlign w:val="center"/>
          </w:tcPr>
          <w:p w14:paraId="7372812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c>
          <w:tcPr>
            <w:tcW w:w="363" w:type="pct"/>
            <w:vAlign w:val="center"/>
          </w:tcPr>
          <w:p w14:paraId="0AD2BE3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DA004</w:t>
            </w:r>
          </w:p>
        </w:tc>
        <w:tc>
          <w:tcPr>
            <w:tcW w:w="424" w:type="pct"/>
            <w:tcBorders>
              <w:left w:val="single" w:color="000000" w:sz="4" w:space="0"/>
              <w:right w:val="single" w:color="000000" w:sz="4" w:space="0"/>
            </w:tcBorders>
            <w:vAlign w:val="center"/>
          </w:tcPr>
          <w:p w14:paraId="51D9262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14:ligatures w14:val="none"/>
              </w:rPr>
              <w:t>15</w:t>
            </w:r>
          </w:p>
        </w:tc>
        <w:tc>
          <w:tcPr>
            <w:tcW w:w="483" w:type="pct"/>
            <w:vAlign w:val="center"/>
          </w:tcPr>
          <w:p w14:paraId="129A0AB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14:ligatures w14:val="none"/>
              </w:rPr>
              <w:t>0.7</w:t>
            </w:r>
          </w:p>
        </w:tc>
        <w:tc>
          <w:tcPr>
            <w:tcW w:w="544" w:type="pct"/>
            <w:tcBorders>
              <w:left w:val="single" w:color="000000" w:sz="4" w:space="0"/>
            </w:tcBorders>
            <w:vAlign w:val="center"/>
          </w:tcPr>
          <w:p w14:paraId="3A994F0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18000</w:t>
            </w:r>
          </w:p>
        </w:tc>
        <w:tc>
          <w:tcPr>
            <w:tcW w:w="665" w:type="pct"/>
            <w:vAlign w:val="center"/>
          </w:tcPr>
          <w:p w14:paraId="26792C1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14:ligatures w14:val="none"/>
              </w:rPr>
              <w:t>7200</w:t>
            </w:r>
          </w:p>
        </w:tc>
        <w:tc>
          <w:tcPr>
            <w:tcW w:w="302" w:type="pct"/>
            <w:vAlign w:val="center"/>
          </w:tcPr>
          <w:p w14:paraId="119C32F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14:ligatures w14:val="none"/>
              </w:rPr>
              <w:t>连续</w:t>
            </w:r>
          </w:p>
        </w:tc>
        <w:tc>
          <w:tcPr>
            <w:tcW w:w="891" w:type="pct"/>
            <w:vAlign w:val="center"/>
          </w:tcPr>
          <w:p w14:paraId="305BD65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hint="eastAsia" w:ascii="Times New Roman" w:hAnsi="Times New Roman" w:cs="Times New Roman"/>
                <w:color w:val="000000" w:themeColor="text1"/>
                <w:sz w:val="21"/>
                <w:szCs w:val="21"/>
                <w14:textFill>
                  <w14:solidFill>
                    <w14:schemeClr w14:val="tx1"/>
                  </w14:solidFill>
                </w14:textFill>
              </w:rPr>
              <w:t>非甲烷总烃</w:t>
            </w:r>
            <w:r>
              <w:rPr>
                <w:rFonts w:ascii="Times New Roman" w:hAnsi="Times New Roman" w:cs="Times New Roman"/>
                <w:color w:val="000000" w:themeColor="text1"/>
                <w:sz w:val="21"/>
                <w:szCs w:val="21"/>
                <w14:textFill>
                  <w14:solidFill>
                    <w14:schemeClr w14:val="tx1"/>
                  </w14:solidFill>
                </w14:textFill>
                <w14:ligatures w14:val="none"/>
              </w:rPr>
              <w:t>：</w:t>
            </w:r>
            <w:r>
              <w:rPr>
                <w:rFonts w:ascii="Times New Roman" w:hAnsi="Times New Roman" w:cs="Times New Roman"/>
                <w:color w:val="000000" w:themeColor="text1"/>
                <w:sz w:val="21"/>
                <w:szCs w:val="21"/>
                <w14:textFill>
                  <w14:solidFill>
                    <w14:schemeClr w14:val="tx1"/>
                  </w14:solidFill>
                </w14:textFill>
              </w:rPr>
              <w:t>0.002</w:t>
            </w:r>
          </w:p>
        </w:tc>
      </w:tr>
      <w:tr w14:paraId="4F7A8E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28" w:type="pct"/>
            <w:vMerge w:val="continue"/>
            <w:vAlign w:val="center"/>
          </w:tcPr>
          <w:p w14:paraId="3CE5865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c>
          <w:tcPr>
            <w:tcW w:w="363" w:type="pct"/>
            <w:vAlign w:val="center"/>
          </w:tcPr>
          <w:p w14:paraId="4C5F9C3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DA005</w:t>
            </w:r>
          </w:p>
        </w:tc>
        <w:tc>
          <w:tcPr>
            <w:tcW w:w="424" w:type="pct"/>
            <w:tcBorders>
              <w:left w:val="single" w:color="000000" w:sz="4" w:space="0"/>
              <w:right w:val="single" w:color="000000" w:sz="4" w:space="0"/>
            </w:tcBorders>
            <w:vAlign w:val="center"/>
          </w:tcPr>
          <w:p w14:paraId="0AF9817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14:ligatures w14:val="none"/>
              </w:rPr>
              <w:t>15</w:t>
            </w:r>
          </w:p>
        </w:tc>
        <w:tc>
          <w:tcPr>
            <w:tcW w:w="483" w:type="pct"/>
            <w:vAlign w:val="center"/>
          </w:tcPr>
          <w:p w14:paraId="20E879A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14:ligatures w14:val="none"/>
              </w:rPr>
              <w:t>0.7</w:t>
            </w:r>
          </w:p>
        </w:tc>
        <w:tc>
          <w:tcPr>
            <w:tcW w:w="544" w:type="pct"/>
            <w:tcBorders>
              <w:left w:val="single" w:color="000000" w:sz="4" w:space="0"/>
            </w:tcBorders>
            <w:vAlign w:val="center"/>
          </w:tcPr>
          <w:p w14:paraId="118F400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18000</w:t>
            </w:r>
          </w:p>
        </w:tc>
        <w:tc>
          <w:tcPr>
            <w:tcW w:w="665" w:type="pct"/>
            <w:vAlign w:val="center"/>
          </w:tcPr>
          <w:p w14:paraId="3F980FE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14:ligatures w14:val="none"/>
              </w:rPr>
              <w:t>7200</w:t>
            </w:r>
          </w:p>
        </w:tc>
        <w:tc>
          <w:tcPr>
            <w:tcW w:w="302" w:type="pct"/>
            <w:vAlign w:val="center"/>
          </w:tcPr>
          <w:p w14:paraId="47A6F61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14:ligatures w14:val="none"/>
              </w:rPr>
              <w:t>连续</w:t>
            </w:r>
          </w:p>
        </w:tc>
        <w:tc>
          <w:tcPr>
            <w:tcW w:w="891" w:type="pct"/>
            <w:vAlign w:val="center"/>
          </w:tcPr>
          <w:p w14:paraId="6B3AF29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hint="eastAsia" w:ascii="Times New Roman" w:hAnsi="Times New Roman" w:cs="Times New Roman"/>
                <w:color w:val="000000" w:themeColor="text1"/>
                <w:sz w:val="21"/>
                <w:szCs w:val="21"/>
                <w14:textFill>
                  <w14:solidFill>
                    <w14:schemeClr w14:val="tx1"/>
                  </w14:solidFill>
                </w14:textFill>
              </w:rPr>
              <w:t>非甲烷总烃</w:t>
            </w:r>
            <w:r>
              <w:rPr>
                <w:rFonts w:ascii="Times New Roman" w:hAnsi="Times New Roman" w:cs="Times New Roman"/>
                <w:color w:val="000000" w:themeColor="text1"/>
                <w:sz w:val="21"/>
                <w:szCs w:val="21"/>
                <w14:textFill>
                  <w14:solidFill>
                    <w14:schemeClr w14:val="tx1"/>
                  </w14:solidFill>
                </w14:textFill>
                <w14:ligatures w14:val="none"/>
              </w:rPr>
              <w:t>：</w:t>
            </w:r>
            <w:r>
              <w:rPr>
                <w:rFonts w:ascii="Times New Roman" w:hAnsi="Times New Roman" w:cs="Times New Roman"/>
                <w:color w:val="000000" w:themeColor="text1"/>
                <w:sz w:val="21"/>
                <w:szCs w:val="21"/>
                <w14:textFill>
                  <w14:solidFill>
                    <w14:schemeClr w14:val="tx1"/>
                  </w14:solidFill>
                </w14:textFill>
              </w:rPr>
              <w:t>0.012</w:t>
            </w:r>
          </w:p>
        </w:tc>
      </w:tr>
    </w:tbl>
    <w:p w14:paraId="2BC0B002">
      <w:pPr>
        <w:pStyle w:val="82"/>
        <w:ind w:firstLine="0" w:firstLineChars="0"/>
        <w:rPr>
          <w:rFonts w:ascii="Times New Roman" w:hAnsi="Times New Roman" w:cs="Times New Roman"/>
          <w:color w:val="000000" w:themeColor="text1"/>
          <w14:textFill>
            <w14:solidFill>
              <w14:schemeClr w14:val="tx1"/>
            </w14:solidFill>
          </w14:textFill>
        </w:rPr>
      </w:pPr>
    </w:p>
    <w:p w14:paraId="1A2D0DCD">
      <w:pPr>
        <w:pStyle w:val="82"/>
        <w:ind w:firstLine="480"/>
        <w:rPr>
          <w:rFonts w:ascii="Times New Roman" w:hAnsi="Times New Roman" w:cs="Times New Roman"/>
          <w:color w:val="000000" w:themeColor="text1"/>
          <w14:textFill>
            <w14:solidFill>
              <w14:schemeClr w14:val="tx1"/>
            </w14:solidFill>
          </w14:textFill>
        </w:rPr>
      </w:pPr>
    </w:p>
    <w:p w14:paraId="4D77397A">
      <w:pPr>
        <w:pStyle w:val="82"/>
        <w:ind w:firstLine="480"/>
        <w:rPr>
          <w:rFonts w:ascii="Times New Roman" w:hAnsi="Times New Roman" w:cs="Times New Roman"/>
          <w:color w:val="000000" w:themeColor="text1"/>
          <w14:textFill>
            <w14:solidFill>
              <w14:schemeClr w14:val="tx1"/>
            </w14:solidFill>
          </w14:textFill>
        </w:rPr>
        <w:sectPr>
          <w:pgSz w:w="16838" w:h="11906" w:orient="landscape"/>
          <w:pgMar w:top="1418" w:right="1418" w:bottom="1418" w:left="1418" w:header="851" w:footer="992" w:gutter="0"/>
          <w:cols w:space="425" w:num="1"/>
          <w:docGrid w:type="lines" w:linePitch="326" w:charSpace="0"/>
        </w:sectPr>
      </w:pPr>
    </w:p>
    <w:p w14:paraId="71E4EC83">
      <w:pPr>
        <w:pStyle w:val="4"/>
        <w:rPr>
          <w:rFonts w:hint="eastAsia"/>
        </w:rPr>
      </w:pPr>
      <w:bookmarkStart w:id="82" w:name="_Toc221056410"/>
      <w:r>
        <w:rPr>
          <w:rFonts w:hint="eastAsia"/>
        </w:rPr>
        <w:t>6.2.3预测结果及分析</w:t>
      </w:r>
      <w:bookmarkEnd w:id="80"/>
      <w:bookmarkEnd w:id="82"/>
    </w:p>
    <w:p w14:paraId="76524CB5">
      <w:pPr>
        <w:ind w:firstLine="480" w:firstLineChars="200"/>
      </w:pPr>
      <w:r>
        <w:rPr>
          <w:rFonts w:hint="eastAsia"/>
        </w:rPr>
        <w:t>1、正常排放大气预测结果</w:t>
      </w:r>
    </w:p>
    <w:p w14:paraId="4E55A3FB">
      <w:pPr>
        <w:pStyle w:val="82"/>
        <w:ind w:firstLine="480"/>
        <w:jc w:val="both"/>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(1)非甲烷总烃</w:t>
      </w:r>
    </w:p>
    <w:p w14:paraId="4680A123">
      <w:pPr>
        <w:pStyle w:val="82"/>
        <w:ind w:firstLine="480"/>
        <w:jc w:val="both"/>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预测结果表明，本项目污染源对各预测点非甲烷总烃小时平均最大浓度贡献值占标率为0.09%~0.49%。非甲烷总烃的1小时平均浓度贡献值均未超过《大气污染物综合排放标准详解》中的推荐限值。区域最大落地浓度网格点的非甲烷总烃短期浓度(1小时平均浓度)贡献值最大浓度占标率均&lt;100%。</w:t>
      </w:r>
    </w:p>
    <w:p w14:paraId="4FB28418">
      <w:pPr>
        <w:pStyle w:val="28"/>
        <w:rPr>
          <w:rFonts w:hint="eastAsia"/>
          <w:szCs w:val="22"/>
        </w:rPr>
      </w:pPr>
      <w:r>
        <w:rPr>
          <w:szCs w:val="22"/>
        </w:rPr>
        <w:t>表</w:t>
      </w:r>
      <w:r>
        <w:rPr>
          <w:rFonts w:hint="eastAsia"/>
          <w:szCs w:val="22"/>
        </w:rPr>
        <w:t xml:space="preserve">6.2-15 </w:t>
      </w:r>
      <w:r>
        <w:rPr>
          <w:szCs w:val="22"/>
        </w:rPr>
        <w:t xml:space="preserve"> </w:t>
      </w:r>
      <w:r>
        <w:rPr>
          <w:rFonts w:hint="eastAsia"/>
        </w:rPr>
        <w:t>非甲烷总烃贡献质量浓度预测结果</w:t>
      </w:r>
    </w:p>
    <w:tbl>
      <w:tblPr>
        <w:tblStyle w:val="3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62"/>
        <w:gridCol w:w="1276"/>
        <w:gridCol w:w="1134"/>
        <w:gridCol w:w="1141"/>
        <w:gridCol w:w="1407"/>
        <w:gridCol w:w="1392"/>
        <w:gridCol w:w="1074"/>
        <w:gridCol w:w="1074"/>
      </w:tblGrid>
      <w:tr w14:paraId="33AA90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62" w:type="dxa"/>
            <w:vAlign w:val="center"/>
          </w:tcPr>
          <w:p w14:paraId="0E827865">
            <w:pPr>
              <w:wordWrap w:val="0"/>
              <w:spacing w:line="240" w:lineRule="auto"/>
              <w:jc w:val="center"/>
              <w:rPr>
                <w:rFonts w:cs="Times New Roman"/>
                <w:kern w:val="0"/>
                <w:sz w:val="21"/>
                <w:szCs w:val="21"/>
                <w14:ligatures w14:val="none"/>
              </w:rPr>
            </w:pPr>
            <w:r>
              <w:rPr>
                <w:rFonts w:hint="eastAsia" w:cs="Times New Roman"/>
                <w:kern w:val="0"/>
                <w:sz w:val="21"/>
                <w:szCs w:val="21"/>
                <w14:ligatures w14:val="none"/>
              </w:rPr>
              <w:t>序号</w:t>
            </w:r>
          </w:p>
        </w:tc>
        <w:tc>
          <w:tcPr>
            <w:tcW w:w="1276" w:type="dxa"/>
            <w:noWrap/>
            <w:vAlign w:val="center"/>
          </w:tcPr>
          <w:p w14:paraId="3E516ED8">
            <w:pPr>
              <w:wordWrap w:val="0"/>
              <w:spacing w:line="240" w:lineRule="auto"/>
              <w:jc w:val="center"/>
              <w:rPr>
                <w:rFonts w:cs="Times New Roman"/>
                <w:kern w:val="0"/>
                <w:sz w:val="21"/>
                <w:szCs w:val="21"/>
                <w14:ligatures w14:val="none"/>
              </w:rPr>
            </w:pPr>
            <w:r>
              <w:rPr>
                <w:rFonts w:hint="eastAsia" w:cs="Times New Roman"/>
                <w:kern w:val="0"/>
                <w:sz w:val="21"/>
                <w:szCs w:val="21"/>
                <w14:ligatures w14:val="none"/>
              </w:rPr>
              <w:t>点名称</w:t>
            </w:r>
          </w:p>
        </w:tc>
        <w:tc>
          <w:tcPr>
            <w:tcW w:w="1134" w:type="dxa"/>
            <w:noWrap/>
            <w:vAlign w:val="center"/>
          </w:tcPr>
          <w:p w14:paraId="55161821">
            <w:pPr>
              <w:wordWrap w:val="0"/>
              <w:spacing w:line="240" w:lineRule="auto"/>
              <w:jc w:val="center"/>
              <w:rPr>
                <w:rFonts w:cs="Times New Roman"/>
                <w:kern w:val="0"/>
                <w:sz w:val="21"/>
                <w:szCs w:val="21"/>
                <w14:ligatures w14:val="none"/>
              </w:rPr>
            </w:pPr>
            <w:r>
              <w:rPr>
                <w:rFonts w:cs="Times New Roman"/>
                <w:kern w:val="0"/>
                <w:sz w:val="21"/>
                <w:szCs w:val="21"/>
                <w14:ligatures w14:val="none"/>
              </w:rPr>
              <w:t>浓度类型</w:t>
            </w:r>
          </w:p>
        </w:tc>
        <w:tc>
          <w:tcPr>
            <w:tcW w:w="1141" w:type="dxa"/>
            <w:noWrap/>
            <w:vAlign w:val="center"/>
          </w:tcPr>
          <w:p w14:paraId="4BA884A7">
            <w:pPr>
              <w:wordWrap w:val="0"/>
              <w:spacing w:line="240" w:lineRule="auto"/>
              <w:jc w:val="center"/>
              <w:rPr>
                <w:rFonts w:cs="Times New Roman"/>
                <w:kern w:val="0"/>
                <w:sz w:val="21"/>
                <w:szCs w:val="21"/>
                <w14:ligatures w14:val="none"/>
              </w:rPr>
            </w:pPr>
            <w:r>
              <w:rPr>
                <w:rFonts w:cs="Times New Roman"/>
                <w:kern w:val="0"/>
                <w:sz w:val="21"/>
                <w:szCs w:val="21"/>
                <w14:ligatures w14:val="none"/>
              </w:rPr>
              <w:t>浓度增量(μg/m</w:t>
            </w:r>
            <w:r>
              <w:rPr>
                <w:rFonts w:cs="Times New Roman"/>
                <w:kern w:val="0"/>
                <w:sz w:val="21"/>
                <w:szCs w:val="21"/>
                <w:vertAlign w:val="superscript"/>
                <w14:ligatures w14:val="none"/>
              </w:rPr>
              <w:t>3</w:t>
            </w:r>
            <w:r>
              <w:rPr>
                <w:rFonts w:cs="Times New Roman"/>
                <w:kern w:val="0"/>
                <w:sz w:val="21"/>
                <w:szCs w:val="21"/>
                <w14:ligatures w14:val="none"/>
              </w:rPr>
              <w:t>)</w:t>
            </w:r>
          </w:p>
        </w:tc>
        <w:tc>
          <w:tcPr>
            <w:tcW w:w="1407" w:type="dxa"/>
            <w:noWrap/>
            <w:vAlign w:val="center"/>
          </w:tcPr>
          <w:p w14:paraId="1AF5CC44">
            <w:pPr>
              <w:wordWrap w:val="0"/>
              <w:spacing w:line="240" w:lineRule="auto"/>
              <w:jc w:val="center"/>
              <w:rPr>
                <w:rFonts w:cs="Times New Roman"/>
                <w:kern w:val="0"/>
                <w:sz w:val="21"/>
                <w:szCs w:val="21"/>
                <w14:ligatures w14:val="none"/>
              </w:rPr>
            </w:pPr>
            <w:r>
              <w:rPr>
                <w:rFonts w:cs="Times New Roman"/>
                <w:kern w:val="0"/>
                <w:sz w:val="21"/>
                <w:szCs w:val="21"/>
                <w14:ligatures w14:val="none"/>
              </w:rPr>
              <w:t>出现时间</w:t>
            </w:r>
          </w:p>
        </w:tc>
        <w:tc>
          <w:tcPr>
            <w:tcW w:w="1392" w:type="dxa"/>
            <w:noWrap/>
            <w:vAlign w:val="center"/>
          </w:tcPr>
          <w:p w14:paraId="62AA1F1F">
            <w:pPr>
              <w:wordWrap w:val="0"/>
              <w:spacing w:line="240" w:lineRule="auto"/>
              <w:jc w:val="center"/>
              <w:rPr>
                <w:rFonts w:cs="Times New Roman"/>
                <w:kern w:val="0"/>
                <w:sz w:val="21"/>
                <w:szCs w:val="21"/>
                <w14:ligatures w14:val="none"/>
              </w:rPr>
            </w:pPr>
            <w:r>
              <w:rPr>
                <w:rFonts w:cs="Times New Roman"/>
                <w:kern w:val="0"/>
                <w:sz w:val="21"/>
                <w:szCs w:val="21"/>
                <w14:ligatures w14:val="none"/>
              </w:rPr>
              <w:t>评价标准(μg/m</w:t>
            </w:r>
            <w:r>
              <w:rPr>
                <w:rFonts w:cs="Times New Roman"/>
                <w:kern w:val="0"/>
                <w:sz w:val="21"/>
                <w:szCs w:val="21"/>
                <w:vertAlign w:val="superscript"/>
                <w14:ligatures w14:val="none"/>
              </w:rPr>
              <w:t>3</w:t>
            </w:r>
            <w:r>
              <w:rPr>
                <w:rFonts w:cs="Times New Roman"/>
                <w:kern w:val="0"/>
                <w:sz w:val="21"/>
                <w:szCs w:val="21"/>
                <w14:ligatures w14:val="none"/>
              </w:rPr>
              <w:t>)</w:t>
            </w:r>
          </w:p>
        </w:tc>
        <w:tc>
          <w:tcPr>
            <w:tcW w:w="1074" w:type="dxa"/>
            <w:noWrap/>
            <w:vAlign w:val="center"/>
          </w:tcPr>
          <w:p w14:paraId="3378E0F9">
            <w:pPr>
              <w:wordWrap w:val="0"/>
              <w:spacing w:line="240" w:lineRule="auto"/>
              <w:jc w:val="center"/>
              <w:rPr>
                <w:rFonts w:cs="Times New Roman"/>
                <w:kern w:val="0"/>
                <w:sz w:val="21"/>
                <w:szCs w:val="21"/>
                <w14:ligatures w14:val="none"/>
              </w:rPr>
            </w:pPr>
            <w:r>
              <w:rPr>
                <w:rFonts w:cs="Times New Roman"/>
                <w:kern w:val="0"/>
                <w:sz w:val="21"/>
                <w:szCs w:val="21"/>
                <w14:ligatures w14:val="none"/>
              </w:rPr>
              <w:t>占标率%</w:t>
            </w:r>
          </w:p>
        </w:tc>
        <w:tc>
          <w:tcPr>
            <w:tcW w:w="1074" w:type="dxa"/>
            <w:noWrap/>
            <w:vAlign w:val="center"/>
          </w:tcPr>
          <w:p w14:paraId="3F5B7BD6">
            <w:pPr>
              <w:wordWrap w:val="0"/>
              <w:spacing w:line="240" w:lineRule="auto"/>
              <w:jc w:val="center"/>
              <w:rPr>
                <w:rFonts w:cs="Times New Roman"/>
                <w:kern w:val="0"/>
                <w:sz w:val="21"/>
                <w:szCs w:val="21"/>
                <w14:ligatures w14:val="none"/>
              </w:rPr>
            </w:pPr>
            <w:r>
              <w:rPr>
                <w:rFonts w:cs="Times New Roman"/>
                <w:kern w:val="0"/>
                <w:sz w:val="21"/>
                <w:szCs w:val="21"/>
                <w14:ligatures w14:val="none"/>
              </w:rPr>
              <w:t>达标情况</w:t>
            </w:r>
          </w:p>
        </w:tc>
      </w:tr>
      <w:tr w14:paraId="20DF0D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62" w:type="dxa"/>
            <w:vAlign w:val="center"/>
          </w:tcPr>
          <w:p w14:paraId="316C69A6">
            <w:pPr>
              <w:wordWrap w:val="0"/>
              <w:spacing w:line="240" w:lineRule="auto"/>
              <w:jc w:val="center"/>
              <w:rPr>
                <w:rFonts w:cs="Times New Roman"/>
                <w:kern w:val="0"/>
                <w:sz w:val="21"/>
                <w:szCs w:val="21"/>
                <w14:ligatures w14:val="none"/>
              </w:rPr>
            </w:pPr>
            <w:r>
              <w:rPr>
                <w:rFonts w:hint="eastAsia"/>
                <w:kern w:val="0"/>
                <w:sz w:val="21"/>
                <w:szCs w:val="21"/>
                <w14:ligatures w14:val="none"/>
              </w:rPr>
              <w:t>1</w:t>
            </w:r>
          </w:p>
        </w:tc>
        <w:tc>
          <w:tcPr>
            <w:tcW w:w="1276" w:type="dxa"/>
            <w:noWrap/>
            <w:vAlign w:val="center"/>
          </w:tcPr>
          <w:p w14:paraId="271DD7F4">
            <w:pPr>
              <w:wordWrap w:val="0"/>
              <w:spacing w:line="240" w:lineRule="auto"/>
              <w:jc w:val="center"/>
              <w:rPr>
                <w:rFonts w:cs="Times New Roman"/>
                <w:kern w:val="0"/>
                <w:sz w:val="21"/>
                <w:szCs w:val="21"/>
                <w14:ligatures w14:val="none"/>
              </w:rPr>
            </w:pPr>
            <w:r>
              <w:rPr>
                <w:rFonts w:hint="eastAsia"/>
                <w:sz w:val="21"/>
                <w:szCs w:val="21"/>
              </w:rPr>
              <w:t>三铺村</w:t>
            </w:r>
          </w:p>
        </w:tc>
        <w:tc>
          <w:tcPr>
            <w:tcW w:w="1134" w:type="dxa"/>
            <w:noWrap/>
            <w:vAlign w:val="center"/>
          </w:tcPr>
          <w:p w14:paraId="3EF26C87">
            <w:pPr>
              <w:wordWrap w:val="0"/>
              <w:spacing w:line="240" w:lineRule="auto"/>
              <w:jc w:val="center"/>
              <w:rPr>
                <w:rFonts w:cs="Times New Roman"/>
                <w:kern w:val="0"/>
                <w:sz w:val="21"/>
                <w:szCs w:val="21"/>
                <w14:ligatures w14:val="none"/>
              </w:rPr>
            </w:pPr>
            <w:r>
              <w:rPr>
                <w:rFonts w:hint="eastAsia"/>
                <w:sz w:val="21"/>
                <w:szCs w:val="21"/>
              </w:rPr>
              <w:t>小时值</w:t>
            </w:r>
          </w:p>
        </w:tc>
        <w:tc>
          <w:tcPr>
            <w:tcW w:w="1141" w:type="dxa"/>
            <w:noWrap/>
            <w:vAlign w:val="center"/>
          </w:tcPr>
          <w:p w14:paraId="753A5C6B">
            <w:pPr>
              <w:wordWrap w:val="0"/>
              <w:spacing w:line="240" w:lineRule="auto"/>
              <w:jc w:val="center"/>
              <w:rPr>
                <w:rFonts w:cs="Times New Roman"/>
                <w:kern w:val="0"/>
                <w:sz w:val="21"/>
                <w:szCs w:val="21"/>
                <w14:ligatures w14:val="none"/>
              </w:rPr>
            </w:pPr>
            <w:r>
              <w:rPr>
                <w:rFonts w:hint="eastAsia"/>
                <w:sz w:val="21"/>
                <w:szCs w:val="21"/>
              </w:rPr>
              <w:t>2.69E+00</w:t>
            </w:r>
          </w:p>
        </w:tc>
        <w:tc>
          <w:tcPr>
            <w:tcW w:w="1407" w:type="dxa"/>
            <w:noWrap/>
            <w:vAlign w:val="center"/>
          </w:tcPr>
          <w:p w14:paraId="5AF86BDB">
            <w:pPr>
              <w:wordWrap w:val="0"/>
              <w:spacing w:line="240" w:lineRule="auto"/>
              <w:jc w:val="center"/>
              <w:rPr>
                <w:rFonts w:cs="Times New Roman"/>
                <w:kern w:val="0"/>
                <w:sz w:val="21"/>
                <w:szCs w:val="21"/>
                <w14:ligatures w14:val="none"/>
              </w:rPr>
            </w:pPr>
            <w:r>
              <w:rPr>
                <w:rFonts w:hint="eastAsia"/>
                <w:sz w:val="21"/>
                <w:szCs w:val="21"/>
              </w:rPr>
              <w:t>23101301</w:t>
            </w:r>
          </w:p>
        </w:tc>
        <w:tc>
          <w:tcPr>
            <w:tcW w:w="1392" w:type="dxa"/>
            <w:noWrap/>
            <w:vAlign w:val="center"/>
          </w:tcPr>
          <w:p w14:paraId="074E9B7C">
            <w:pPr>
              <w:wordWrap w:val="0"/>
              <w:spacing w:line="240" w:lineRule="auto"/>
              <w:jc w:val="center"/>
              <w:rPr>
                <w:rFonts w:cs="Times New Roman"/>
                <w:kern w:val="0"/>
                <w:sz w:val="21"/>
                <w:szCs w:val="21"/>
                <w14:ligatures w14:val="none"/>
              </w:rPr>
            </w:pPr>
            <w:r>
              <w:rPr>
                <w:rFonts w:hint="eastAsia"/>
                <w:sz w:val="21"/>
                <w:szCs w:val="21"/>
              </w:rPr>
              <w:t>2.00E+03</w:t>
            </w:r>
          </w:p>
        </w:tc>
        <w:tc>
          <w:tcPr>
            <w:tcW w:w="1074" w:type="dxa"/>
            <w:noWrap/>
            <w:vAlign w:val="center"/>
          </w:tcPr>
          <w:p w14:paraId="6DAF9F3D">
            <w:pPr>
              <w:wordWrap w:val="0"/>
              <w:spacing w:line="240" w:lineRule="auto"/>
              <w:jc w:val="center"/>
              <w:rPr>
                <w:rFonts w:cs="Times New Roman"/>
                <w:kern w:val="0"/>
                <w:sz w:val="21"/>
                <w:szCs w:val="21"/>
                <w14:ligatures w14:val="none"/>
              </w:rPr>
            </w:pPr>
            <w:r>
              <w:rPr>
                <w:rFonts w:hint="eastAsia"/>
                <w:sz w:val="21"/>
                <w:szCs w:val="21"/>
              </w:rPr>
              <w:t>0.13</w:t>
            </w:r>
          </w:p>
        </w:tc>
        <w:tc>
          <w:tcPr>
            <w:tcW w:w="1074" w:type="dxa"/>
            <w:noWrap/>
            <w:vAlign w:val="center"/>
          </w:tcPr>
          <w:p w14:paraId="057CD409">
            <w:pPr>
              <w:wordWrap w:val="0"/>
              <w:spacing w:line="240" w:lineRule="auto"/>
              <w:jc w:val="center"/>
              <w:rPr>
                <w:rFonts w:cs="Times New Roman"/>
                <w:kern w:val="0"/>
                <w:sz w:val="21"/>
                <w:szCs w:val="21"/>
                <w14:ligatures w14:val="none"/>
              </w:rPr>
            </w:pPr>
            <w:r>
              <w:rPr>
                <w:rFonts w:hint="eastAsia"/>
                <w:sz w:val="21"/>
                <w:szCs w:val="21"/>
              </w:rPr>
              <w:t>达标</w:t>
            </w:r>
          </w:p>
        </w:tc>
      </w:tr>
      <w:tr w14:paraId="28CF8F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62" w:type="dxa"/>
            <w:vAlign w:val="center"/>
          </w:tcPr>
          <w:p w14:paraId="282505FA">
            <w:pPr>
              <w:wordWrap w:val="0"/>
              <w:spacing w:line="240" w:lineRule="auto"/>
              <w:jc w:val="center"/>
              <w:rPr>
                <w:rFonts w:cs="Times New Roman"/>
                <w:kern w:val="0"/>
                <w:sz w:val="21"/>
                <w:szCs w:val="21"/>
                <w14:ligatures w14:val="none"/>
              </w:rPr>
            </w:pPr>
            <w:r>
              <w:rPr>
                <w:rFonts w:hint="eastAsia"/>
                <w:kern w:val="0"/>
                <w:sz w:val="21"/>
                <w:szCs w:val="21"/>
                <w14:ligatures w14:val="none"/>
              </w:rPr>
              <w:t>2</w:t>
            </w:r>
          </w:p>
        </w:tc>
        <w:tc>
          <w:tcPr>
            <w:tcW w:w="1276" w:type="dxa"/>
            <w:noWrap/>
            <w:vAlign w:val="center"/>
          </w:tcPr>
          <w:p w14:paraId="2F62FDFF">
            <w:pPr>
              <w:wordWrap w:val="0"/>
              <w:spacing w:line="240" w:lineRule="auto"/>
              <w:jc w:val="center"/>
              <w:rPr>
                <w:rFonts w:cs="Times New Roman"/>
                <w:kern w:val="0"/>
                <w:sz w:val="21"/>
                <w:szCs w:val="21"/>
                <w14:ligatures w14:val="none"/>
              </w:rPr>
            </w:pPr>
            <w:r>
              <w:rPr>
                <w:rFonts w:hint="eastAsia"/>
                <w:sz w:val="21"/>
                <w:szCs w:val="21"/>
              </w:rPr>
              <w:t>三铺小学</w:t>
            </w:r>
          </w:p>
        </w:tc>
        <w:tc>
          <w:tcPr>
            <w:tcW w:w="1134" w:type="dxa"/>
            <w:noWrap/>
            <w:vAlign w:val="center"/>
          </w:tcPr>
          <w:p w14:paraId="03B6DFA1">
            <w:pPr>
              <w:wordWrap w:val="0"/>
              <w:spacing w:line="240" w:lineRule="auto"/>
              <w:jc w:val="center"/>
              <w:rPr>
                <w:rFonts w:cs="Times New Roman"/>
                <w:kern w:val="0"/>
                <w:sz w:val="21"/>
                <w:szCs w:val="21"/>
                <w14:ligatures w14:val="none"/>
              </w:rPr>
            </w:pPr>
            <w:r>
              <w:rPr>
                <w:rFonts w:hint="eastAsia"/>
                <w:sz w:val="21"/>
                <w:szCs w:val="21"/>
              </w:rPr>
              <w:t>小时值</w:t>
            </w:r>
          </w:p>
        </w:tc>
        <w:tc>
          <w:tcPr>
            <w:tcW w:w="1141" w:type="dxa"/>
            <w:noWrap/>
            <w:vAlign w:val="center"/>
          </w:tcPr>
          <w:p w14:paraId="19ADDB9D">
            <w:pPr>
              <w:wordWrap w:val="0"/>
              <w:spacing w:line="240" w:lineRule="auto"/>
              <w:jc w:val="center"/>
              <w:rPr>
                <w:rFonts w:cs="Times New Roman"/>
                <w:kern w:val="0"/>
                <w:sz w:val="21"/>
                <w:szCs w:val="21"/>
                <w14:ligatures w14:val="none"/>
              </w:rPr>
            </w:pPr>
            <w:r>
              <w:rPr>
                <w:rFonts w:hint="eastAsia"/>
                <w:sz w:val="21"/>
                <w:szCs w:val="21"/>
              </w:rPr>
              <w:t>2.45E+00</w:t>
            </w:r>
          </w:p>
        </w:tc>
        <w:tc>
          <w:tcPr>
            <w:tcW w:w="1407" w:type="dxa"/>
            <w:noWrap/>
            <w:vAlign w:val="center"/>
          </w:tcPr>
          <w:p w14:paraId="3DCECB62">
            <w:pPr>
              <w:wordWrap w:val="0"/>
              <w:spacing w:line="240" w:lineRule="auto"/>
              <w:jc w:val="center"/>
              <w:rPr>
                <w:rFonts w:cs="Times New Roman"/>
                <w:kern w:val="0"/>
                <w:sz w:val="21"/>
                <w:szCs w:val="21"/>
                <w14:ligatures w14:val="none"/>
              </w:rPr>
            </w:pPr>
            <w:r>
              <w:rPr>
                <w:rFonts w:hint="eastAsia"/>
                <w:sz w:val="21"/>
                <w:szCs w:val="21"/>
              </w:rPr>
              <w:t>23083005</w:t>
            </w:r>
          </w:p>
        </w:tc>
        <w:tc>
          <w:tcPr>
            <w:tcW w:w="1392" w:type="dxa"/>
            <w:noWrap/>
            <w:vAlign w:val="center"/>
          </w:tcPr>
          <w:p w14:paraId="415D5507">
            <w:pPr>
              <w:wordWrap w:val="0"/>
              <w:spacing w:line="240" w:lineRule="auto"/>
              <w:jc w:val="center"/>
              <w:rPr>
                <w:rFonts w:cs="Times New Roman"/>
                <w:kern w:val="0"/>
                <w:sz w:val="21"/>
                <w:szCs w:val="21"/>
                <w14:ligatures w14:val="none"/>
              </w:rPr>
            </w:pPr>
            <w:r>
              <w:rPr>
                <w:rFonts w:hint="eastAsia"/>
                <w:sz w:val="21"/>
                <w:szCs w:val="21"/>
              </w:rPr>
              <w:t>2.00E+03</w:t>
            </w:r>
          </w:p>
        </w:tc>
        <w:tc>
          <w:tcPr>
            <w:tcW w:w="1074" w:type="dxa"/>
            <w:noWrap/>
            <w:vAlign w:val="center"/>
          </w:tcPr>
          <w:p w14:paraId="3493D2FF">
            <w:pPr>
              <w:wordWrap w:val="0"/>
              <w:spacing w:line="240" w:lineRule="auto"/>
              <w:jc w:val="center"/>
              <w:rPr>
                <w:rFonts w:cs="Times New Roman"/>
                <w:kern w:val="0"/>
                <w:sz w:val="21"/>
                <w:szCs w:val="21"/>
                <w14:ligatures w14:val="none"/>
              </w:rPr>
            </w:pPr>
            <w:r>
              <w:rPr>
                <w:rFonts w:hint="eastAsia"/>
                <w:sz w:val="21"/>
                <w:szCs w:val="21"/>
              </w:rPr>
              <w:t>0.12</w:t>
            </w:r>
          </w:p>
        </w:tc>
        <w:tc>
          <w:tcPr>
            <w:tcW w:w="1074" w:type="dxa"/>
            <w:noWrap/>
            <w:vAlign w:val="center"/>
          </w:tcPr>
          <w:p w14:paraId="2612583B">
            <w:pPr>
              <w:wordWrap w:val="0"/>
              <w:spacing w:line="240" w:lineRule="auto"/>
              <w:jc w:val="center"/>
              <w:rPr>
                <w:rFonts w:cs="Times New Roman"/>
                <w:kern w:val="0"/>
                <w:sz w:val="21"/>
                <w:szCs w:val="21"/>
                <w14:ligatures w14:val="none"/>
              </w:rPr>
            </w:pPr>
            <w:r>
              <w:rPr>
                <w:rFonts w:hint="eastAsia"/>
                <w:sz w:val="21"/>
                <w:szCs w:val="21"/>
              </w:rPr>
              <w:t>达标</w:t>
            </w:r>
          </w:p>
        </w:tc>
      </w:tr>
      <w:tr w14:paraId="3C77C6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62" w:type="dxa"/>
            <w:vAlign w:val="center"/>
          </w:tcPr>
          <w:p w14:paraId="3DCF3FF2">
            <w:pPr>
              <w:wordWrap w:val="0"/>
              <w:spacing w:line="240" w:lineRule="auto"/>
              <w:jc w:val="center"/>
              <w:rPr>
                <w:rFonts w:cs="Times New Roman"/>
                <w:kern w:val="0"/>
                <w:sz w:val="21"/>
                <w:szCs w:val="21"/>
                <w14:ligatures w14:val="none"/>
              </w:rPr>
            </w:pPr>
            <w:r>
              <w:rPr>
                <w:rFonts w:hint="eastAsia"/>
                <w:kern w:val="0"/>
                <w:sz w:val="21"/>
                <w:szCs w:val="21"/>
                <w14:ligatures w14:val="none"/>
              </w:rPr>
              <w:t>3</w:t>
            </w:r>
          </w:p>
        </w:tc>
        <w:tc>
          <w:tcPr>
            <w:tcW w:w="1276" w:type="dxa"/>
            <w:noWrap/>
            <w:vAlign w:val="center"/>
          </w:tcPr>
          <w:p w14:paraId="52D4E9E6">
            <w:pPr>
              <w:wordWrap w:val="0"/>
              <w:spacing w:line="240" w:lineRule="auto"/>
              <w:jc w:val="center"/>
              <w:rPr>
                <w:rFonts w:cs="Times New Roman"/>
                <w:kern w:val="0"/>
                <w:sz w:val="21"/>
                <w:szCs w:val="21"/>
                <w14:ligatures w14:val="none"/>
              </w:rPr>
            </w:pPr>
            <w:r>
              <w:rPr>
                <w:rFonts w:hint="eastAsia"/>
                <w:sz w:val="21"/>
                <w:szCs w:val="21"/>
              </w:rPr>
              <w:t>三铺中学</w:t>
            </w:r>
          </w:p>
        </w:tc>
        <w:tc>
          <w:tcPr>
            <w:tcW w:w="1134" w:type="dxa"/>
            <w:noWrap/>
            <w:vAlign w:val="center"/>
          </w:tcPr>
          <w:p w14:paraId="4D1E053B">
            <w:pPr>
              <w:wordWrap w:val="0"/>
              <w:spacing w:line="240" w:lineRule="auto"/>
              <w:jc w:val="center"/>
              <w:rPr>
                <w:rFonts w:cs="Times New Roman"/>
                <w:kern w:val="0"/>
                <w:sz w:val="21"/>
                <w:szCs w:val="21"/>
                <w14:ligatures w14:val="none"/>
              </w:rPr>
            </w:pPr>
            <w:r>
              <w:rPr>
                <w:rFonts w:hint="eastAsia"/>
                <w:sz w:val="21"/>
                <w:szCs w:val="21"/>
              </w:rPr>
              <w:t>小时值</w:t>
            </w:r>
          </w:p>
        </w:tc>
        <w:tc>
          <w:tcPr>
            <w:tcW w:w="1141" w:type="dxa"/>
            <w:noWrap/>
            <w:vAlign w:val="center"/>
          </w:tcPr>
          <w:p w14:paraId="13BB78C2">
            <w:pPr>
              <w:wordWrap w:val="0"/>
              <w:spacing w:line="240" w:lineRule="auto"/>
              <w:jc w:val="center"/>
              <w:rPr>
                <w:rFonts w:cs="Times New Roman"/>
                <w:kern w:val="0"/>
                <w:sz w:val="21"/>
                <w:szCs w:val="21"/>
                <w14:ligatures w14:val="none"/>
              </w:rPr>
            </w:pPr>
            <w:r>
              <w:rPr>
                <w:rFonts w:hint="eastAsia"/>
                <w:sz w:val="21"/>
                <w:szCs w:val="21"/>
              </w:rPr>
              <w:t>2.76E+00</w:t>
            </w:r>
          </w:p>
        </w:tc>
        <w:tc>
          <w:tcPr>
            <w:tcW w:w="1407" w:type="dxa"/>
            <w:noWrap/>
            <w:vAlign w:val="center"/>
          </w:tcPr>
          <w:p w14:paraId="1A147987">
            <w:pPr>
              <w:wordWrap w:val="0"/>
              <w:spacing w:line="240" w:lineRule="auto"/>
              <w:jc w:val="center"/>
              <w:rPr>
                <w:rFonts w:cs="Times New Roman"/>
                <w:kern w:val="0"/>
                <w:sz w:val="21"/>
                <w:szCs w:val="21"/>
                <w14:ligatures w14:val="none"/>
              </w:rPr>
            </w:pPr>
            <w:r>
              <w:rPr>
                <w:rFonts w:hint="eastAsia"/>
                <w:sz w:val="21"/>
                <w:szCs w:val="21"/>
              </w:rPr>
              <w:t>23032703</w:t>
            </w:r>
          </w:p>
        </w:tc>
        <w:tc>
          <w:tcPr>
            <w:tcW w:w="1392" w:type="dxa"/>
            <w:noWrap/>
            <w:vAlign w:val="center"/>
          </w:tcPr>
          <w:p w14:paraId="1E86FBB9">
            <w:pPr>
              <w:wordWrap w:val="0"/>
              <w:spacing w:line="240" w:lineRule="auto"/>
              <w:jc w:val="center"/>
              <w:rPr>
                <w:rFonts w:cs="Times New Roman"/>
                <w:kern w:val="0"/>
                <w:sz w:val="21"/>
                <w:szCs w:val="21"/>
                <w14:ligatures w14:val="none"/>
              </w:rPr>
            </w:pPr>
            <w:r>
              <w:rPr>
                <w:rFonts w:hint="eastAsia"/>
                <w:sz w:val="21"/>
                <w:szCs w:val="21"/>
              </w:rPr>
              <w:t>2.00E+03</w:t>
            </w:r>
          </w:p>
        </w:tc>
        <w:tc>
          <w:tcPr>
            <w:tcW w:w="1074" w:type="dxa"/>
            <w:noWrap/>
            <w:vAlign w:val="center"/>
          </w:tcPr>
          <w:p w14:paraId="3B73AD37">
            <w:pPr>
              <w:wordWrap w:val="0"/>
              <w:spacing w:line="240" w:lineRule="auto"/>
              <w:jc w:val="center"/>
              <w:rPr>
                <w:rFonts w:cs="Times New Roman"/>
                <w:kern w:val="0"/>
                <w:sz w:val="21"/>
                <w:szCs w:val="21"/>
                <w14:ligatures w14:val="none"/>
              </w:rPr>
            </w:pPr>
            <w:r>
              <w:rPr>
                <w:rFonts w:hint="eastAsia"/>
                <w:sz w:val="21"/>
                <w:szCs w:val="21"/>
              </w:rPr>
              <w:t>0.14</w:t>
            </w:r>
          </w:p>
        </w:tc>
        <w:tc>
          <w:tcPr>
            <w:tcW w:w="1074" w:type="dxa"/>
            <w:noWrap/>
            <w:vAlign w:val="center"/>
          </w:tcPr>
          <w:p w14:paraId="5FC8FBFB">
            <w:pPr>
              <w:wordWrap w:val="0"/>
              <w:spacing w:line="240" w:lineRule="auto"/>
              <w:jc w:val="center"/>
              <w:rPr>
                <w:rFonts w:cs="Times New Roman"/>
                <w:kern w:val="0"/>
                <w:sz w:val="21"/>
                <w:szCs w:val="21"/>
                <w14:ligatures w14:val="none"/>
              </w:rPr>
            </w:pPr>
            <w:r>
              <w:rPr>
                <w:rFonts w:hint="eastAsia"/>
                <w:sz w:val="21"/>
                <w:szCs w:val="21"/>
              </w:rPr>
              <w:t>达标</w:t>
            </w:r>
          </w:p>
        </w:tc>
      </w:tr>
      <w:tr w14:paraId="4E3834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62" w:type="dxa"/>
            <w:vAlign w:val="center"/>
          </w:tcPr>
          <w:p w14:paraId="5A0E4D77">
            <w:pPr>
              <w:wordWrap w:val="0"/>
              <w:spacing w:line="240" w:lineRule="auto"/>
              <w:jc w:val="center"/>
              <w:rPr>
                <w:rFonts w:cs="Times New Roman"/>
                <w:kern w:val="0"/>
                <w:sz w:val="21"/>
                <w:szCs w:val="21"/>
                <w14:ligatures w14:val="none"/>
              </w:rPr>
            </w:pPr>
            <w:r>
              <w:rPr>
                <w:rFonts w:hint="eastAsia"/>
                <w:kern w:val="0"/>
                <w:sz w:val="21"/>
                <w:szCs w:val="21"/>
                <w14:ligatures w14:val="none"/>
              </w:rPr>
              <w:t>4</w:t>
            </w:r>
          </w:p>
        </w:tc>
        <w:tc>
          <w:tcPr>
            <w:tcW w:w="1276" w:type="dxa"/>
            <w:noWrap/>
            <w:vAlign w:val="center"/>
          </w:tcPr>
          <w:p w14:paraId="71BEADE9">
            <w:pPr>
              <w:wordWrap w:val="0"/>
              <w:spacing w:line="240" w:lineRule="auto"/>
              <w:jc w:val="center"/>
              <w:rPr>
                <w:rFonts w:cs="Times New Roman"/>
                <w:kern w:val="0"/>
                <w:sz w:val="21"/>
                <w:szCs w:val="21"/>
                <w14:ligatures w14:val="none"/>
              </w:rPr>
            </w:pPr>
            <w:r>
              <w:rPr>
                <w:rFonts w:hint="eastAsia"/>
                <w:sz w:val="21"/>
                <w:szCs w:val="21"/>
              </w:rPr>
              <w:t>高王家</w:t>
            </w:r>
          </w:p>
        </w:tc>
        <w:tc>
          <w:tcPr>
            <w:tcW w:w="1134" w:type="dxa"/>
            <w:noWrap/>
            <w:vAlign w:val="center"/>
          </w:tcPr>
          <w:p w14:paraId="3B22C220">
            <w:pPr>
              <w:wordWrap w:val="0"/>
              <w:spacing w:line="240" w:lineRule="auto"/>
              <w:jc w:val="center"/>
              <w:rPr>
                <w:rFonts w:cs="Times New Roman"/>
                <w:kern w:val="0"/>
                <w:sz w:val="21"/>
                <w:szCs w:val="21"/>
                <w14:ligatures w14:val="none"/>
              </w:rPr>
            </w:pPr>
            <w:r>
              <w:rPr>
                <w:rFonts w:hint="eastAsia"/>
                <w:sz w:val="21"/>
                <w:szCs w:val="21"/>
              </w:rPr>
              <w:t>小时值</w:t>
            </w:r>
          </w:p>
        </w:tc>
        <w:tc>
          <w:tcPr>
            <w:tcW w:w="1141" w:type="dxa"/>
            <w:noWrap/>
            <w:vAlign w:val="center"/>
          </w:tcPr>
          <w:p w14:paraId="3F7E107B">
            <w:pPr>
              <w:wordWrap w:val="0"/>
              <w:spacing w:line="240" w:lineRule="auto"/>
              <w:jc w:val="center"/>
              <w:rPr>
                <w:rFonts w:cs="Times New Roman"/>
                <w:kern w:val="0"/>
                <w:sz w:val="21"/>
                <w:szCs w:val="21"/>
                <w14:ligatures w14:val="none"/>
              </w:rPr>
            </w:pPr>
            <w:r>
              <w:rPr>
                <w:rFonts w:hint="eastAsia"/>
                <w:sz w:val="21"/>
                <w:szCs w:val="21"/>
              </w:rPr>
              <w:t>2.52E+00</w:t>
            </w:r>
          </w:p>
        </w:tc>
        <w:tc>
          <w:tcPr>
            <w:tcW w:w="1407" w:type="dxa"/>
            <w:noWrap/>
            <w:vAlign w:val="center"/>
          </w:tcPr>
          <w:p w14:paraId="624B03C4">
            <w:pPr>
              <w:wordWrap w:val="0"/>
              <w:spacing w:line="240" w:lineRule="auto"/>
              <w:jc w:val="center"/>
              <w:rPr>
                <w:rFonts w:cs="Times New Roman"/>
                <w:kern w:val="0"/>
                <w:sz w:val="21"/>
                <w:szCs w:val="21"/>
                <w14:ligatures w14:val="none"/>
              </w:rPr>
            </w:pPr>
            <w:r>
              <w:rPr>
                <w:rFonts w:hint="eastAsia"/>
                <w:sz w:val="21"/>
                <w:szCs w:val="21"/>
              </w:rPr>
              <w:t>23083004</w:t>
            </w:r>
          </w:p>
        </w:tc>
        <w:tc>
          <w:tcPr>
            <w:tcW w:w="1392" w:type="dxa"/>
            <w:noWrap/>
            <w:vAlign w:val="center"/>
          </w:tcPr>
          <w:p w14:paraId="72DC622C">
            <w:pPr>
              <w:wordWrap w:val="0"/>
              <w:spacing w:line="240" w:lineRule="auto"/>
              <w:jc w:val="center"/>
              <w:rPr>
                <w:rFonts w:cs="Times New Roman"/>
                <w:kern w:val="0"/>
                <w:sz w:val="21"/>
                <w:szCs w:val="21"/>
                <w14:ligatures w14:val="none"/>
              </w:rPr>
            </w:pPr>
            <w:r>
              <w:rPr>
                <w:rFonts w:hint="eastAsia"/>
                <w:sz w:val="21"/>
                <w:szCs w:val="21"/>
              </w:rPr>
              <w:t>2.00E+03</w:t>
            </w:r>
          </w:p>
        </w:tc>
        <w:tc>
          <w:tcPr>
            <w:tcW w:w="1074" w:type="dxa"/>
            <w:noWrap/>
            <w:vAlign w:val="center"/>
          </w:tcPr>
          <w:p w14:paraId="0BAF2860">
            <w:pPr>
              <w:wordWrap w:val="0"/>
              <w:spacing w:line="240" w:lineRule="auto"/>
              <w:jc w:val="center"/>
              <w:rPr>
                <w:rFonts w:cs="Times New Roman"/>
                <w:kern w:val="0"/>
                <w:sz w:val="21"/>
                <w:szCs w:val="21"/>
                <w14:ligatures w14:val="none"/>
              </w:rPr>
            </w:pPr>
            <w:r>
              <w:rPr>
                <w:rFonts w:hint="eastAsia"/>
                <w:sz w:val="21"/>
                <w:szCs w:val="21"/>
              </w:rPr>
              <w:t>0.13</w:t>
            </w:r>
          </w:p>
        </w:tc>
        <w:tc>
          <w:tcPr>
            <w:tcW w:w="1074" w:type="dxa"/>
            <w:noWrap/>
            <w:vAlign w:val="center"/>
          </w:tcPr>
          <w:p w14:paraId="59AC9E0D">
            <w:pPr>
              <w:wordWrap w:val="0"/>
              <w:spacing w:line="240" w:lineRule="auto"/>
              <w:jc w:val="center"/>
              <w:rPr>
                <w:rFonts w:cs="Times New Roman"/>
                <w:kern w:val="0"/>
                <w:sz w:val="21"/>
                <w:szCs w:val="21"/>
                <w14:ligatures w14:val="none"/>
              </w:rPr>
            </w:pPr>
            <w:r>
              <w:rPr>
                <w:rFonts w:hint="eastAsia"/>
                <w:sz w:val="21"/>
                <w:szCs w:val="21"/>
              </w:rPr>
              <w:t>达标</w:t>
            </w:r>
          </w:p>
        </w:tc>
      </w:tr>
      <w:tr w14:paraId="23718F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62" w:type="dxa"/>
            <w:vAlign w:val="center"/>
          </w:tcPr>
          <w:p w14:paraId="5D51ABF9">
            <w:pPr>
              <w:wordWrap w:val="0"/>
              <w:spacing w:line="240" w:lineRule="auto"/>
              <w:jc w:val="center"/>
              <w:rPr>
                <w:rFonts w:cs="Times New Roman"/>
                <w:kern w:val="0"/>
                <w:sz w:val="21"/>
                <w:szCs w:val="21"/>
                <w14:ligatures w14:val="none"/>
              </w:rPr>
            </w:pPr>
            <w:r>
              <w:rPr>
                <w:rFonts w:hint="eastAsia"/>
                <w:kern w:val="0"/>
                <w:sz w:val="21"/>
                <w:szCs w:val="21"/>
                <w14:ligatures w14:val="none"/>
              </w:rPr>
              <w:t>5</w:t>
            </w:r>
          </w:p>
        </w:tc>
        <w:tc>
          <w:tcPr>
            <w:tcW w:w="1276" w:type="dxa"/>
            <w:noWrap/>
            <w:vAlign w:val="center"/>
          </w:tcPr>
          <w:p w14:paraId="213F628D">
            <w:pPr>
              <w:wordWrap w:val="0"/>
              <w:spacing w:line="240" w:lineRule="auto"/>
              <w:jc w:val="center"/>
              <w:rPr>
                <w:rFonts w:cs="Times New Roman"/>
                <w:kern w:val="0"/>
                <w:sz w:val="21"/>
                <w:szCs w:val="21"/>
                <w14:ligatures w14:val="none"/>
              </w:rPr>
            </w:pPr>
            <w:r>
              <w:rPr>
                <w:rFonts w:hint="eastAsia"/>
                <w:sz w:val="21"/>
                <w:szCs w:val="21"/>
              </w:rPr>
              <w:t>大柏村</w:t>
            </w:r>
          </w:p>
        </w:tc>
        <w:tc>
          <w:tcPr>
            <w:tcW w:w="1134" w:type="dxa"/>
            <w:noWrap/>
            <w:vAlign w:val="center"/>
          </w:tcPr>
          <w:p w14:paraId="17B46EB4">
            <w:pPr>
              <w:wordWrap w:val="0"/>
              <w:spacing w:line="240" w:lineRule="auto"/>
              <w:jc w:val="center"/>
              <w:rPr>
                <w:rFonts w:cs="Times New Roman"/>
                <w:kern w:val="0"/>
                <w:sz w:val="21"/>
                <w:szCs w:val="21"/>
                <w14:ligatures w14:val="none"/>
              </w:rPr>
            </w:pPr>
            <w:r>
              <w:rPr>
                <w:rFonts w:hint="eastAsia"/>
                <w:sz w:val="21"/>
                <w:szCs w:val="21"/>
              </w:rPr>
              <w:t>小时值</w:t>
            </w:r>
          </w:p>
        </w:tc>
        <w:tc>
          <w:tcPr>
            <w:tcW w:w="1141" w:type="dxa"/>
            <w:noWrap/>
            <w:vAlign w:val="center"/>
          </w:tcPr>
          <w:p w14:paraId="00079AB4">
            <w:pPr>
              <w:wordWrap w:val="0"/>
              <w:spacing w:line="240" w:lineRule="auto"/>
              <w:jc w:val="center"/>
              <w:rPr>
                <w:rFonts w:cs="Times New Roman"/>
                <w:kern w:val="0"/>
                <w:sz w:val="21"/>
                <w:szCs w:val="21"/>
                <w14:ligatures w14:val="none"/>
              </w:rPr>
            </w:pPr>
            <w:r>
              <w:rPr>
                <w:rFonts w:hint="eastAsia"/>
                <w:sz w:val="21"/>
                <w:szCs w:val="21"/>
              </w:rPr>
              <w:t>1.89E+00</w:t>
            </w:r>
          </w:p>
        </w:tc>
        <w:tc>
          <w:tcPr>
            <w:tcW w:w="1407" w:type="dxa"/>
            <w:noWrap/>
            <w:vAlign w:val="center"/>
          </w:tcPr>
          <w:p w14:paraId="3EC69E6B">
            <w:pPr>
              <w:wordWrap w:val="0"/>
              <w:spacing w:line="240" w:lineRule="auto"/>
              <w:jc w:val="center"/>
              <w:rPr>
                <w:rFonts w:cs="Times New Roman"/>
                <w:kern w:val="0"/>
                <w:sz w:val="21"/>
                <w:szCs w:val="21"/>
                <w14:ligatures w14:val="none"/>
              </w:rPr>
            </w:pPr>
            <w:r>
              <w:rPr>
                <w:rFonts w:hint="eastAsia"/>
                <w:sz w:val="21"/>
                <w:szCs w:val="21"/>
              </w:rPr>
              <w:t>23122405</w:t>
            </w:r>
          </w:p>
        </w:tc>
        <w:tc>
          <w:tcPr>
            <w:tcW w:w="1392" w:type="dxa"/>
            <w:noWrap/>
            <w:vAlign w:val="center"/>
          </w:tcPr>
          <w:p w14:paraId="64B83D19">
            <w:pPr>
              <w:wordWrap w:val="0"/>
              <w:spacing w:line="240" w:lineRule="auto"/>
              <w:jc w:val="center"/>
              <w:rPr>
                <w:rFonts w:cs="Times New Roman"/>
                <w:kern w:val="0"/>
                <w:sz w:val="21"/>
                <w:szCs w:val="21"/>
                <w14:ligatures w14:val="none"/>
              </w:rPr>
            </w:pPr>
            <w:r>
              <w:rPr>
                <w:rFonts w:hint="eastAsia"/>
                <w:sz w:val="21"/>
                <w:szCs w:val="21"/>
              </w:rPr>
              <w:t>2.00E+03</w:t>
            </w:r>
          </w:p>
        </w:tc>
        <w:tc>
          <w:tcPr>
            <w:tcW w:w="1074" w:type="dxa"/>
            <w:noWrap/>
            <w:vAlign w:val="center"/>
          </w:tcPr>
          <w:p w14:paraId="0B0CC17A">
            <w:pPr>
              <w:wordWrap w:val="0"/>
              <w:spacing w:line="240" w:lineRule="auto"/>
              <w:jc w:val="center"/>
              <w:rPr>
                <w:rFonts w:cs="Times New Roman"/>
                <w:kern w:val="0"/>
                <w:sz w:val="21"/>
                <w:szCs w:val="21"/>
                <w14:ligatures w14:val="none"/>
              </w:rPr>
            </w:pPr>
            <w:r>
              <w:rPr>
                <w:rFonts w:hint="eastAsia"/>
                <w:sz w:val="21"/>
                <w:szCs w:val="21"/>
              </w:rPr>
              <w:t>0.09</w:t>
            </w:r>
          </w:p>
        </w:tc>
        <w:tc>
          <w:tcPr>
            <w:tcW w:w="1074" w:type="dxa"/>
            <w:noWrap/>
            <w:vAlign w:val="center"/>
          </w:tcPr>
          <w:p w14:paraId="03670D30">
            <w:pPr>
              <w:wordWrap w:val="0"/>
              <w:spacing w:line="240" w:lineRule="auto"/>
              <w:jc w:val="center"/>
              <w:rPr>
                <w:rFonts w:cs="Times New Roman"/>
                <w:kern w:val="0"/>
                <w:sz w:val="21"/>
                <w:szCs w:val="21"/>
                <w14:ligatures w14:val="none"/>
              </w:rPr>
            </w:pPr>
            <w:r>
              <w:rPr>
                <w:rFonts w:hint="eastAsia"/>
                <w:sz w:val="21"/>
                <w:szCs w:val="21"/>
              </w:rPr>
              <w:t>达标</w:t>
            </w:r>
          </w:p>
        </w:tc>
      </w:tr>
      <w:tr w14:paraId="76200D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62" w:type="dxa"/>
            <w:vAlign w:val="center"/>
          </w:tcPr>
          <w:p w14:paraId="56A783FE">
            <w:pPr>
              <w:wordWrap w:val="0"/>
              <w:spacing w:line="240" w:lineRule="auto"/>
              <w:jc w:val="center"/>
              <w:rPr>
                <w:rFonts w:cs="Times New Roman"/>
                <w:kern w:val="0"/>
                <w:sz w:val="21"/>
                <w:szCs w:val="21"/>
                <w14:ligatures w14:val="none"/>
              </w:rPr>
            </w:pPr>
            <w:r>
              <w:rPr>
                <w:rFonts w:hint="eastAsia"/>
                <w:kern w:val="0"/>
                <w:sz w:val="21"/>
                <w:szCs w:val="21"/>
                <w14:ligatures w14:val="none"/>
              </w:rPr>
              <w:t>6</w:t>
            </w:r>
          </w:p>
        </w:tc>
        <w:tc>
          <w:tcPr>
            <w:tcW w:w="1276" w:type="dxa"/>
            <w:noWrap/>
            <w:vAlign w:val="center"/>
          </w:tcPr>
          <w:p w14:paraId="737F8827">
            <w:pPr>
              <w:wordWrap w:val="0"/>
              <w:spacing w:line="240" w:lineRule="auto"/>
              <w:jc w:val="center"/>
              <w:rPr>
                <w:rFonts w:cs="Times New Roman"/>
                <w:kern w:val="0"/>
                <w:sz w:val="21"/>
                <w:szCs w:val="21"/>
                <w14:ligatures w14:val="none"/>
              </w:rPr>
            </w:pPr>
            <w:r>
              <w:rPr>
                <w:rFonts w:hint="eastAsia"/>
                <w:sz w:val="21"/>
                <w:szCs w:val="21"/>
              </w:rPr>
              <w:t>曹杨家</w:t>
            </w:r>
          </w:p>
        </w:tc>
        <w:tc>
          <w:tcPr>
            <w:tcW w:w="1134" w:type="dxa"/>
            <w:noWrap/>
            <w:vAlign w:val="center"/>
          </w:tcPr>
          <w:p w14:paraId="7E973B0C">
            <w:pPr>
              <w:wordWrap w:val="0"/>
              <w:spacing w:line="240" w:lineRule="auto"/>
              <w:jc w:val="center"/>
              <w:rPr>
                <w:rFonts w:cs="Times New Roman"/>
                <w:kern w:val="0"/>
                <w:sz w:val="21"/>
                <w:szCs w:val="21"/>
                <w14:ligatures w14:val="none"/>
              </w:rPr>
            </w:pPr>
            <w:r>
              <w:rPr>
                <w:rFonts w:hint="eastAsia"/>
                <w:sz w:val="21"/>
                <w:szCs w:val="21"/>
              </w:rPr>
              <w:t>小时值</w:t>
            </w:r>
          </w:p>
        </w:tc>
        <w:tc>
          <w:tcPr>
            <w:tcW w:w="1141" w:type="dxa"/>
            <w:noWrap/>
            <w:vAlign w:val="center"/>
          </w:tcPr>
          <w:p w14:paraId="0AC1375F">
            <w:pPr>
              <w:wordWrap w:val="0"/>
              <w:spacing w:line="240" w:lineRule="auto"/>
              <w:jc w:val="center"/>
              <w:rPr>
                <w:rFonts w:cs="Times New Roman"/>
                <w:kern w:val="0"/>
                <w:sz w:val="21"/>
                <w:szCs w:val="21"/>
                <w14:ligatures w14:val="none"/>
              </w:rPr>
            </w:pPr>
            <w:r>
              <w:rPr>
                <w:rFonts w:hint="eastAsia"/>
                <w:sz w:val="21"/>
                <w:szCs w:val="21"/>
              </w:rPr>
              <w:t>1.86E+00</w:t>
            </w:r>
          </w:p>
        </w:tc>
        <w:tc>
          <w:tcPr>
            <w:tcW w:w="1407" w:type="dxa"/>
            <w:noWrap/>
            <w:vAlign w:val="center"/>
          </w:tcPr>
          <w:p w14:paraId="3175DC4D">
            <w:pPr>
              <w:wordWrap w:val="0"/>
              <w:spacing w:line="240" w:lineRule="auto"/>
              <w:jc w:val="center"/>
              <w:rPr>
                <w:rFonts w:cs="Times New Roman"/>
                <w:kern w:val="0"/>
                <w:sz w:val="21"/>
                <w:szCs w:val="21"/>
                <w14:ligatures w14:val="none"/>
              </w:rPr>
            </w:pPr>
            <w:r>
              <w:rPr>
                <w:rFonts w:hint="eastAsia"/>
                <w:sz w:val="21"/>
                <w:szCs w:val="21"/>
              </w:rPr>
              <w:t>23081006</w:t>
            </w:r>
          </w:p>
        </w:tc>
        <w:tc>
          <w:tcPr>
            <w:tcW w:w="1392" w:type="dxa"/>
            <w:noWrap/>
            <w:vAlign w:val="center"/>
          </w:tcPr>
          <w:p w14:paraId="119156EF">
            <w:pPr>
              <w:wordWrap w:val="0"/>
              <w:spacing w:line="240" w:lineRule="auto"/>
              <w:jc w:val="center"/>
              <w:rPr>
                <w:rFonts w:cs="Times New Roman"/>
                <w:kern w:val="0"/>
                <w:sz w:val="21"/>
                <w:szCs w:val="21"/>
                <w14:ligatures w14:val="none"/>
              </w:rPr>
            </w:pPr>
            <w:r>
              <w:rPr>
                <w:rFonts w:hint="eastAsia"/>
                <w:sz w:val="21"/>
                <w:szCs w:val="21"/>
              </w:rPr>
              <w:t>2.00E+03</w:t>
            </w:r>
          </w:p>
        </w:tc>
        <w:tc>
          <w:tcPr>
            <w:tcW w:w="1074" w:type="dxa"/>
            <w:noWrap/>
            <w:vAlign w:val="center"/>
          </w:tcPr>
          <w:p w14:paraId="0FC0C3F4">
            <w:pPr>
              <w:wordWrap w:val="0"/>
              <w:spacing w:line="240" w:lineRule="auto"/>
              <w:jc w:val="center"/>
              <w:rPr>
                <w:rFonts w:cs="Times New Roman"/>
                <w:kern w:val="0"/>
                <w:sz w:val="21"/>
                <w:szCs w:val="21"/>
                <w14:ligatures w14:val="none"/>
              </w:rPr>
            </w:pPr>
            <w:r>
              <w:rPr>
                <w:rFonts w:hint="eastAsia"/>
                <w:sz w:val="21"/>
                <w:szCs w:val="21"/>
              </w:rPr>
              <w:t>0.09</w:t>
            </w:r>
          </w:p>
        </w:tc>
        <w:tc>
          <w:tcPr>
            <w:tcW w:w="1074" w:type="dxa"/>
            <w:noWrap/>
            <w:vAlign w:val="center"/>
          </w:tcPr>
          <w:p w14:paraId="712A12CC">
            <w:pPr>
              <w:wordWrap w:val="0"/>
              <w:spacing w:line="240" w:lineRule="auto"/>
              <w:jc w:val="center"/>
              <w:rPr>
                <w:rFonts w:cs="Times New Roman"/>
                <w:kern w:val="0"/>
                <w:sz w:val="21"/>
                <w:szCs w:val="21"/>
                <w14:ligatures w14:val="none"/>
              </w:rPr>
            </w:pPr>
            <w:r>
              <w:rPr>
                <w:rFonts w:hint="eastAsia"/>
                <w:sz w:val="21"/>
                <w:szCs w:val="21"/>
              </w:rPr>
              <w:t>达标</w:t>
            </w:r>
          </w:p>
        </w:tc>
      </w:tr>
      <w:tr w14:paraId="2E9EDF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62" w:type="dxa"/>
            <w:vAlign w:val="center"/>
          </w:tcPr>
          <w:p w14:paraId="46C313A4">
            <w:pPr>
              <w:wordWrap w:val="0"/>
              <w:spacing w:line="240" w:lineRule="auto"/>
              <w:jc w:val="center"/>
              <w:rPr>
                <w:rFonts w:cs="Times New Roman"/>
                <w:kern w:val="0"/>
                <w:sz w:val="21"/>
                <w:szCs w:val="21"/>
                <w14:ligatures w14:val="none"/>
              </w:rPr>
            </w:pPr>
            <w:r>
              <w:rPr>
                <w:rFonts w:hint="eastAsia"/>
                <w:kern w:val="0"/>
                <w:sz w:val="21"/>
                <w:szCs w:val="21"/>
                <w14:ligatures w14:val="none"/>
              </w:rPr>
              <w:t>7</w:t>
            </w:r>
          </w:p>
        </w:tc>
        <w:tc>
          <w:tcPr>
            <w:tcW w:w="1276" w:type="dxa"/>
            <w:noWrap/>
            <w:vAlign w:val="center"/>
          </w:tcPr>
          <w:p w14:paraId="44D54CA0">
            <w:pPr>
              <w:wordWrap w:val="0"/>
              <w:spacing w:line="240" w:lineRule="auto"/>
              <w:jc w:val="center"/>
              <w:rPr>
                <w:rFonts w:cs="Times New Roman"/>
                <w:kern w:val="0"/>
                <w:sz w:val="21"/>
                <w:szCs w:val="21"/>
                <w14:ligatures w14:val="none"/>
              </w:rPr>
            </w:pPr>
            <w:r>
              <w:rPr>
                <w:rFonts w:hint="eastAsia"/>
                <w:sz w:val="21"/>
                <w:szCs w:val="21"/>
              </w:rPr>
              <w:t>夏家湖</w:t>
            </w:r>
          </w:p>
        </w:tc>
        <w:tc>
          <w:tcPr>
            <w:tcW w:w="1134" w:type="dxa"/>
            <w:noWrap/>
            <w:vAlign w:val="center"/>
          </w:tcPr>
          <w:p w14:paraId="45E96BFE">
            <w:pPr>
              <w:wordWrap w:val="0"/>
              <w:spacing w:line="240" w:lineRule="auto"/>
              <w:jc w:val="center"/>
              <w:rPr>
                <w:rFonts w:cs="Times New Roman"/>
                <w:kern w:val="0"/>
                <w:sz w:val="21"/>
                <w:szCs w:val="21"/>
                <w14:ligatures w14:val="none"/>
              </w:rPr>
            </w:pPr>
            <w:r>
              <w:rPr>
                <w:rFonts w:hint="eastAsia"/>
                <w:sz w:val="21"/>
                <w:szCs w:val="21"/>
              </w:rPr>
              <w:t>小时值</w:t>
            </w:r>
          </w:p>
        </w:tc>
        <w:tc>
          <w:tcPr>
            <w:tcW w:w="1141" w:type="dxa"/>
            <w:noWrap/>
            <w:vAlign w:val="center"/>
          </w:tcPr>
          <w:p w14:paraId="26E0CF42">
            <w:pPr>
              <w:wordWrap w:val="0"/>
              <w:spacing w:line="240" w:lineRule="auto"/>
              <w:jc w:val="center"/>
              <w:rPr>
                <w:rFonts w:cs="Times New Roman"/>
                <w:kern w:val="0"/>
                <w:sz w:val="21"/>
                <w:szCs w:val="21"/>
                <w14:ligatures w14:val="none"/>
              </w:rPr>
            </w:pPr>
            <w:r>
              <w:rPr>
                <w:rFonts w:hint="eastAsia"/>
                <w:sz w:val="21"/>
                <w:szCs w:val="21"/>
              </w:rPr>
              <w:t>2.21E+00</w:t>
            </w:r>
          </w:p>
        </w:tc>
        <w:tc>
          <w:tcPr>
            <w:tcW w:w="1407" w:type="dxa"/>
            <w:noWrap/>
            <w:vAlign w:val="center"/>
          </w:tcPr>
          <w:p w14:paraId="197BE49B">
            <w:pPr>
              <w:wordWrap w:val="0"/>
              <w:spacing w:line="240" w:lineRule="auto"/>
              <w:jc w:val="center"/>
              <w:rPr>
                <w:rFonts w:cs="Times New Roman"/>
                <w:kern w:val="0"/>
                <w:sz w:val="21"/>
                <w:szCs w:val="21"/>
                <w14:ligatures w14:val="none"/>
              </w:rPr>
            </w:pPr>
            <w:r>
              <w:rPr>
                <w:rFonts w:hint="eastAsia"/>
                <w:sz w:val="21"/>
                <w:szCs w:val="21"/>
              </w:rPr>
              <w:t>23101324</w:t>
            </w:r>
          </w:p>
        </w:tc>
        <w:tc>
          <w:tcPr>
            <w:tcW w:w="1392" w:type="dxa"/>
            <w:noWrap/>
            <w:vAlign w:val="center"/>
          </w:tcPr>
          <w:p w14:paraId="40FDC8AE">
            <w:pPr>
              <w:wordWrap w:val="0"/>
              <w:spacing w:line="240" w:lineRule="auto"/>
              <w:jc w:val="center"/>
              <w:rPr>
                <w:rFonts w:cs="Times New Roman"/>
                <w:kern w:val="0"/>
                <w:sz w:val="21"/>
                <w:szCs w:val="21"/>
                <w14:ligatures w14:val="none"/>
              </w:rPr>
            </w:pPr>
            <w:r>
              <w:rPr>
                <w:rFonts w:hint="eastAsia"/>
                <w:sz w:val="21"/>
                <w:szCs w:val="21"/>
              </w:rPr>
              <w:t>2.00E+03</w:t>
            </w:r>
          </w:p>
        </w:tc>
        <w:tc>
          <w:tcPr>
            <w:tcW w:w="1074" w:type="dxa"/>
            <w:noWrap/>
            <w:vAlign w:val="center"/>
          </w:tcPr>
          <w:p w14:paraId="630881CB">
            <w:pPr>
              <w:wordWrap w:val="0"/>
              <w:spacing w:line="240" w:lineRule="auto"/>
              <w:jc w:val="center"/>
              <w:rPr>
                <w:rFonts w:cs="Times New Roman"/>
                <w:kern w:val="0"/>
                <w:sz w:val="21"/>
                <w:szCs w:val="21"/>
                <w14:ligatures w14:val="none"/>
              </w:rPr>
            </w:pPr>
            <w:r>
              <w:rPr>
                <w:rFonts w:hint="eastAsia"/>
                <w:sz w:val="21"/>
                <w:szCs w:val="21"/>
              </w:rPr>
              <w:t>0.11</w:t>
            </w:r>
          </w:p>
        </w:tc>
        <w:tc>
          <w:tcPr>
            <w:tcW w:w="1074" w:type="dxa"/>
            <w:noWrap/>
            <w:vAlign w:val="center"/>
          </w:tcPr>
          <w:p w14:paraId="586826A1">
            <w:pPr>
              <w:wordWrap w:val="0"/>
              <w:spacing w:line="240" w:lineRule="auto"/>
              <w:jc w:val="center"/>
              <w:rPr>
                <w:rFonts w:cs="Times New Roman"/>
                <w:kern w:val="0"/>
                <w:sz w:val="21"/>
                <w:szCs w:val="21"/>
                <w14:ligatures w14:val="none"/>
              </w:rPr>
            </w:pPr>
            <w:r>
              <w:rPr>
                <w:rFonts w:hint="eastAsia"/>
                <w:sz w:val="21"/>
                <w:szCs w:val="21"/>
              </w:rPr>
              <w:t>达标</w:t>
            </w:r>
          </w:p>
        </w:tc>
      </w:tr>
      <w:tr w14:paraId="0012A2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62" w:type="dxa"/>
            <w:vAlign w:val="center"/>
          </w:tcPr>
          <w:p w14:paraId="1FE4C8BF">
            <w:pPr>
              <w:wordWrap w:val="0"/>
              <w:spacing w:line="240" w:lineRule="auto"/>
              <w:jc w:val="center"/>
              <w:rPr>
                <w:rFonts w:cs="Times New Roman"/>
                <w:kern w:val="0"/>
                <w:sz w:val="21"/>
                <w:szCs w:val="21"/>
                <w14:ligatures w14:val="none"/>
              </w:rPr>
            </w:pPr>
            <w:r>
              <w:rPr>
                <w:rFonts w:hint="eastAsia"/>
                <w:kern w:val="0"/>
                <w:sz w:val="21"/>
                <w:szCs w:val="21"/>
                <w14:ligatures w14:val="none"/>
              </w:rPr>
              <w:t>8</w:t>
            </w:r>
          </w:p>
        </w:tc>
        <w:tc>
          <w:tcPr>
            <w:tcW w:w="1276" w:type="dxa"/>
            <w:noWrap/>
            <w:vAlign w:val="center"/>
          </w:tcPr>
          <w:p w14:paraId="26F6037B">
            <w:pPr>
              <w:wordWrap w:val="0"/>
              <w:spacing w:line="240" w:lineRule="auto"/>
              <w:jc w:val="center"/>
              <w:rPr>
                <w:rFonts w:cs="Times New Roman"/>
                <w:kern w:val="0"/>
                <w:sz w:val="21"/>
                <w:szCs w:val="21"/>
                <w14:ligatures w14:val="none"/>
              </w:rPr>
            </w:pPr>
            <w:r>
              <w:rPr>
                <w:rFonts w:hint="eastAsia"/>
                <w:sz w:val="21"/>
                <w:szCs w:val="21"/>
              </w:rPr>
              <w:t>二铺</w:t>
            </w:r>
          </w:p>
        </w:tc>
        <w:tc>
          <w:tcPr>
            <w:tcW w:w="1134" w:type="dxa"/>
            <w:noWrap/>
            <w:vAlign w:val="center"/>
          </w:tcPr>
          <w:p w14:paraId="46F05316">
            <w:pPr>
              <w:wordWrap w:val="0"/>
              <w:spacing w:line="240" w:lineRule="auto"/>
              <w:jc w:val="center"/>
              <w:rPr>
                <w:rFonts w:cs="Times New Roman"/>
                <w:kern w:val="0"/>
                <w:sz w:val="21"/>
                <w:szCs w:val="21"/>
                <w14:ligatures w14:val="none"/>
              </w:rPr>
            </w:pPr>
            <w:r>
              <w:rPr>
                <w:rFonts w:hint="eastAsia"/>
                <w:sz w:val="21"/>
                <w:szCs w:val="21"/>
              </w:rPr>
              <w:t>小时值</w:t>
            </w:r>
          </w:p>
        </w:tc>
        <w:tc>
          <w:tcPr>
            <w:tcW w:w="1141" w:type="dxa"/>
            <w:noWrap/>
            <w:vAlign w:val="center"/>
          </w:tcPr>
          <w:p w14:paraId="0CB03ED3">
            <w:pPr>
              <w:wordWrap w:val="0"/>
              <w:spacing w:line="240" w:lineRule="auto"/>
              <w:jc w:val="center"/>
              <w:rPr>
                <w:rFonts w:cs="Times New Roman"/>
                <w:kern w:val="0"/>
                <w:sz w:val="21"/>
                <w:szCs w:val="21"/>
                <w14:ligatures w14:val="none"/>
              </w:rPr>
            </w:pPr>
            <w:r>
              <w:rPr>
                <w:rFonts w:hint="eastAsia"/>
                <w:sz w:val="21"/>
                <w:szCs w:val="21"/>
              </w:rPr>
              <w:t>2.20E+00</w:t>
            </w:r>
          </w:p>
        </w:tc>
        <w:tc>
          <w:tcPr>
            <w:tcW w:w="1407" w:type="dxa"/>
            <w:noWrap/>
            <w:vAlign w:val="center"/>
          </w:tcPr>
          <w:p w14:paraId="6066D13C">
            <w:pPr>
              <w:wordWrap w:val="0"/>
              <w:spacing w:line="240" w:lineRule="auto"/>
              <w:jc w:val="center"/>
              <w:rPr>
                <w:rFonts w:cs="Times New Roman"/>
                <w:kern w:val="0"/>
                <w:sz w:val="21"/>
                <w:szCs w:val="21"/>
                <w14:ligatures w14:val="none"/>
              </w:rPr>
            </w:pPr>
            <w:r>
              <w:rPr>
                <w:rFonts w:hint="eastAsia"/>
                <w:sz w:val="21"/>
                <w:szCs w:val="21"/>
              </w:rPr>
              <w:t>23042806</w:t>
            </w:r>
          </w:p>
        </w:tc>
        <w:tc>
          <w:tcPr>
            <w:tcW w:w="1392" w:type="dxa"/>
            <w:noWrap/>
            <w:vAlign w:val="center"/>
          </w:tcPr>
          <w:p w14:paraId="6375C78E">
            <w:pPr>
              <w:wordWrap w:val="0"/>
              <w:spacing w:line="240" w:lineRule="auto"/>
              <w:jc w:val="center"/>
              <w:rPr>
                <w:rFonts w:cs="Times New Roman"/>
                <w:kern w:val="0"/>
                <w:sz w:val="21"/>
                <w:szCs w:val="21"/>
                <w14:ligatures w14:val="none"/>
              </w:rPr>
            </w:pPr>
            <w:r>
              <w:rPr>
                <w:rFonts w:hint="eastAsia"/>
                <w:sz w:val="21"/>
                <w:szCs w:val="21"/>
              </w:rPr>
              <w:t>2.00E+03</w:t>
            </w:r>
          </w:p>
        </w:tc>
        <w:tc>
          <w:tcPr>
            <w:tcW w:w="1074" w:type="dxa"/>
            <w:noWrap/>
            <w:vAlign w:val="center"/>
          </w:tcPr>
          <w:p w14:paraId="38758DD8">
            <w:pPr>
              <w:wordWrap w:val="0"/>
              <w:spacing w:line="240" w:lineRule="auto"/>
              <w:jc w:val="center"/>
              <w:rPr>
                <w:rFonts w:cs="Times New Roman"/>
                <w:kern w:val="0"/>
                <w:sz w:val="21"/>
                <w:szCs w:val="21"/>
                <w14:ligatures w14:val="none"/>
              </w:rPr>
            </w:pPr>
            <w:r>
              <w:rPr>
                <w:rFonts w:hint="eastAsia"/>
                <w:sz w:val="21"/>
                <w:szCs w:val="21"/>
              </w:rPr>
              <w:t>0.11</w:t>
            </w:r>
          </w:p>
        </w:tc>
        <w:tc>
          <w:tcPr>
            <w:tcW w:w="1074" w:type="dxa"/>
            <w:noWrap/>
            <w:vAlign w:val="center"/>
          </w:tcPr>
          <w:p w14:paraId="10CF6998">
            <w:pPr>
              <w:wordWrap w:val="0"/>
              <w:spacing w:line="240" w:lineRule="auto"/>
              <w:jc w:val="center"/>
              <w:rPr>
                <w:rFonts w:cs="Times New Roman"/>
                <w:kern w:val="0"/>
                <w:sz w:val="21"/>
                <w:szCs w:val="21"/>
                <w14:ligatures w14:val="none"/>
              </w:rPr>
            </w:pPr>
            <w:r>
              <w:rPr>
                <w:rFonts w:hint="eastAsia"/>
                <w:sz w:val="21"/>
                <w:szCs w:val="21"/>
              </w:rPr>
              <w:t>达标</w:t>
            </w:r>
          </w:p>
        </w:tc>
      </w:tr>
      <w:tr w14:paraId="361313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62" w:type="dxa"/>
            <w:vAlign w:val="center"/>
          </w:tcPr>
          <w:p w14:paraId="65F83C29">
            <w:pPr>
              <w:wordWrap w:val="0"/>
              <w:spacing w:line="240" w:lineRule="auto"/>
              <w:jc w:val="center"/>
              <w:rPr>
                <w:rFonts w:cs="Times New Roman"/>
                <w:kern w:val="0"/>
                <w:sz w:val="21"/>
                <w:szCs w:val="21"/>
                <w14:ligatures w14:val="none"/>
              </w:rPr>
            </w:pPr>
            <w:r>
              <w:rPr>
                <w:rFonts w:hint="eastAsia"/>
                <w:kern w:val="0"/>
                <w:sz w:val="21"/>
                <w:szCs w:val="21"/>
                <w14:ligatures w14:val="none"/>
              </w:rPr>
              <w:t>9</w:t>
            </w:r>
          </w:p>
        </w:tc>
        <w:tc>
          <w:tcPr>
            <w:tcW w:w="1276" w:type="dxa"/>
            <w:noWrap/>
            <w:vAlign w:val="center"/>
          </w:tcPr>
          <w:p w14:paraId="7F28E542">
            <w:pPr>
              <w:wordWrap w:val="0"/>
              <w:spacing w:line="240" w:lineRule="auto"/>
              <w:jc w:val="center"/>
              <w:rPr>
                <w:rFonts w:cs="Times New Roman"/>
                <w:kern w:val="0"/>
                <w:sz w:val="21"/>
                <w:szCs w:val="21"/>
                <w14:ligatures w14:val="none"/>
              </w:rPr>
            </w:pPr>
            <w:r>
              <w:rPr>
                <w:rFonts w:hint="eastAsia"/>
                <w:sz w:val="21"/>
                <w:szCs w:val="21"/>
              </w:rPr>
              <w:t>于家村</w:t>
            </w:r>
          </w:p>
        </w:tc>
        <w:tc>
          <w:tcPr>
            <w:tcW w:w="1134" w:type="dxa"/>
            <w:noWrap/>
            <w:vAlign w:val="center"/>
          </w:tcPr>
          <w:p w14:paraId="5EEFFFD3">
            <w:pPr>
              <w:wordWrap w:val="0"/>
              <w:spacing w:line="240" w:lineRule="auto"/>
              <w:jc w:val="center"/>
              <w:rPr>
                <w:rFonts w:cs="Times New Roman"/>
                <w:kern w:val="0"/>
                <w:sz w:val="21"/>
                <w:szCs w:val="21"/>
                <w14:ligatures w14:val="none"/>
              </w:rPr>
            </w:pPr>
            <w:r>
              <w:rPr>
                <w:rFonts w:hint="eastAsia"/>
                <w:sz w:val="21"/>
                <w:szCs w:val="21"/>
              </w:rPr>
              <w:t>小时值</w:t>
            </w:r>
          </w:p>
        </w:tc>
        <w:tc>
          <w:tcPr>
            <w:tcW w:w="1141" w:type="dxa"/>
            <w:noWrap/>
            <w:vAlign w:val="center"/>
          </w:tcPr>
          <w:p w14:paraId="38361C64">
            <w:pPr>
              <w:wordWrap w:val="0"/>
              <w:spacing w:line="240" w:lineRule="auto"/>
              <w:jc w:val="center"/>
              <w:rPr>
                <w:rFonts w:cs="Times New Roman"/>
                <w:kern w:val="0"/>
                <w:sz w:val="21"/>
                <w:szCs w:val="21"/>
                <w14:ligatures w14:val="none"/>
              </w:rPr>
            </w:pPr>
            <w:r>
              <w:rPr>
                <w:rFonts w:hint="eastAsia"/>
                <w:sz w:val="21"/>
                <w:szCs w:val="21"/>
              </w:rPr>
              <w:t>2.09E+00</w:t>
            </w:r>
          </w:p>
        </w:tc>
        <w:tc>
          <w:tcPr>
            <w:tcW w:w="1407" w:type="dxa"/>
            <w:noWrap/>
            <w:vAlign w:val="center"/>
          </w:tcPr>
          <w:p w14:paraId="0EEC00E6">
            <w:pPr>
              <w:wordWrap w:val="0"/>
              <w:spacing w:line="240" w:lineRule="auto"/>
              <w:jc w:val="center"/>
              <w:rPr>
                <w:rFonts w:cs="Times New Roman"/>
                <w:kern w:val="0"/>
                <w:sz w:val="21"/>
                <w:szCs w:val="21"/>
                <w14:ligatures w14:val="none"/>
              </w:rPr>
            </w:pPr>
            <w:r>
              <w:rPr>
                <w:rFonts w:hint="eastAsia"/>
                <w:sz w:val="21"/>
                <w:szCs w:val="21"/>
              </w:rPr>
              <w:t>23032522</w:t>
            </w:r>
          </w:p>
        </w:tc>
        <w:tc>
          <w:tcPr>
            <w:tcW w:w="1392" w:type="dxa"/>
            <w:noWrap/>
            <w:vAlign w:val="center"/>
          </w:tcPr>
          <w:p w14:paraId="0EEB1F7F">
            <w:pPr>
              <w:wordWrap w:val="0"/>
              <w:spacing w:line="240" w:lineRule="auto"/>
              <w:jc w:val="center"/>
              <w:rPr>
                <w:rFonts w:cs="Times New Roman"/>
                <w:kern w:val="0"/>
                <w:sz w:val="21"/>
                <w:szCs w:val="21"/>
                <w14:ligatures w14:val="none"/>
              </w:rPr>
            </w:pPr>
            <w:r>
              <w:rPr>
                <w:rFonts w:hint="eastAsia"/>
                <w:sz w:val="21"/>
                <w:szCs w:val="21"/>
              </w:rPr>
              <w:t>2.00E+03</w:t>
            </w:r>
          </w:p>
        </w:tc>
        <w:tc>
          <w:tcPr>
            <w:tcW w:w="1074" w:type="dxa"/>
            <w:noWrap/>
            <w:vAlign w:val="center"/>
          </w:tcPr>
          <w:p w14:paraId="6D23F77E">
            <w:pPr>
              <w:wordWrap w:val="0"/>
              <w:spacing w:line="240" w:lineRule="auto"/>
              <w:jc w:val="center"/>
              <w:rPr>
                <w:rFonts w:cs="Times New Roman"/>
                <w:kern w:val="0"/>
                <w:sz w:val="21"/>
                <w:szCs w:val="21"/>
                <w14:ligatures w14:val="none"/>
              </w:rPr>
            </w:pPr>
            <w:r>
              <w:rPr>
                <w:rFonts w:hint="eastAsia"/>
                <w:sz w:val="21"/>
                <w:szCs w:val="21"/>
              </w:rPr>
              <w:t>0.10</w:t>
            </w:r>
          </w:p>
        </w:tc>
        <w:tc>
          <w:tcPr>
            <w:tcW w:w="1074" w:type="dxa"/>
            <w:noWrap/>
            <w:vAlign w:val="center"/>
          </w:tcPr>
          <w:p w14:paraId="17DA8AFF">
            <w:pPr>
              <w:wordWrap w:val="0"/>
              <w:spacing w:line="240" w:lineRule="auto"/>
              <w:jc w:val="center"/>
              <w:rPr>
                <w:rFonts w:cs="Times New Roman"/>
                <w:kern w:val="0"/>
                <w:sz w:val="21"/>
                <w:szCs w:val="21"/>
                <w14:ligatures w14:val="none"/>
              </w:rPr>
            </w:pPr>
            <w:r>
              <w:rPr>
                <w:rFonts w:hint="eastAsia"/>
                <w:sz w:val="21"/>
                <w:szCs w:val="21"/>
              </w:rPr>
              <w:t>达标</w:t>
            </w:r>
          </w:p>
        </w:tc>
      </w:tr>
      <w:tr w14:paraId="767756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62" w:type="dxa"/>
            <w:vAlign w:val="center"/>
          </w:tcPr>
          <w:p w14:paraId="14E3F947">
            <w:pPr>
              <w:wordWrap w:val="0"/>
              <w:spacing w:line="240" w:lineRule="auto"/>
              <w:jc w:val="center"/>
              <w:rPr>
                <w:rFonts w:cs="Times New Roman"/>
                <w:kern w:val="0"/>
                <w:sz w:val="21"/>
                <w:szCs w:val="21"/>
                <w14:ligatures w14:val="none"/>
              </w:rPr>
            </w:pPr>
            <w:r>
              <w:rPr>
                <w:rFonts w:hint="eastAsia"/>
                <w:kern w:val="0"/>
                <w:sz w:val="21"/>
                <w:szCs w:val="21"/>
                <w14:ligatures w14:val="none"/>
              </w:rPr>
              <w:t>10</w:t>
            </w:r>
          </w:p>
        </w:tc>
        <w:tc>
          <w:tcPr>
            <w:tcW w:w="1276" w:type="dxa"/>
            <w:noWrap/>
            <w:vAlign w:val="center"/>
          </w:tcPr>
          <w:p w14:paraId="08DED5B7">
            <w:pPr>
              <w:wordWrap w:val="0"/>
              <w:spacing w:line="240" w:lineRule="auto"/>
              <w:jc w:val="center"/>
              <w:rPr>
                <w:rFonts w:cs="Times New Roman"/>
                <w:kern w:val="0"/>
                <w:sz w:val="21"/>
                <w:szCs w:val="21"/>
                <w14:ligatures w14:val="none"/>
              </w:rPr>
            </w:pPr>
            <w:r>
              <w:rPr>
                <w:rFonts w:hint="eastAsia"/>
                <w:sz w:val="21"/>
                <w:szCs w:val="21"/>
              </w:rPr>
              <w:t>陈巷</w:t>
            </w:r>
          </w:p>
        </w:tc>
        <w:tc>
          <w:tcPr>
            <w:tcW w:w="1134" w:type="dxa"/>
            <w:noWrap/>
            <w:vAlign w:val="center"/>
          </w:tcPr>
          <w:p w14:paraId="67B97471">
            <w:pPr>
              <w:wordWrap w:val="0"/>
              <w:spacing w:line="240" w:lineRule="auto"/>
              <w:jc w:val="center"/>
              <w:rPr>
                <w:rFonts w:cs="Times New Roman"/>
                <w:kern w:val="0"/>
                <w:sz w:val="21"/>
                <w:szCs w:val="21"/>
                <w14:ligatures w14:val="none"/>
              </w:rPr>
            </w:pPr>
            <w:r>
              <w:rPr>
                <w:rFonts w:hint="eastAsia"/>
                <w:sz w:val="21"/>
                <w:szCs w:val="21"/>
              </w:rPr>
              <w:t>小时值</w:t>
            </w:r>
          </w:p>
        </w:tc>
        <w:tc>
          <w:tcPr>
            <w:tcW w:w="1141" w:type="dxa"/>
            <w:noWrap/>
            <w:vAlign w:val="center"/>
          </w:tcPr>
          <w:p w14:paraId="50B4FE46">
            <w:pPr>
              <w:wordWrap w:val="0"/>
              <w:spacing w:line="240" w:lineRule="auto"/>
              <w:jc w:val="center"/>
              <w:rPr>
                <w:rFonts w:cs="Times New Roman"/>
                <w:kern w:val="0"/>
                <w:sz w:val="21"/>
                <w:szCs w:val="21"/>
                <w14:ligatures w14:val="none"/>
              </w:rPr>
            </w:pPr>
            <w:r>
              <w:rPr>
                <w:rFonts w:hint="eastAsia"/>
                <w:sz w:val="21"/>
                <w:szCs w:val="21"/>
              </w:rPr>
              <w:t>2.74E+00</w:t>
            </w:r>
          </w:p>
        </w:tc>
        <w:tc>
          <w:tcPr>
            <w:tcW w:w="1407" w:type="dxa"/>
            <w:noWrap/>
            <w:vAlign w:val="center"/>
          </w:tcPr>
          <w:p w14:paraId="4A8B9A7F">
            <w:pPr>
              <w:wordWrap w:val="0"/>
              <w:spacing w:line="240" w:lineRule="auto"/>
              <w:jc w:val="center"/>
              <w:rPr>
                <w:rFonts w:cs="Times New Roman"/>
                <w:kern w:val="0"/>
                <w:sz w:val="21"/>
                <w:szCs w:val="21"/>
                <w14:ligatures w14:val="none"/>
              </w:rPr>
            </w:pPr>
            <w:r>
              <w:rPr>
                <w:rFonts w:hint="eastAsia"/>
                <w:sz w:val="21"/>
                <w:szCs w:val="21"/>
              </w:rPr>
              <w:t>23082406</w:t>
            </w:r>
          </w:p>
        </w:tc>
        <w:tc>
          <w:tcPr>
            <w:tcW w:w="1392" w:type="dxa"/>
            <w:noWrap/>
            <w:vAlign w:val="center"/>
          </w:tcPr>
          <w:p w14:paraId="68B2D685">
            <w:pPr>
              <w:wordWrap w:val="0"/>
              <w:spacing w:line="240" w:lineRule="auto"/>
              <w:jc w:val="center"/>
              <w:rPr>
                <w:rFonts w:cs="Times New Roman"/>
                <w:kern w:val="0"/>
                <w:sz w:val="21"/>
                <w:szCs w:val="21"/>
                <w14:ligatures w14:val="none"/>
              </w:rPr>
            </w:pPr>
            <w:r>
              <w:rPr>
                <w:rFonts w:hint="eastAsia"/>
                <w:sz w:val="21"/>
                <w:szCs w:val="21"/>
              </w:rPr>
              <w:t>2.00E+03</w:t>
            </w:r>
          </w:p>
        </w:tc>
        <w:tc>
          <w:tcPr>
            <w:tcW w:w="1074" w:type="dxa"/>
            <w:noWrap/>
            <w:vAlign w:val="center"/>
          </w:tcPr>
          <w:p w14:paraId="2FDCAB19">
            <w:pPr>
              <w:wordWrap w:val="0"/>
              <w:spacing w:line="240" w:lineRule="auto"/>
              <w:jc w:val="center"/>
              <w:rPr>
                <w:rFonts w:cs="Times New Roman"/>
                <w:kern w:val="0"/>
                <w:sz w:val="21"/>
                <w:szCs w:val="21"/>
                <w14:ligatures w14:val="none"/>
              </w:rPr>
            </w:pPr>
            <w:r>
              <w:rPr>
                <w:rFonts w:hint="eastAsia"/>
                <w:sz w:val="21"/>
                <w:szCs w:val="21"/>
              </w:rPr>
              <w:t>0.14</w:t>
            </w:r>
          </w:p>
        </w:tc>
        <w:tc>
          <w:tcPr>
            <w:tcW w:w="1074" w:type="dxa"/>
            <w:noWrap/>
            <w:vAlign w:val="center"/>
          </w:tcPr>
          <w:p w14:paraId="3F9C9E72">
            <w:pPr>
              <w:wordWrap w:val="0"/>
              <w:spacing w:line="240" w:lineRule="auto"/>
              <w:jc w:val="center"/>
              <w:rPr>
                <w:rFonts w:cs="Times New Roman"/>
                <w:kern w:val="0"/>
                <w:sz w:val="21"/>
                <w:szCs w:val="21"/>
                <w14:ligatures w14:val="none"/>
              </w:rPr>
            </w:pPr>
            <w:r>
              <w:rPr>
                <w:rFonts w:hint="eastAsia"/>
                <w:sz w:val="21"/>
                <w:szCs w:val="21"/>
              </w:rPr>
              <w:t>达标</w:t>
            </w:r>
          </w:p>
        </w:tc>
      </w:tr>
      <w:tr w14:paraId="597D35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62" w:type="dxa"/>
            <w:vAlign w:val="center"/>
          </w:tcPr>
          <w:p w14:paraId="5B398E58">
            <w:pPr>
              <w:wordWrap w:val="0"/>
              <w:spacing w:line="240" w:lineRule="auto"/>
              <w:jc w:val="center"/>
              <w:rPr>
                <w:rFonts w:cs="Times New Roman"/>
                <w:kern w:val="0"/>
                <w:sz w:val="21"/>
                <w:szCs w:val="21"/>
                <w14:ligatures w14:val="none"/>
              </w:rPr>
            </w:pPr>
            <w:r>
              <w:rPr>
                <w:rFonts w:hint="eastAsia"/>
                <w:kern w:val="0"/>
                <w:sz w:val="21"/>
                <w:szCs w:val="21"/>
                <w14:ligatures w14:val="none"/>
              </w:rPr>
              <w:t>11</w:t>
            </w:r>
          </w:p>
        </w:tc>
        <w:tc>
          <w:tcPr>
            <w:tcW w:w="1276" w:type="dxa"/>
            <w:noWrap/>
            <w:vAlign w:val="center"/>
          </w:tcPr>
          <w:p w14:paraId="4A16AE58">
            <w:pPr>
              <w:wordWrap w:val="0"/>
              <w:spacing w:line="240" w:lineRule="auto"/>
              <w:jc w:val="center"/>
              <w:rPr>
                <w:rFonts w:cs="Times New Roman"/>
                <w:kern w:val="0"/>
                <w:sz w:val="21"/>
                <w:szCs w:val="21"/>
                <w14:ligatures w14:val="none"/>
              </w:rPr>
            </w:pPr>
            <w:r>
              <w:rPr>
                <w:rFonts w:hint="eastAsia"/>
                <w:sz w:val="21"/>
                <w:szCs w:val="21"/>
              </w:rPr>
              <w:t>网格</w:t>
            </w:r>
          </w:p>
        </w:tc>
        <w:tc>
          <w:tcPr>
            <w:tcW w:w="1134" w:type="dxa"/>
            <w:noWrap/>
            <w:vAlign w:val="center"/>
          </w:tcPr>
          <w:p w14:paraId="632B40C8">
            <w:pPr>
              <w:wordWrap w:val="0"/>
              <w:spacing w:line="240" w:lineRule="auto"/>
              <w:jc w:val="center"/>
              <w:rPr>
                <w:rFonts w:cs="Times New Roman"/>
                <w:kern w:val="0"/>
                <w:sz w:val="21"/>
                <w:szCs w:val="21"/>
                <w14:ligatures w14:val="none"/>
              </w:rPr>
            </w:pPr>
            <w:r>
              <w:rPr>
                <w:rFonts w:hint="eastAsia"/>
                <w:sz w:val="21"/>
                <w:szCs w:val="21"/>
              </w:rPr>
              <w:t>小时值</w:t>
            </w:r>
          </w:p>
        </w:tc>
        <w:tc>
          <w:tcPr>
            <w:tcW w:w="1141" w:type="dxa"/>
            <w:noWrap/>
            <w:vAlign w:val="center"/>
          </w:tcPr>
          <w:p w14:paraId="0D611831">
            <w:pPr>
              <w:wordWrap w:val="0"/>
              <w:spacing w:line="240" w:lineRule="auto"/>
              <w:jc w:val="center"/>
              <w:rPr>
                <w:rFonts w:cs="Times New Roman"/>
                <w:kern w:val="0"/>
                <w:sz w:val="21"/>
                <w:szCs w:val="21"/>
                <w14:ligatures w14:val="none"/>
              </w:rPr>
            </w:pPr>
            <w:r>
              <w:rPr>
                <w:rFonts w:hint="eastAsia"/>
                <w:sz w:val="21"/>
                <w:szCs w:val="21"/>
              </w:rPr>
              <w:t>9.72E+00</w:t>
            </w:r>
          </w:p>
        </w:tc>
        <w:tc>
          <w:tcPr>
            <w:tcW w:w="1407" w:type="dxa"/>
            <w:noWrap/>
            <w:vAlign w:val="center"/>
          </w:tcPr>
          <w:p w14:paraId="60E9D9FA">
            <w:pPr>
              <w:wordWrap w:val="0"/>
              <w:spacing w:line="240" w:lineRule="auto"/>
              <w:jc w:val="center"/>
              <w:rPr>
                <w:rFonts w:cs="Times New Roman"/>
                <w:kern w:val="0"/>
                <w:sz w:val="21"/>
                <w:szCs w:val="21"/>
                <w14:ligatures w14:val="none"/>
              </w:rPr>
            </w:pPr>
            <w:r>
              <w:rPr>
                <w:rFonts w:hint="eastAsia"/>
                <w:sz w:val="21"/>
                <w:szCs w:val="21"/>
              </w:rPr>
              <w:t>23100706</w:t>
            </w:r>
          </w:p>
        </w:tc>
        <w:tc>
          <w:tcPr>
            <w:tcW w:w="1392" w:type="dxa"/>
            <w:noWrap/>
            <w:vAlign w:val="center"/>
          </w:tcPr>
          <w:p w14:paraId="065C4548">
            <w:pPr>
              <w:wordWrap w:val="0"/>
              <w:spacing w:line="240" w:lineRule="auto"/>
              <w:jc w:val="center"/>
              <w:rPr>
                <w:rFonts w:cs="Times New Roman"/>
                <w:kern w:val="0"/>
                <w:sz w:val="21"/>
                <w:szCs w:val="21"/>
                <w14:ligatures w14:val="none"/>
              </w:rPr>
            </w:pPr>
            <w:r>
              <w:rPr>
                <w:rFonts w:hint="eastAsia"/>
                <w:sz w:val="21"/>
                <w:szCs w:val="21"/>
              </w:rPr>
              <w:t>2.00E+03</w:t>
            </w:r>
          </w:p>
        </w:tc>
        <w:tc>
          <w:tcPr>
            <w:tcW w:w="1074" w:type="dxa"/>
            <w:noWrap/>
            <w:vAlign w:val="center"/>
          </w:tcPr>
          <w:p w14:paraId="1CDA9F7E">
            <w:pPr>
              <w:wordWrap w:val="0"/>
              <w:spacing w:line="240" w:lineRule="auto"/>
              <w:jc w:val="center"/>
              <w:rPr>
                <w:rFonts w:cs="Times New Roman"/>
                <w:kern w:val="0"/>
                <w:sz w:val="21"/>
                <w:szCs w:val="21"/>
                <w14:ligatures w14:val="none"/>
              </w:rPr>
            </w:pPr>
            <w:r>
              <w:rPr>
                <w:rFonts w:hint="eastAsia"/>
                <w:sz w:val="21"/>
                <w:szCs w:val="21"/>
              </w:rPr>
              <w:t>0.49</w:t>
            </w:r>
          </w:p>
        </w:tc>
        <w:tc>
          <w:tcPr>
            <w:tcW w:w="1074" w:type="dxa"/>
            <w:noWrap/>
            <w:vAlign w:val="center"/>
          </w:tcPr>
          <w:p w14:paraId="0A25716E">
            <w:pPr>
              <w:wordWrap w:val="0"/>
              <w:spacing w:line="240" w:lineRule="auto"/>
              <w:jc w:val="center"/>
              <w:rPr>
                <w:rFonts w:cs="Times New Roman"/>
                <w:kern w:val="0"/>
                <w:sz w:val="21"/>
                <w:szCs w:val="21"/>
                <w14:ligatures w14:val="none"/>
              </w:rPr>
            </w:pPr>
            <w:r>
              <w:rPr>
                <w:rFonts w:hint="eastAsia"/>
                <w:sz w:val="21"/>
                <w:szCs w:val="21"/>
              </w:rPr>
              <w:t>达标</w:t>
            </w:r>
          </w:p>
        </w:tc>
      </w:tr>
    </w:tbl>
    <w:p w14:paraId="33791263">
      <w:pPr>
        <w:ind w:firstLine="468" w:firstLineChars="200"/>
        <w:rPr>
          <w:rFonts w:cs="Times New Roman"/>
          <w:spacing w:val="-3"/>
        </w:rPr>
      </w:pPr>
    </w:p>
    <w:p w14:paraId="46C338FB">
      <w:pPr>
        <w:ind w:firstLine="468" w:firstLineChars="200"/>
        <w:rPr>
          <w:rFonts w:cs="Times New Roman"/>
          <w:spacing w:val="-3"/>
        </w:rPr>
      </w:pPr>
      <w:r>
        <w:rPr>
          <w:rFonts w:hint="eastAsia" w:cs="Times New Roman"/>
          <w:spacing w:val="-3"/>
        </w:rPr>
        <w:t>(2)酚类</w:t>
      </w:r>
    </w:p>
    <w:p w14:paraId="4A6DC6EE">
      <w:pPr>
        <w:pStyle w:val="82"/>
        <w:ind w:firstLine="480"/>
        <w:jc w:val="both"/>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预测结果表明，本项目污染源对各预测点分类小时平均最大浓度贡献值占标率为2.85%~17.44%。酚类的1小时平均浓度贡献值均未超过《大气污染物综合排放标准详解》中的推荐限值。区域最大落地浓度网格点的酚类短期浓度(1小时平均浓度)贡献值最大浓度占标率均&lt;100%。</w:t>
      </w:r>
    </w:p>
    <w:p w14:paraId="707578D1">
      <w:pPr>
        <w:pStyle w:val="28"/>
        <w:rPr>
          <w:rFonts w:hint="eastAsia"/>
          <w:szCs w:val="22"/>
        </w:rPr>
      </w:pPr>
      <w:r>
        <w:rPr>
          <w:szCs w:val="22"/>
        </w:rPr>
        <w:t>表</w:t>
      </w:r>
      <w:r>
        <w:rPr>
          <w:rFonts w:hint="eastAsia"/>
          <w:szCs w:val="22"/>
        </w:rPr>
        <w:t xml:space="preserve">6.2-16 </w:t>
      </w:r>
      <w:r>
        <w:rPr>
          <w:szCs w:val="22"/>
        </w:rPr>
        <w:t xml:space="preserve"> </w:t>
      </w:r>
      <w:r>
        <w:rPr>
          <w:rFonts w:hint="eastAsia"/>
        </w:rPr>
        <w:t>酚类贡献质量浓度预测结果</w:t>
      </w:r>
    </w:p>
    <w:tbl>
      <w:tblPr>
        <w:tblStyle w:val="3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62"/>
        <w:gridCol w:w="1276"/>
        <w:gridCol w:w="1134"/>
        <w:gridCol w:w="1141"/>
        <w:gridCol w:w="1407"/>
        <w:gridCol w:w="1392"/>
        <w:gridCol w:w="1074"/>
        <w:gridCol w:w="1074"/>
      </w:tblGrid>
      <w:tr w14:paraId="162606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62" w:type="dxa"/>
            <w:vAlign w:val="center"/>
          </w:tcPr>
          <w:p w14:paraId="65A8DA64">
            <w:pPr>
              <w:wordWrap w:val="0"/>
              <w:spacing w:line="240" w:lineRule="auto"/>
              <w:jc w:val="center"/>
              <w:rPr>
                <w:rFonts w:cs="Times New Roman"/>
                <w:kern w:val="0"/>
                <w:sz w:val="21"/>
                <w:szCs w:val="21"/>
                <w14:ligatures w14:val="none"/>
              </w:rPr>
            </w:pPr>
            <w:r>
              <w:rPr>
                <w:rFonts w:hint="eastAsia" w:cs="Times New Roman"/>
                <w:kern w:val="0"/>
                <w:sz w:val="21"/>
                <w:szCs w:val="21"/>
                <w14:ligatures w14:val="none"/>
              </w:rPr>
              <w:t>序号</w:t>
            </w:r>
          </w:p>
        </w:tc>
        <w:tc>
          <w:tcPr>
            <w:tcW w:w="1276" w:type="dxa"/>
            <w:noWrap/>
            <w:vAlign w:val="center"/>
          </w:tcPr>
          <w:p w14:paraId="19CF20E5">
            <w:pPr>
              <w:wordWrap w:val="0"/>
              <w:spacing w:line="240" w:lineRule="auto"/>
              <w:jc w:val="center"/>
              <w:rPr>
                <w:rFonts w:cs="Times New Roman"/>
                <w:kern w:val="0"/>
                <w:sz w:val="21"/>
                <w:szCs w:val="21"/>
                <w14:ligatures w14:val="none"/>
              </w:rPr>
            </w:pPr>
            <w:r>
              <w:rPr>
                <w:rFonts w:hint="eastAsia" w:cs="Times New Roman"/>
                <w:kern w:val="0"/>
                <w:sz w:val="21"/>
                <w:szCs w:val="21"/>
                <w14:ligatures w14:val="none"/>
              </w:rPr>
              <w:t>点名称</w:t>
            </w:r>
          </w:p>
        </w:tc>
        <w:tc>
          <w:tcPr>
            <w:tcW w:w="1134" w:type="dxa"/>
            <w:noWrap/>
            <w:vAlign w:val="center"/>
          </w:tcPr>
          <w:p w14:paraId="3A2DC09E">
            <w:pPr>
              <w:wordWrap w:val="0"/>
              <w:spacing w:line="240" w:lineRule="auto"/>
              <w:jc w:val="center"/>
              <w:rPr>
                <w:rFonts w:cs="Times New Roman"/>
                <w:kern w:val="0"/>
                <w:sz w:val="21"/>
                <w:szCs w:val="21"/>
                <w14:ligatures w14:val="none"/>
              </w:rPr>
            </w:pPr>
            <w:r>
              <w:rPr>
                <w:rFonts w:cs="Times New Roman"/>
                <w:kern w:val="0"/>
                <w:sz w:val="21"/>
                <w:szCs w:val="21"/>
                <w14:ligatures w14:val="none"/>
              </w:rPr>
              <w:t>浓度类型</w:t>
            </w:r>
          </w:p>
        </w:tc>
        <w:tc>
          <w:tcPr>
            <w:tcW w:w="1141" w:type="dxa"/>
            <w:noWrap/>
            <w:vAlign w:val="center"/>
          </w:tcPr>
          <w:p w14:paraId="0843358F">
            <w:pPr>
              <w:wordWrap w:val="0"/>
              <w:spacing w:line="240" w:lineRule="auto"/>
              <w:jc w:val="center"/>
              <w:rPr>
                <w:rFonts w:cs="Times New Roman"/>
                <w:kern w:val="0"/>
                <w:sz w:val="21"/>
                <w:szCs w:val="21"/>
                <w14:ligatures w14:val="none"/>
              </w:rPr>
            </w:pPr>
            <w:r>
              <w:rPr>
                <w:rFonts w:cs="Times New Roman"/>
                <w:kern w:val="0"/>
                <w:sz w:val="21"/>
                <w:szCs w:val="21"/>
                <w14:ligatures w14:val="none"/>
              </w:rPr>
              <w:t>浓度增量(μg/m</w:t>
            </w:r>
            <w:r>
              <w:rPr>
                <w:rFonts w:cs="Times New Roman"/>
                <w:kern w:val="0"/>
                <w:sz w:val="21"/>
                <w:szCs w:val="21"/>
                <w:vertAlign w:val="superscript"/>
                <w14:ligatures w14:val="none"/>
              </w:rPr>
              <w:t>3</w:t>
            </w:r>
            <w:r>
              <w:rPr>
                <w:rFonts w:cs="Times New Roman"/>
                <w:kern w:val="0"/>
                <w:sz w:val="21"/>
                <w:szCs w:val="21"/>
                <w14:ligatures w14:val="none"/>
              </w:rPr>
              <w:t>)</w:t>
            </w:r>
          </w:p>
        </w:tc>
        <w:tc>
          <w:tcPr>
            <w:tcW w:w="1407" w:type="dxa"/>
            <w:noWrap/>
            <w:vAlign w:val="center"/>
          </w:tcPr>
          <w:p w14:paraId="156A5F5B">
            <w:pPr>
              <w:wordWrap w:val="0"/>
              <w:spacing w:line="240" w:lineRule="auto"/>
              <w:jc w:val="center"/>
              <w:rPr>
                <w:rFonts w:cs="Times New Roman"/>
                <w:kern w:val="0"/>
                <w:sz w:val="21"/>
                <w:szCs w:val="21"/>
                <w14:ligatures w14:val="none"/>
              </w:rPr>
            </w:pPr>
            <w:r>
              <w:rPr>
                <w:rFonts w:cs="Times New Roman"/>
                <w:kern w:val="0"/>
                <w:sz w:val="21"/>
                <w:szCs w:val="21"/>
                <w14:ligatures w14:val="none"/>
              </w:rPr>
              <w:t>出现时间</w:t>
            </w:r>
          </w:p>
        </w:tc>
        <w:tc>
          <w:tcPr>
            <w:tcW w:w="1392" w:type="dxa"/>
            <w:noWrap/>
            <w:vAlign w:val="center"/>
          </w:tcPr>
          <w:p w14:paraId="2CD8E693">
            <w:pPr>
              <w:wordWrap w:val="0"/>
              <w:spacing w:line="240" w:lineRule="auto"/>
              <w:jc w:val="center"/>
              <w:rPr>
                <w:rFonts w:cs="Times New Roman"/>
                <w:kern w:val="0"/>
                <w:sz w:val="21"/>
                <w:szCs w:val="21"/>
                <w14:ligatures w14:val="none"/>
              </w:rPr>
            </w:pPr>
            <w:r>
              <w:rPr>
                <w:rFonts w:cs="Times New Roman"/>
                <w:kern w:val="0"/>
                <w:sz w:val="21"/>
                <w:szCs w:val="21"/>
                <w14:ligatures w14:val="none"/>
              </w:rPr>
              <w:t>评价标准(μg/m</w:t>
            </w:r>
            <w:r>
              <w:rPr>
                <w:rFonts w:cs="Times New Roman"/>
                <w:kern w:val="0"/>
                <w:sz w:val="21"/>
                <w:szCs w:val="21"/>
                <w:vertAlign w:val="superscript"/>
                <w14:ligatures w14:val="none"/>
              </w:rPr>
              <w:t>3</w:t>
            </w:r>
            <w:r>
              <w:rPr>
                <w:rFonts w:cs="Times New Roman"/>
                <w:kern w:val="0"/>
                <w:sz w:val="21"/>
                <w:szCs w:val="21"/>
                <w14:ligatures w14:val="none"/>
              </w:rPr>
              <w:t>)</w:t>
            </w:r>
          </w:p>
        </w:tc>
        <w:tc>
          <w:tcPr>
            <w:tcW w:w="1074" w:type="dxa"/>
            <w:noWrap/>
            <w:vAlign w:val="center"/>
          </w:tcPr>
          <w:p w14:paraId="181257F1">
            <w:pPr>
              <w:wordWrap w:val="0"/>
              <w:spacing w:line="240" w:lineRule="auto"/>
              <w:jc w:val="center"/>
              <w:rPr>
                <w:rFonts w:cs="Times New Roman"/>
                <w:kern w:val="0"/>
                <w:sz w:val="21"/>
                <w:szCs w:val="21"/>
                <w14:ligatures w14:val="none"/>
              </w:rPr>
            </w:pPr>
            <w:r>
              <w:rPr>
                <w:rFonts w:cs="Times New Roman"/>
                <w:kern w:val="0"/>
                <w:sz w:val="21"/>
                <w:szCs w:val="21"/>
                <w14:ligatures w14:val="none"/>
              </w:rPr>
              <w:t>占标率%</w:t>
            </w:r>
          </w:p>
        </w:tc>
        <w:tc>
          <w:tcPr>
            <w:tcW w:w="1074" w:type="dxa"/>
            <w:noWrap/>
            <w:vAlign w:val="center"/>
          </w:tcPr>
          <w:p w14:paraId="12C4776B">
            <w:pPr>
              <w:wordWrap w:val="0"/>
              <w:spacing w:line="240" w:lineRule="auto"/>
              <w:jc w:val="center"/>
              <w:rPr>
                <w:rFonts w:cs="Times New Roman"/>
                <w:kern w:val="0"/>
                <w:sz w:val="21"/>
                <w:szCs w:val="21"/>
                <w14:ligatures w14:val="none"/>
              </w:rPr>
            </w:pPr>
            <w:r>
              <w:rPr>
                <w:rFonts w:cs="Times New Roman"/>
                <w:kern w:val="0"/>
                <w:sz w:val="21"/>
                <w:szCs w:val="21"/>
                <w14:ligatures w14:val="none"/>
              </w:rPr>
              <w:t>达标情况</w:t>
            </w:r>
          </w:p>
        </w:tc>
      </w:tr>
      <w:tr w14:paraId="35C95A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62" w:type="dxa"/>
            <w:vAlign w:val="center"/>
          </w:tcPr>
          <w:p w14:paraId="4BD668C0">
            <w:pPr>
              <w:wordWrap w:val="0"/>
              <w:spacing w:line="240" w:lineRule="auto"/>
              <w:jc w:val="center"/>
              <w:rPr>
                <w:rFonts w:cs="Times New Roman"/>
                <w:kern w:val="0"/>
                <w:sz w:val="21"/>
                <w:szCs w:val="21"/>
                <w14:ligatures w14:val="none"/>
              </w:rPr>
            </w:pPr>
            <w:r>
              <w:rPr>
                <w:rFonts w:hint="eastAsia"/>
                <w:kern w:val="0"/>
                <w:sz w:val="21"/>
                <w:szCs w:val="21"/>
                <w14:ligatures w14:val="none"/>
              </w:rPr>
              <w:t>1</w:t>
            </w:r>
          </w:p>
        </w:tc>
        <w:tc>
          <w:tcPr>
            <w:tcW w:w="1276" w:type="dxa"/>
            <w:noWrap/>
            <w:vAlign w:val="center"/>
          </w:tcPr>
          <w:p w14:paraId="7B7D6E8E">
            <w:pPr>
              <w:wordWrap w:val="0"/>
              <w:spacing w:line="240" w:lineRule="auto"/>
              <w:jc w:val="center"/>
              <w:rPr>
                <w:rFonts w:cs="Times New Roman"/>
                <w:kern w:val="0"/>
                <w:sz w:val="21"/>
                <w:szCs w:val="21"/>
                <w14:ligatures w14:val="none"/>
              </w:rPr>
            </w:pPr>
            <w:r>
              <w:rPr>
                <w:rFonts w:hint="eastAsia"/>
                <w:sz w:val="21"/>
                <w:szCs w:val="21"/>
              </w:rPr>
              <w:t>三铺村</w:t>
            </w:r>
          </w:p>
        </w:tc>
        <w:tc>
          <w:tcPr>
            <w:tcW w:w="1134" w:type="dxa"/>
            <w:noWrap/>
            <w:vAlign w:val="center"/>
          </w:tcPr>
          <w:p w14:paraId="16073181">
            <w:pPr>
              <w:wordWrap w:val="0"/>
              <w:spacing w:line="240" w:lineRule="auto"/>
              <w:jc w:val="center"/>
              <w:rPr>
                <w:rFonts w:cs="Times New Roman"/>
                <w:kern w:val="0"/>
                <w:sz w:val="21"/>
                <w:szCs w:val="21"/>
                <w14:ligatures w14:val="none"/>
              </w:rPr>
            </w:pPr>
            <w:r>
              <w:rPr>
                <w:rFonts w:hint="eastAsia"/>
                <w:sz w:val="21"/>
                <w:szCs w:val="21"/>
              </w:rPr>
              <w:t>小时值</w:t>
            </w:r>
          </w:p>
        </w:tc>
        <w:tc>
          <w:tcPr>
            <w:tcW w:w="1141" w:type="dxa"/>
            <w:noWrap/>
            <w:vAlign w:val="center"/>
          </w:tcPr>
          <w:p w14:paraId="2D02D557">
            <w:pPr>
              <w:wordWrap w:val="0"/>
              <w:spacing w:line="240" w:lineRule="auto"/>
              <w:jc w:val="center"/>
              <w:rPr>
                <w:rFonts w:cs="Times New Roman"/>
                <w:kern w:val="0"/>
                <w:sz w:val="21"/>
                <w:szCs w:val="21"/>
                <w14:ligatures w14:val="none"/>
              </w:rPr>
            </w:pPr>
            <w:r>
              <w:rPr>
                <w:rFonts w:hint="eastAsia"/>
                <w:sz w:val="21"/>
                <w:szCs w:val="21"/>
              </w:rPr>
              <w:t>9.88E-01</w:t>
            </w:r>
          </w:p>
        </w:tc>
        <w:tc>
          <w:tcPr>
            <w:tcW w:w="1407" w:type="dxa"/>
            <w:noWrap/>
            <w:vAlign w:val="center"/>
          </w:tcPr>
          <w:p w14:paraId="60BF3C47">
            <w:pPr>
              <w:wordWrap w:val="0"/>
              <w:spacing w:line="240" w:lineRule="auto"/>
              <w:jc w:val="center"/>
              <w:rPr>
                <w:rFonts w:cs="Times New Roman"/>
                <w:kern w:val="0"/>
                <w:sz w:val="21"/>
                <w:szCs w:val="21"/>
                <w14:ligatures w14:val="none"/>
              </w:rPr>
            </w:pPr>
            <w:r>
              <w:rPr>
                <w:rFonts w:hint="eastAsia"/>
                <w:sz w:val="21"/>
                <w:szCs w:val="21"/>
              </w:rPr>
              <w:t>23101301</w:t>
            </w:r>
          </w:p>
        </w:tc>
        <w:tc>
          <w:tcPr>
            <w:tcW w:w="1392" w:type="dxa"/>
            <w:noWrap/>
            <w:vAlign w:val="center"/>
          </w:tcPr>
          <w:p w14:paraId="2378492F">
            <w:pPr>
              <w:wordWrap w:val="0"/>
              <w:spacing w:line="240" w:lineRule="auto"/>
              <w:jc w:val="center"/>
              <w:rPr>
                <w:rFonts w:cs="Times New Roman"/>
                <w:kern w:val="0"/>
                <w:sz w:val="21"/>
                <w:szCs w:val="21"/>
                <w14:ligatures w14:val="none"/>
              </w:rPr>
            </w:pPr>
            <w:r>
              <w:rPr>
                <w:rFonts w:hint="eastAsia"/>
                <w:sz w:val="21"/>
                <w:szCs w:val="21"/>
              </w:rPr>
              <w:t>2.00E+01</w:t>
            </w:r>
          </w:p>
        </w:tc>
        <w:tc>
          <w:tcPr>
            <w:tcW w:w="1074" w:type="dxa"/>
            <w:noWrap/>
            <w:vAlign w:val="center"/>
          </w:tcPr>
          <w:p w14:paraId="589C5E4C">
            <w:pPr>
              <w:wordWrap w:val="0"/>
              <w:spacing w:line="240" w:lineRule="auto"/>
              <w:jc w:val="center"/>
              <w:rPr>
                <w:rFonts w:cs="Times New Roman"/>
                <w:kern w:val="0"/>
                <w:sz w:val="21"/>
                <w:szCs w:val="21"/>
                <w14:ligatures w14:val="none"/>
              </w:rPr>
            </w:pPr>
            <w:r>
              <w:rPr>
                <w:rFonts w:hint="eastAsia"/>
                <w:sz w:val="21"/>
                <w:szCs w:val="21"/>
              </w:rPr>
              <w:t>4.94</w:t>
            </w:r>
          </w:p>
        </w:tc>
        <w:tc>
          <w:tcPr>
            <w:tcW w:w="1074" w:type="dxa"/>
            <w:noWrap/>
            <w:vAlign w:val="center"/>
          </w:tcPr>
          <w:p w14:paraId="01DA7BBB">
            <w:pPr>
              <w:wordWrap w:val="0"/>
              <w:spacing w:line="240" w:lineRule="auto"/>
              <w:jc w:val="center"/>
              <w:rPr>
                <w:rFonts w:cs="Times New Roman"/>
                <w:kern w:val="0"/>
                <w:sz w:val="21"/>
                <w:szCs w:val="21"/>
                <w14:ligatures w14:val="none"/>
              </w:rPr>
            </w:pPr>
            <w:r>
              <w:rPr>
                <w:rFonts w:hint="eastAsia"/>
                <w:sz w:val="21"/>
                <w:szCs w:val="21"/>
              </w:rPr>
              <w:t>达标</w:t>
            </w:r>
          </w:p>
        </w:tc>
      </w:tr>
      <w:tr w14:paraId="4DB303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62" w:type="dxa"/>
            <w:vAlign w:val="center"/>
          </w:tcPr>
          <w:p w14:paraId="08A38DBF">
            <w:pPr>
              <w:wordWrap w:val="0"/>
              <w:spacing w:line="240" w:lineRule="auto"/>
              <w:jc w:val="center"/>
              <w:rPr>
                <w:rFonts w:cs="Times New Roman"/>
                <w:kern w:val="0"/>
                <w:sz w:val="21"/>
                <w:szCs w:val="21"/>
                <w14:ligatures w14:val="none"/>
              </w:rPr>
            </w:pPr>
            <w:r>
              <w:rPr>
                <w:rFonts w:hint="eastAsia"/>
                <w:kern w:val="0"/>
                <w:sz w:val="21"/>
                <w:szCs w:val="21"/>
                <w14:ligatures w14:val="none"/>
              </w:rPr>
              <w:t>2</w:t>
            </w:r>
          </w:p>
        </w:tc>
        <w:tc>
          <w:tcPr>
            <w:tcW w:w="1276" w:type="dxa"/>
            <w:noWrap/>
            <w:vAlign w:val="center"/>
          </w:tcPr>
          <w:p w14:paraId="05819D8D">
            <w:pPr>
              <w:wordWrap w:val="0"/>
              <w:spacing w:line="240" w:lineRule="auto"/>
              <w:jc w:val="center"/>
              <w:rPr>
                <w:rFonts w:cs="Times New Roman"/>
                <w:kern w:val="0"/>
                <w:sz w:val="21"/>
                <w:szCs w:val="21"/>
                <w14:ligatures w14:val="none"/>
              </w:rPr>
            </w:pPr>
            <w:r>
              <w:rPr>
                <w:rFonts w:hint="eastAsia"/>
                <w:sz w:val="21"/>
                <w:szCs w:val="21"/>
              </w:rPr>
              <w:t>三铺小学</w:t>
            </w:r>
          </w:p>
        </w:tc>
        <w:tc>
          <w:tcPr>
            <w:tcW w:w="1134" w:type="dxa"/>
            <w:noWrap/>
            <w:vAlign w:val="center"/>
          </w:tcPr>
          <w:p w14:paraId="5885D06F">
            <w:pPr>
              <w:wordWrap w:val="0"/>
              <w:spacing w:line="240" w:lineRule="auto"/>
              <w:jc w:val="center"/>
              <w:rPr>
                <w:rFonts w:cs="Times New Roman"/>
                <w:kern w:val="0"/>
                <w:sz w:val="21"/>
                <w:szCs w:val="21"/>
                <w14:ligatures w14:val="none"/>
              </w:rPr>
            </w:pPr>
            <w:r>
              <w:rPr>
                <w:rFonts w:hint="eastAsia"/>
                <w:sz w:val="21"/>
                <w:szCs w:val="21"/>
              </w:rPr>
              <w:t>小时值</w:t>
            </w:r>
          </w:p>
        </w:tc>
        <w:tc>
          <w:tcPr>
            <w:tcW w:w="1141" w:type="dxa"/>
            <w:noWrap/>
            <w:vAlign w:val="center"/>
          </w:tcPr>
          <w:p w14:paraId="209A2498">
            <w:pPr>
              <w:wordWrap w:val="0"/>
              <w:spacing w:line="240" w:lineRule="auto"/>
              <w:jc w:val="center"/>
              <w:rPr>
                <w:rFonts w:cs="Times New Roman"/>
                <w:kern w:val="0"/>
                <w:sz w:val="21"/>
                <w:szCs w:val="21"/>
                <w14:ligatures w14:val="none"/>
              </w:rPr>
            </w:pPr>
            <w:r>
              <w:rPr>
                <w:rFonts w:hint="eastAsia"/>
                <w:sz w:val="21"/>
                <w:szCs w:val="21"/>
              </w:rPr>
              <w:t>8.99E-01</w:t>
            </w:r>
          </w:p>
        </w:tc>
        <w:tc>
          <w:tcPr>
            <w:tcW w:w="1407" w:type="dxa"/>
            <w:noWrap/>
            <w:vAlign w:val="center"/>
          </w:tcPr>
          <w:p w14:paraId="547A8EC5">
            <w:pPr>
              <w:wordWrap w:val="0"/>
              <w:spacing w:line="240" w:lineRule="auto"/>
              <w:jc w:val="center"/>
              <w:rPr>
                <w:rFonts w:cs="Times New Roman"/>
                <w:kern w:val="0"/>
                <w:sz w:val="21"/>
                <w:szCs w:val="21"/>
                <w14:ligatures w14:val="none"/>
              </w:rPr>
            </w:pPr>
            <w:r>
              <w:rPr>
                <w:rFonts w:hint="eastAsia"/>
                <w:sz w:val="21"/>
                <w:szCs w:val="21"/>
              </w:rPr>
              <w:t>23083005</w:t>
            </w:r>
          </w:p>
        </w:tc>
        <w:tc>
          <w:tcPr>
            <w:tcW w:w="1392" w:type="dxa"/>
            <w:noWrap/>
            <w:vAlign w:val="center"/>
          </w:tcPr>
          <w:p w14:paraId="7CC3F434">
            <w:pPr>
              <w:wordWrap w:val="0"/>
              <w:spacing w:line="240" w:lineRule="auto"/>
              <w:jc w:val="center"/>
              <w:rPr>
                <w:rFonts w:cs="Times New Roman"/>
                <w:kern w:val="0"/>
                <w:sz w:val="21"/>
                <w:szCs w:val="21"/>
                <w14:ligatures w14:val="none"/>
              </w:rPr>
            </w:pPr>
            <w:r>
              <w:rPr>
                <w:rFonts w:hint="eastAsia"/>
                <w:sz w:val="21"/>
                <w:szCs w:val="21"/>
              </w:rPr>
              <w:t>2.00E+01</w:t>
            </w:r>
          </w:p>
        </w:tc>
        <w:tc>
          <w:tcPr>
            <w:tcW w:w="1074" w:type="dxa"/>
            <w:noWrap/>
            <w:vAlign w:val="center"/>
          </w:tcPr>
          <w:p w14:paraId="047C6A87">
            <w:pPr>
              <w:wordWrap w:val="0"/>
              <w:spacing w:line="240" w:lineRule="auto"/>
              <w:jc w:val="center"/>
              <w:rPr>
                <w:rFonts w:cs="Times New Roman"/>
                <w:kern w:val="0"/>
                <w:sz w:val="21"/>
                <w:szCs w:val="21"/>
                <w14:ligatures w14:val="none"/>
              </w:rPr>
            </w:pPr>
            <w:r>
              <w:rPr>
                <w:rFonts w:hint="eastAsia"/>
                <w:sz w:val="21"/>
                <w:szCs w:val="21"/>
              </w:rPr>
              <w:t>4.49</w:t>
            </w:r>
          </w:p>
        </w:tc>
        <w:tc>
          <w:tcPr>
            <w:tcW w:w="1074" w:type="dxa"/>
            <w:noWrap/>
            <w:vAlign w:val="center"/>
          </w:tcPr>
          <w:p w14:paraId="340F656E">
            <w:pPr>
              <w:wordWrap w:val="0"/>
              <w:spacing w:line="240" w:lineRule="auto"/>
              <w:jc w:val="center"/>
              <w:rPr>
                <w:rFonts w:cs="Times New Roman"/>
                <w:kern w:val="0"/>
                <w:sz w:val="21"/>
                <w:szCs w:val="21"/>
                <w14:ligatures w14:val="none"/>
              </w:rPr>
            </w:pPr>
            <w:r>
              <w:rPr>
                <w:rFonts w:hint="eastAsia"/>
                <w:sz w:val="21"/>
                <w:szCs w:val="21"/>
              </w:rPr>
              <w:t>达标</w:t>
            </w:r>
          </w:p>
        </w:tc>
      </w:tr>
      <w:tr w14:paraId="5F757E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62" w:type="dxa"/>
            <w:vAlign w:val="center"/>
          </w:tcPr>
          <w:p w14:paraId="678BDE7B">
            <w:pPr>
              <w:wordWrap w:val="0"/>
              <w:spacing w:line="240" w:lineRule="auto"/>
              <w:jc w:val="center"/>
              <w:rPr>
                <w:rFonts w:cs="Times New Roman"/>
                <w:kern w:val="0"/>
                <w:sz w:val="21"/>
                <w:szCs w:val="21"/>
                <w14:ligatures w14:val="none"/>
              </w:rPr>
            </w:pPr>
            <w:r>
              <w:rPr>
                <w:rFonts w:hint="eastAsia"/>
                <w:kern w:val="0"/>
                <w:sz w:val="21"/>
                <w:szCs w:val="21"/>
                <w14:ligatures w14:val="none"/>
              </w:rPr>
              <w:t>3</w:t>
            </w:r>
          </w:p>
        </w:tc>
        <w:tc>
          <w:tcPr>
            <w:tcW w:w="1276" w:type="dxa"/>
            <w:noWrap/>
            <w:vAlign w:val="center"/>
          </w:tcPr>
          <w:p w14:paraId="7BE2F82F">
            <w:pPr>
              <w:wordWrap w:val="0"/>
              <w:spacing w:line="240" w:lineRule="auto"/>
              <w:jc w:val="center"/>
              <w:rPr>
                <w:rFonts w:cs="Times New Roman"/>
                <w:kern w:val="0"/>
                <w:sz w:val="21"/>
                <w:szCs w:val="21"/>
                <w14:ligatures w14:val="none"/>
              </w:rPr>
            </w:pPr>
            <w:r>
              <w:rPr>
                <w:rFonts w:hint="eastAsia"/>
                <w:sz w:val="21"/>
                <w:szCs w:val="21"/>
              </w:rPr>
              <w:t>三铺中学</w:t>
            </w:r>
          </w:p>
        </w:tc>
        <w:tc>
          <w:tcPr>
            <w:tcW w:w="1134" w:type="dxa"/>
            <w:noWrap/>
            <w:vAlign w:val="center"/>
          </w:tcPr>
          <w:p w14:paraId="4D582BAB">
            <w:pPr>
              <w:wordWrap w:val="0"/>
              <w:spacing w:line="240" w:lineRule="auto"/>
              <w:jc w:val="center"/>
              <w:rPr>
                <w:rFonts w:cs="Times New Roman"/>
                <w:kern w:val="0"/>
                <w:sz w:val="21"/>
                <w:szCs w:val="21"/>
                <w14:ligatures w14:val="none"/>
              </w:rPr>
            </w:pPr>
            <w:r>
              <w:rPr>
                <w:rFonts w:hint="eastAsia"/>
                <w:sz w:val="21"/>
                <w:szCs w:val="21"/>
              </w:rPr>
              <w:t>小时值</w:t>
            </w:r>
          </w:p>
        </w:tc>
        <w:tc>
          <w:tcPr>
            <w:tcW w:w="1141" w:type="dxa"/>
            <w:noWrap/>
            <w:vAlign w:val="center"/>
          </w:tcPr>
          <w:p w14:paraId="4A901E0E">
            <w:pPr>
              <w:wordWrap w:val="0"/>
              <w:spacing w:line="240" w:lineRule="auto"/>
              <w:jc w:val="center"/>
              <w:rPr>
                <w:rFonts w:cs="Times New Roman"/>
                <w:kern w:val="0"/>
                <w:sz w:val="21"/>
                <w:szCs w:val="21"/>
                <w14:ligatures w14:val="none"/>
              </w:rPr>
            </w:pPr>
            <w:r>
              <w:rPr>
                <w:rFonts w:hint="eastAsia"/>
                <w:sz w:val="21"/>
                <w:szCs w:val="21"/>
              </w:rPr>
              <w:t>1.02E+00</w:t>
            </w:r>
          </w:p>
        </w:tc>
        <w:tc>
          <w:tcPr>
            <w:tcW w:w="1407" w:type="dxa"/>
            <w:noWrap/>
            <w:vAlign w:val="center"/>
          </w:tcPr>
          <w:p w14:paraId="15DDDE3F">
            <w:pPr>
              <w:wordWrap w:val="0"/>
              <w:spacing w:line="240" w:lineRule="auto"/>
              <w:jc w:val="center"/>
              <w:rPr>
                <w:rFonts w:cs="Times New Roman"/>
                <w:kern w:val="0"/>
                <w:sz w:val="21"/>
                <w:szCs w:val="21"/>
                <w14:ligatures w14:val="none"/>
              </w:rPr>
            </w:pPr>
            <w:r>
              <w:rPr>
                <w:rFonts w:hint="eastAsia"/>
                <w:sz w:val="21"/>
                <w:szCs w:val="21"/>
              </w:rPr>
              <w:t>23032703</w:t>
            </w:r>
          </w:p>
        </w:tc>
        <w:tc>
          <w:tcPr>
            <w:tcW w:w="1392" w:type="dxa"/>
            <w:noWrap/>
            <w:vAlign w:val="center"/>
          </w:tcPr>
          <w:p w14:paraId="7BA3E496">
            <w:pPr>
              <w:wordWrap w:val="0"/>
              <w:spacing w:line="240" w:lineRule="auto"/>
              <w:jc w:val="center"/>
              <w:rPr>
                <w:rFonts w:cs="Times New Roman"/>
                <w:kern w:val="0"/>
                <w:sz w:val="21"/>
                <w:szCs w:val="21"/>
                <w14:ligatures w14:val="none"/>
              </w:rPr>
            </w:pPr>
            <w:r>
              <w:rPr>
                <w:rFonts w:hint="eastAsia"/>
                <w:sz w:val="21"/>
                <w:szCs w:val="21"/>
              </w:rPr>
              <w:t>2.00E+01</w:t>
            </w:r>
          </w:p>
        </w:tc>
        <w:tc>
          <w:tcPr>
            <w:tcW w:w="1074" w:type="dxa"/>
            <w:noWrap/>
            <w:vAlign w:val="center"/>
          </w:tcPr>
          <w:p w14:paraId="59853631">
            <w:pPr>
              <w:wordWrap w:val="0"/>
              <w:spacing w:line="240" w:lineRule="auto"/>
              <w:jc w:val="center"/>
              <w:rPr>
                <w:rFonts w:cs="Times New Roman"/>
                <w:kern w:val="0"/>
                <w:sz w:val="21"/>
                <w:szCs w:val="21"/>
                <w14:ligatures w14:val="none"/>
              </w:rPr>
            </w:pPr>
            <w:r>
              <w:rPr>
                <w:rFonts w:hint="eastAsia"/>
                <w:sz w:val="21"/>
                <w:szCs w:val="21"/>
              </w:rPr>
              <w:t>5.08</w:t>
            </w:r>
          </w:p>
        </w:tc>
        <w:tc>
          <w:tcPr>
            <w:tcW w:w="1074" w:type="dxa"/>
            <w:noWrap/>
            <w:vAlign w:val="center"/>
          </w:tcPr>
          <w:p w14:paraId="667CDEA0">
            <w:pPr>
              <w:wordWrap w:val="0"/>
              <w:spacing w:line="240" w:lineRule="auto"/>
              <w:jc w:val="center"/>
              <w:rPr>
                <w:rFonts w:cs="Times New Roman"/>
                <w:kern w:val="0"/>
                <w:sz w:val="21"/>
                <w:szCs w:val="21"/>
                <w14:ligatures w14:val="none"/>
              </w:rPr>
            </w:pPr>
            <w:r>
              <w:rPr>
                <w:rFonts w:hint="eastAsia"/>
                <w:sz w:val="21"/>
                <w:szCs w:val="21"/>
              </w:rPr>
              <w:t>达标</w:t>
            </w:r>
          </w:p>
        </w:tc>
      </w:tr>
      <w:tr w14:paraId="046AB5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62" w:type="dxa"/>
            <w:vAlign w:val="center"/>
          </w:tcPr>
          <w:p w14:paraId="397E62C6">
            <w:pPr>
              <w:wordWrap w:val="0"/>
              <w:spacing w:line="240" w:lineRule="auto"/>
              <w:jc w:val="center"/>
              <w:rPr>
                <w:rFonts w:cs="Times New Roman"/>
                <w:kern w:val="0"/>
                <w:sz w:val="21"/>
                <w:szCs w:val="21"/>
                <w14:ligatures w14:val="none"/>
              </w:rPr>
            </w:pPr>
            <w:r>
              <w:rPr>
                <w:rFonts w:hint="eastAsia"/>
                <w:kern w:val="0"/>
                <w:sz w:val="21"/>
                <w:szCs w:val="21"/>
                <w14:ligatures w14:val="none"/>
              </w:rPr>
              <w:t>4</w:t>
            </w:r>
          </w:p>
        </w:tc>
        <w:tc>
          <w:tcPr>
            <w:tcW w:w="1276" w:type="dxa"/>
            <w:noWrap/>
            <w:vAlign w:val="center"/>
          </w:tcPr>
          <w:p w14:paraId="40A0125B">
            <w:pPr>
              <w:wordWrap w:val="0"/>
              <w:spacing w:line="240" w:lineRule="auto"/>
              <w:jc w:val="center"/>
              <w:rPr>
                <w:rFonts w:cs="Times New Roman"/>
                <w:kern w:val="0"/>
                <w:sz w:val="21"/>
                <w:szCs w:val="21"/>
                <w14:ligatures w14:val="none"/>
              </w:rPr>
            </w:pPr>
            <w:r>
              <w:rPr>
                <w:rFonts w:hint="eastAsia"/>
                <w:sz w:val="21"/>
                <w:szCs w:val="21"/>
              </w:rPr>
              <w:t>高王家</w:t>
            </w:r>
          </w:p>
        </w:tc>
        <w:tc>
          <w:tcPr>
            <w:tcW w:w="1134" w:type="dxa"/>
            <w:noWrap/>
            <w:vAlign w:val="center"/>
          </w:tcPr>
          <w:p w14:paraId="57ED1163">
            <w:pPr>
              <w:wordWrap w:val="0"/>
              <w:spacing w:line="240" w:lineRule="auto"/>
              <w:jc w:val="center"/>
              <w:rPr>
                <w:rFonts w:cs="Times New Roman"/>
                <w:kern w:val="0"/>
                <w:sz w:val="21"/>
                <w:szCs w:val="21"/>
                <w14:ligatures w14:val="none"/>
              </w:rPr>
            </w:pPr>
            <w:r>
              <w:rPr>
                <w:rFonts w:hint="eastAsia"/>
                <w:sz w:val="21"/>
                <w:szCs w:val="21"/>
              </w:rPr>
              <w:t>小时值</w:t>
            </w:r>
          </w:p>
        </w:tc>
        <w:tc>
          <w:tcPr>
            <w:tcW w:w="1141" w:type="dxa"/>
            <w:noWrap/>
            <w:vAlign w:val="center"/>
          </w:tcPr>
          <w:p w14:paraId="3CC0E51F">
            <w:pPr>
              <w:wordWrap w:val="0"/>
              <w:spacing w:line="240" w:lineRule="auto"/>
              <w:jc w:val="center"/>
              <w:rPr>
                <w:rFonts w:cs="Times New Roman"/>
                <w:kern w:val="0"/>
                <w:sz w:val="21"/>
                <w:szCs w:val="21"/>
                <w14:ligatures w14:val="none"/>
              </w:rPr>
            </w:pPr>
            <w:r>
              <w:rPr>
                <w:rFonts w:hint="eastAsia"/>
                <w:sz w:val="21"/>
                <w:szCs w:val="21"/>
              </w:rPr>
              <w:t>9.26E-01</w:t>
            </w:r>
          </w:p>
        </w:tc>
        <w:tc>
          <w:tcPr>
            <w:tcW w:w="1407" w:type="dxa"/>
            <w:noWrap/>
            <w:vAlign w:val="center"/>
          </w:tcPr>
          <w:p w14:paraId="4F22AE27">
            <w:pPr>
              <w:wordWrap w:val="0"/>
              <w:spacing w:line="240" w:lineRule="auto"/>
              <w:jc w:val="center"/>
              <w:rPr>
                <w:rFonts w:cs="Times New Roman"/>
                <w:kern w:val="0"/>
                <w:sz w:val="21"/>
                <w:szCs w:val="21"/>
                <w14:ligatures w14:val="none"/>
              </w:rPr>
            </w:pPr>
            <w:r>
              <w:rPr>
                <w:rFonts w:hint="eastAsia"/>
                <w:sz w:val="21"/>
                <w:szCs w:val="21"/>
              </w:rPr>
              <w:t>23083004</w:t>
            </w:r>
          </w:p>
        </w:tc>
        <w:tc>
          <w:tcPr>
            <w:tcW w:w="1392" w:type="dxa"/>
            <w:noWrap/>
            <w:vAlign w:val="center"/>
          </w:tcPr>
          <w:p w14:paraId="007FEA7C">
            <w:pPr>
              <w:wordWrap w:val="0"/>
              <w:spacing w:line="240" w:lineRule="auto"/>
              <w:jc w:val="center"/>
              <w:rPr>
                <w:rFonts w:cs="Times New Roman"/>
                <w:kern w:val="0"/>
                <w:sz w:val="21"/>
                <w:szCs w:val="21"/>
                <w14:ligatures w14:val="none"/>
              </w:rPr>
            </w:pPr>
            <w:r>
              <w:rPr>
                <w:rFonts w:hint="eastAsia"/>
                <w:sz w:val="21"/>
                <w:szCs w:val="21"/>
              </w:rPr>
              <w:t>2.00E+01</w:t>
            </w:r>
          </w:p>
        </w:tc>
        <w:tc>
          <w:tcPr>
            <w:tcW w:w="1074" w:type="dxa"/>
            <w:noWrap/>
            <w:vAlign w:val="center"/>
          </w:tcPr>
          <w:p w14:paraId="46534221">
            <w:pPr>
              <w:wordWrap w:val="0"/>
              <w:spacing w:line="240" w:lineRule="auto"/>
              <w:jc w:val="center"/>
              <w:rPr>
                <w:rFonts w:cs="Times New Roman"/>
                <w:kern w:val="0"/>
                <w:sz w:val="21"/>
                <w:szCs w:val="21"/>
                <w14:ligatures w14:val="none"/>
              </w:rPr>
            </w:pPr>
            <w:r>
              <w:rPr>
                <w:rFonts w:hint="eastAsia"/>
                <w:sz w:val="21"/>
                <w:szCs w:val="21"/>
              </w:rPr>
              <w:t>4.63</w:t>
            </w:r>
          </w:p>
        </w:tc>
        <w:tc>
          <w:tcPr>
            <w:tcW w:w="1074" w:type="dxa"/>
            <w:noWrap/>
            <w:vAlign w:val="center"/>
          </w:tcPr>
          <w:p w14:paraId="031CD6D7">
            <w:pPr>
              <w:wordWrap w:val="0"/>
              <w:spacing w:line="240" w:lineRule="auto"/>
              <w:jc w:val="center"/>
              <w:rPr>
                <w:rFonts w:cs="Times New Roman"/>
                <w:kern w:val="0"/>
                <w:sz w:val="21"/>
                <w:szCs w:val="21"/>
                <w14:ligatures w14:val="none"/>
              </w:rPr>
            </w:pPr>
            <w:r>
              <w:rPr>
                <w:rFonts w:hint="eastAsia"/>
                <w:sz w:val="21"/>
                <w:szCs w:val="21"/>
              </w:rPr>
              <w:t>达标</w:t>
            </w:r>
          </w:p>
        </w:tc>
      </w:tr>
      <w:tr w14:paraId="5974FE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62" w:type="dxa"/>
            <w:vAlign w:val="center"/>
          </w:tcPr>
          <w:p w14:paraId="0CCD15BA">
            <w:pPr>
              <w:wordWrap w:val="0"/>
              <w:spacing w:line="240" w:lineRule="auto"/>
              <w:jc w:val="center"/>
              <w:rPr>
                <w:rFonts w:cs="Times New Roman"/>
                <w:kern w:val="0"/>
                <w:sz w:val="21"/>
                <w:szCs w:val="21"/>
                <w14:ligatures w14:val="none"/>
              </w:rPr>
            </w:pPr>
            <w:r>
              <w:rPr>
                <w:rFonts w:hint="eastAsia"/>
                <w:kern w:val="0"/>
                <w:sz w:val="21"/>
                <w:szCs w:val="21"/>
                <w14:ligatures w14:val="none"/>
              </w:rPr>
              <w:t>5</w:t>
            </w:r>
          </w:p>
        </w:tc>
        <w:tc>
          <w:tcPr>
            <w:tcW w:w="1276" w:type="dxa"/>
            <w:noWrap/>
            <w:vAlign w:val="center"/>
          </w:tcPr>
          <w:p w14:paraId="32C73709">
            <w:pPr>
              <w:wordWrap w:val="0"/>
              <w:spacing w:line="240" w:lineRule="auto"/>
              <w:jc w:val="center"/>
              <w:rPr>
                <w:rFonts w:cs="Times New Roman"/>
                <w:kern w:val="0"/>
                <w:sz w:val="21"/>
                <w:szCs w:val="21"/>
                <w14:ligatures w14:val="none"/>
              </w:rPr>
            </w:pPr>
            <w:r>
              <w:rPr>
                <w:rFonts w:hint="eastAsia"/>
                <w:sz w:val="21"/>
                <w:szCs w:val="21"/>
              </w:rPr>
              <w:t>大柏村</w:t>
            </w:r>
          </w:p>
        </w:tc>
        <w:tc>
          <w:tcPr>
            <w:tcW w:w="1134" w:type="dxa"/>
            <w:noWrap/>
            <w:vAlign w:val="center"/>
          </w:tcPr>
          <w:p w14:paraId="1F9720E0">
            <w:pPr>
              <w:wordWrap w:val="0"/>
              <w:spacing w:line="240" w:lineRule="auto"/>
              <w:jc w:val="center"/>
              <w:rPr>
                <w:rFonts w:cs="Times New Roman"/>
                <w:kern w:val="0"/>
                <w:sz w:val="21"/>
                <w:szCs w:val="21"/>
                <w14:ligatures w14:val="none"/>
              </w:rPr>
            </w:pPr>
            <w:r>
              <w:rPr>
                <w:rFonts w:hint="eastAsia"/>
                <w:sz w:val="21"/>
                <w:szCs w:val="21"/>
              </w:rPr>
              <w:t>小时值</w:t>
            </w:r>
          </w:p>
        </w:tc>
        <w:tc>
          <w:tcPr>
            <w:tcW w:w="1141" w:type="dxa"/>
            <w:noWrap/>
            <w:vAlign w:val="center"/>
          </w:tcPr>
          <w:p w14:paraId="03D504B3">
            <w:pPr>
              <w:wordWrap w:val="0"/>
              <w:spacing w:line="240" w:lineRule="auto"/>
              <w:jc w:val="center"/>
              <w:rPr>
                <w:rFonts w:cs="Times New Roman"/>
                <w:kern w:val="0"/>
                <w:sz w:val="21"/>
                <w:szCs w:val="21"/>
                <w14:ligatures w14:val="none"/>
              </w:rPr>
            </w:pPr>
            <w:r>
              <w:rPr>
                <w:rFonts w:hint="eastAsia"/>
                <w:sz w:val="21"/>
                <w:szCs w:val="21"/>
              </w:rPr>
              <w:t>6.92E-01</w:t>
            </w:r>
          </w:p>
        </w:tc>
        <w:tc>
          <w:tcPr>
            <w:tcW w:w="1407" w:type="dxa"/>
            <w:noWrap/>
            <w:vAlign w:val="center"/>
          </w:tcPr>
          <w:p w14:paraId="1E21F9E8">
            <w:pPr>
              <w:wordWrap w:val="0"/>
              <w:spacing w:line="240" w:lineRule="auto"/>
              <w:jc w:val="center"/>
              <w:rPr>
                <w:rFonts w:cs="Times New Roman"/>
                <w:kern w:val="0"/>
                <w:sz w:val="21"/>
                <w:szCs w:val="21"/>
                <w14:ligatures w14:val="none"/>
              </w:rPr>
            </w:pPr>
            <w:r>
              <w:rPr>
                <w:rFonts w:hint="eastAsia"/>
                <w:sz w:val="21"/>
                <w:szCs w:val="21"/>
              </w:rPr>
              <w:t>23122405</w:t>
            </w:r>
          </w:p>
        </w:tc>
        <w:tc>
          <w:tcPr>
            <w:tcW w:w="1392" w:type="dxa"/>
            <w:noWrap/>
            <w:vAlign w:val="center"/>
          </w:tcPr>
          <w:p w14:paraId="187CF993">
            <w:pPr>
              <w:wordWrap w:val="0"/>
              <w:spacing w:line="240" w:lineRule="auto"/>
              <w:jc w:val="center"/>
              <w:rPr>
                <w:rFonts w:cs="Times New Roman"/>
                <w:kern w:val="0"/>
                <w:sz w:val="21"/>
                <w:szCs w:val="21"/>
                <w14:ligatures w14:val="none"/>
              </w:rPr>
            </w:pPr>
            <w:r>
              <w:rPr>
                <w:rFonts w:hint="eastAsia"/>
                <w:sz w:val="21"/>
                <w:szCs w:val="21"/>
              </w:rPr>
              <w:t>2.00E+01</w:t>
            </w:r>
          </w:p>
        </w:tc>
        <w:tc>
          <w:tcPr>
            <w:tcW w:w="1074" w:type="dxa"/>
            <w:noWrap/>
            <w:vAlign w:val="center"/>
          </w:tcPr>
          <w:p w14:paraId="0D7F2A09">
            <w:pPr>
              <w:wordWrap w:val="0"/>
              <w:spacing w:line="240" w:lineRule="auto"/>
              <w:jc w:val="center"/>
              <w:rPr>
                <w:rFonts w:cs="Times New Roman"/>
                <w:kern w:val="0"/>
                <w:sz w:val="21"/>
                <w:szCs w:val="21"/>
                <w14:ligatures w14:val="none"/>
              </w:rPr>
            </w:pPr>
            <w:r>
              <w:rPr>
                <w:rFonts w:hint="eastAsia"/>
                <w:sz w:val="21"/>
                <w:szCs w:val="21"/>
              </w:rPr>
              <w:t>3.46</w:t>
            </w:r>
          </w:p>
        </w:tc>
        <w:tc>
          <w:tcPr>
            <w:tcW w:w="1074" w:type="dxa"/>
            <w:noWrap/>
            <w:vAlign w:val="center"/>
          </w:tcPr>
          <w:p w14:paraId="627C667F">
            <w:pPr>
              <w:wordWrap w:val="0"/>
              <w:spacing w:line="240" w:lineRule="auto"/>
              <w:jc w:val="center"/>
              <w:rPr>
                <w:rFonts w:cs="Times New Roman"/>
                <w:kern w:val="0"/>
                <w:sz w:val="21"/>
                <w:szCs w:val="21"/>
                <w14:ligatures w14:val="none"/>
              </w:rPr>
            </w:pPr>
            <w:r>
              <w:rPr>
                <w:rFonts w:hint="eastAsia"/>
                <w:sz w:val="21"/>
                <w:szCs w:val="21"/>
              </w:rPr>
              <w:t>达标</w:t>
            </w:r>
          </w:p>
        </w:tc>
      </w:tr>
      <w:tr w14:paraId="13BD2B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62" w:type="dxa"/>
            <w:vAlign w:val="center"/>
          </w:tcPr>
          <w:p w14:paraId="7843832D">
            <w:pPr>
              <w:wordWrap w:val="0"/>
              <w:spacing w:line="240" w:lineRule="auto"/>
              <w:jc w:val="center"/>
              <w:rPr>
                <w:rFonts w:cs="Times New Roman"/>
                <w:kern w:val="0"/>
                <w:sz w:val="21"/>
                <w:szCs w:val="21"/>
                <w14:ligatures w14:val="none"/>
              </w:rPr>
            </w:pPr>
            <w:r>
              <w:rPr>
                <w:rFonts w:hint="eastAsia"/>
                <w:kern w:val="0"/>
                <w:sz w:val="21"/>
                <w:szCs w:val="21"/>
                <w14:ligatures w14:val="none"/>
              </w:rPr>
              <w:t>6</w:t>
            </w:r>
          </w:p>
        </w:tc>
        <w:tc>
          <w:tcPr>
            <w:tcW w:w="1276" w:type="dxa"/>
            <w:noWrap/>
            <w:vAlign w:val="center"/>
          </w:tcPr>
          <w:p w14:paraId="510C4D9B">
            <w:pPr>
              <w:wordWrap w:val="0"/>
              <w:spacing w:line="240" w:lineRule="auto"/>
              <w:jc w:val="center"/>
              <w:rPr>
                <w:rFonts w:cs="Times New Roman"/>
                <w:kern w:val="0"/>
                <w:sz w:val="21"/>
                <w:szCs w:val="21"/>
                <w14:ligatures w14:val="none"/>
              </w:rPr>
            </w:pPr>
            <w:r>
              <w:rPr>
                <w:rFonts w:hint="eastAsia"/>
                <w:sz w:val="21"/>
                <w:szCs w:val="21"/>
              </w:rPr>
              <w:t>曹杨家</w:t>
            </w:r>
          </w:p>
        </w:tc>
        <w:tc>
          <w:tcPr>
            <w:tcW w:w="1134" w:type="dxa"/>
            <w:noWrap/>
            <w:vAlign w:val="center"/>
          </w:tcPr>
          <w:p w14:paraId="600A21AD">
            <w:pPr>
              <w:wordWrap w:val="0"/>
              <w:spacing w:line="240" w:lineRule="auto"/>
              <w:jc w:val="center"/>
              <w:rPr>
                <w:rFonts w:cs="Times New Roman"/>
                <w:kern w:val="0"/>
                <w:sz w:val="21"/>
                <w:szCs w:val="21"/>
                <w14:ligatures w14:val="none"/>
              </w:rPr>
            </w:pPr>
            <w:r>
              <w:rPr>
                <w:rFonts w:hint="eastAsia"/>
                <w:sz w:val="21"/>
                <w:szCs w:val="21"/>
              </w:rPr>
              <w:t>小时值</w:t>
            </w:r>
          </w:p>
        </w:tc>
        <w:tc>
          <w:tcPr>
            <w:tcW w:w="1141" w:type="dxa"/>
            <w:noWrap/>
            <w:vAlign w:val="center"/>
          </w:tcPr>
          <w:p w14:paraId="7FBAD90A">
            <w:pPr>
              <w:wordWrap w:val="0"/>
              <w:spacing w:line="240" w:lineRule="auto"/>
              <w:jc w:val="center"/>
              <w:rPr>
                <w:rFonts w:cs="Times New Roman"/>
                <w:kern w:val="0"/>
                <w:sz w:val="21"/>
                <w:szCs w:val="21"/>
                <w14:ligatures w14:val="none"/>
              </w:rPr>
            </w:pPr>
            <w:r>
              <w:rPr>
                <w:rFonts w:hint="eastAsia"/>
                <w:sz w:val="21"/>
                <w:szCs w:val="21"/>
              </w:rPr>
              <w:t>6.78E-01</w:t>
            </w:r>
          </w:p>
        </w:tc>
        <w:tc>
          <w:tcPr>
            <w:tcW w:w="1407" w:type="dxa"/>
            <w:noWrap/>
            <w:vAlign w:val="center"/>
          </w:tcPr>
          <w:p w14:paraId="3E2543C0">
            <w:pPr>
              <w:wordWrap w:val="0"/>
              <w:spacing w:line="240" w:lineRule="auto"/>
              <w:jc w:val="center"/>
              <w:rPr>
                <w:rFonts w:cs="Times New Roman"/>
                <w:kern w:val="0"/>
                <w:sz w:val="21"/>
                <w:szCs w:val="21"/>
                <w14:ligatures w14:val="none"/>
              </w:rPr>
            </w:pPr>
            <w:r>
              <w:rPr>
                <w:rFonts w:hint="eastAsia"/>
                <w:sz w:val="21"/>
                <w:szCs w:val="21"/>
              </w:rPr>
              <w:t>23081006</w:t>
            </w:r>
          </w:p>
        </w:tc>
        <w:tc>
          <w:tcPr>
            <w:tcW w:w="1392" w:type="dxa"/>
            <w:noWrap/>
            <w:vAlign w:val="center"/>
          </w:tcPr>
          <w:p w14:paraId="36A504FA">
            <w:pPr>
              <w:wordWrap w:val="0"/>
              <w:spacing w:line="240" w:lineRule="auto"/>
              <w:jc w:val="center"/>
              <w:rPr>
                <w:rFonts w:cs="Times New Roman"/>
                <w:kern w:val="0"/>
                <w:sz w:val="21"/>
                <w:szCs w:val="21"/>
                <w14:ligatures w14:val="none"/>
              </w:rPr>
            </w:pPr>
            <w:r>
              <w:rPr>
                <w:rFonts w:hint="eastAsia"/>
                <w:sz w:val="21"/>
                <w:szCs w:val="21"/>
              </w:rPr>
              <w:t>2.00E+01</w:t>
            </w:r>
          </w:p>
        </w:tc>
        <w:tc>
          <w:tcPr>
            <w:tcW w:w="1074" w:type="dxa"/>
            <w:noWrap/>
            <w:vAlign w:val="center"/>
          </w:tcPr>
          <w:p w14:paraId="73BCB7B2">
            <w:pPr>
              <w:wordWrap w:val="0"/>
              <w:spacing w:line="240" w:lineRule="auto"/>
              <w:jc w:val="center"/>
              <w:rPr>
                <w:rFonts w:cs="Times New Roman"/>
                <w:kern w:val="0"/>
                <w:sz w:val="21"/>
                <w:szCs w:val="21"/>
                <w14:ligatures w14:val="none"/>
              </w:rPr>
            </w:pPr>
            <w:r>
              <w:rPr>
                <w:rFonts w:hint="eastAsia"/>
                <w:sz w:val="21"/>
                <w:szCs w:val="21"/>
              </w:rPr>
              <w:t>3.39</w:t>
            </w:r>
          </w:p>
        </w:tc>
        <w:tc>
          <w:tcPr>
            <w:tcW w:w="1074" w:type="dxa"/>
            <w:noWrap/>
            <w:vAlign w:val="center"/>
          </w:tcPr>
          <w:p w14:paraId="29E00F71">
            <w:pPr>
              <w:wordWrap w:val="0"/>
              <w:spacing w:line="240" w:lineRule="auto"/>
              <w:jc w:val="center"/>
              <w:rPr>
                <w:rFonts w:cs="Times New Roman"/>
                <w:kern w:val="0"/>
                <w:sz w:val="21"/>
                <w:szCs w:val="21"/>
                <w14:ligatures w14:val="none"/>
              </w:rPr>
            </w:pPr>
            <w:r>
              <w:rPr>
                <w:rFonts w:hint="eastAsia"/>
                <w:sz w:val="21"/>
                <w:szCs w:val="21"/>
              </w:rPr>
              <w:t>达标</w:t>
            </w:r>
          </w:p>
        </w:tc>
      </w:tr>
      <w:tr w14:paraId="65B3D3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62" w:type="dxa"/>
            <w:vAlign w:val="center"/>
          </w:tcPr>
          <w:p w14:paraId="5B3CC7B1">
            <w:pPr>
              <w:wordWrap w:val="0"/>
              <w:spacing w:line="240" w:lineRule="auto"/>
              <w:jc w:val="center"/>
              <w:rPr>
                <w:rFonts w:cs="Times New Roman"/>
                <w:kern w:val="0"/>
                <w:sz w:val="21"/>
                <w:szCs w:val="21"/>
                <w14:ligatures w14:val="none"/>
              </w:rPr>
            </w:pPr>
            <w:r>
              <w:rPr>
                <w:rFonts w:hint="eastAsia"/>
                <w:kern w:val="0"/>
                <w:sz w:val="21"/>
                <w:szCs w:val="21"/>
                <w14:ligatures w14:val="none"/>
              </w:rPr>
              <w:t>7</w:t>
            </w:r>
          </w:p>
        </w:tc>
        <w:tc>
          <w:tcPr>
            <w:tcW w:w="1276" w:type="dxa"/>
            <w:noWrap/>
            <w:vAlign w:val="center"/>
          </w:tcPr>
          <w:p w14:paraId="45C5BABA">
            <w:pPr>
              <w:wordWrap w:val="0"/>
              <w:spacing w:line="240" w:lineRule="auto"/>
              <w:jc w:val="center"/>
              <w:rPr>
                <w:rFonts w:cs="Times New Roman"/>
                <w:kern w:val="0"/>
                <w:sz w:val="21"/>
                <w:szCs w:val="21"/>
                <w14:ligatures w14:val="none"/>
              </w:rPr>
            </w:pPr>
            <w:r>
              <w:rPr>
                <w:rFonts w:hint="eastAsia"/>
                <w:sz w:val="21"/>
                <w:szCs w:val="21"/>
              </w:rPr>
              <w:t>夏家湖</w:t>
            </w:r>
          </w:p>
        </w:tc>
        <w:tc>
          <w:tcPr>
            <w:tcW w:w="1134" w:type="dxa"/>
            <w:noWrap/>
            <w:vAlign w:val="center"/>
          </w:tcPr>
          <w:p w14:paraId="4D993ADA">
            <w:pPr>
              <w:wordWrap w:val="0"/>
              <w:spacing w:line="240" w:lineRule="auto"/>
              <w:jc w:val="center"/>
              <w:rPr>
                <w:rFonts w:cs="Times New Roman"/>
                <w:kern w:val="0"/>
                <w:sz w:val="21"/>
                <w:szCs w:val="21"/>
                <w14:ligatures w14:val="none"/>
              </w:rPr>
            </w:pPr>
            <w:r>
              <w:rPr>
                <w:rFonts w:hint="eastAsia"/>
                <w:sz w:val="21"/>
                <w:szCs w:val="21"/>
              </w:rPr>
              <w:t>小时值</w:t>
            </w:r>
          </w:p>
        </w:tc>
        <w:tc>
          <w:tcPr>
            <w:tcW w:w="1141" w:type="dxa"/>
            <w:noWrap/>
            <w:vAlign w:val="center"/>
          </w:tcPr>
          <w:p w14:paraId="0A738967">
            <w:pPr>
              <w:wordWrap w:val="0"/>
              <w:spacing w:line="240" w:lineRule="auto"/>
              <w:jc w:val="center"/>
              <w:rPr>
                <w:rFonts w:cs="Times New Roman"/>
                <w:kern w:val="0"/>
                <w:sz w:val="21"/>
                <w:szCs w:val="21"/>
                <w14:ligatures w14:val="none"/>
              </w:rPr>
            </w:pPr>
            <w:r>
              <w:rPr>
                <w:rFonts w:hint="eastAsia"/>
                <w:sz w:val="21"/>
                <w:szCs w:val="21"/>
              </w:rPr>
              <w:t>8.12E-01</w:t>
            </w:r>
          </w:p>
        </w:tc>
        <w:tc>
          <w:tcPr>
            <w:tcW w:w="1407" w:type="dxa"/>
            <w:noWrap/>
            <w:vAlign w:val="center"/>
          </w:tcPr>
          <w:p w14:paraId="0D6ADD7B">
            <w:pPr>
              <w:wordWrap w:val="0"/>
              <w:spacing w:line="240" w:lineRule="auto"/>
              <w:jc w:val="center"/>
              <w:rPr>
                <w:rFonts w:cs="Times New Roman"/>
                <w:kern w:val="0"/>
                <w:sz w:val="21"/>
                <w:szCs w:val="21"/>
                <w14:ligatures w14:val="none"/>
              </w:rPr>
            </w:pPr>
            <w:r>
              <w:rPr>
                <w:rFonts w:hint="eastAsia"/>
                <w:sz w:val="21"/>
                <w:szCs w:val="21"/>
              </w:rPr>
              <w:t>23101324</w:t>
            </w:r>
          </w:p>
        </w:tc>
        <w:tc>
          <w:tcPr>
            <w:tcW w:w="1392" w:type="dxa"/>
            <w:noWrap/>
            <w:vAlign w:val="center"/>
          </w:tcPr>
          <w:p w14:paraId="57BF7FD7">
            <w:pPr>
              <w:wordWrap w:val="0"/>
              <w:spacing w:line="240" w:lineRule="auto"/>
              <w:jc w:val="center"/>
              <w:rPr>
                <w:rFonts w:cs="Times New Roman"/>
                <w:kern w:val="0"/>
                <w:sz w:val="21"/>
                <w:szCs w:val="21"/>
                <w14:ligatures w14:val="none"/>
              </w:rPr>
            </w:pPr>
            <w:r>
              <w:rPr>
                <w:rFonts w:hint="eastAsia"/>
                <w:sz w:val="21"/>
                <w:szCs w:val="21"/>
              </w:rPr>
              <w:t>2.00E+01</w:t>
            </w:r>
          </w:p>
        </w:tc>
        <w:tc>
          <w:tcPr>
            <w:tcW w:w="1074" w:type="dxa"/>
            <w:noWrap/>
            <w:vAlign w:val="center"/>
          </w:tcPr>
          <w:p w14:paraId="689831DF">
            <w:pPr>
              <w:wordWrap w:val="0"/>
              <w:spacing w:line="240" w:lineRule="auto"/>
              <w:jc w:val="center"/>
              <w:rPr>
                <w:rFonts w:cs="Times New Roman"/>
                <w:kern w:val="0"/>
                <w:sz w:val="21"/>
                <w:szCs w:val="21"/>
                <w14:ligatures w14:val="none"/>
              </w:rPr>
            </w:pPr>
            <w:r>
              <w:rPr>
                <w:rFonts w:hint="eastAsia"/>
                <w:sz w:val="21"/>
                <w:szCs w:val="21"/>
              </w:rPr>
              <w:t>4.06</w:t>
            </w:r>
          </w:p>
        </w:tc>
        <w:tc>
          <w:tcPr>
            <w:tcW w:w="1074" w:type="dxa"/>
            <w:noWrap/>
            <w:vAlign w:val="center"/>
          </w:tcPr>
          <w:p w14:paraId="31BE1EE4">
            <w:pPr>
              <w:wordWrap w:val="0"/>
              <w:spacing w:line="240" w:lineRule="auto"/>
              <w:jc w:val="center"/>
              <w:rPr>
                <w:rFonts w:cs="Times New Roman"/>
                <w:kern w:val="0"/>
                <w:sz w:val="21"/>
                <w:szCs w:val="21"/>
                <w14:ligatures w14:val="none"/>
              </w:rPr>
            </w:pPr>
            <w:r>
              <w:rPr>
                <w:rFonts w:hint="eastAsia"/>
                <w:sz w:val="21"/>
                <w:szCs w:val="21"/>
              </w:rPr>
              <w:t>达标</w:t>
            </w:r>
          </w:p>
        </w:tc>
      </w:tr>
      <w:tr w14:paraId="0B474D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62" w:type="dxa"/>
            <w:vAlign w:val="center"/>
          </w:tcPr>
          <w:p w14:paraId="3EC07C04">
            <w:pPr>
              <w:wordWrap w:val="0"/>
              <w:spacing w:line="240" w:lineRule="auto"/>
              <w:jc w:val="center"/>
              <w:rPr>
                <w:rFonts w:cs="Times New Roman"/>
                <w:kern w:val="0"/>
                <w:sz w:val="21"/>
                <w:szCs w:val="21"/>
                <w14:ligatures w14:val="none"/>
              </w:rPr>
            </w:pPr>
            <w:r>
              <w:rPr>
                <w:rFonts w:hint="eastAsia"/>
                <w:kern w:val="0"/>
                <w:sz w:val="21"/>
                <w:szCs w:val="21"/>
                <w14:ligatures w14:val="none"/>
              </w:rPr>
              <w:t>8</w:t>
            </w:r>
          </w:p>
        </w:tc>
        <w:tc>
          <w:tcPr>
            <w:tcW w:w="1276" w:type="dxa"/>
            <w:noWrap/>
            <w:vAlign w:val="center"/>
          </w:tcPr>
          <w:p w14:paraId="79626823">
            <w:pPr>
              <w:wordWrap w:val="0"/>
              <w:spacing w:line="240" w:lineRule="auto"/>
              <w:jc w:val="center"/>
              <w:rPr>
                <w:rFonts w:cs="Times New Roman"/>
                <w:kern w:val="0"/>
                <w:sz w:val="21"/>
                <w:szCs w:val="21"/>
                <w14:ligatures w14:val="none"/>
              </w:rPr>
            </w:pPr>
            <w:r>
              <w:rPr>
                <w:rFonts w:hint="eastAsia"/>
                <w:sz w:val="21"/>
                <w:szCs w:val="21"/>
              </w:rPr>
              <w:t>二铺</w:t>
            </w:r>
          </w:p>
        </w:tc>
        <w:tc>
          <w:tcPr>
            <w:tcW w:w="1134" w:type="dxa"/>
            <w:noWrap/>
            <w:vAlign w:val="center"/>
          </w:tcPr>
          <w:p w14:paraId="4F41F9E1">
            <w:pPr>
              <w:wordWrap w:val="0"/>
              <w:spacing w:line="240" w:lineRule="auto"/>
              <w:jc w:val="center"/>
              <w:rPr>
                <w:rFonts w:cs="Times New Roman"/>
                <w:kern w:val="0"/>
                <w:sz w:val="21"/>
                <w:szCs w:val="21"/>
                <w14:ligatures w14:val="none"/>
              </w:rPr>
            </w:pPr>
            <w:r>
              <w:rPr>
                <w:rFonts w:hint="eastAsia"/>
                <w:sz w:val="21"/>
                <w:szCs w:val="21"/>
              </w:rPr>
              <w:t>小时值</w:t>
            </w:r>
          </w:p>
        </w:tc>
        <w:tc>
          <w:tcPr>
            <w:tcW w:w="1141" w:type="dxa"/>
            <w:noWrap/>
            <w:vAlign w:val="center"/>
          </w:tcPr>
          <w:p w14:paraId="311C0D9F">
            <w:pPr>
              <w:wordWrap w:val="0"/>
              <w:spacing w:line="240" w:lineRule="auto"/>
              <w:jc w:val="center"/>
              <w:rPr>
                <w:rFonts w:cs="Times New Roman"/>
                <w:kern w:val="0"/>
                <w:sz w:val="21"/>
                <w:szCs w:val="21"/>
                <w14:ligatures w14:val="none"/>
              </w:rPr>
            </w:pPr>
            <w:r>
              <w:rPr>
                <w:rFonts w:hint="eastAsia"/>
                <w:sz w:val="21"/>
                <w:szCs w:val="21"/>
              </w:rPr>
              <w:t>8.09E-01</w:t>
            </w:r>
          </w:p>
        </w:tc>
        <w:tc>
          <w:tcPr>
            <w:tcW w:w="1407" w:type="dxa"/>
            <w:noWrap/>
            <w:vAlign w:val="center"/>
          </w:tcPr>
          <w:p w14:paraId="1C436149">
            <w:pPr>
              <w:wordWrap w:val="0"/>
              <w:spacing w:line="240" w:lineRule="auto"/>
              <w:jc w:val="center"/>
              <w:rPr>
                <w:rFonts w:cs="Times New Roman"/>
                <w:kern w:val="0"/>
                <w:sz w:val="21"/>
                <w:szCs w:val="21"/>
                <w14:ligatures w14:val="none"/>
              </w:rPr>
            </w:pPr>
            <w:r>
              <w:rPr>
                <w:rFonts w:hint="eastAsia"/>
                <w:sz w:val="21"/>
                <w:szCs w:val="21"/>
              </w:rPr>
              <w:t>23042806</w:t>
            </w:r>
          </w:p>
        </w:tc>
        <w:tc>
          <w:tcPr>
            <w:tcW w:w="1392" w:type="dxa"/>
            <w:noWrap/>
            <w:vAlign w:val="center"/>
          </w:tcPr>
          <w:p w14:paraId="5FF7DCCC">
            <w:pPr>
              <w:wordWrap w:val="0"/>
              <w:spacing w:line="240" w:lineRule="auto"/>
              <w:jc w:val="center"/>
              <w:rPr>
                <w:rFonts w:cs="Times New Roman"/>
                <w:kern w:val="0"/>
                <w:sz w:val="21"/>
                <w:szCs w:val="21"/>
                <w14:ligatures w14:val="none"/>
              </w:rPr>
            </w:pPr>
            <w:r>
              <w:rPr>
                <w:rFonts w:hint="eastAsia"/>
                <w:sz w:val="21"/>
                <w:szCs w:val="21"/>
              </w:rPr>
              <w:t>2.00E+01</w:t>
            </w:r>
          </w:p>
        </w:tc>
        <w:tc>
          <w:tcPr>
            <w:tcW w:w="1074" w:type="dxa"/>
            <w:noWrap/>
            <w:vAlign w:val="center"/>
          </w:tcPr>
          <w:p w14:paraId="42DE6F8D">
            <w:pPr>
              <w:wordWrap w:val="0"/>
              <w:spacing w:line="240" w:lineRule="auto"/>
              <w:jc w:val="center"/>
              <w:rPr>
                <w:rFonts w:cs="Times New Roman"/>
                <w:kern w:val="0"/>
                <w:sz w:val="21"/>
                <w:szCs w:val="21"/>
                <w14:ligatures w14:val="none"/>
              </w:rPr>
            </w:pPr>
            <w:r>
              <w:rPr>
                <w:rFonts w:hint="eastAsia"/>
                <w:sz w:val="21"/>
                <w:szCs w:val="21"/>
              </w:rPr>
              <w:t>4.04</w:t>
            </w:r>
          </w:p>
        </w:tc>
        <w:tc>
          <w:tcPr>
            <w:tcW w:w="1074" w:type="dxa"/>
            <w:noWrap/>
            <w:vAlign w:val="center"/>
          </w:tcPr>
          <w:p w14:paraId="6A6A4E36">
            <w:pPr>
              <w:wordWrap w:val="0"/>
              <w:spacing w:line="240" w:lineRule="auto"/>
              <w:jc w:val="center"/>
              <w:rPr>
                <w:rFonts w:cs="Times New Roman"/>
                <w:kern w:val="0"/>
                <w:sz w:val="21"/>
                <w:szCs w:val="21"/>
                <w14:ligatures w14:val="none"/>
              </w:rPr>
            </w:pPr>
            <w:r>
              <w:rPr>
                <w:rFonts w:hint="eastAsia"/>
                <w:sz w:val="21"/>
                <w:szCs w:val="21"/>
              </w:rPr>
              <w:t>达标</w:t>
            </w:r>
          </w:p>
        </w:tc>
      </w:tr>
      <w:tr w14:paraId="023D31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62" w:type="dxa"/>
            <w:vAlign w:val="center"/>
          </w:tcPr>
          <w:p w14:paraId="496A7B38">
            <w:pPr>
              <w:wordWrap w:val="0"/>
              <w:spacing w:line="240" w:lineRule="auto"/>
              <w:jc w:val="center"/>
              <w:rPr>
                <w:rFonts w:cs="Times New Roman"/>
                <w:kern w:val="0"/>
                <w:sz w:val="21"/>
                <w:szCs w:val="21"/>
                <w14:ligatures w14:val="none"/>
              </w:rPr>
            </w:pPr>
            <w:r>
              <w:rPr>
                <w:rFonts w:hint="eastAsia"/>
                <w:kern w:val="0"/>
                <w:sz w:val="21"/>
                <w:szCs w:val="21"/>
                <w14:ligatures w14:val="none"/>
              </w:rPr>
              <w:t>9</w:t>
            </w:r>
          </w:p>
        </w:tc>
        <w:tc>
          <w:tcPr>
            <w:tcW w:w="1276" w:type="dxa"/>
            <w:noWrap/>
            <w:vAlign w:val="center"/>
          </w:tcPr>
          <w:p w14:paraId="1505E252">
            <w:pPr>
              <w:wordWrap w:val="0"/>
              <w:spacing w:line="240" w:lineRule="auto"/>
              <w:jc w:val="center"/>
              <w:rPr>
                <w:rFonts w:cs="Times New Roman"/>
                <w:kern w:val="0"/>
                <w:sz w:val="21"/>
                <w:szCs w:val="21"/>
                <w14:ligatures w14:val="none"/>
              </w:rPr>
            </w:pPr>
            <w:r>
              <w:rPr>
                <w:rFonts w:hint="eastAsia"/>
                <w:sz w:val="21"/>
                <w:szCs w:val="21"/>
              </w:rPr>
              <w:t>于家村</w:t>
            </w:r>
          </w:p>
        </w:tc>
        <w:tc>
          <w:tcPr>
            <w:tcW w:w="1134" w:type="dxa"/>
            <w:noWrap/>
            <w:vAlign w:val="center"/>
          </w:tcPr>
          <w:p w14:paraId="1DC82880">
            <w:pPr>
              <w:wordWrap w:val="0"/>
              <w:spacing w:line="240" w:lineRule="auto"/>
              <w:jc w:val="center"/>
              <w:rPr>
                <w:rFonts w:cs="Times New Roman"/>
                <w:kern w:val="0"/>
                <w:sz w:val="21"/>
                <w:szCs w:val="21"/>
                <w14:ligatures w14:val="none"/>
              </w:rPr>
            </w:pPr>
            <w:r>
              <w:rPr>
                <w:rFonts w:hint="eastAsia"/>
                <w:sz w:val="21"/>
                <w:szCs w:val="21"/>
              </w:rPr>
              <w:t>小时值</w:t>
            </w:r>
          </w:p>
        </w:tc>
        <w:tc>
          <w:tcPr>
            <w:tcW w:w="1141" w:type="dxa"/>
            <w:noWrap/>
            <w:vAlign w:val="center"/>
          </w:tcPr>
          <w:p w14:paraId="22C67FA2">
            <w:pPr>
              <w:wordWrap w:val="0"/>
              <w:spacing w:line="240" w:lineRule="auto"/>
              <w:jc w:val="center"/>
              <w:rPr>
                <w:rFonts w:cs="Times New Roman"/>
                <w:kern w:val="0"/>
                <w:sz w:val="21"/>
                <w:szCs w:val="21"/>
                <w14:ligatures w14:val="none"/>
              </w:rPr>
            </w:pPr>
            <w:r>
              <w:rPr>
                <w:rFonts w:hint="eastAsia"/>
                <w:sz w:val="21"/>
                <w:szCs w:val="21"/>
              </w:rPr>
              <w:t>7.66E-01</w:t>
            </w:r>
          </w:p>
        </w:tc>
        <w:tc>
          <w:tcPr>
            <w:tcW w:w="1407" w:type="dxa"/>
            <w:noWrap/>
            <w:vAlign w:val="center"/>
          </w:tcPr>
          <w:p w14:paraId="341B281E">
            <w:pPr>
              <w:wordWrap w:val="0"/>
              <w:spacing w:line="240" w:lineRule="auto"/>
              <w:jc w:val="center"/>
              <w:rPr>
                <w:rFonts w:cs="Times New Roman"/>
                <w:kern w:val="0"/>
                <w:sz w:val="21"/>
                <w:szCs w:val="21"/>
                <w14:ligatures w14:val="none"/>
              </w:rPr>
            </w:pPr>
            <w:r>
              <w:rPr>
                <w:rFonts w:hint="eastAsia"/>
                <w:sz w:val="21"/>
                <w:szCs w:val="21"/>
              </w:rPr>
              <w:t>23032522</w:t>
            </w:r>
          </w:p>
        </w:tc>
        <w:tc>
          <w:tcPr>
            <w:tcW w:w="1392" w:type="dxa"/>
            <w:noWrap/>
            <w:vAlign w:val="center"/>
          </w:tcPr>
          <w:p w14:paraId="10DEDE91">
            <w:pPr>
              <w:wordWrap w:val="0"/>
              <w:spacing w:line="240" w:lineRule="auto"/>
              <w:jc w:val="center"/>
              <w:rPr>
                <w:rFonts w:cs="Times New Roman"/>
                <w:kern w:val="0"/>
                <w:sz w:val="21"/>
                <w:szCs w:val="21"/>
                <w14:ligatures w14:val="none"/>
              </w:rPr>
            </w:pPr>
            <w:r>
              <w:rPr>
                <w:rFonts w:hint="eastAsia"/>
                <w:sz w:val="21"/>
                <w:szCs w:val="21"/>
              </w:rPr>
              <w:t>2.00E+01</w:t>
            </w:r>
          </w:p>
        </w:tc>
        <w:tc>
          <w:tcPr>
            <w:tcW w:w="1074" w:type="dxa"/>
            <w:noWrap/>
            <w:vAlign w:val="center"/>
          </w:tcPr>
          <w:p w14:paraId="510D2815">
            <w:pPr>
              <w:wordWrap w:val="0"/>
              <w:spacing w:line="240" w:lineRule="auto"/>
              <w:jc w:val="center"/>
              <w:rPr>
                <w:rFonts w:cs="Times New Roman"/>
                <w:kern w:val="0"/>
                <w:sz w:val="21"/>
                <w:szCs w:val="21"/>
                <w14:ligatures w14:val="none"/>
              </w:rPr>
            </w:pPr>
            <w:r>
              <w:rPr>
                <w:rFonts w:hint="eastAsia"/>
                <w:sz w:val="21"/>
                <w:szCs w:val="21"/>
              </w:rPr>
              <w:t>3.83</w:t>
            </w:r>
          </w:p>
        </w:tc>
        <w:tc>
          <w:tcPr>
            <w:tcW w:w="1074" w:type="dxa"/>
            <w:noWrap/>
            <w:vAlign w:val="center"/>
          </w:tcPr>
          <w:p w14:paraId="00C78B71">
            <w:pPr>
              <w:wordWrap w:val="0"/>
              <w:spacing w:line="240" w:lineRule="auto"/>
              <w:jc w:val="center"/>
              <w:rPr>
                <w:rFonts w:cs="Times New Roman"/>
                <w:kern w:val="0"/>
                <w:sz w:val="21"/>
                <w:szCs w:val="21"/>
                <w14:ligatures w14:val="none"/>
              </w:rPr>
            </w:pPr>
            <w:r>
              <w:rPr>
                <w:rFonts w:hint="eastAsia"/>
                <w:sz w:val="21"/>
                <w:szCs w:val="21"/>
              </w:rPr>
              <w:t>达标</w:t>
            </w:r>
          </w:p>
        </w:tc>
      </w:tr>
      <w:tr w14:paraId="4AAA36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62" w:type="dxa"/>
            <w:vAlign w:val="center"/>
          </w:tcPr>
          <w:p w14:paraId="009D6E4E">
            <w:pPr>
              <w:wordWrap w:val="0"/>
              <w:spacing w:line="240" w:lineRule="auto"/>
              <w:jc w:val="center"/>
              <w:rPr>
                <w:rFonts w:cs="Times New Roman"/>
                <w:kern w:val="0"/>
                <w:sz w:val="21"/>
                <w:szCs w:val="21"/>
                <w14:ligatures w14:val="none"/>
              </w:rPr>
            </w:pPr>
            <w:r>
              <w:rPr>
                <w:rFonts w:hint="eastAsia"/>
                <w:kern w:val="0"/>
                <w:sz w:val="21"/>
                <w:szCs w:val="21"/>
                <w14:ligatures w14:val="none"/>
              </w:rPr>
              <w:t>10</w:t>
            </w:r>
          </w:p>
        </w:tc>
        <w:tc>
          <w:tcPr>
            <w:tcW w:w="1276" w:type="dxa"/>
            <w:noWrap/>
            <w:vAlign w:val="center"/>
          </w:tcPr>
          <w:p w14:paraId="329D4731">
            <w:pPr>
              <w:wordWrap w:val="0"/>
              <w:spacing w:line="240" w:lineRule="auto"/>
              <w:jc w:val="center"/>
              <w:rPr>
                <w:rFonts w:cs="Times New Roman"/>
                <w:kern w:val="0"/>
                <w:sz w:val="21"/>
                <w:szCs w:val="21"/>
                <w14:ligatures w14:val="none"/>
              </w:rPr>
            </w:pPr>
            <w:r>
              <w:rPr>
                <w:rFonts w:hint="eastAsia"/>
                <w:sz w:val="21"/>
                <w:szCs w:val="21"/>
              </w:rPr>
              <w:t>陈巷</w:t>
            </w:r>
          </w:p>
        </w:tc>
        <w:tc>
          <w:tcPr>
            <w:tcW w:w="1134" w:type="dxa"/>
            <w:noWrap/>
            <w:vAlign w:val="center"/>
          </w:tcPr>
          <w:p w14:paraId="56C0EB60">
            <w:pPr>
              <w:wordWrap w:val="0"/>
              <w:spacing w:line="240" w:lineRule="auto"/>
              <w:jc w:val="center"/>
              <w:rPr>
                <w:rFonts w:cs="Times New Roman"/>
                <w:kern w:val="0"/>
                <w:sz w:val="21"/>
                <w:szCs w:val="21"/>
                <w14:ligatures w14:val="none"/>
              </w:rPr>
            </w:pPr>
            <w:r>
              <w:rPr>
                <w:rFonts w:hint="eastAsia"/>
                <w:sz w:val="21"/>
                <w:szCs w:val="21"/>
              </w:rPr>
              <w:t>小时值</w:t>
            </w:r>
          </w:p>
        </w:tc>
        <w:tc>
          <w:tcPr>
            <w:tcW w:w="1141" w:type="dxa"/>
            <w:noWrap/>
            <w:vAlign w:val="center"/>
          </w:tcPr>
          <w:p w14:paraId="4212AF88">
            <w:pPr>
              <w:wordWrap w:val="0"/>
              <w:spacing w:line="240" w:lineRule="auto"/>
              <w:jc w:val="center"/>
              <w:rPr>
                <w:rFonts w:cs="Times New Roman"/>
                <w:kern w:val="0"/>
                <w:sz w:val="21"/>
                <w:szCs w:val="21"/>
                <w14:ligatures w14:val="none"/>
              </w:rPr>
            </w:pPr>
            <w:r>
              <w:rPr>
                <w:rFonts w:hint="eastAsia"/>
                <w:sz w:val="21"/>
                <w:szCs w:val="21"/>
              </w:rPr>
              <w:t>5.71E-01</w:t>
            </w:r>
          </w:p>
        </w:tc>
        <w:tc>
          <w:tcPr>
            <w:tcW w:w="1407" w:type="dxa"/>
            <w:noWrap/>
            <w:vAlign w:val="center"/>
          </w:tcPr>
          <w:p w14:paraId="61E4DAE8">
            <w:pPr>
              <w:wordWrap w:val="0"/>
              <w:spacing w:line="240" w:lineRule="auto"/>
              <w:jc w:val="center"/>
              <w:rPr>
                <w:rFonts w:cs="Times New Roman"/>
                <w:kern w:val="0"/>
                <w:sz w:val="21"/>
                <w:szCs w:val="21"/>
                <w14:ligatures w14:val="none"/>
              </w:rPr>
            </w:pPr>
            <w:r>
              <w:rPr>
                <w:rFonts w:hint="eastAsia"/>
                <w:sz w:val="21"/>
                <w:szCs w:val="21"/>
              </w:rPr>
              <w:t>23052804</w:t>
            </w:r>
          </w:p>
        </w:tc>
        <w:tc>
          <w:tcPr>
            <w:tcW w:w="1392" w:type="dxa"/>
            <w:noWrap/>
            <w:vAlign w:val="center"/>
          </w:tcPr>
          <w:p w14:paraId="23AEE2B4">
            <w:pPr>
              <w:wordWrap w:val="0"/>
              <w:spacing w:line="240" w:lineRule="auto"/>
              <w:jc w:val="center"/>
              <w:rPr>
                <w:rFonts w:cs="Times New Roman"/>
                <w:kern w:val="0"/>
                <w:sz w:val="21"/>
                <w:szCs w:val="21"/>
                <w14:ligatures w14:val="none"/>
              </w:rPr>
            </w:pPr>
            <w:r>
              <w:rPr>
                <w:rFonts w:hint="eastAsia"/>
                <w:sz w:val="21"/>
                <w:szCs w:val="21"/>
              </w:rPr>
              <w:t>2.00E+01</w:t>
            </w:r>
          </w:p>
        </w:tc>
        <w:tc>
          <w:tcPr>
            <w:tcW w:w="1074" w:type="dxa"/>
            <w:noWrap/>
            <w:vAlign w:val="center"/>
          </w:tcPr>
          <w:p w14:paraId="073BE6DD">
            <w:pPr>
              <w:wordWrap w:val="0"/>
              <w:spacing w:line="240" w:lineRule="auto"/>
              <w:jc w:val="center"/>
              <w:rPr>
                <w:rFonts w:cs="Times New Roman"/>
                <w:kern w:val="0"/>
                <w:sz w:val="21"/>
                <w:szCs w:val="21"/>
                <w14:ligatures w14:val="none"/>
              </w:rPr>
            </w:pPr>
            <w:r>
              <w:rPr>
                <w:rFonts w:hint="eastAsia"/>
                <w:sz w:val="21"/>
                <w:szCs w:val="21"/>
              </w:rPr>
              <w:t>2.85</w:t>
            </w:r>
          </w:p>
        </w:tc>
        <w:tc>
          <w:tcPr>
            <w:tcW w:w="1074" w:type="dxa"/>
            <w:noWrap/>
            <w:vAlign w:val="center"/>
          </w:tcPr>
          <w:p w14:paraId="20146D1A">
            <w:pPr>
              <w:wordWrap w:val="0"/>
              <w:spacing w:line="240" w:lineRule="auto"/>
              <w:jc w:val="center"/>
              <w:rPr>
                <w:rFonts w:cs="Times New Roman"/>
                <w:kern w:val="0"/>
                <w:sz w:val="21"/>
                <w:szCs w:val="21"/>
                <w14:ligatures w14:val="none"/>
              </w:rPr>
            </w:pPr>
            <w:r>
              <w:rPr>
                <w:rFonts w:hint="eastAsia"/>
                <w:sz w:val="21"/>
                <w:szCs w:val="21"/>
              </w:rPr>
              <w:t>达标</w:t>
            </w:r>
          </w:p>
        </w:tc>
      </w:tr>
      <w:tr w14:paraId="461CC8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62" w:type="dxa"/>
            <w:vAlign w:val="center"/>
          </w:tcPr>
          <w:p w14:paraId="7EF95484">
            <w:pPr>
              <w:wordWrap w:val="0"/>
              <w:spacing w:line="240" w:lineRule="auto"/>
              <w:jc w:val="center"/>
              <w:rPr>
                <w:rFonts w:cs="Times New Roman"/>
                <w:kern w:val="0"/>
                <w:sz w:val="21"/>
                <w:szCs w:val="21"/>
                <w14:ligatures w14:val="none"/>
              </w:rPr>
            </w:pPr>
            <w:r>
              <w:rPr>
                <w:rFonts w:hint="eastAsia"/>
                <w:kern w:val="0"/>
                <w:sz w:val="21"/>
                <w:szCs w:val="21"/>
                <w14:ligatures w14:val="none"/>
              </w:rPr>
              <w:t>11</w:t>
            </w:r>
          </w:p>
        </w:tc>
        <w:tc>
          <w:tcPr>
            <w:tcW w:w="1276" w:type="dxa"/>
            <w:noWrap/>
            <w:vAlign w:val="center"/>
          </w:tcPr>
          <w:p w14:paraId="3E2C3680">
            <w:pPr>
              <w:wordWrap w:val="0"/>
              <w:spacing w:line="240" w:lineRule="auto"/>
              <w:jc w:val="center"/>
              <w:rPr>
                <w:rFonts w:cs="Times New Roman"/>
                <w:kern w:val="0"/>
                <w:sz w:val="21"/>
                <w:szCs w:val="21"/>
                <w14:ligatures w14:val="none"/>
              </w:rPr>
            </w:pPr>
            <w:r>
              <w:rPr>
                <w:rFonts w:hint="eastAsia"/>
                <w:sz w:val="21"/>
                <w:szCs w:val="21"/>
              </w:rPr>
              <w:t>网格</w:t>
            </w:r>
          </w:p>
        </w:tc>
        <w:tc>
          <w:tcPr>
            <w:tcW w:w="1134" w:type="dxa"/>
            <w:noWrap/>
            <w:vAlign w:val="center"/>
          </w:tcPr>
          <w:p w14:paraId="4133B1BA">
            <w:pPr>
              <w:wordWrap w:val="0"/>
              <w:spacing w:line="240" w:lineRule="auto"/>
              <w:jc w:val="center"/>
              <w:rPr>
                <w:rFonts w:cs="Times New Roman"/>
                <w:kern w:val="0"/>
                <w:sz w:val="21"/>
                <w:szCs w:val="21"/>
                <w14:ligatures w14:val="none"/>
              </w:rPr>
            </w:pPr>
            <w:r>
              <w:rPr>
                <w:rFonts w:hint="eastAsia"/>
                <w:sz w:val="21"/>
                <w:szCs w:val="21"/>
              </w:rPr>
              <w:t>小时值</w:t>
            </w:r>
          </w:p>
        </w:tc>
        <w:tc>
          <w:tcPr>
            <w:tcW w:w="1141" w:type="dxa"/>
            <w:noWrap/>
            <w:vAlign w:val="center"/>
          </w:tcPr>
          <w:p w14:paraId="7736159E">
            <w:pPr>
              <w:wordWrap w:val="0"/>
              <w:spacing w:line="240" w:lineRule="auto"/>
              <w:jc w:val="center"/>
              <w:rPr>
                <w:rFonts w:cs="Times New Roman"/>
                <w:kern w:val="0"/>
                <w:sz w:val="21"/>
                <w:szCs w:val="21"/>
                <w14:ligatures w14:val="none"/>
              </w:rPr>
            </w:pPr>
            <w:r>
              <w:rPr>
                <w:rFonts w:hint="eastAsia"/>
                <w:sz w:val="21"/>
                <w:szCs w:val="21"/>
              </w:rPr>
              <w:t>3.49E+00</w:t>
            </w:r>
          </w:p>
        </w:tc>
        <w:tc>
          <w:tcPr>
            <w:tcW w:w="1407" w:type="dxa"/>
            <w:noWrap/>
            <w:vAlign w:val="center"/>
          </w:tcPr>
          <w:p w14:paraId="70E84190">
            <w:pPr>
              <w:wordWrap w:val="0"/>
              <w:spacing w:line="240" w:lineRule="auto"/>
              <w:jc w:val="center"/>
              <w:rPr>
                <w:rFonts w:cs="Times New Roman"/>
                <w:kern w:val="0"/>
                <w:sz w:val="21"/>
                <w:szCs w:val="21"/>
                <w14:ligatures w14:val="none"/>
              </w:rPr>
            </w:pPr>
            <w:r>
              <w:rPr>
                <w:rFonts w:hint="eastAsia"/>
                <w:sz w:val="21"/>
                <w:szCs w:val="21"/>
              </w:rPr>
              <w:t>23100706</w:t>
            </w:r>
          </w:p>
        </w:tc>
        <w:tc>
          <w:tcPr>
            <w:tcW w:w="1392" w:type="dxa"/>
            <w:noWrap/>
            <w:vAlign w:val="center"/>
          </w:tcPr>
          <w:p w14:paraId="19281233">
            <w:pPr>
              <w:wordWrap w:val="0"/>
              <w:spacing w:line="240" w:lineRule="auto"/>
              <w:jc w:val="center"/>
              <w:rPr>
                <w:rFonts w:cs="Times New Roman"/>
                <w:kern w:val="0"/>
                <w:sz w:val="21"/>
                <w:szCs w:val="21"/>
                <w14:ligatures w14:val="none"/>
              </w:rPr>
            </w:pPr>
            <w:r>
              <w:rPr>
                <w:rFonts w:hint="eastAsia"/>
                <w:sz w:val="21"/>
                <w:szCs w:val="21"/>
              </w:rPr>
              <w:t>2.00E+01</w:t>
            </w:r>
          </w:p>
        </w:tc>
        <w:tc>
          <w:tcPr>
            <w:tcW w:w="1074" w:type="dxa"/>
            <w:noWrap/>
            <w:vAlign w:val="center"/>
          </w:tcPr>
          <w:p w14:paraId="314EDCC2">
            <w:pPr>
              <w:wordWrap w:val="0"/>
              <w:spacing w:line="240" w:lineRule="auto"/>
              <w:jc w:val="center"/>
              <w:rPr>
                <w:rFonts w:cs="Times New Roman"/>
                <w:kern w:val="0"/>
                <w:sz w:val="21"/>
                <w:szCs w:val="21"/>
                <w14:ligatures w14:val="none"/>
              </w:rPr>
            </w:pPr>
            <w:r>
              <w:rPr>
                <w:rFonts w:hint="eastAsia"/>
                <w:sz w:val="21"/>
                <w:szCs w:val="21"/>
              </w:rPr>
              <w:t>17.44</w:t>
            </w:r>
          </w:p>
        </w:tc>
        <w:tc>
          <w:tcPr>
            <w:tcW w:w="1074" w:type="dxa"/>
            <w:noWrap/>
            <w:vAlign w:val="center"/>
          </w:tcPr>
          <w:p w14:paraId="3977DB17">
            <w:pPr>
              <w:wordWrap w:val="0"/>
              <w:spacing w:line="240" w:lineRule="auto"/>
              <w:jc w:val="center"/>
              <w:rPr>
                <w:rFonts w:cs="Times New Roman"/>
                <w:kern w:val="0"/>
                <w:sz w:val="21"/>
                <w:szCs w:val="21"/>
                <w14:ligatures w14:val="none"/>
              </w:rPr>
            </w:pPr>
            <w:r>
              <w:rPr>
                <w:rFonts w:hint="eastAsia"/>
                <w:sz w:val="21"/>
                <w:szCs w:val="21"/>
              </w:rPr>
              <w:t>达标</w:t>
            </w:r>
          </w:p>
        </w:tc>
      </w:tr>
    </w:tbl>
    <w:p w14:paraId="593D7F6D">
      <w:pPr>
        <w:ind w:firstLine="480" w:firstLineChars="200"/>
      </w:pPr>
    </w:p>
    <w:p w14:paraId="274E54B0">
      <w:pPr>
        <w:ind w:firstLine="480" w:firstLineChars="200"/>
      </w:pPr>
      <w:r>
        <w:rPr>
          <w:rFonts w:hint="eastAsia"/>
        </w:rPr>
        <w:t>(3)硫酸雾</w:t>
      </w:r>
    </w:p>
    <w:p w14:paraId="0313A07C">
      <w:pPr>
        <w:pStyle w:val="82"/>
        <w:ind w:firstLine="480"/>
        <w:jc w:val="both"/>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预测结果表明，敏感点硫酸雾的1小时平均和日均浓度贡献值均能达到《环境影响评价技术导则 大气环境》(HJ2.2-2018)附录D参考标准值要求；区域最大地面浓度点贡献值均能达到《环境影响评价技术导则 大气环境》(HJ2.2-2018)附录D参考标准值要求。</w:t>
      </w:r>
    </w:p>
    <w:p w14:paraId="23005F89">
      <w:pPr>
        <w:pStyle w:val="28"/>
        <w:rPr>
          <w:rFonts w:hint="eastAsia"/>
          <w:szCs w:val="22"/>
        </w:rPr>
      </w:pPr>
      <w:r>
        <w:rPr>
          <w:szCs w:val="22"/>
        </w:rPr>
        <w:t>表</w:t>
      </w:r>
      <w:r>
        <w:rPr>
          <w:rFonts w:hint="eastAsia"/>
          <w:szCs w:val="22"/>
        </w:rPr>
        <w:t xml:space="preserve">6.2-17 </w:t>
      </w:r>
      <w:r>
        <w:rPr>
          <w:szCs w:val="22"/>
        </w:rPr>
        <w:t xml:space="preserve"> </w:t>
      </w:r>
      <w:r>
        <w:rPr>
          <w:rFonts w:hint="eastAsia"/>
        </w:rPr>
        <w:t>硫酸雾贡献质量浓度预测结果</w:t>
      </w:r>
    </w:p>
    <w:tbl>
      <w:tblPr>
        <w:tblStyle w:val="3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70"/>
        <w:gridCol w:w="1230"/>
        <w:gridCol w:w="1080"/>
        <w:gridCol w:w="1960"/>
        <w:gridCol w:w="1080"/>
        <w:gridCol w:w="1080"/>
        <w:gridCol w:w="1080"/>
        <w:gridCol w:w="1080"/>
      </w:tblGrid>
      <w:tr w14:paraId="706774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470" w:type="dxa"/>
            <w:vAlign w:val="center"/>
          </w:tcPr>
          <w:p w14:paraId="605DBDDF">
            <w:pPr>
              <w:wordWrap w:val="0"/>
              <w:spacing w:line="240" w:lineRule="auto"/>
              <w:jc w:val="center"/>
              <w:rPr>
                <w:rFonts w:cs="Times New Roman"/>
                <w:kern w:val="0"/>
                <w:sz w:val="21"/>
                <w:szCs w:val="21"/>
                <w14:ligatures w14:val="none"/>
              </w:rPr>
            </w:pPr>
            <w:r>
              <w:rPr>
                <w:rFonts w:hint="eastAsia" w:cs="Times New Roman"/>
                <w:kern w:val="0"/>
                <w:sz w:val="21"/>
                <w:szCs w:val="21"/>
                <w14:ligatures w14:val="none"/>
              </w:rPr>
              <w:t>序号</w:t>
            </w:r>
          </w:p>
        </w:tc>
        <w:tc>
          <w:tcPr>
            <w:tcW w:w="1230" w:type="dxa"/>
            <w:noWrap/>
            <w:vAlign w:val="center"/>
          </w:tcPr>
          <w:p w14:paraId="074A0036">
            <w:pPr>
              <w:wordWrap w:val="0"/>
              <w:spacing w:line="240" w:lineRule="auto"/>
              <w:jc w:val="center"/>
              <w:rPr>
                <w:rFonts w:cs="Times New Roman"/>
                <w:kern w:val="0"/>
                <w:sz w:val="21"/>
                <w:szCs w:val="21"/>
                <w14:ligatures w14:val="none"/>
              </w:rPr>
            </w:pPr>
            <w:r>
              <w:rPr>
                <w:rFonts w:hint="eastAsia" w:cs="Times New Roman"/>
                <w:kern w:val="0"/>
                <w:sz w:val="21"/>
                <w:szCs w:val="21"/>
                <w14:ligatures w14:val="none"/>
              </w:rPr>
              <w:t>点名称</w:t>
            </w:r>
          </w:p>
        </w:tc>
        <w:tc>
          <w:tcPr>
            <w:tcW w:w="1080" w:type="dxa"/>
            <w:noWrap/>
            <w:vAlign w:val="center"/>
          </w:tcPr>
          <w:p w14:paraId="3CF6D62F">
            <w:pPr>
              <w:wordWrap w:val="0"/>
              <w:spacing w:line="240" w:lineRule="auto"/>
              <w:jc w:val="center"/>
              <w:rPr>
                <w:rFonts w:cs="Times New Roman"/>
                <w:kern w:val="0"/>
                <w:sz w:val="21"/>
                <w:szCs w:val="21"/>
                <w14:ligatures w14:val="none"/>
              </w:rPr>
            </w:pPr>
            <w:r>
              <w:rPr>
                <w:rFonts w:cs="Times New Roman"/>
                <w:kern w:val="0"/>
                <w:sz w:val="21"/>
                <w:szCs w:val="21"/>
                <w14:ligatures w14:val="none"/>
              </w:rPr>
              <w:t>浓度类型</w:t>
            </w:r>
          </w:p>
        </w:tc>
        <w:tc>
          <w:tcPr>
            <w:tcW w:w="1960" w:type="dxa"/>
            <w:noWrap/>
            <w:vAlign w:val="center"/>
          </w:tcPr>
          <w:p w14:paraId="64839640">
            <w:pPr>
              <w:wordWrap w:val="0"/>
              <w:spacing w:line="240" w:lineRule="auto"/>
              <w:jc w:val="center"/>
              <w:rPr>
                <w:rFonts w:cs="Times New Roman"/>
                <w:kern w:val="0"/>
                <w:sz w:val="21"/>
                <w:szCs w:val="21"/>
                <w14:ligatures w14:val="none"/>
              </w:rPr>
            </w:pPr>
            <w:r>
              <w:rPr>
                <w:rFonts w:cs="Times New Roman"/>
                <w:kern w:val="0"/>
                <w:sz w:val="21"/>
                <w:szCs w:val="21"/>
                <w14:ligatures w14:val="none"/>
              </w:rPr>
              <w:t>浓度增量(μg/m</w:t>
            </w:r>
            <w:r>
              <w:rPr>
                <w:rFonts w:cs="Times New Roman"/>
                <w:kern w:val="0"/>
                <w:sz w:val="21"/>
                <w:szCs w:val="21"/>
                <w:vertAlign w:val="superscript"/>
                <w14:ligatures w14:val="none"/>
              </w:rPr>
              <w:t>3</w:t>
            </w:r>
            <w:r>
              <w:rPr>
                <w:rFonts w:cs="Times New Roman"/>
                <w:kern w:val="0"/>
                <w:sz w:val="21"/>
                <w:szCs w:val="21"/>
                <w14:ligatures w14:val="none"/>
              </w:rPr>
              <w:t>)</w:t>
            </w:r>
          </w:p>
        </w:tc>
        <w:tc>
          <w:tcPr>
            <w:tcW w:w="1080" w:type="dxa"/>
            <w:noWrap/>
            <w:vAlign w:val="center"/>
          </w:tcPr>
          <w:p w14:paraId="2727F28A">
            <w:pPr>
              <w:wordWrap w:val="0"/>
              <w:spacing w:line="240" w:lineRule="auto"/>
              <w:jc w:val="center"/>
              <w:rPr>
                <w:rFonts w:cs="Times New Roman"/>
                <w:kern w:val="0"/>
                <w:sz w:val="21"/>
                <w:szCs w:val="21"/>
                <w14:ligatures w14:val="none"/>
              </w:rPr>
            </w:pPr>
            <w:r>
              <w:rPr>
                <w:rFonts w:cs="Times New Roman"/>
                <w:kern w:val="0"/>
                <w:sz w:val="21"/>
                <w:szCs w:val="21"/>
                <w14:ligatures w14:val="none"/>
              </w:rPr>
              <w:t>出现时间</w:t>
            </w:r>
          </w:p>
        </w:tc>
        <w:tc>
          <w:tcPr>
            <w:tcW w:w="1080" w:type="dxa"/>
            <w:noWrap/>
            <w:vAlign w:val="center"/>
          </w:tcPr>
          <w:p w14:paraId="42905114">
            <w:pPr>
              <w:wordWrap w:val="0"/>
              <w:spacing w:line="240" w:lineRule="auto"/>
              <w:jc w:val="center"/>
              <w:rPr>
                <w:rFonts w:cs="Times New Roman"/>
                <w:kern w:val="0"/>
                <w:sz w:val="21"/>
                <w:szCs w:val="21"/>
                <w14:ligatures w14:val="none"/>
              </w:rPr>
            </w:pPr>
            <w:r>
              <w:rPr>
                <w:rFonts w:cs="Times New Roman"/>
                <w:kern w:val="0"/>
                <w:sz w:val="21"/>
                <w:szCs w:val="21"/>
                <w14:ligatures w14:val="none"/>
              </w:rPr>
              <w:t>评价标准(μg/m</w:t>
            </w:r>
            <w:r>
              <w:rPr>
                <w:rFonts w:cs="Times New Roman"/>
                <w:kern w:val="0"/>
                <w:sz w:val="21"/>
                <w:szCs w:val="21"/>
                <w:vertAlign w:val="superscript"/>
                <w14:ligatures w14:val="none"/>
              </w:rPr>
              <w:t>3</w:t>
            </w:r>
            <w:r>
              <w:rPr>
                <w:rFonts w:cs="Times New Roman"/>
                <w:kern w:val="0"/>
                <w:sz w:val="21"/>
                <w:szCs w:val="21"/>
                <w14:ligatures w14:val="none"/>
              </w:rPr>
              <w:t>)</w:t>
            </w:r>
          </w:p>
        </w:tc>
        <w:tc>
          <w:tcPr>
            <w:tcW w:w="1080" w:type="dxa"/>
            <w:noWrap/>
            <w:vAlign w:val="center"/>
          </w:tcPr>
          <w:p w14:paraId="358347E7">
            <w:pPr>
              <w:wordWrap w:val="0"/>
              <w:spacing w:line="240" w:lineRule="auto"/>
              <w:jc w:val="center"/>
              <w:rPr>
                <w:rFonts w:cs="Times New Roman"/>
                <w:kern w:val="0"/>
                <w:sz w:val="21"/>
                <w:szCs w:val="21"/>
                <w14:ligatures w14:val="none"/>
              </w:rPr>
            </w:pPr>
            <w:r>
              <w:rPr>
                <w:rFonts w:cs="Times New Roman"/>
                <w:kern w:val="0"/>
                <w:sz w:val="21"/>
                <w:szCs w:val="21"/>
                <w14:ligatures w14:val="none"/>
              </w:rPr>
              <w:t>占标率%</w:t>
            </w:r>
          </w:p>
        </w:tc>
        <w:tc>
          <w:tcPr>
            <w:tcW w:w="1080" w:type="dxa"/>
            <w:noWrap/>
            <w:vAlign w:val="center"/>
          </w:tcPr>
          <w:p w14:paraId="086A4861">
            <w:pPr>
              <w:wordWrap w:val="0"/>
              <w:spacing w:line="240" w:lineRule="auto"/>
              <w:jc w:val="center"/>
              <w:rPr>
                <w:rFonts w:cs="Times New Roman"/>
                <w:kern w:val="0"/>
                <w:sz w:val="21"/>
                <w:szCs w:val="21"/>
                <w14:ligatures w14:val="none"/>
              </w:rPr>
            </w:pPr>
            <w:r>
              <w:rPr>
                <w:rFonts w:cs="Times New Roman"/>
                <w:kern w:val="0"/>
                <w:sz w:val="21"/>
                <w:szCs w:val="21"/>
                <w14:ligatures w14:val="none"/>
              </w:rPr>
              <w:t>达标情况</w:t>
            </w:r>
          </w:p>
        </w:tc>
      </w:tr>
      <w:tr w14:paraId="7AD1E5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70" w:type="dxa"/>
            <w:vMerge w:val="restart"/>
            <w:vAlign w:val="center"/>
          </w:tcPr>
          <w:p w14:paraId="4BEB36FE">
            <w:pPr>
              <w:wordWrap w:val="0"/>
              <w:spacing w:line="240" w:lineRule="auto"/>
              <w:jc w:val="center"/>
              <w:rPr>
                <w:rFonts w:cs="Times New Roman"/>
                <w:kern w:val="0"/>
                <w:sz w:val="21"/>
                <w:szCs w:val="21"/>
                <w14:ligatures w14:val="none"/>
              </w:rPr>
            </w:pPr>
            <w:r>
              <w:rPr>
                <w:rFonts w:hint="eastAsia" w:cs="Times New Roman"/>
                <w:kern w:val="0"/>
                <w:sz w:val="21"/>
                <w:szCs w:val="21"/>
                <w14:ligatures w14:val="none"/>
              </w:rPr>
              <w:t>1</w:t>
            </w:r>
          </w:p>
        </w:tc>
        <w:tc>
          <w:tcPr>
            <w:tcW w:w="1230" w:type="dxa"/>
            <w:vMerge w:val="restart"/>
            <w:noWrap/>
            <w:vAlign w:val="center"/>
          </w:tcPr>
          <w:p w14:paraId="19A99899">
            <w:pPr>
              <w:wordWrap w:val="0"/>
              <w:spacing w:line="240" w:lineRule="auto"/>
              <w:jc w:val="center"/>
              <w:rPr>
                <w:rFonts w:cs="Times New Roman"/>
                <w:kern w:val="0"/>
                <w:sz w:val="21"/>
                <w:szCs w:val="21"/>
                <w14:ligatures w14:val="none"/>
              </w:rPr>
            </w:pPr>
            <w:r>
              <w:rPr>
                <w:rFonts w:hint="eastAsia" w:cs="Times New Roman"/>
                <w:kern w:val="0"/>
                <w:sz w:val="21"/>
                <w:szCs w:val="21"/>
                <w14:ligatures w14:val="none"/>
              </w:rPr>
              <w:t>三铺村</w:t>
            </w:r>
          </w:p>
        </w:tc>
        <w:tc>
          <w:tcPr>
            <w:tcW w:w="1080" w:type="dxa"/>
            <w:noWrap/>
            <w:vAlign w:val="center"/>
          </w:tcPr>
          <w:p w14:paraId="1A4FF5C2">
            <w:pPr>
              <w:wordWrap w:val="0"/>
              <w:spacing w:line="240" w:lineRule="auto"/>
              <w:jc w:val="center"/>
              <w:rPr>
                <w:rFonts w:cs="Times New Roman"/>
                <w:kern w:val="0"/>
                <w:sz w:val="21"/>
                <w:szCs w:val="21"/>
                <w14:ligatures w14:val="none"/>
              </w:rPr>
            </w:pPr>
            <w:r>
              <w:rPr>
                <w:rFonts w:cs="Times New Roman"/>
                <w:kern w:val="0"/>
                <w:sz w:val="21"/>
                <w:szCs w:val="21"/>
                <w14:ligatures w14:val="none"/>
              </w:rPr>
              <w:t>小时值</w:t>
            </w:r>
          </w:p>
        </w:tc>
        <w:tc>
          <w:tcPr>
            <w:tcW w:w="1960" w:type="dxa"/>
            <w:noWrap/>
            <w:vAlign w:val="center"/>
          </w:tcPr>
          <w:p w14:paraId="0893D498">
            <w:pPr>
              <w:wordWrap w:val="0"/>
              <w:spacing w:line="240" w:lineRule="auto"/>
              <w:jc w:val="center"/>
              <w:rPr>
                <w:rFonts w:cs="Times New Roman"/>
                <w:kern w:val="0"/>
                <w:sz w:val="21"/>
                <w:szCs w:val="21"/>
                <w14:ligatures w14:val="none"/>
              </w:rPr>
            </w:pPr>
            <w:r>
              <w:rPr>
                <w:rFonts w:hint="eastAsia"/>
                <w:sz w:val="21"/>
                <w:szCs w:val="21"/>
              </w:rPr>
              <w:t>2.02E-01</w:t>
            </w:r>
          </w:p>
        </w:tc>
        <w:tc>
          <w:tcPr>
            <w:tcW w:w="1080" w:type="dxa"/>
            <w:noWrap/>
            <w:vAlign w:val="center"/>
          </w:tcPr>
          <w:p w14:paraId="2A4F78C7">
            <w:pPr>
              <w:wordWrap w:val="0"/>
              <w:spacing w:line="240" w:lineRule="auto"/>
              <w:jc w:val="center"/>
              <w:rPr>
                <w:rFonts w:cs="Times New Roman"/>
                <w:kern w:val="0"/>
                <w:sz w:val="21"/>
                <w:szCs w:val="21"/>
                <w14:ligatures w14:val="none"/>
              </w:rPr>
            </w:pPr>
            <w:r>
              <w:rPr>
                <w:rFonts w:hint="eastAsia"/>
                <w:sz w:val="21"/>
                <w:szCs w:val="21"/>
              </w:rPr>
              <w:t>23092823</w:t>
            </w:r>
          </w:p>
        </w:tc>
        <w:tc>
          <w:tcPr>
            <w:tcW w:w="1080" w:type="dxa"/>
            <w:noWrap/>
            <w:vAlign w:val="center"/>
          </w:tcPr>
          <w:p w14:paraId="45D92E8D">
            <w:pPr>
              <w:wordWrap w:val="0"/>
              <w:spacing w:line="240" w:lineRule="auto"/>
              <w:jc w:val="center"/>
              <w:rPr>
                <w:rFonts w:cs="Times New Roman"/>
                <w:kern w:val="0"/>
                <w:sz w:val="21"/>
                <w:szCs w:val="21"/>
                <w14:ligatures w14:val="none"/>
              </w:rPr>
            </w:pPr>
            <w:r>
              <w:rPr>
                <w:rFonts w:hint="eastAsia"/>
                <w:sz w:val="21"/>
                <w:szCs w:val="21"/>
              </w:rPr>
              <w:t>3.00E+02</w:t>
            </w:r>
          </w:p>
        </w:tc>
        <w:tc>
          <w:tcPr>
            <w:tcW w:w="1080" w:type="dxa"/>
            <w:noWrap/>
            <w:vAlign w:val="center"/>
          </w:tcPr>
          <w:p w14:paraId="37DBC345">
            <w:pPr>
              <w:wordWrap w:val="0"/>
              <w:spacing w:line="240" w:lineRule="auto"/>
              <w:jc w:val="center"/>
              <w:rPr>
                <w:rFonts w:cs="Times New Roman"/>
                <w:kern w:val="0"/>
                <w:sz w:val="21"/>
                <w:szCs w:val="21"/>
                <w14:ligatures w14:val="none"/>
              </w:rPr>
            </w:pPr>
            <w:r>
              <w:rPr>
                <w:rFonts w:hint="eastAsia"/>
                <w:sz w:val="21"/>
                <w:szCs w:val="21"/>
              </w:rPr>
              <w:t>0.07</w:t>
            </w:r>
          </w:p>
        </w:tc>
        <w:tc>
          <w:tcPr>
            <w:tcW w:w="1080" w:type="dxa"/>
            <w:noWrap/>
            <w:vAlign w:val="center"/>
          </w:tcPr>
          <w:p w14:paraId="04DF0510">
            <w:pPr>
              <w:wordWrap w:val="0"/>
              <w:spacing w:line="240" w:lineRule="auto"/>
              <w:jc w:val="center"/>
              <w:rPr>
                <w:rFonts w:cs="Times New Roman"/>
                <w:kern w:val="0"/>
                <w:sz w:val="21"/>
                <w:szCs w:val="21"/>
                <w14:ligatures w14:val="none"/>
              </w:rPr>
            </w:pPr>
            <w:r>
              <w:rPr>
                <w:rFonts w:hint="eastAsia"/>
                <w:sz w:val="21"/>
                <w:szCs w:val="21"/>
              </w:rPr>
              <w:t>达标</w:t>
            </w:r>
          </w:p>
        </w:tc>
      </w:tr>
      <w:tr w14:paraId="13CF37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70" w:type="dxa"/>
            <w:vMerge w:val="continue"/>
            <w:vAlign w:val="center"/>
          </w:tcPr>
          <w:p w14:paraId="616C522F">
            <w:pPr>
              <w:wordWrap w:val="0"/>
              <w:spacing w:line="240" w:lineRule="auto"/>
              <w:jc w:val="center"/>
              <w:rPr>
                <w:rFonts w:cs="Times New Roman"/>
                <w:kern w:val="0"/>
                <w:sz w:val="21"/>
                <w:szCs w:val="21"/>
                <w14:ligatures w14:val="none"/>
              </w:rPr>
            </w:pPr>
          </w:p>
        </w:tc>
        <w:tc>
          <w:tcPr>
            <w:tcW w:w="1230" w:type="dxa"/>
            <w:vMerge w:val="continue"/>
            <w:noWrap/>
            <w:vAlign w:val="center"/>
          </w:tcPr>
          <w:p w14:paraId="1399BB81">
            <w:pPr>
              <w:wordWrap w:val="0"/>
              <w:spacing w:line="240" w:lineRule="auto"/>
              <w:jc w:val="center"/>
              <w:rPr>
                <w:rFonts w:cs="Times New Roman"/>
                <w:kern w:val="0"/>
                <w:sz w:val="21"/>
                <w:szCs w:val="21"/>
                <w14:ligatures w14:val="none"/>
              </w:rPr>
            </w:pPr>
          </w:p>
        </w:tc>
        <w:tc>
          <w:tcPr>
            <w:tcW w:w="1080" w:type="dxa"/>
            <w:noWrap/>
            <w:vAlign w:val="center"/>
          </w:tcPr>
          <w:p w14:paraId="0BBB02F5">
            <w:pPr>
              <w:wordWrap w:val="0"/>
              <w:spacing w:line="240" w:lineRule="auto"/>
              <w:jc w:val="center"/>
              <w:rPr>
                <w:rFonts w:cs="Times New Roman"/>
                <w:kern w:val="0"/>
                <w:sz w:val="21"/>
                <w:szCs w:val="21"/>
                <w14:ligatures w14:val="none"/>
              </w:rPr>
            </w:pPr>
            <w:r>
              <w:rPr>
                <w:rFonts w:cs="Times New Roman"/>
                <w:kern w:val="0"/>
                <w:sz w:val="21"/>
                <w:szCs w:val="21"/>
                <w14:ligatures w14:val="none"/>
              </w:rPr>
              <w:t>日均值</w:t>
            </w:r>
          </w:p>
        </w:tc>
        <w:tc>
          <w:tcPr>
            <w:tcW w:w="1960" w:type="dxa"/>
            <w:noWrap/>
            <w:vAlign w:val="center"/>
          </w:tcPr>
          <w:p w14:paraId="206D223C">
            <w:pPr>
              <w:wordWrap w:val="0"/>
              <w:spacing w:line="240" w:lineRule="auto"/>
              <w:jc w:val="center"/>
              <w:rPr>
                <w:rFonts w:cs="Times New Roman"/>
                <w:kern w:val="0"/>
                <w:sz w:val="21"/>
                <w:szCs w:val="21"/>
                <w14:ligatures w14:val="none"/>
              </w:rPr>
            </w:pPr>
            <w:r>
              <w:rPr>
                <w:rFonts w:hint="eastAsia"/>
                <w:sz w:val="21"/>
                <w:szCs w:val="21"/>
              </w:rPr>
              <w:t>1.19E-02</w:t>
            </w:r>
          </w:p>
        </w:tc>
        <w:tc>
          <w:tcPr>
            <w:tcW w:w="1080" w:type="dxa"/>
            <w:noWrap/>
            <w:vAlign w:val="center"/>
          </w:tcPr>
          <w:p w14:paraId="15C7183D">
            <w:pPr>
              <w:wordWrap w:val="0"/>
              <w:spacing w:line="240" w:lineRule="auto"/>
              <w:jc w:val="center"/>
              <w:rPr>
                <w:rFonts w:cs="Times New Roman"/>
                <w:kern w:val="0"/>
                <w:sz w:val="21"/>
                <w:szCs w:val="21"/>
                <w14:ligatures w14:val="none"/>
              </w:rPr>
            </w:pPr>
            <w:r>
              <w:rPr>
                <w:rFonts w:hint="eastAsia"/>
                <w:sz w:val="21"/>
                <w:szCs w:val="21"/>
              </w:rPr>
              <w:t>231024</w:t>
            </w:r>
          </w:p>
        </w:tc>
        <w:tc>
          <w:tcPr>
            <w:tcW w:w="1080" w:type="dxa"/>
            <w:noWrap/>
            <w:vAlign w:val="center"/>
          </w:tcPr>
          <w:p w14:paraId="11F997BB">
            <w:pPr>
              <w:wordWrap w:val="0"/>
              <w:spacing w:line="240" w:lineRule="auto"/>
              <w:jc w:val="center"/>
              <w:rPr>
                <w:rFonts w:cs="Times New Roman"/>
                <w:kern w:val="0"/>
                <w:sz w:val="21"/>
                <w:szCs w:val="21"/>
                <w14:ligatures w14:val="none"/>
              </w:rPr>
            </w:pPr>
            <w:r>
              <w:rPr>
                <w:rFonts w:hint="eastAsia"/>
                <w:sz w:val="21"/>
                <w:szCs w:val="21"/>
              </w:rPr>
              <w:t>1.00E+02</w:t>
            </w:r>
          </w:p>
        </w:tc>
        <w:tc>
          <w:tcPr>
            <w:tcW w:w="1080" w:type="dxa"/>
            <w:noWrap/>
            <w:vAlign w:val="center"/>
          </w:tcPr>
          <w:p w14:paraId="2F3EA3EC">
            <w:pPr>
              <w:wordWrap w:val="0"/>
              <w:spacing w:line="240" w:lineRule="auto"/>
              <w:jc w:val="center"/>
              <w:rPr>
                <w:rFonts w:cs="Times New Roman"/>
                <w:kern w:val="0"/>
                <w:sz w:val="21"/>
                <w:szCs w:val="21"/>
                <w14:ligatures w14:val="none"/>
              </w:rPr>
            </w:pPr>
            <w:r>
              <w:rPr>
                <w:rFonts w:hint="eastAsia"/>
                <w:sz w:val="21"/>
                <w:szCs w:val="21"/>
              </w:rPr>
              <w:t>0.01</w:t>
            </w:r>
          </w:p>
        </w:tc>
        <w:tc>
          <w:tcPr>
            <w:tcW w:w="1080" w:type="dxa"/>
            <w:noWrap/>
            <w:vAlign w:val="center"/>
          </w:tcPr>
          <w:p w14:paraId="1123570D">
            <w:pPr>
              <w:wordWrap w:val="0"/>
              <w:spacing w:line="240" w:lineRule="auto"/>
              <w:jc w:val="center"/>
              <w:rPr>
                <w:rFonts w:cs="Times New Roman"/>
                <w:kern w:val="0"/>
                <w:sz w:val="21"/>
                <w:szCs w:val="21"/>
                <w14:ligatures w14:val="none"/>
              </w:rPr>
            </w:pPr>
            <w:r>
              <w:rPr>
                <w:rFonts w:hint="eastAsia"/>
                <w:sz w:val="21"/>
                <w:szCs w:val="21"/>
              </w:rPr>
              <w:t>达标</w:t>
            </w:r>
          </w:p>
        </w:tc>
      </w:tr>
      <w:tr w14:paraId="30C012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70" w:type="dxa"/>
            <w:vMerge w:val="restart"/>
            <w:vAlign w:val="center"/>
          </w:tcPr>
          <w:p w14:paraId="0F9803A0">
            <w:pPr>
              <w:wordWrap w:val="0"/>
              <w:spacing w:line="240" w:lineRule="auto"/>
              <w:jc w:val="center"/>
              <w:rPr>
                <w:rFonts w:cs="Times New Roman"/>
                <w:kern w:val="0"/>
                <w:sz w:val="21"/>
                <w:szCs w:val="21"/>
                <w14:ligatures w14:val="none"/>
              </w:rPr>
            </w:pPr>
            <w:r>
              <w:rPr>
                <w:rFonts w:hint="eastAsia" w:cs="Times New Roman"/>
                <w:kern w:val="0"/>
                <w:sz w:val="21"/>
                <w:szCs w:val="21"/>
                <w14:ligatures w14:val="none"/>
              </w:rPr>
              <w:t>2</w:t>
            </w:r>
          </w:p>
        </w:tc>
        <w:tc>
          <w:tcPr>
            <w:tcW w:w="1230" w:type="dxa"/>
            <w:vMerge w:val="restart"/>
            <w:noWrap/>
            <w:vAlign w:val="center"/>
          </w:tcPr>
          <w:p w14:paraId="55CFDCCD">
            <w:pPr>
              <w:wordWrap w:val="0"/>
              <w:spacing w:line="240" w:lineRule="auto"/>
              <w:jc w:val="center"/>
              <w:rPr>
                <w:rFonts w:cs="Times New Roman"/>
                <w:kern w:val="0"/>
                <w:sz w:val="21"/>
                <w:szCs w:val="21"/>
                <w14:ligatures w14:val="none"/>
              </w:rPr>
            </w:pPr>
            <w:r>
              <w:rPr>
                <w:rFonts w:hint="eastAsia" w:cs="Times New Roman"/>
                <w:kern w:val="0"/>
                <w:sz w:val="21"/>
                <w:szCs w:val="21"/>
                <w14:ligatures w14:val="none"/>
              </w:rPr>
              <w:t>三铺小学</w:t>
            </w:r>
          </w:p>
        </w:tc>
        <w:tc>
          <w:tcPr>
            <w:tcW w:w="1080" w:type="dxa"/>
            <w:noWrap/>
            <w:vAlign w:val="center"/>
          </w:tcPr>
          <w:p w14:paraId="22568FD9">
            <w:pPr>
              <w:wordWrap w:val="0"/>
              <w:spacing w:line="240" w:lineRule="auto"/>
              <w:jc w:val="center"/>
              <w:rPr>
                <w:rFonts w:cs="Times New Roman"/>
                <w:kern w:val="0"/>
                <w:sz w:val="21"/>
                <w:szCs w:val="21"/>
                <w14:ligatures w14:val="none"/>
              </w:rPr>
            </w:pPr>
            <w:r>
              <w:rPr>
                <w:rFonts w:cs="Times New Roman"/>
                <w:kern w:val="0"/>
                <w:sz w:val="21"/>
                <w:szCs w:val="21"/>
                <w14:ligatures w14:val="none"/>
              </w:rPr>
              <w:t>小时值</w:t>
            </w:r>
          </w:p>
        </w:tc>
        <w:tc>
          <w:tcPr>
            <w:tcW w:w="1960" w:type="dxa"/>
            <w:noWrap/>
            <w:vAlign w:val="center"/>
          </w:tcPr>
          <w:p w14:paraId="6DD93678">
            <w:pPr>
              <w:wordWrap w:val="0"/>
              <w:spacing w:line="240" w:lineRule="auto"/>
              <w:jc w:val="center"/>
              <w:rPr>
                <w:rFonts w:cs="Times New Roman"/>
                <w:kern w:val="0"/>
                <w:sz w:val="21"/>
                <w:szCs w:val="21"/>
                <w14:ligatures w14:val="none"/>
              </w:rPr>
            </w:pPr>
            <w:r>
              <w:rPr>
                <w:rFonts w:hint="eastAsia"/>
                <w:sz w:val="21"/>
                <w:szCs w:val="21"/>
              </w:rPr>
              <w:t>1.78E-01</w:t>
            </w:r>
          </w:p>
        </w:tc>
        <w:tc>
          <w:tcPr>
            <w:tcW w:w="1080" w:type="dxa"/>
            <w:noWrap/>
            <w:vAlign w:val="center"/>
          </w:tcPr>
          <w:p w14:paraId="410B941A">
            <w:pPr>
              <w:wordWrap w:val="0"/>
              <w:spacing w:line="240" w:lineRule="auto"/>
              <w:jc w:val="center"/>
              <w:rPr>
                <w:rFonts w:cs="Times New Roman"/>
                <w:kern w:val="0"/>
                <w:sz w:val="21"/>
                <w:szCs w:val="21"/>
                <w14:ligatures w14:val="none"/>
              </w:rPr>
            </w:pPr>
            <w:r>
              <w:rPr>
                <w:rFonts w:hint="eastAsia"/>
                <w:sz w:val="21"/>
                <w:szCs w:val="21"/>
              </w:rPr>
              <w:t>23083005</w:t>
            </w:r>
          </w:p>
        </w:tc>
        <w:tc>
          <w:tcPr>
            <w:tcW w:w="1080" w:type="dxa"/>
            <w:noWrap/>
            <w:vAlign w:val="center"/>
          </w:tcPr>
          <w:p w14:paraId="743D82AF">
            <w:pPr>
              <w:wordWrap w:val="0"/>
              <w:spacing w:line="240" w:lineRule="auto"/>
              <w:jc w:val="center"/>
              <w:rPr>
                <w:rFonts w:cs="Times New Roman"/>
                <w:kern w:val="0"/>
                <w:sz w:val="21"/>
                <w:szCs w:val="21"/>
                <w14:ligatures w14:val="none"/>
              </w:rPr>
            </w:pPr>
            <w:r>
              <w:rPr>
                <w:rFonts w:hint="eastAsia"/>
                <w:sz w:val="21"/>
                <w:szCs w:val="21"/>
              </w:rPr>
              <w:t>3.00E+02</w:t>
            </w:r>
          </w:p>
        </w:tc>
        <w:tc>
          <w:tcPr>
            <w:tcW w:w="1080" w:type="dxa"/>
            <w:noWrap/>
            <w:vAlign w:val="center"/>
          </w:tcPr>
          <w:p w14:paraId="76CB5A39">
            <w:pPr>
              <w:wordWrap w:val="0"/>
              <w:spacing w:line="240" w:lineRule="auto"/>
              <w:jc w:val="center"/>
              <w:rPr>
                <w:rFonts w:cs="Times New Roman"/>
                <w:kern w:val="0"/>
                <w:sz w:val="21"/>
                <w:szCs w:val="21"/>
                <w14:ligatures w14:val="none"/>
              </w:rPr>
            </w:pPr>
            <w:r>
              <w:rPr>
                <w:rFonts w:hint="eastAsia"/>
                <w:sz w:val="21"/>
                <w:szCs w:val="21"/>
              </w:rPr>
              <w:t>0.06</w:t>
            </w:r>
          </w:p>
        </w:tc>
        <w:tc>
          <w:tcPr>
            <w:tcW w:w="1080" w:type="dxa"/>
            <w:noWrap/>
            <w:vAlign w:val="center"/>
          </w:tcPr>
          <w:p w14:paraId="72513736">
            <w:pPr>
              <w:wordWrap w:val="0"/>
              <w:spacing w:line="240" w:lineRule="auto"/>
              <w:jc w:val="center"/>
              <w:rPr>
                <w:rFonts w:cs="Times New Roman"/>
                <w:kern w:val="0"/>
                <w:sz w:val="21"/>
                <w:szCs w:val="21"/>
                <w14:ligatures w14:val="none"/>
              </w:rPr>
            </w:pPr>
            <w:r>
              <w:rPr>
                <w:rFonts w:hint="eastAsia"/>
                <w:sz w:val="21"/>
                <w:szCs w:val="21"/>
              </w:rPr>
              <w:t>达标</w:t>
            </w:r>
          </w:p>
        </w:tc>
      </w:tr>
      <w:tr w14:paraId="20AB71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70" w:type="dxa"/>
            <w:vMerge w:val="continue"/>
            <w:vAlign w:val="center"/>
          </w:tcPr>
          <w:p w14:paraId="5387D512">
            <w:pPr>
              <w:wordWrap w:val="0"/>
              <w:spacing w:line="240" w:lineRule="auto"/>
              <w:jc w:val="center"/>
              <w:rPr>
                <w:rFonts w:cs="Times New Roman"/>
                <w:kern w:val="0"/>
                <w:sz w:val="21"/>
                <w:szCs w:val="21"/>
                <w14:ligatures w14:val="none"/>
              </w:rPr>
            </w:pPr>
          </w:p>
        </w:tc>
        <w:tc>
          <w:tcPr>
            <w:tcW w:w="1230" w:type="dxa"/>
            <w:vMerge w:val="continue"/>
            <w:noWrap/>
            <w:vAlign w:val="center"/>
          </w:tcPr>
          <w:p w14:paraId="1D05EE81">
            <w:pPr>
              <w:wordWrap w:val="0"/>
              <w:spacing w:line="240" w:lineRule="auto"/>
              <w:jc w:val="center"/>
              <w:rPr>
                <w:rFonts w:cs="Times New Roman"/>
                <w:kern w:val="0"/>
                <w:sz w:val="21"/>
                <w:szCs w:val="21"/>
                <w14:ligatures w14:val="none"/>
              </w:rPr>
            </w:pPr>
          </w:p>
        </w:tc>
        <w:tc>
          <w:tcPr>
            <w:tcW w:w="1080" w:type="dxa"/>
            <w:noWrap/>
            <w:vAlign w:val="center"/>
          </w:tcPr>
          <w:p w14:paraId="079B91F9">
            <w:pPr>
              <w:wordWrap w:val="0"/>
              <w:spacing w:line="240" w:lineRule="auto"/>
              <w:jc w:val="center"/>
              <w:rPr>
                <w:rFonts w:cs="Times New Roman"/>
                <w:kern w:val="0"/>
                <w:sz w:val="21"/>
                <w:szCs w:val="21"/>
                <w14:ligatures w14:val="none"/>
              </w:rPr>
            </w:pPr>
            <w:r>
              <w:rPr>
                <w:rFonts w:cs="Times New Roman"/>
                <w:kern w:val="0"/>
                <w:sz w:val="21"/>
                <w:szCs w:val="21"/>
                <w14:ligatures w14:val="none"/>
              </w:rPr>
              <w:t>日均值</w:t>
            </w:r>
          </w:p>
        </w:tc>
        <w:tc>
          <w:tcPr>
            <w:tcW w:w="1960" w:type="dxa"/>
            <w:noWrap/>
            <w:vAlign w:val="center"/>
          </w:tcPr>
          <w:p w14:paraId="763BBF64">
            <w:pPr>
              <w:wordWrap w:val="0"/>
              <w:spacing w:line="240" w:lineRule="auto"/>
              <w:jc w:val="center"/>
              <w:rPr>
                <w:rFonts w:cs="Times New Roman"/>
                <w:kern w:val="0"/>
                <w:sz w:val="21"/>
                <w:szCs w:val="21"/>
                <w14:ligatures w14:val="none"/>
              </w:rPr>
            </w:pPr>
            <w:r>
              <w:rPr>
                <w:rFonts w:hint="eastAsia"/>
                <w:sz w:val="21"/>
                <w:szCs w:val="21"/>
              </w:rPr>
              <w:t>1.13E-02</w:t>
            </w:r>
          </w:p>
        </w:tc>
        <w:tc>
          <w:tcPr>
            <w:tcW w:w="1080" w:type="dxa"/>
            <w:noWrap/>
            <w:vAlign w:val="center"/>
          </w:tcPr>
          <w:p w14:paraId="6D2A5989">
            <w:pPr>
              <w:wordWrap w:val="0"/>
              <w:spacing w:line="240" w:lineRule="auto"/>
              <w:jc w:val="center"/>
              <w:rPr>
                <w:rFonts w:cs="Times New Roman"/>
                <w:kern w:val="0"/>
                <w:sz w:val="21"/>
                <w:szCs w:val="21"/>
                <w14:ligatures w14:val="none"/>
              </w:rPr>
            </w:pPr>
            <w:r>
              <w:rPr>
                <w:rFonts w:hint="eastAsia"/>
                <w:sz w:val="21"/>
                <w:szCs w:val="21"/>
              </w:rPr>
              <w:t>231026</w:t>
            </w:r>
          </w:p>
        </w:tc>
        <w:tc>
          <w:tcPr>
            <w:tcW w:w="1080" w:type="dxa"/>
            <w:noWrap/>
            <w:vAlign w:val="center"/>
          </w:tcPr>
          <w:p w14:paraId="0CB9C081">
            <w:pPr>
              <w:wordWrap w:val="0"/>
              <w:spacing w:line="240" w:lineRule="auto"/>
              <w:jc w:val="center"/>
              <w:rPr>
                <w:rFonts w:cs="Times New Roman"/>
                <w:kern w:val="0"/>
                <w:sz w:val="21"/>
                <w:szCs w:val="21"/>
                <w14:ligatures w14:val="none"/>
              </w:rPr>
            </w:pPr>
            <w:r>
              <w:rPr>
                <w:rFonts w:hint="eastAsia"/>
                <w:sz w:val="21"/>
                <w:szCs w:val="21"/>
              </w:rPr>
              <w:t>1.00E+02</w:t>
            </w:r>
          </w:p>
        </w:tc>
        <w:tc>
          <w:tcPr>
            <w:tcW w:w="1080" w:type="dxa"/>
            <w:noWrap/>
            <w:vAlign w:val="center"/>
          </w:tcPr>
          <w:p w14:paraId="4D1ABF59">
            <w:pPr>
              <w:wordWrap w:val="0"/>
              <w:spacing w:line="240" w:lineRule="auto"/>
              <w:jc w:val="center"/>
              <w:rPr>
                <w:rFonts w:cs="Times New Roman"/>
                <w:kern w:val="0"/>
                <w:sz w:val="21"/>
                <w:szCs w:val="21"/>
                <w14:ligatures w14:val="none"/>
              </w:rPr>
            </w:pPr>
            <w:r>
              <w:rPr>
                <w:rFonts w:hint="eastAsia"/>
                <w:sz w:val="21"/>
                <w:szCs w:val="21"/>
              </w:rPr>
              <w:t>0.01</w:t>
            </w:r>
          </w:p>
        </w:tc>
        <w:tc>
          <w:tcPr>
            <w:tcW w:w="1080" w:type="dxa"/>
            <w:noWrap/>
            <w:vAlign w:val="center"/>
          </w:tcPr>
          <w:p w14:paraId="162B92CD">
            <w:pPr>
              <w:wordWrap w:val="0"/>
              <w:spacing w:line="240" w:lineRule="auto"/>
              <w:jc w:val="center"/>
              <w:rPr>
                <w:rFonts w:cs="Times New Roman"/>
                <w:kern w:val="0"/>
                <w:sz w:val="21"/>
                <w:szCs w:val="21"/>
                <w14:ligatures w14:val="none"/>
              </w:rPr>
            </w:pPr>
            <w:r>
              <w:rPr>
                <w:rFonts w:hint="eastAsia"/>
                <w:sz w:val="21"/>
                <w:szCs w:val="21"/>
              </w:rPr>
              <w:t>达标</w:t>
            </w:r>
          </w:p>
        </w:tc>
      </w:tr>
      <w:tr w14:paraId="5E696F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70" w:type="dxa"/>
            <w:vMerge w:val="restart"/>
            <w:vAlign w:val="center"/>
          </w:tcPr>
          <w:p w14:paraId="6C2684F7">
            <w:pPr>
              <w:wordWrap w:val="0"/>
              <w:spacing w:line="240" w:lineRule="auto"/>
              <w:jc w:val="center"/>
              <w:rPr>
                <w:rFonts w:cs="Times New Roman"/>
                <w:kern w:val="0"/>
                <w:sz w:val="21"/>
                <w:szCs w:val="21"/>
                <w14:ligatures w14:val="none"/>
              </w:rPr>
            </w:pPr>
            <w:r>
              <w:rPr>
                <w:rFonts w:hint="eastAsia" w:cs="Times New Roman"/>
                <w:kern w:val="0"/>
                <w:sz w:val="21"/>
                <w:szCs w:val="21"/>
                <w14:ligatures w14:val="none"/>
              </w:rPr>
              <w:t>3</w:t>
            </w:r>
          </w:p>
        </w:tc>
        <w:tc>
          <w:tcPr>
            <w:tcW w:w="1230" w:type="dxa"/>
            <w:vMerge w:val="restart"/>
            <w:noWrap/>
            <w:vAlign w:val="center"/>
          </w:tcPr>
          <w:p w14:paraId="1CC7EA73">
            <w:pPr>
              <w:wordWrap w:val="0"/>
              <w:spacing w:line="240" w:lineRule="auto"/>
              <w:jc w:val="center"/>
              <w:rPr>
                <w:rFonts w:cs="Times New Roman"/>
                <w:kern w:val="0"/>
                <w:sz w:val="21"/>
                <w:szCs w:val="21"/>
                <w14:ligatures w14:val="none"/>
              </w:rPr>
            </w:pPr>
            <w:r>
              <w:rPr>
                <w:rFonts w:hint="eastAsia" w:cs="Times New Roman"/>
                <w:kern w:val="0"/>
                <w:sz w:val="21"/>
                <w:szCs w:val="21"/>
                <w14:ligatures w14:val="none"/>
              </w:rPr>
              <w:t>三铺中学</w:t>
            </w:r>
          </w:p>
        </w:tc>
        <w:tc>
          <w:tcPr>
            <w:tcW w:w="1080" w:type="dxa"/>
            <w:noWrap/>
            <w:vAlign w:val="center"/>
          </w:tcPr>
          <w:p w14:paraId="3C79F4DA">
            <w:pPr>
              <w:wordWrap w:val="0"/>
              <w:spacing w:line="240" w:lineRule="auto"/>
              <w:jc w:val="center"/>
              <w:rPr>
                <w:rFonts w:cs="Times New Roman"/>
                <w:kern w:val="0"/>
                <w:sz w:val="21"/>
                <w:szCs w:val="21"/>
                <w14:ligatures w14:val="none"/>
              </w:rPr>
            </w:pPr>
            <w:r>
              <w:rPr>
                <w:rFonts w:cs="Times New Roman"/>
                <w:kern w:val="0"/>
                <w:sz w:val="21"/>
                <w:szCs w:val="21"/>
                <w14:ligatures w14:val="none"/>
              </w:rPr>
              <w:t>小时值</w:t>
            </w:r>
          </w:p>
        </w:tc>
        <w:tc>
          <w:tcPr>
            <w:tcW w:w="1960" w:type="dxa"/>
            <w:noWrap/>
            <w:vAlign w:val="center"/>
          </w:tcPr>
          <w:p w14:paraId="2DB31614">
            <w:pPr>
              <w:wordWrap w:val="0"/>
              <w:spacing w:line="240" w:lineRule="auto"/>
              <w:jc w:val="center"/>
              <w:rPr>
                <w:rFonts w:cs="Times New Roman"/>
                <w:kern w:val="0"/>
                <w:sz w:val="21"/>
                <w:szCs w:val="21"/>
                <w14:ligatures w14:val="none"/>
              </w:rPr>
            </w:pPr>
            <w:r>
              <w:rPr>
                <w:rFonts w:hint="eastAsia"/>
                <w:sz w:val="21"/>
                <w:szCs w:val="21"/>
              </w:rPr>
              <w:t>2.05E-01</w:t>
            </w:r>
          </w:p>
        </w:tc>
        <w:tc>
          <w:tcPr>
            <w:tcW w:w="1080" w:type="dxa"/>
            <w:noWrap/>
            <w:vAlign w:val="center"/>
          </w:tcPr>
          <w:p w14:paraId="4A62D0A9">
            <w:pPr>
              <w:wordWrap w:val="0"/>
              <w:spacing w:line="240" w:lineRule="auto"/>
              <w:jc w:val="center"/>
              <w:rPr>
                <w:rFonts w:cs="Times New Roman"/>
                <w:kern w:val="0"/>
                <w:sz w:val="21"/>
                <w:szCs w:val="21"/>
                <w14:ligatures w14:val="none"/>
              </w:rPr>
            </w:pPr>
            <w:r>
              <w:rPr>
                <w:rFonts w:hint="eastAsia"/>
                <w:sz w:val="21"/>
                <w:szCs w:val="21"/>
              </w:rPr>
              <w:t>23032703</w:t>
            </w:r>
          </w:p>
        </w:tc>
        <w:tc>
          <w:tcPr>
            <w:tcW w:w="1080" w:type="dxa"/>
            <w:noWrap/>
            <w:vAlign w:val="center"/>
          </w:tcPr>
          <w:p w14:paraId="4BEBC39A">
            <w:pPr>
              <w:wordWrap w:val="0"/>
              <w:spacing w:line="240" w:lineRule="auto"/>
              <w:jc w:val="center"/>
              <w:rPr>
                <w:rFonts w:cs="Times New Roman"/>
                <w:kern w:val="0"/>
                <w:sz w:val="21"/>
                <w:szCs w:val="21"/>
                <w14:ligatures w14:val="none"/>
              </w:rPr>
            </w:pPr>
            <w:r>
              <w:rPr>
                <w:rFonts w:hint="eastAsia"/>
                <w:sz w:val="21"/>
                <w:szCs w:val="21"/>
              </w:rPr>
              <w:t>3.00E+02</w:t>
            </w:r>
          </w:p>
        </w:tc>
        <w:tc>
          <w:tcPr>
            <w:tcW w:w="1080" w:type="dxa"/>
            <w:noWrap/>
            <w:vAlign w:val="center"/>
          </w:tcPr>
          <w:p w14:paraId="2EBBCD7A">
            <w:pPr>
              <w:wordWrap w:val="0"/>
              <w:spacing w:line="240" w:lineRule="auto"/>
              <w:jc w:val="center"/>
              <w:rPr>
                <w:rFonts w:cs="Times New Roman"/>
                <w:kern w:val="0"/>
                <w:sz w:val="21"/>
                <w:szCs w:val="21"/>
                <w14:ligatures w14:val="none"/>
              </w:rPr>
            </w:pPr>
            <w:r>
              <w:rPr>
                <w:rFonts w:hint="eastAsia"/>
                <w:sz w:val="21"/>
                <w:szCs w:val="21"/>
              </w:rPr>
              <w:t>0.07</w:t>
            </w:r>
          </w:p>
        </w:tc>
        <w:tc>
          <w:tcPr>
            <w:tcW w:w="1080" w:type="dxa"/>
            <w:noWrap/>
            <w:vAlign w:val="center"/>
          </w:tcPr>
          <w:p w14:paraId="75C695B0">
            <w:pPr>
              <w:wordWrap w:val="0"/>
              <w:spacing w:line="240" w:lineRule="auto"/>
              <w:jc w:val="center"/>
              <w:rPr>
                <w:rFonts w:cs="Times New Roman"/>
                <w:kern w:val="0"/>
                <w:sz w:val="21"/>
                <w:szCs w:val="21"/>
                <w14:ligatures w14:val="none"/>
              </w:rPr>
            </w:pPr>
            <w:r>
              <w:rPr>
                <w:rFonts w:hint="eastAsia"/>
                <w:sz w:val="21"/>
                <w:szCs w:val="21"/>
              </w:rPr>
              <w:t>达标</w:t>
            </w:r>
          </w:p>
        </w:tc>
      </w:tr>
      <w:tr w14:paraId="0DBDAE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70" w:type="dxa"/>
            <w:vMerge w:val="continue"/>
            <w:vAlign w:val="center"/>
          </w:tcPr>
          <w:p w14:paraId="0DD47320">
            <w:pPr>
              <w:wordWrap w:val="0"/>
              <w:spacing w:line="240" w:lineRule="auto"/>
              <w:jc w:val="center"/>
              <w:rPr>
                <w:rFonts w:cs="Times New Roman"/>
                <w:kern w:val="0"/>
                <w:sz w:val="21"/>
                <w:szCs w:val="21"/>
                <w14:ligatures w14:val="none"/>
              </w:rPr>
            </w:pPr>
          </w:p>
        </w:tc>
        <w:tc>
          <w:tcPr>
            <w:tcW w:w="1230" w:type="dxa"/>
            <w:vMerge w:val="continue"/>
            <w:noWrap/>
            <w:vAlign w:val="center"/>
          </w:tcPr>
          <w:p w14:paraId="2A514C79">
            <w:pPr>
              <w:wordWrap w:val="0"/>
              <w:spacing w:line="240" w:lineRule="auto"/>
              <w:jc w:val="center"/>
              <w:rPr>
                <w:rFonts w:cs="Times New Roman"/>
                <w:kern w:val="0"/>
                <w:sz w:val="21"/>
                <w:szCs w:val="21"/>
                <w14:ligatures w14:val="none"/>
              </w:rPr>
            </w:pPr>
          </w:p>
        </w:tc>
        <w:tc>
          <w:tcPr>
            <w:tcW w:w="1080" w:type="dxa"/>
            <w:noWrap/>
            <w:vAlign w:val="center"/>
          </w:tcPr>
          <w:p w14:paraId="0BEF7A21">
            <w:pPr>
              <w:wordWrap w:val="0"/>
              <w:spacing w:line="240" w:lineRule="auto"/>
              <w:jc w:val="center"/>
              <w:rPr>
                <w:rFonts w:cs="Times New Roman"/>
                <w:kern w:val="0"/>
                <w:sz w:val="21"/>
                <w:szCs w:val="21"/>
                <w14:ligatures w14:val="none"/>
              </w:rPr>
            </w:pPr>
            <w:r>
              <w:rPr>
                <w:rFonts w:cs="Times New Roman"/>
                <w:kern w:val="0"/>
                <w:sz w:val="21"/>
                <w:szCs w:val="21"/>
                <w14:ligatures w14:val="none"/>
              </w:rPr>
              <w:t>日均值</w:t>
            </w:r>
          </w:p>
        </w:tc>
        <w:tc>
          <w:tcPr>
            <w:tcW w:w="1960" w:type="dxa"/>
            <w:noWrap/>
            <w:vAlign w:val="center"/>
          </w:tcPr>
          <w:p w14:paraId="7D2CF1FE">
            <w:pPr>
              <w:wordWrap w:val="0"/>
              <w:spacing w:line="240" w:lineRule="auto"/>
              <w:jc w:val="center"/>
              <w:rPr>
                <w:rFonts w:cs="Times New Roman"/>
                <w:kern w:val="0"/>
                <w:sz w:val="21"/>
                <w:szCs w:val="21"/>
                <w14:ligatures w14:val="none"/>
              </w:rPr>
            </w:pPr>
            <w:r>
              <w:rPr>
                <w:rFonts w:hint="eastAsia"/>
                <w:sz w:val="21"/>
                <w:szCs w:val="21"/>
              </w:rPr>
              <w:t>1.05E-02</w:t>
            </w:r>
          </w:p>
        </w:tc>
        <w:tc>
          <w:tcPr>
            <w:tcW w:w="1080" w:type="dxa"/>
            <w:noWrap/>
            <w:vAlign w:val="center"/>
          </w:tcPr>
          <w:p w14:paraId="404C8B58">
            <w:pPr>
              <w:wordWrap w:val="0"/>
              <w:spacing w:line="240" w:lineRule="auto"/>
              <w:jc w:val="center"/>
              <w:rPr>
                <w:rFonts w:cs="Times New Roman"/>
                <w:kern w:val="0"/>
                <w:sz w:val="21"/>
                <w:szCs w:val="21"/>
                <w14:ligatures w14:val="none"/>
              </w:rPr>
            </w:pPr>
            <w:r>
              <w:rPr>
                <w:rFonts w:hint="eastAsia"/>
                <w:sz w:val="21"/>
                <w:szCs w:val="21"/>
              </w:rPr>
              <w:t>230429</w:t>
            </w:r>
          </w:p>
        </w:tc>
        <w:tc>
          <w:tcPr>
            <w:tcW w:w="1080" w:type="dxa"/>
            <w:noWrap/>
            <w:vAlign w:val="center"/>
          </w:tcPr>
          <w:p w14:paraId="538A825D">
            <w:pPr>
              <w:wordWrap w:val="0"/>
              <w:spacing w:line="240" w:lineRule="auto"/>
              <w:jc w:val="center"/>
              <w:rPr>
                <w:rFonts w:cs="Times New Roman"/>
                <w:kern w:val="0"/>
                <w:sz w:val="21"/>
                <w:szCs w:val="21"/>
                <w14:ligatures w14:val="none"/>
              </w:rPr>
            </w:pPr>
            <w:r>
              <w:rPr>
                <w:rFonts w:hint="eastAsia"/>
                <w:sz w:val="21"/>
                <w:szCs w:val="21"/>
              </w:rPr>
              <w:t>1.00E+02</w:t>
            </w:r>
          </w:p>
        </w:tc>
        <w:tc>
          <w:tcPr>
            <w:tcW w:w="1080" w:type="dxa"/>
            <w:noWrap/>
            <w:vAlign w:val="center"/>
          </w:tcPr>
          <w:p w14:paraId="03B809FF">
            <w:pPr>
              <w:wordWrap w:val="0"/>
              <w:spacing w:line="240" w:lineRule="auto"/>
              <w:jc w:val="center"/>
              <w:rPr>
                <w:rFonts w:cs="Times New Roman"/>
                <w:kern w:val="0"/>
                <w:sz w:val="21"/>
                <w:szCs w:val="21"/>
                <w14:ligatures w14:val="none"/>
              </w:rPr>
            </w:pPr>
            <w:r>
              <w:rPr>
                <w:rFonts w:hint="eastAsia"/>
                <w:sz w:val="21"/>
                <w:szCs w:val="21"/>
              </w:rPr>
              <w:t>0.01</w:t>
            </w:r>
          </w:p>
        </w:tc>
        <w:tc>
          <w:tcPr>
            <w:tcW w:w="1080" w:type="dxa"/>
            <w:noWrap/>
            <w:vAlign w:val="center"/>
          </w:tcPr>
          <w:p w14:paraId="466437CE">
            <w:pPr>
              <w:wordWrap w:val="0"/>
              <w:spacing w:line="240" w:lineRule="auto"/>
              <w:jc w:val="center"/>
              <w:rPr>
                <w:rFonts w:cs="Times New Roman"/>
                <w:kern w:val="0"/>
                <w:sz w:val="21"/>
                <w:szCs w:val="21"/>
                <w14:ligatures w14:val="none"/>
              </w:rPr>
            </w:pPr>
            <w:r>
              <w:rPr>
                <w:rFonts w:hint="eastAsia"/>
                <w:sz w:val="21"/>
                <w:szCs w:val="21"/>
              </w:rPr>
              <w:t>达标</w:t>
            </w:r>
          </w:p>
        </w:tc>
      </w:tr>
      <w:tr w14:paraId="4BEF79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70" w:type="dxa"/>
            <w:vMerge w:val="restart"/>
            <w:vAlign w:val="center"/>
          </w:tcPr>
          <w:p w14:paraId="40D0EEF6">
            <w:pPr>
              <w:wordWrap w:val="0"/>
              <w:spacing w:line="240" w:lineRule="auto"/>
              <w:jc w:val="center"/>
              <w:rPr>
                <w:rFonts w:cs="Times New Roman"/>
                <w:kern w:val="0"/>
                <w:sz w:val="21"/>
                <w:szCs w:val="21"/>
                <w14:ligatures w14:val="none"/>
              </w:rPr>
            </w:pPr>
            <w:r>
              <w:rPr>
                <w:rFonts w:hint="eastAsia" w:cs="Times New Roman"/>
                <w:kern w:val="0"/>
                <w:sz w:val="21"/>
                <w:szCs w:val="21"/>
                <w14:ligatures w14:val="none"/>
              </w:rPr>
              <w:t>4</w:t>
            </w:r>
          </w:p>
        </w:tc>
        <w:tc>
          <w:tcPr>
            <w:tcW w:w="1230" w:type="dxa"/>
            <w:vMerge w:val="restart"/>
            <w:noWrap/>
            <w:vAlign w:val="center"/>
          </w:tcPr>
          <w:p w14:paraId="2A6C26B0">
            <w:pPr>
              <w:wordWrap w:val="0"/>
              <w:spacing w:line="240" w:lineRule="auto"/>
              <w:jc w:val="center"/>
              <w:rPr>
                <w:rFonts w:cs="Times New Roman"/>
                <w:kern w:val="0"/>
                <w:sz w:val="21"/>
                <w:szCs w:val="21"/>
                <w14:ligatures w14:val="none"/>
              </w:rPr>
            </w:pPr>
            <w:r>
              <w:rPr>
                <w:rFonts w:hint="eastAsia" w:cs="Times New Roman"/>
                <w:kern w:val="0"/>
                <w:sz w:val="21"/>
                <w:szCs w:val="21"/>
                <w14:ligatures w14:val="none"/>
              </w:rPr>
              <w:t>高王家</w:t>
            </w:r>
          </w:p>
        </w:tc>
        <w:tc>
          <w:tcPr>
            <w:tcW w:w="1080" w:type="dxa"/>
            <w:noWrap/>
            <w:vAlign w:val="center"/>
          </w:tcPr>
          <w:p w14:paraId="1215072E">
            <w:pPr>
              <w:wordWrap w:val="0"/>
              <w:spacing w:line="240" w:lineRule="auto"/>
              <w:jc w:val="center"/>
              <w:rPr>
                <w:rFonts w:cs="Times New Roman"/>
                <w:kern w:val="0"/>
                <w:sz w:val="21"/>
                <w:szCs w:val="21"/>
                <w14:ligatures w14:val="none"/>
              </w:rPr>
            </w:pPr>
            <w:r>
              <w:rPr>
                <w:rFonts w:cs="Times New Roman"/>
                <w:kern w:val="0"/>
                <w:sz w:val="21"/>
                <w:szCs w:val="21"/>
                <w14:ligatures w14:val="none"/>
              </w:rPr>
              <w:t>小时值</w:t>
            </w:r>
          </w:p>
        </w:tc>
        <w:tc>
          <w:tcPr>
            <w:tcW w:w="1960" w:type="dxa"/>
            <w:noWrap/>
            <w:vAlign w:val="center"/>
          </w:tcPr>
          <w:p w14:paraId="4BC13000">
            <w:pPr>
              <w:wordWrap w:val="0"/>
              <w:spacing w:line="240" w:lineRule="auto"/>
              <w:jc w:val="center"/>
              <w:rPr>
                <w:rFonts w:cs="Times New Roman"/>
                <w:kern w:val="0"/>
                <w:sz w:val="21"/>
                <w:szCs w:val="21"/>
                <w14:ligatures w14:val="none"/>
              </w:rPr>
            </w:pPr>
            <w:r>
              <w:rPr>
                <w:rFonts w:hint="eastAsia"/>
                <w:sz w:val="21"/>
                <w:szCs w:val="21"/>
              </w:rPr>
              <w:t>1.78E-01</w:t>
            </w:r>
          </w:p>
        </w:tc>
        <w:tc>
          <w:tcPr>
            <w:tcW w:w="1080" w:type="dxa"/>
            <w:noWrap/>
            <w:vAlign w:val="center"/>
          </w:tcPr>
          <w:p w14:paraId="4D5B43FE">
            <w:pPr>
              <w:wordWrap w:val="0"/>
              <w:spacing w:line="240" w:lineRule="auto"/>
              <w:jc w:val="center"/>
              <w:rPr>
                <w:rFonts w:cs="Times New Roman"/>
                <w:kern w:val="0"/>
                <w:sz w:val="21"/>
                <w:szCs w:val="21"/>
                <w14:ligatures w14:val="none"/>
              </w:rPr>
            </w:pPr>
            <w:r>
              <w:rPr>
                <w:rFonts w:hint="eastAsia"/>
                <w:sz w:val="21"/>
                <w:szCs w:val="21"/>
              </w:rPr>
              <w:t>23083004</w:t>
            </w:r>
          </w:p>
        </w:tc>
        <w:tc>
          <w:tcPr>
            <w:tcW w:w="1080" w:type="dxa"/>
            <w:noWrap/>
            <w:vAlign w:val="center"/>
          </w:tcPr>
          <w:p w14:paraId="414C58DD">
            <w:pPr>
              <w:wordWrap w:val="0"/>
              <w:spacing w:line="240" w:lineRule="auto"/>
              <w:jc w:val="center"/>
              <w:rPr>
                <w:rFonts w:cs="Times New Roman"/>
                <w:kern w:val="0"/>
                <w:sz w:val="21"/>
                <w:szCs w:val="21"/>
                <w14:ligatures w14:val="none"/>
              </w:rPr>
            </w:pPr>
            <w:r>
              <w:rPr>
                <w:rFonts w:hint="eastAsia"/>
                <w:sz w:val="21"/>
                <w:szCs w:val="21"/>
              </w:rPr>
              <w:t>3.00E+02</w:t>
            </w:r>
          </w:p>
        </w:tc>
        <w:tc>
          <w:tcPr>
            <w:tcW w:w="1080" w:type="dxa"/>
            <w:noWrap/>
            <w:vAlign w:val="center"/>
          </w:tcPr>
          <w:p w14:paraId="28F9FE36">
            <w:pPr>
              <w:wordWrap w:val="0"/>
              <w:spacing w:line="240" w:lineRule="auto"/>
              <w:jc w:val="center"/>
              <w:rPr>
                <w:rFonts w:cs="Times New Roman"/>
                <w:kern w:val="0"/>
                <w:sz w:val="21"/>
                <w:szCs w:val="21"/>
                <w14:ligatures w14:val="none"/>
              </w:rPr>
            </w:pPr>
            <w:r>
              <w:rPr>
                <w:rFonts w:hint="eastAsia"/>
                <w:sz w:val="21"/>
                <w:szCs w:val="21"/>
              </w:rPr>
              <w:t>0.06</w:t>
            </w:r>
          </w:p>
        </w:tc>
        <w:tc>
          <w:tcPr>
            <w:tcW w:w="1080" w:type="dxa"/>
            <w:noWrap/>
            <w:vAlign w:val="center"/>
          </w:tcPr>
          <w:p w14:paraId="199A34FC">
            <w:pPr>
              <w:wordWrap w:val="0"/>
              <w:spacing w:line="240" w:lineRule="auto"/>
              <w:jc w:val="center"/>
              <w:rPr>
                <w:rFonts w:cs="Times New Roman"/>
                <w:kern w:val="0"/>
                <w:sz w:val="21"/>
                <w:szCs w:val="21"/>
                <w14:ligatures w14:val="none"/>
              </w:rPr>
            </w:pPr>
            <w:r>
              <w:rPr>
                <w:rFonts w:hint="eastAsia"/>
                <w:sz w:val="21"/>
                <w:szCs w:val="21"/>
              </w:rPr>
              <w:t>达标</w:t>
            </w:r>
          </w:p>
        </w:tc>
      </w:tr>
      <w:tr w14:paraId="42619F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70" w:type="dxa"/>
            <w:vMerge w:val="continue"/>
            <w:vAlign w:val="center"/>
          </w:tcPr>
          <w:p w14:paraId="3D12D259">
            <w:pPr>
              <w:wordWrap w:val="0"/>
              <w:spacing w:line="240" w:lineRule="auto"/>
              <w:jc w:val="center"/>
              <w:rPr>
                <w:rFonts w:cs="Times New Roman"/>
                <w:kern w:val="0"/>
                <w:sz w:val="21"/>
                <w:szCs w:val="21"/>
                <w14:ligatures w14:val="none"/>
              </w:rPr>
            </w:pPr>
          </w:p>
        </w:tc>
        <w:tc>
          <w:tcPr>
            <w:tcW w:w="1230" w:type="dxa"/>
            <w:vMerge w:val="continue"/>
            <w:noWrap/>
            <w:vAlign w:val="center"/>
          </w:tcPr>
          <w:p w14:paraId="161C6232">
            <w:pPr>
              <w:wordWrap w:val="0"/>
              <w:spacing w:line="240" w:lineRule="auto"/>
              <w:jc w:val="center"/>
              <w:rPr>
                <w:rFonts w:cs="Times New Roman"/>
                <w:kern w:val="0"/>
                <w:sz w:val="21"/>
                <w:szCs w:val="21"/>
                <w14:ligatures w14:val="none"/>
              </w:rPr>
            </w:pPr>
          </w:p>
        </w:tc>
        <w:tc>
          <w:tcPr>
            <w:tcW w:w="1080" w:type="dxa"/>
            <w:noWrap/>
            <w:vAlign w:val="center"/>
          </w:tcPr>
          <w:p w14:paraId="59EFE50A">
            <w:pPr>
              <w:wordWrap w:val="0"/>
              <w:spacing w:line="240" w:lineRule="auto"/>
              <w:jc w:val="center"/>
              <w:rPr>
                <w:rFonts w:cs="Times New Roman"/>
                <w:kern w:val="0"/>
                <w:sz w:val="21"/>
                <w:szCs w:val="21"/>
                <w14:ligatures w14:val="none"/>
              </w:rPr>
            </w:pPr>
            <w:r>
              <w:rPr>
                <w:rFonts w:cs="Times New Roman"/>
                <w:kern w:val="0"/>
                <w:sz w:val="21"/>
                <w:szCs w:val="21"/>
                <w14:ligatures w14:val="none"/>
              </w:rPr>
              <w:t>日均值</w:t>
            </w:r>
          </w:p>
        </w:tc>
        <w:tc>
          <w:tcPr>
            <w:tcW w:w="1960" w:type="dxa"/>
            <w:noWrap/>
            <w:vAlign w:val="center"/>
          </w:tcPr>
          <w:p w14:paraId="63329868">
            <w:pPr>
              <w:wordWrap w:val="0"/>
              <w:spacing w:line="240" w:lineRule="auto"/>
              <w:jc w:val="center"/>
              <w:rPr>
                <w:rFonts w:cs="Times New Roman"/>
                <w:kern w:val="0"/>
                <w:sz w:val="21"/>
                <w:szCs w:val="21"/>
                <w14:ligatures w14:val="none"/>
              </w:rPr>
            </w:pPr>
            <w:r>
              <w:rPr>
                <w:rFonts w:hint="eastAsia"/>
                <w:sz w:val="21"/>
                <w:szCs w:val="21"/>
              </w:rPr>
              <w:t>7.45E-03</w:t>
            </w:r>
          </w:p>
        </w:tc>
        <w:tc>
          <w:tcPr>
            <w:tcW w:w="1080" w:type="dxa"/>
            <w:noWrap/>
            <w:vAlign w:val="center"/>
          </w:tcPr>
          <w:p w14:paraId="270DBD93">
            <w:pPr>
              <w:wordWrap w:val="0"/>
              <w:spacing w:line="240" w:lineRule="auto"/>
              <w:jc w:val="center"/>
              <w:rPr>
                <w:rFonts w:cs="Times New Roman"/>
                <w:kern w:val="0"/>
                <w:sz w:val="21"/>
                <w:szCs w:val="21"/>
                <w14:ligatures w14:val="none"/>
              </w:rPr>
            </w:pPr>
            <w:r>
              <w:rPr>
                <w:rFonts w:hint="eastAsia"/>
                <w:sz w:val="21"/>
                <w:szCs w:val="21"/>
              </w:rPr>
              <w:t>230830</w:t>
            </w:r>
          </w:p>
        </w:tc>
        <w:tc>
          <w:tcPr>
            <w:tcW w:w="1080" w:type="dxa"/>
            <w:noWrap/>
            <w:vAlign w:val="center"/>
          </w:tcPr>
          <w:p w14:paraId="552E8A8A">
            <w:pPr>
              <w:wordWrap w:val="0"/>
              <w:spacing w:line="240" w:lineRule="auto"/>
              <w:jc w:val="center"/>
              <w:rPr>
                <w:rFonts w:cs="Times New Roman"/>
                <w:kern w:val="0"/>
                <w:sz w:val="21"/>
                <w:szCs w:val="21"/>
                <w14:ligatures w14:val="none"/>
              </w:rPr>
            </w:pPr>
            <w:r>
              <w:rPr>
                <w:rFonts w:hint="eastAsia"/>
                <w:sz w:val="21"/>
                <w:szCs w:val="21"/>
              </w:rPr>
              <w:t>1.00E+02</w:t>
            </w:r>
          </w:p>
        </w:tc>
        <w:tc>
          <w:tcPr>
            <w:tcW w:w="1080" w:type="dxa"/>
            <w:noWrap/>
            <w:vAlign w:val="center"/>
          </w:tcPr>
          <w:p w14:paraId="7585BDAD">
            <w:pPr>
              <w:wordWrap w:val="0"/>
              <w:spacing w:line="240" w:lineRule="auto"/>
              <w:jc w:val="center"/>
              <w:rPr>
                <w:rFonts w:cs="Times New Roman"/>
                <w:kern w:val="0"/>
                <w:sz w:val="21"/>
                <w:szCs w:val="21"/>
                <w14:ligatures w14:val="none"/>
              </w:rPr>
            </w:pPr>
            <w:r>
              <w:rPr>
                <w:rFonts w:hint="eastAsia"/>
                <w:sz w:val="21"/>
                <w:szCs w:val="21"/>
              </w:rPr>
              <w:t>0.01</w:t>
            </w:r>
          </w:p>
        </w:tc>
        <w:tc>
          <w:tcPr>
            <w:tcW w:w="1080" w:type="dxa"/>
            <w:noWrap/>
            <w:vAlign w:val="center"/>
          </w:tcPr>
          <w:p w14:paraId="26CA851E">
            <w:pPr>
              <w:wordWrap w:val="0"/>
              <w:spacing w:line="240" w:lineRule="auto"/>
              <w:jc w:val="center"/>
              <w:rPr>
                <w:rFonts w:cs="Times New Roman"/>
                <w:kern w:val="0"/>
                <w:sz w:val="21"/>
                <w:szCs w:val="21"/>
                <w14:ligatures w14:val="none"/>
              </w:rPr>
            </w:pPr>
            <w:r>
              <w:rPr>
                <w:rFonts w:hint="eastAsia"/>
                <w:sz w:val="21"/>
                <w:szCs w:val="21"/>
              </w:rPr>
              <w:t>达标</w:t>
            </w:r>
          </w:p>
        </w:tc>
      </w:tr>
      <w:tr w14:paraId="097D75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70" w:type="dxa"/>
            <w:vMerge w:val="restart"/>
            <w:vAlign w:val="center"/>
          </w:tcPr>
          <w:p w14:paraId="36385AAA">
            <w:pPr>
              <w:wordWrap w:val="0"/>
              <w:spacing w:line="240" w:lineRule="auto"/>
              <w:jc w:val="center"/>
              <w:rPr>
                <w:rFonts w:cs="Times New Roman"/>
                <w:kern w:val="0"/>
                <w:sz w:val="21"/>
                <w:szCs w:val="21"/>
                <w14:ligatures w14:val="none"/>
              </w:rPr>
            </w:pPr>
            <w:r>
              <w:rPr>
                <w:rFonts w:hint="eastAsia" w:cs="Times New Roman"/>
                <w:kern w:val="0"/>
                <w:sz w:val="21"/>
                <w:szCs w:val="21"/>
                <w14:ligatures w14:val="none"/>
              </w:rPr>
              <w:t>5</w:t>
            </w:r>
          </w:p>
        </w:tc>
        <w:tc>
          <w:tcPr>
            <w:tcW w:w="1230" w:type="dxa"/>
            <w:vMerge w:val="restart"/>
            <w:noWrap/>
            <w:vAlign w:val="center"/>
          </w:tcPr>
          <w:p w14:paraId="2AFAEDEC">
            <w:pPr>
              <w:wordWrap w:val="0"/>
              <w:spacing w:line="240" w:lineRule="auto"/>
              <w:jc w:val="center"/>
              <w:rPr>
                <w:rFonts w:cs="Times New Roman"/>
                <w:kern w:val="0"/>
                <w:sz w:val="21"/>
                <w:szCs w:val="21"/>
                <w14:ligatures w14:val="none"/>
              </w:rPr>
            </w:pPr>
            <w:r>
              <w:rPr>
                <w:rFonts w:hint="eastAsia" w:cs="Times New Roman"/>
                <w:kern w:val="0"/>
                <w:sz w:val="21"/>
                <w:szCs w:val="21"/>
                <w14:ligatures w14:val="none"/>
              </w:rPr>
              <w:t>大柏村</w:t>
            </w:r>
          </w:p>
        </w:tc>
        <w:tc>
          <w:tcPr>
            <w:tcW w:w="1080" w:type="dxa"/>
            <w:noWrap/>
            <w:vAlign w:val="center"/>
          </w:tcPr>
          <w:p w14:paraId="7786391E">
            <w:pPr>
              <w:wordWrap w:val="0"/>
              <w:spacing w:line="240" w:lineRule="auto"/>
              <w:jc w:val="center"/>
              <w:rPr>
                <w:rFonts w:cs="Times New Roman"/>
                <w:kern w:val="0"/>
                <w:sz w:val="21"/>
                <w:szCs w:val="21"/>
                <w14:ligatures w14:val="none"/>
              </w:rPr>
            </w:pPr>
            <w:r>
              <w:rPr>
                <w:rFonts w:cs="Times New Roman"/>
                <w:kern w:val="0"/>
                <w:sz w:val="21"/>
                <w:szCs w:val="21"/>
                <w14:ligatures w14:val="none"/>
              </w:rPr>
              <w:t>小时值</w:t>
            </w:r>
          </w:p>
        </w:tc>
        <w:tc>
          <w:tcPr>
            <w:tcW w:w="1960" w:type="dxa"/>
            <w:noWrap/>
            <w:vAlign w:val="center"/>
          </w:tcPr>
          <w:p w14:paraId="734A318D">
            <w:pPr>
              <w:wordWrap w:val="0"/>
              <w:spacing w:line="240" w:lineRule="auto"/>
              <w:jc w:val="center"/>
              <w:rPr>
                <w:rFonts w:cs="Times New Roman"/>
                <w:kern w:val="0"/>
                <w:sz w:val="21"/>
                <w:szCs w:val="21"/>
                <w14:ligatures w14:val="none"/>
              </w:rPr>
            </w:pPr>
            <w:r>
              <w:rPr>
                <w:rFonts w:hint="eastAsia"/>
                <w:sz w:val="21"/>
                <w:szCs w:val="21"/>
              </w:rPr>
              <w:t>1.35E-01</w:t>
            </w:r>
          </w:p>
        </w:tc>
        <w:tc>
          <w:tcPr>
            <w:tcW w:w="1080" w:type="dxa"/>
            <w:noWrap/>
            <w:vAlign w:val="center"/>
          </w:tcPr>
          <w:p w14:paraId="005BDF98">
            <w:pPr>
              <w:wordWrap w:val="0"/>
              <w:spacing w:line="240" w:lineRule="auto"/>
              <w:jc w:val="center"/>
              <w:rPr>
                <w:rFonts w:cs="Times New Roman"/>
                <w:kern w:val="0"/>
                <w:sz w:val="21"/>
                <w:szCs w:val="21"/>
                <w14:ligatures w14:val="none"/>
              </w:rPr>
            </w:pPr>
            <w:r>
              <w:rPr>
                <w:rFonts w:hint="eastAsia"/>
                <w:sz w:val="21"/>
                <w:szCs w:val="21"/>
              </w:rPr>
              <w:t>23072124</w:t>
            </w:r>
          </w:p>
        </w:tc>
        <w:tc>
          <w:tcPr>
            <w:tcW w:w="1080" w:type="dxa"/>
            <w:noWrap/>
            <w:vAlign w:val="center"/>
          </w:tcPr>
          <w:p w14:paraId="5F9D76F3">
            <w:pPr>
              <w:wordWrap w:val="0"/>
              <w:spacing w:line="240" w:lineRule="auto"/>
              <w:jc w:val="center"/>
              <w:rPr>
                <w:rFonts w:cs="Times New Roman"/>
                <w:kern w:val="0"/>
                <w:sz w:val="21"/>
                <w:szCs w:val="21"/>
                <w14:ligatures w14:val="none"/>
              </w:rPr>
            </w:pPr>
            <w:r>
              <w:rPr>
                <w:rFonts w:hint="eastAsia"/>
                <w:sz w:val="21"/>
                <w:szCs w:val="21"/>
              </w:rPr>
              <w:t>3.00E+02</w:t>
            </w:r>
          </w:p>
        </w:tc>
        <w:tc>
          <w:tcPr>
            <w:tcW w:w="1080" w:type="dxa"/>
            <w:noWrap/>
            <w:vAlign w:val="center"/>
          </w:tcPr>
          <w:p w14:paraId="36E932FA">
            <w:pPr>
              <w:wordWrap w:val="0"/>
              <w:spacing w:line="240" w:lineRule="auto"/>
              <w:jc w:val="center"/>
              <w:rPr>
                <w:rFonts w:cs="Times New Roman"/>
                <w:kern w:val="0"/>
                <w:sz w:val="21"/>
                <w:szCs w:val="21"/>
                <w14:ligatures w14:val="none"/>
              </w:rPr>
            </w:pPr>
            <w:r>
              <w:rPr>
                <w:rFonts w:hint="eastAsia"/>
                <w:sz w:val="21"/>
                <w:szCs w:val="21"/>
              </w:rPr>
              <w:t>0.05</w:t>
            </w:r>
          </w:p>
        </w:tc>
        <w:tc>
          <w:tcPr>
            <w:tcW w:w="1080" w:type="dxa"/>
            <w:noWrap/>
            <w:vAlign w:val="center"/>
          </w:tcPr>
          <w:p w14:paraId="2B557BDC">
            <w:pPr>
              <w:wordWrap w:val="0"/>
              <w:spacing w:line="240" w:lineRule="auto"/>
              <w:jc w:val="center"/>
              <w:rPr>
                <w:rFonts w:cs="Times New Roman"/>
                <w:kern w:val="0"/>
                <w:sz w:val="21"/>
                <w:szCs w:val="21"/>
                <w14:ligatures w14:val="none"/>
              </w:rPr>
            </w:pPr>
            <w:r>
              <w:rPr>
                <w:rFonts w:hint="eastAsia"/>
                <w:sz w:val="21"/>
                <w:szCs w:val="21"/>
              </w:rPr>
              <w:t>达标</w:t>
            </w:r>
          </w:p>
        </w:tc>
      </w:tr>
      <w:tr w14:paraId="5CAE95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70" w:type="dxa"/>
            <w:vMerge w:val="continue"/>
            <w:vAlign w:val="center"/>
          </w:tcPr>
          <w:p w14:paraId="2CFE3ED1">
            <w:pPr>
              <w:wordWrap w:val="0"/>
              <w:spacing w:line="240" w:lineRule="auto"/>
              <w:jc w:val="center"/>
              <w:rPr>
                <w:rFonts w:cs="Times New Roman"/>
                <w:kern w:val="0"/>
                <w:sz w:val="21"/>
                <w:szCs w:val="21"/>
                <w14:ligatures w14:val="none"/>
              </w:rPr>
            </w:pPr>
          </w:p>
        </w:tc>
        <w:tc>
          <w:tcPr>
            <w:tcW w:w="1230" w:type="dxa"/>
            <w:vMerge w:val="continue"/>
            <w:noWrap/>
            <w:vAlign w:val="center"/>
          </w:tcPr>
          <w:p w14:paraId="30BCAC25">
            <w:pPr>
              <w:wordWrap w:val="0"/>
              <w:spacing w:line="240" w:lineRule="auto"/>
              <w:jc w:val="center"/>
              <w:rPr>
                <w:rFonts w:cs="Times New Roman"/>
                <w:kern w:val="0"/>
                <w:sz w:val="21"/>
                <w:szCs w:val="21"/>
                <w14:ligatures w14:val="none"/>
              </w:rPr>
            </w:pPr>
          </w:p>
        </w:tc>
        <w:tc>
          <w:tcPr>
            <w:tcW w:w="1080" w:type="dxa"/>
            <w:noWrap/>
            <w:vAlign w:val="center"/>
          </w:tcPr>
          <w:p w14:paraId="5124E793">
            <w:pPr>
              <w:wordWrap w:val="0"/>
              <w:spacing w:line="240" w:lineRule="auto"/>
              <w:jc w:val="center"/>
              <w:rPr>
                <w:rFonts w:cs="Times New Roman"/>
                <w:kern w:val="0"/>
                <w:sz w:val="21"/>
                <w:szCs w:val="21"/>
                <w14:ligatures w14:val="none"/>
              </w:rPr>
            </w:pPr>
            <w:r>
              <w:rPr>
                <w:rFonts w:cs="Times New Roman"/>
                <w:kern w:val="0"/>
                <w:sz w:val="21"/>
                <w:szCs w:val="21"/>
                <w14:ligatures w14:val="none"/>
              </w:rPr>
              <w:t>日均值</w:t>
            </w:r>
          </w:p>
        </w:tc>
        <w:tc>
          <w:tcPr>
            <w:tcW w:w="1960" w:type="dxa"/>
            <w:noWrap/>
            <w:vAlign w:val="center"/>
          </w:tcPr>
          <w:p w14:paraId="0FD4CDF8">
            <w:pPr>
              <w:wordWrap w:val="0"/>
              <w:spacing w:line="240" w:lineRule="auto"/>
              <w:jc w:val="center"/>
              <w:rPr>
                <w:rFonts w:cs="Times New Roman"/>
                <w:kern w:val="0"/>
                <w:sz w:val="21"/>
                <w:szCs w:val="21"/>
                <w14:ligatures w14:val="none"/>
              </w:rPr>
            </w:pPr>
            <w:r>
              <w:rPr>
                <w:rFonts w:hint="eastAsia"/>
                <w:sz w:val="21"/>
                <w:szCs w:val="21"/>
              </w:rPr>
              <w:t>8.80E-03</w:t>
            </w:r>
          </w:p>
        </w:tc>
        <w:tc>
          <w:tcPr>
            <w:tcW w:w="1080" w:type="dxa"/>
            <w:noWrap/>
            <w:vAlign w:val="center"/>
          </w:tcPr>
          <w:p w14:paraId="71EE5538">
            <w:pPr>
              <w:wordWrap w:val="0"/>
              <w:spacing w:line="240" w:lineRule="auto"/>
              <w:jc w:val="center"/>
              <w:rPr>
                <w:rFonts w:cs="Times New Roman"/>
                <w:kern w:val="0"/>
                <w:sz w:val="21"/>
                <w:szCs w:val="21"/>
                <w14:ligatures w14:val="none"/>
              </w:rPr>
            </w:pPr>
            <w:r>
              <w:rPr>
                <w:rFonts w:hint="eastAsia"/>
                <w:sz w:val="21"/>
                <w:szCs w:val="21"/>
              </w:rPr>
              <w:t>230830</w:t>
            </w:r>
          </w:p>
        </w:tc>
        <w:tc>
          <w:tcPr>
            <w:tcW w:w="1080" w:type="dxa"/>
            <w:noWrap/>
            <w:vAlign w:val="center"/>
          </w:tcPr>
          <w:p w14:paraId="5F48330A">
            <w:pPr>
              <w:wordWrap w:val="0"/>
              <w:spacing w:line="240" w:lineRule="auto"/>
              <w:jc w:val="center"/>
              <w:rPr>
                <w:rFonts w:cs="Times New Roman"/>
                <w:kern w:val="0"/>
                <w:sz w:val="21"/>
                <w:szCs w:val="21"/>
                <w14:ligatures w14:val="none"/>
              </w:rPr>
            </w:pPr>
            <w:r>
              <w:rPr>
                <w:rFonts w:hint="eastAsia"/>
                <w:sz w:val="21"/>
                <w:szCs w:val="21"/>
              </w:rPr>
              <w:t>1.00E+02</w:t>
            </w:r>
          </w:p>
        </w:tc>
        <w:tc>
          <w:tcPr>
            <w:tcW w:w="1080" w:type="dxa"/>
            <w:noWrap/>
            <w:vAlign w:val="center"/>
          </w:tcPr>
          <w:p w14:paraId="6FDADD79">
            <w:pPr>
              <w:wordWrap w:val="0"/>
              <w:spacing w:line="240" w:lineRule="auto"/>
              <w:jc w:val="center"/>
              <w:rPr>
                <w:rFonts w:cs="Times New Roman"/>
                <w:kern w:val="0"/>
                <w:sz w:val="21"/>
                <w:szCs w:val="21"/>
                <w14:ligatures w14:val="none"/>
              </w:rPr>
            </w:pPr>
            <w:r>
              <w:rPr>
                <w:rFonts w:hint="eastAsia"/>
                <w:sz w:val="21"/>
                <w:szCs w:val="21"/>
              </w:rPr>
              <w:t>0.01</w:t>
            </w:r>
          </w:p>
        </w:tc>
        <w:tc>
          <w:tcPr>
            <w:tcW w:w="1080" w:type="dxa"/>
            <w:noWrap/>
            <w:vAlign w:val="center"/>
          </w:tcPr>
          <w:p w14:paraId="3A6F58CD">
            <w:pPr>
              <w:wordWrap w:val="0"/>
              <w:spacing w:line="240" w:lineRule="auto"/>
              <w:jc w:val="center"/>
              <w:rPr>
                <w:rFonts w:cs="Times New Roman"/>
                <w:kern w:val="0"/>
                <w:sz w:val="21"/>
                <w:szCs w:val="21"/>
                <w14:ligatures w14:val="none"/>
              </w:rPr>
            </w:pPr>
            <w:r>
              <w:rPr>
                <w:rFonts w:hint="eastAsia"/>
                <w:sz w:val="21"/>
                <w:szCs w:val="21"/>
              </w:rPr>
              <w:t>达标</w:t>
            </w:r>
          </w:p>
        </w:tc>
      </w:tr>
      <w:tr w14:paraId="49F994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70" w:type="dxa"/>
            <w:vMerge w:val="restart"/>
            <w:vAlign w:val="center"/>
          </w:tcPr>
          <w:p w14:paraId="30A65D98">
            <w:pPr>
              <w:wordWrap w:val="0"/>
              <w:spacing w:line="240" w:lineRule="auto"/>
              <w:jc w:val="center"/>
              <w:rPr>
                <w:rFonts w:cs="Times New Roman"/>
                <w:kern w:val="0"/>
                <w:sz w:val="21"/>
                <w:szCs w:val="21"/>
                <w14:ligatures w14:val="none"/>
              </w:rPr>
            </w:pPr>
            <w:r>
              <w:rPr>
                <w:rFonts w:hint="eastAsia" w:cs="Times New Roman"/>
                <w:kern w:val="0"/>
                <w:sz w:val="21"/>
                <w:szCs w:val="21"/>
                <w14:ligatures w14:val="none"/>
              </w:rPr>
              <w:t>6</w:t>
            </w:r>
          </w:p>
        </w:tc>
        <w:tc>
          <w:tcPr>
            <w:tcW w:w="1230" w:type="dxa"/>
            <w:vMerge w:val="restart"/>
            <w:noWrap/>
            <w:vAlign w:val="center"/>
          </w:tcPr>
          <w:p w14:paraId="79616D80">
            <w:pPr>
              <w:wordWrap w:val="0"/>
              <w:spacing w:line="240" w:lineRule="auto"/>
              <w:jc w:val="center"/>
              <w:rPr>
                <w:rFonts w:cs="Times New Roman"/>
                <w:kern w:val="0"/>
                <w:sz w:val="21"/>
                <w:szCs w:val="21"/>
                <w14:ligatures w14:val="none"/>
              </w:rPr>
            </w:pPr>
            <w:r>
              <w:rPr>
                <w:rFonts w:hint="eastAsia" w:cs="Times New Roman"/>
                <w:kern w:val="0"/>
                <w:sz w:val="21"/>
                <w:szCs w:val="21"/>
                <w14:ligatures w14:val="none"/>
              </w:rPr>
              <w:t>曹杨家</w:t>
            </w:r>
          </w:p>
        </w:tc>
        <w:tc>
          <w:tcPr>
            <w:tcW w:w="1080" w:type="dxa"/>
            <w:noWrap/>
            <w:vAlign w:val="center"/>
          </w:tcPr>
          <w:p w14:paraId="29B2CD2C">
            <w:pPr>
              <w:wordWrap w:val="0"/>
              <w:spacing w:line="240" w:lineRule="auto"/>
              <w:jc w:val="center"/>
              <w:rPr>
                <w:rFonts w:cs="Times New Roman"/>
                <w:kern w:val="0"/>
                <w:sz w:val="21"/>
                <w:szCs w:val="21"/>
                <w14:ligatures w14:val="none"/>
              </w:rPr>
            </w:pPr>
            <w:r>
              <w:rPr>
                <w:rFonts w:cs="Times New Roman"/>
                <w:kern w:val="0"/>
                <w:sz w:val="21"/>
                <w:szCs w:val="21"/>
                <w14:ligatures w14:val="none"/>
              </w:rPr>
              <w:t>小时值</w:t>
            </w:r>
          </w:p>
        </w:tc>
        <w:tc>
          <w:tcPr>
            <w:tcW w:w="1960" w:type="dxa"/>
            <w:noWrap/>
            <w:vAlign w:val="center"/>
          </w:tcPr>
          <w:p w14:paraId="4B75EC9F">
            <w:pPr>
              <w:wordWrap w:val="0"/>
              <w:spacing w:line="240" w:lineRule="auto"/>
              <w:jc w:val="center"/>
              <w:rPr>
                <w:rFonts w:cs="Times New Roman"/>
                <w:kern w:val="0"/>
                <w:sz w:val="21"/>
                <w:szCs w:val="21"/>
                <w14:ligatures w14:val="none"/>
              </w:rPr>
            </w:pPr>
            <w:r>
              <w:rPr>
                <w:rFonts w:hint="eastAsia"/>
                <w:sz w:val="21"/>
                <w:szCs w:val="21"/>
              </w:rPr>
              <w:t>1.28E-01</w:t>
            </w:r>
          </w:p>
        </w:tc>
        <w:tc>
          <w:tcPr>
            <w:tcW w:w="1080" w:type="dxa"/>
            <w:noWrap/>
            <w:vAlign w:val="center"/>
          </w:tcPr>
          <w:p w14:paraId="06036F39">
            <w:pPr>
              <w:wordWrap w:val="0"/>
              <w:spacing w:line="240" w:lineRule="auto"/>
              <w:jc w:val="center"/>
              <w:rPr>
                <w:rFonts w:cs="Times New Roman"/>
                <w:kern w:val="0"/>
                <w:sz w:val="21"/>
                <w:szCs w:val="21"/>
                <w14:ligatures w14:val="none"/>
              </w:rPr>
            </w:pPr>
            <w:r>
              <w:rPr>
                <w:rFonts w:hint="eastAsia"/>
                <w:sz w:val="21"/>
                <w:szCs w:val="21"/>
              </w:rPr>
              <w:t>23081002</w:t>
            </w:r>
          </w:p>
        </w:tc>
        <w:tc>
          <w:tcPr>
            <w:tcW w:w="1080" w:type="dxa"/>
            <w:noWrap/>
            <w:vAlign w:val="center"/>
          </w:tcPr>
          <w:p w14:paraId="4CCEA0EB">
            <w:pPr>
              <w:wordWrap w:val="0"/>
              <w:spacing w:line="240" w:lineRule="auto"/>
              <w:jc w:val="center"/>
              <w:rPr>
                <w:rFonts w:cs="Times New Roman"/>
                <w:kern w:val="0"/>
                <w:sz w:val="21"/>
                <w:szCs w:val="21"/>
                <w14:ligatures w14:val="none"/>
              </w:rPr>
            </w:pPr>
            <w:r>
              <w:rPr>
                <w:rFonts w:hint="eastAsia"/>
                <w:sz w:val="21"/>
                <w:szCs w:val="21"/>
              </w:rPr>
              <w:t>3.00E+02</w:t>
            </w:r>
          </w:p>
        </w:tc>
        <w:tc>
          <w:tcPr>
            <w:tcW w:w="1080" w:type="dxa"/>
            <w:noWrap/>
            <w:vAlign w:val="center"/>
          </w:tcPr>
          <w:p w14:paraId="2E002E97">
            <w:pPr>
              <w:wordWrap w:val="0"/>
              <w:spacing w:line="240" w:lineRule="auto"/>
              <w:jc w:val="center"/>
              <w:rPr>
                <w:rFonts w:cs="Times New Roman"/>
                <w:kern w:val="0"/>
                <w:sz w:val="21"/>
                <w:szCs w:val="21"/>
                <w14:ligatures w14:val="none"/>
              </w:rPr>
            </w:pPr>
            <w:r>
              <w:rPr>
                <w:rFonts w:hint="eastAsia"/>
                <w:sz w:val="21"/>
                <w:szCs w:val="21"/>
              </w:rPr>
              <w:t>0.04</w:t>
            </w:r>
          </w:p>
        </w:tc>
        <w:tc>
          <w:tcPr>
            <w:tcW w:w="1080" w:type="dxa"/>
            <w:noWrap/>
            <w:vAlign w:val="center"/>
          </w:tcPr>
          <w:p w14:paraId="58081AD0">
            <w:pPr>
              <w:wordWrap w:val="0"/>
              <w:spacing w:line="240" w:lineRule="auto"/>
              <w:jc w:val="center"/>
              <w:rPr>
                <w:rFonts w:cs="Times New Roman"/>
                <w:kern w:val="0"/>
                <w:sz w:val="21"/>
                <w:szCs w:val="21"/>
                <w14:ligatures w14:val="none"/>
              </w:rPr>
            </w:pPr>
            <w:r>
              <w:rPr>
                <w:rFonts w:hint="eastAsia"/>
                <w:sz w:val="21"/>
                <w:szCs w:val="21"/>
              </w:rPr>
              <w:t>达标</w:t>
            </w:r>
          </w:p>
        </w:tc>
      </w:tr>
      <w:tr w14:paraId="2F56B4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70" w:type="dxa"/>
            <w:vMerge w:val="continue"/>
            <w:vAlign w:val="center"/>
          </w:tcPr>
          <w:p w14:paraId="06B36A90">
            <w:pPr>
              <w:wordWrap w:val="0"/>
              <w:spacing w:line="240" w:lineRule="auto"/>
              <w:jc w:val="center"/>
              <w:rPr>
                <w:rFonts w:cs="Times New Roman"/>
                <w:kern w:val="0"/>
                <w:sz w:val="21"/>
                <w:szCs w:val="21"/>
                <w14:ligatures w14:val="none"/>
              </w:rPr>
            </w:pPr>
          </w:p>
        </w:tc>
        <w:tc>
          <w:tcPr>
            <w:tcW w:w="1230" w:type="dxa"/>
            <w:vMerge w:val="continue"/>
            <w:noWrap/>
            <w:vAlign w:val="center"/>
          </w:tcPr>
          <w:p w14:paraId="2C0BC3DF">
            <w:pPr>
              <w:wordWrap w:val="0"/>
              <w:spacing w:line="240" w:lineRule="auto"/>
              <w:jc w:val="center"/>
              <w:rPr>
                <w:rFonts w:cs="Times New Roman"/>
                <w:kern w:val="0"/>
                <w:sz w:val="21"/>
                <w:szCs w:val="21"/>
                <w14:ligatures w14:val="none"/>
              </w:rPr>
            </w:pPr>
          </w:p>
        </w:tc>
        <w:tc>
          <w:tcPr>
            <w:tcW w:w="1080" w:type="dxa"/>
            <w:noWrap/>
            <w:vAlign w:val="center"/>
          </w:tcPr>
          <w:p w14:paraId="5A660645">
            <w:pPr>
              <w:wordWrap w:val="0"/>
              <w:spacing w:line="240" w:lineRule="auto"/>
              <w:jc w:val="center"/>
              <w:rPr>
                <w:rFonts w:cs="Times New Roman"/>
                <w:kern w:val="0"/>
                <w:sz w:val="21"/>
                <w:szCs w:val="21"/>
                <w14:ligatures w14:val="none"/>
              </w:rPr>
            </w:pPr>
            <w:r>
              <w:rPr>
                <w:rFonts w:cs="Times New Roman"/>
                <w:kern w:val="0"/>
                <w:sz w:val="21"/>
                <w:szCs w:val="21"/>
                <w14:ligatures w14:val="none"/>
              </w:rPr>
              <w:t>日均值</w:t>
            </w:r>
          </w:p>
        </w:tc>
        <w:tc>
          <w:tcPr>
            <w:tcW w:w="1960" w:type="dxa"/>
            <w:noWrap/>
            <w:vAlign w:val="center"/>
          </w:tcPr>
          <w:p w14:paraId="170B711E">
            <w:pPr>
              <w:wordWrap w:val="0"/>
              <w:spacing w:line="240" w:lineRule="auto"/>
              <w:jc w:val="center"/>
              <w:rPr>
                <w:rFonts w:cs="Times New Roman"/>
                <w:kern w:val="0"/>
                <w:sz w:val="21"/>
                <w:szCs w:val="21"/>
                <w14:ligatures w14:val="none"/>
              </w:rPr>
            </w:pPr>
            <w:r>
              <w:rPr>
                <w:rFonts w:hint="eastAsia"/>
                <w:sz w:val="21"/>
                <w:szCs w:val="21"/>
              </w:rPr>
              <w:t>1.08E-02</w:t>
            </w:r>
          </w:p>
        </w:tc>
        <w:tc>
          <w:tcPr>
            <w:tcW w:w="1080" w:type="dxa"/>
            <w:noWrap/>
            <w:vAlign w:val="center"/>
          </w:tcPr>
          <w:p w14:paraId="2CFF3C87">
            <w:pPr>
              <w:wordWrap w:val="0"/>
              <w:spacing w:line="240" w:lineRule="auto"/>
              <w:jc w:val="center"/>
              <w:rPr>
                <w:rFonts w:cs="Times New Roman"/>
                <w:kern w:val="0"/>
                <w:sz w:val="21"/>
                <w:szCs w:val="21"/>
                <w14:ligatures w14:val="none"/>
              </w:rPr>
            </w:pPr>
            <w:r>
              <w:rPr>
                <w:rFonts w:hint="eastAsia"/>
                <w:sz w:val="21"/>
                <w:szCs w:val="21"/>
              </w:rPr>
              <w:t>230810</w:t>
            </w:r>
          </w:p>
        </w:tc>
        <w:tc>
          <w:tcPr>
            <w:tcW w:w="1080" w:type="dxa"/>
            <w:noWrap/>
            <w:vAlign w:val="center"/>
          </w:tcPr>
          <w:p w14:paraId="56C1DC76">
            <w:pPr>
              <w:wordWrap w:val="0"/>
              <w:spacing w:line="240" w:lineRule="auto"/>
              <w:jc w:val="center"/>
              <w:rPr>
                <w:rFonts w:cs="Times New Roman"/>
                <w:kern w:val="0"/>
                <w:sz w:val="21"/>
                <w:szCs w:val="21"/>
                <w14:ligatures w14:val="none"/>
              </w:rPr>
            </w:pPr>
            <w:r>
              <w:rPr>
                <w:rFonts w:hint="eastAsia"/>
                <w:sz w:val="21"/>
                <w:szCs w:val="21"/>
              </w:rPr>
              <w:t>1.00E+02</w:t>
            </w:r>
          </w:p>
        </w:tc>
        <w:tc>
          <w:tcPr>
            <w:tcW w:w="1080" w:type="dxa"/>
            <w:noWrap/>
            <w:vAlign w:val="center"/>
          </w:tcPr>
          <w:p w14:paraId="66337767">
            <w:pPr>
              <w:wordWrap w:val="0"/>
              <w:spacing w:line="240" w:lineRule="auto"/>
              <w:jc w:val="center"/>
              <w:rPr>
                <w:rFonts w:cs="Times New Roman"/>
                <w:kern w:val="0"/>
                <w:sz w:val="21"/>
                <w:szCs w:val="21"/>
                <w14:ligatures w14:val="none"/>
              </w:rPr>
            </w:pPr>
            <w:r>
              <w:rPr>
                <w:rFonts w:hint="eastAsia"/>
                <w:sz w:val="21"/>
                <w:szCs w:val="21"/>
              </w:rPr>
              <w:t>0.01</w:t>
            </w:r>
          </w:p>
        </w:tc>
        <w:tc>
          <w:tcPr>
            <w:tcW w:w="1080" w:type="dxa"/>
            <w:noWrap/>
            <w:vAlign w:val="center"/>
          </w:tcPr>
          <w:p w14:paraId="5F7890C5">
            <w:pPr>
              <w:wordWrap w:val="0"/>
              <w:spacing w:line="240" w:lineRule="auto"/>
              <w:jc w:val="center"/>
              <w:rPr>
                <w:rFonts w:cs="Times New Roman"/>
                <w:kern w:val="0"/>
                <w:sz w:val="21"/>
                <w:szCs w:val="21"/>
                <w14:ligatures w14:val="none"/>
              </w:rPr>
            </w:pPr>
            <w:r>
              <w:rPr>
                <w:rFonts w:hint="eastAsia"/>
                <w:sz w:val="21"/>
                <w:szCs w:val="21"/>
              </w:rPr>
              <w:t>达标</w:t>
            </w:r>
          </w:p>
        </w:tc>
      </w:tr>
      <w:tr w14:paraId="35BD5C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70" w:type="dxa"/>
            <w:vMerge w:val="restart"/>
            <w:vAlign w:val="center"/>
          </w:tcPr>
          <w:p w14:paraId="2C463270">
            <w:pPr>
              <w:wordWrap w:val="0"/>
              <w:spacing w:line="240" w:lineRule="auto"/>
              <w:jc w:val="center"/>
              <w:rPr>
                <w:rFonts w:cs="Times New Roman"/>
                <w:kern w:val="0"/>
                <w:sz w:val="21"/>
                <w:szCs w:val="21"/>
                <w14:ligatures w14:val="none"/>
              </w:rPr>
            </w:pPr>
            <w:r>
              <w:rPr>
                <w:rFonts w:hint="eastAsia" w:cs="Times New Roman"/>
                <w:kern w:val="0"/>
                <w:sz w:val="21"/>
                <w:szCs w:val="21"/>
                <w14:ligatures w14:val="none"/>
              </w:rPr>
              <w:t>7</w:t>
            </w:r>
          </w:p>
        </w:tc>
        <w:tc>
          <w:tcPr>
            <w:tcW w:w="1230" w:type="dxa"/>
            <w:vMerge w:val="restart"/>
            <w:noWrap/>
            <w:vAlign w:val="center"/>
          </w:tcPr>
          <w:p w14:paraId="1C09B2C1">
            <w:pPr>
              <w:wordWrap w:val="0"/>
              <w:spacing w:line="240" w:lineRule="auto"/>
              <w:jc w:val="center"/>
              <w:rPr>
                <w:rFonts w:cs="Times New Roman"/>
                <w:kern w:val="0"/>
                <w:sz w:val="21"/>
                <w:szCs w:val="21"/>
                <w14:ligatures w14:val="none"/>
              </w:rPr>
            </w:pPr>
            <w:r>
              <w:rPr>
                <w:rFonts w:hint="eastAsia" w:cs="Times New Roman"/>
                <w:kern w:val="0"/>
                <w:sz w:val="21"/>
                <w:szCs w:val="21"/>
                <w14:ligatures w14:val="none"/>
              </w:rPr>
              <w:t>夏家湖</w:t>
            </w:r>
          </w:p>
        </w:tc>
        <w:tc>
          <w:tcPr>
            <w:tcW w:w="1080" w:type="dxa"/>
            <w:noWrap/>
            <w:vAlign w:val="center"/>
          </w:tcPr>
          <w:p w14:paraId="3B1B5534">
            <w:pPr>
              <w:wordWrap w:val="0"/>
              <w:spacing w:line="240" w:lineRule="auto"/>
              <w:jc w:val="center"/>
              <w:rPr>
                <w:rFonts w:cs="Times New Roman"/>
                <w:kern w:val="0"/>
                <w:sz w:val="21"/>
                <w:szCs w:val="21"/>
                <w14:ligatures w14:val="none"/>
              </w:rPr>
            </w:pPr>
            <w:r>
              <w:rPr>
                <w:rFonts w:cs="Times New Roman"/>
                <w:kern w:val="0"/>
                <w:sz w:val="21"/>
                <w:szCs w:val="21"/>
                <w14:ligatures w14:val="none"/>
              </w:rPr>
              <w:t>小时值</w:t>
            </w:r>
          </w:p>
        </w:tc>
        <w:tc>
          <w:tcPr>
            <w:tcW w:w="1960" w:type="dxa"/>
            <w:noWrap/>
            <w:vAlign w:val="center"/>
          </w:tcPr>
          <w:p w14:paraId="22A0837C">
            <w:pPr>
              <w:wordWrap w:val="0"/>
              <w:spacing w:line="240" w:lineRule="auto"/>
              <w:jc w:val="center"/>
              <w:rPr>
                <w:rFonts w:cs="Times New Roman"/>
                <w:kern w:val="0"/>
                <w:sz w:val="21"/>
                <w:szCs w:val="21"/>
                <w14:ligatures w14:val="none"/>
              </w:rPr>
            </w:pPr>
            <w:r>
              <w:rPr>
                <w:rFonts w:hint="eastAsia"/>
                <w:sz w:val="21"/>
                <w:szCs w:val="21"/>
              </w:rPr>
              <w:t>1.57E-01</w:t>
            </w:r>
          </w:p>
        </w:tc>
        <w:tc>
          <w:tcPr>
            <w:tcW w:w="1080" w:type="dxa"/>
            <w:noWrap/>
            <w:vAlign w:val="center"/>
          </w:tcPr>
          <w:p w14:paraId="02E0EC7D">
            <w:pPr>
              <w:wordWrap w:val="0"/>
              <w:spacing w:line="240" w:lineRule="auto"/>
              <w:jc w:val="center"/>
              <w:rPr>
                <w:rFonts w:cs="Times New Roman"/>
                <w:kern w:val="0"/>
                <w:sz w:val="21"/>
                <w:szCs w:val="21"/>
                <w14:ligatures w14:val="none"/>
              </w:rPr>
            </w:pPr>
            <w:r>
              <w:rPr>
                <w:rFonts w:hint="eastAsia"/>
                <w:sz w:val="21"/>
                <w:szCs w:val="21"/>
              </w:rPr>
              <w:t>23101324</w:t>
            </w:r>
          </w:p>
        </w:tc>
        <w:tc>
          <w:tcPr>
            <w:tcW w:w="1080" w:type="dxa"/>
            <w:noWrap/>
            <w:vAlign w:val="center"/>
          </w:tcPr>
          <w:p w14:paraId="09DD32FB">
            <w:pPr>
              <w:wordWrap w:val="0"/>
              <w:spacing w:line="240" w:lineRule="auto"/>
              <w:jc w:val="center"/>
              <w:rPr>
                <w:rFonts w:cs="Times New Roman"/>
                <w:kern w:val="0"/>
                <w:sz w:val="21"/>
                <w:szCs w:val="21"/>
                <w14:ligatures w14:val="none"/>
              </w:rPr>
            </w:pPr>
            <w:r>
              <w:rPr>
                <w:rFonts w:hint="eastAsia"/>
                <w:sz w:val="21"/>
                <w:szCs w:val="21"/>
              </w:rPr>
              <w:t>3.00E+02</w:t>
            </w:r>
          </w:p>
        </w:tc>
        <w:tc>
          <w:tcPr>
            <w:tcW w:w="1080" w:type="dxa"/>
            <w:noWrap/>
            <w:vAlign w:val="center"/>
          </w:tcPr>
          <w:p w14:paraId="05F98A2D">
            <w:pPr>
              <w:wordWrap w:val="0"/>
              <w:spacing w:line="240" w:lineRule="auto"/>
              <w:jc w:val="center"/>
              <w:rPr>
                <w:rFonts w:cs="Times New Roman"/>
                <w:kern w:val="0"/>
                <w:sz w:val="21"/>
                <w:szCs w:val="21"/>
                <w14:ligatures w14:val="none"/>
              </w:rPr>
            </w:pPr>
            <w:r>
              <w:rPr>
                <w:rFonts w:hint="eastAsia"/>
                <w:sz w:val="21"/>
                <w:szCs w:val="21"/>
              </w:rPr>
              <w:t>0.05</w:t>
            </w:r>
          </w:p>
        </w:tc>
        <w:tc>
          <w:tcPr>
            <w:tcW w:w="1080" w:type="dxa"/>
            <w:noWrap/>
            <w:vAlign w:val="center"/>
          </w:tcPr>
          <w:p w14:paraId="5136934A">
            <w:pPr>
              <w:wordWrap w:val="0"/>
              <w:spacing w:line="240" w:lineRule="auto"/>
              <w:jc w:val="center"/>
              <w:rPr>
                <w:rFonts w:cs="Times New Roman"/>
                <w:kern w:val="0"/>
                <w:sz w:val="21"/>
                <w:szCs w:val="21"/>
                <w14:ligatures w14:val="none"/>
              </w:rPr>
            </w:pPr>
            <w:r>
              <w:rPr>
                <w:rFonts w:hint="eastAsia"/>
                <w:sz w:val="21"/>
                <w:szCs w:val="21"/>
              </w:rPr>
              <w:t>达标</w:t>
            </w:r>
          </w:p>
        </w:tc>
      </w:tr>
      <w:tr w14:paraId="005CF7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70" w:type="dxa"/>
            <w:vMerge w:val="continue"/>
            <w:vAlign w:val="center"/>
          </w:tcPr>
          <w:p w14:paraId="3C88B215">
            <w:pPr>
              <w:wordWrap w:val="0"/>
              <w:spacing w:line="240" w:lineRule="auto"/>
              <w:jc w:val="center"/>
              <w:rPr>
                <w:rFonts w:cs="Times New Roman"/>
                <w:kern w:val="0"/>
                <w:sz w:val="21"/>
                <w:szCs w:val="21"/>
                <w14:ligatures w14:val="none"/>
              </w:rPr>
            </w:pPr>
          </w:p>
        </w:tc>
        <w:tc>
          <w:tcPr>
            <w:tcW w:w="1230" w:type="dxa"/>
            <w:vMerge w:val="continue"/>
            <w:noWrap/>
            <w:vAlign w:val="center"/>
          </w:tcPr>
          <w:p w14:paraId="63249742">
            <w:pPr>
              <w:wordWrap w:val="0"/>
              <w:spacing w:line="240" w:lineRule="auto"/>
              <w:jc w:val="center"/>
              <w:rPr>
                <w:rFonts w:cs="Times New Roman"/>
                <w:kern w:val="0"/>
                <w:sz w:val="21"/>
                <w:szCs w:val="21"/>
                <w14:ligatures w14:val="none"/>
              </w:rPr>
            </w:pPr>
          </w:p>
        </w:tc>
        <w:tc>
          <w:tcPr>
            <w:tcW w:w="1080" w:type="dxa"/>
            <w:noWrap/>
            <w:vAlign w:val="center"/>
          </w:tcPr>
          <w:p w14:paraId="0DCBB1B2">
            <w:pPr>
              <w:wordWrap w:val="0"/>
              <w:spacing w:line="240" w:lineRule="auto"/>
              <w:jc w:val="center"/>
              <w:rPr>
                <w:rFonts w:cs="Times New Roman"/>
                <w:kern w:val="0"/>
                <w:sz w:val="21"/>
                <w:szCs w:val="21"/>
                <w14:ligatures w14:val="none"/>
              </w:rPr>
            </w:pPr>
            <w:r>
              <w:rPr>
                <w:rFonts w:cs="Times New Roman"/>
                <w:kern w:val="0"/>
                <w:sz w:val="21"/>
                <w:szCs w:val="21"/>
                <w14:ligatures w14:val="none"/>
              </w:rPr>
              <w:t>日均值</w:t>
            </w:r>
          </w:p>
        </w:tc>
        <w:tc>
          <w:tcPr>
            <w:tcW w:w="1960" w:type="dxa"/>
            <w:noWrap/>
            <w:vAlign w:val="center"/>
          </w:tcPr>
          <w:p w14:paraId="5A6CB0A9">
            <w:pPr>
              <w:wordWrap w:val="0"/>
              <w:spacing w:line="240" w:lineRule="auto"/>
              <w:jc w:val="center"/>
              <w:rPr>
                <w:rFonts w:cs="Times New Roman"/>
                <w:kern w:val="0"/>
                <w:sz w:val="21"/>
                <w:szCs w:val="21"/>
                <w14:ligatures w14:val="none"/>
              </w:rPr>
            </w:pPr>
            <w:r>
              <w:rPr>
                <w:rFonts w:hint="eastAsia"/>
                <w:sz w:val="21"/>
                <w:szCs w:val="21"/>
              </w:rPr>
              <w:t>7.33E-03</w:t>
            </w:r>
          </w:p>
        </w:tc>
        <w:tc>
          <w:tcPr>
            <w:tcW w:w="1080" w:type="dxa"/>
            <w:noWrap/>
            <w:vAlign w:val="center"/>
          </w:tcPr>
          <w:p w14:paraId="16C229AD">
            <w:pPr>
              <w:wordWrap w:val="0"/>
              <w:spacing w:line="240" w:lineRule="auto"/>
              <w:jc w:val="center"/>
              <w:rPr>
                <w:rFonts w:cs="Times New Roman"/>
                <w:kern w:val="0"/>
                <w:sz w:val="21"/>
                <w:szCs w:val="21"/>
                <w14:ligatures w14:val="none"/>
              </w:rPr>
            </w:pPr>
            <w:r>
              <w:rPr>
                <w:rFonts w:hint="eastAsia"/>
                <w:sz w:val="21"/>
                <w:szCs w:val="21"/>
              </w:rPr>
              <w:t>231013</w:t>
            </w:r>
          </w:p>
        </w:tc>
        <w:tc>
          <w:tcPr>
            <w:tcW w:w="1080" w:type="dxa"/>
            <w:noWrap/>
            <w:vAlign w:val="center"/>
          </w:tcPr>
          <w:p w14:paraId="31C58300">
            <w:pPr>
              <w:wordWrap w:val="0"/>
              <w:spacing w:line="240" w:lineRule="auto"/>
              <w:jc w:val="center"/>
              <w:rPr>
                <w:rFonts w:cs="Times New Roman"/>
                <w:kern w:val="0"/>
                <w:sz w:val="21"/>
                <w:szCs w:val="21"/>
                <w14:ligatures w14:val="none"/>
              </w:rPr>
            </w:pPr>
            <w:r>
              <w:rPr>
                <w:rFonts w:hint="eastAsia"/>
                <w:sz w:val="21"/>
                <w:szCs w:val="21"/>
              </w:rPr>
              <w:t>1.00E+02</w:t>
            </w:r>
          </w:p>
        </w:tc>
        <w:tc>
          <w:tcPr>
            <w:tcW w:w="1080" w:type="dxa"/>
            <w:noWrap/>
            <w:vAlign w:val="center"/>
          </w:tcPr>
          <w:p w14:paraId="013F76D6">
            <w:pPr>
              <w:wordWrap w:val="0"/>
              <w:spacing w:line="240" w:lineRule="auto"/>
              <w:jc w:val="center"/>
              <w:rPr>
                <w:rFonts w:cs="Times New Roman"/>
                <w:kern w:val="0"/>
                <w:sz w:val="21"/>
                <w:szCs w:val="21"/>
                <w14:ligatures w14:val="none"/>
              </w:rPr>
            </w:pPr>
            <w:r>
              <w:rPr>
                <w:rFonts w:hint="eastAsia"/>
                <w:sz w:val="21"/>
                <w:szCs w:val="21"/>
              </w:rPr>
              <w:t>0.01</w:t>
            </w:r>
          </w:p>
        </w:tc>
        <w:tc>
          <w:tcPr>
            <w:tcW w:w="1080" w:type="dxa"/>
            <w:noWrap/>
            <w:vAlign w:val="center"/>
          </w:tcPr>
          <w:p w14:paraId="7ABEAF6E">
            <w:pPr>
              <w:wordWrap w:val="0"/>
              <w:spacing w:line="240" w:lineRule="auto"/>
              <w:jc w:val="center"/>
              <w:rPr>
                <w:rFonts w:cs="Times New Roman"/>
                <w:kern w:val="0"/>
                <w:sz w:val="21"/>
                <w:szCs w:val="21"/>
                <w14:ligatures w14:val="none"/>
              </w:rPr>
            </w:pPr>
            <w:r>
              <w:rPr>
                <w:rFonts w:hint="eastAsia"/>
                <w:sz w:val="21"/>
                <w:szCs w:val="21"/>
              </w:rPr>
              <w:t>达标</w:t>
            </w:r>
          </w:p>
        </w:tc>
      </w:tr>
      <w:tr w14:paraId="21D31B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70" w:type="dxa"/>
            <w:vMerge w:val="restart"/>
            <w:vAlign w:val="center"/>
          </w:tcPr>
          <w:p w14:paraId="09A083A3">
            <w:pPr>
              <w:wordWrap w:val="0"/>
              <w:spacing w:line="240" w:lineRule="auto"/>
              <w:jc w:val="center"/>
              <w:rPr>
                <w:rFonts w:cs="Times New Roman"/>
                <w:kern w:val="0"/>
                <w:sz w:val="21"/>
                <w:szCs w:val="21"/>
                <w14:ligatures w14:val="none"/>
              </w:rPr>
            </w:pPr>
            <w:r>
              <w:rPr>
                <w:rFonts w:hint="eastAsia" w:cs="Times New Roman"/>
                <w:kern w:val="0"/>
                <w:sz w:val="21"/>
                <w:szCs w:val="21"/>
                <w14:ligatures w14:val="none"/>
              </w:rPr>
              <w:t>8</w:t>
            </w:r>
          </w:p>
        </w:tc>
        <w:tc>
          <w:tcPr>
            <w:tcW w:w="1230" w:type="dxa"/>
            <w:vMerge w:val="restart"/>
            <w:noWrap/>
            <w:vAlign w:val="center"/>
          </w:tcPr>
          <w:p w14:paraId="6DE6C8B3">
            <w:pPr>
              <w:wordWrap w:val="0"/>
              <w:spacing w:line="240" w:lineRule="auto"/>
              <w:jc w:val="center"/>
              <w:rPr>
                <w:rFonts w:cs="Times New Roman"/>
                <w:kern w:val="0"/>
                <w:sz w:val="21"/>
                <w:szCs w:val="21"/>
                <w14:ligatures w14:val="none"/>
              </w:rPr>
            </w:pPr>
            <w:r>
              <w:rPr>
                <w:rFonts w:hint="eastAsia" w:cs="Times New Roman"/>
                <w:kern w:val="0"/>
                <w:sz w:val="21"/>
                <w:szCs w:val="21"/>
                <w14:ligatures w14:val="none"/>
              </w:rPr>
              <w:t>二铺</w:t>
            </w:r>
          </w:p>
        </w:tc>
        <w:tc>
          <w:tcPr>
            <w:tcW w:w="1080" w:type="dxa"/>
            <w:noWrap/>
            <w:vAlign w:val="center"/>
          </w:tcPr>
          <w:p w14:paraId="49AE63FE">
            <w:pPr>
              <w:wordWrap w:val="0"/>
              <w:spacing w:line="240" w:lineRule="auto"/>
              <w:jc w:val="center"/>
              <w:rPr>
                <w:rFonts w:cs="Times New Roman"/>
                <w:kern w:val="0"/>
                <w:sz w:val="21"/>
                <w:szCs w:val="21"/>
                <w14:ligatures w14:val="none"/>
              </w:rPr>
            </w:pPr>
            <w:r>
              <w:rPr>
                <w:rFonts w:cs="Times New Roman"/>
                <w:kern w:val="0"/>
                <w:sz w:val="21"/>
                <w:szCs w:val="21"/>
                <w14:ligatures w14:val="none"/>
              </w:rPr>
              <w:t>小时值</w:t>
            </w:r>
          </w:p>
        </w:tc>
        <w:tc>
          <w:tcPr>
            <w:tcW w:w="1960" w:type="dxa"/>
            <w:noWrap/>
            <w:vAlign w:val="center"/>
          </w:tcPr>
          <w:p w14:paraId="423EE442">
            <w:pPr>
              <w:wordWrap w:val="0"/>
              <w:spacing w:line="240" w:lineRule="auto"/>
              <w:jc w:val="center"/>
              <w:rPr>
                <w:rFonts w:cs="Times New Roman"/>
                <w:kern w:val="0"/>
                <w:sz w:val="21"/>
                <w:szCs w:val="21"/>
                <w14:ligatures w14:val="none"/>
              </w:rPr>
            </w:pPr>
            <w:r>
              <w:rPr>
                <w:rFonts w:hint="eastAsia"/>
                <w:sz w:val="21"/>
                <w:szCs w:val="21"/>
              </w:rPr>
              <w:t>1.65E-01</w:t>
            </w:r>
          </w:p>
        </w:tc>
        <w:tc>
          <w:tcPr>
            <w:tcW w:w="1080" w:type="dxa"/>
            <w:noWrap/>
            <w:vAlign w:val="center"/>
          </w:tcPr>
          <w:p w14:paraId="01C7A1C8">
            <w:pPr>
              <w:wordWrap w:val="0"/>
              <w:spacing w:line="240" w:lineRule="auto"/>
              <w:jc w:val="center"/>
              <w:rPr>
                <w:rFonts w:cs="Times New Roman"/>
                <w:kern w:val="0"/>
                <w:sz w:val="21"/>
                <w:szCs w:val="21"/>
                <w14:ligatures w14:val="none"/>
              </w:rPr>
            </w:pPr>
            <w:r>
              <w:rPr>
                <w:rFonts w:hint="eastAsia"/>
                <w:sz w:val="21"/>
                <w:szCs w:val="21"/>
              </w:rPr>
              <w:t>23042806</w:t>
            </w:r>
          </w:p>
        </w:tc>
        <w:tc>
          <w:tcPr>
            <w:tcW w:w="1080" w:type="dxa"/>
            <w:noWrap/>
            <w:vAlign w:val="center"/>
          </w:tcPr>
          <w:p w14:paraId="6296150D">
            <w:pPr>
              <w:wordWrap w:val="0"/>
              <w:spacing w:line="240" w:lineRule="auto"/>
              <w:jc w:val="center"/>
              <w:rPr>
                <w:rFonts w:cs="Times New Roman"/>
                <w:kern w:val="0"/>
                <w:sz w:val="21"/>
                <w:szCs w:val="21"/>
                <w14:ligatures w14:val="none"/>
              </w:rPr>
            </w:pPr>
            <w:r>
              <w:rPr>
                <w:rFonts w:hint="eastAsia"/>
                <w:sz w:val="21"/>
                <w:szCs w:val="21"/>
              </w:rPr>
              <w:t>3.00E+02</w:t>
            </w:r>
          </w:p>
        </w:tc>
        <w:tc>
          <w:tcPr>
            <w:tcW w:w="1080" w:type="dxa"/>
            <w:noWrap/>
            <w:vAlign w:val="center"/>
          </w:tcPr>
          <w:p w14:paraId="32B271B0">
            <w:pPr>
              <w:wordWrap w:val="0"/>
              <w:spacing w:line="240" w:lineRule="auto"/>
              <w:jc w:val="center"/>
              <w:rPr>
                <w:rFonts w:cs="Times New Roman"/>
                <w:kern w:val="0"/>
                <w:sz w:val="21"/>
                <w:szCs w:val="21"/>
                <w14:ligatures w14:val="none"/>
              </w:rPr>
            </w:pPr>
            <w:r>
              <w:rPr>
                <w:rFonts w:hint="eastAsia"/>
                <w:sz w:val="21"/>
                <w:szCs w:val="21"/>
              </w:rPr>
              <w:t>0.06</w:t>
            </w:r>
          </w:p>
        </w:tc>
        <w:tc>
          <w:tcPr>
            <w:tcW w:w="1080" w:type="dxa"/>
            <w:noWrap/>
            <w:vAlign w:val="center"/>
          </w:tcPr>
          <w:p w14:paraId="02C02EE1">
            <w:pPr>
              <w:wordWrap w:val="0"/>
              <w:spacing w:line="240" w:lineRule="auto"/>
              <w:jc w:val="center"/>
              <w:rPr>
                <w:rFonts w:cs="Times New Roman"/>
                <w:kern w:val="0"/>
                <w:sz w:val="21"/>
                <w:szCs w:val="21"/>
                <w14:ligatures w14:val="none"/>
              </w:rPr>
            </w:pPr>
            <w:r>
              <w:rPr>
                <w:rFonts w:hint="eastAsia"/>
                <w:sz w:val="21"/>
                <w:szCs w:val="21"/>
              </w:rPr>
              <w:t>达标</w:t>
            </w:r>
          </w:p>
        </w:tc>
      </w:tr>
      <w:tr w14:paraId="72A7AD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70" w:type="dxa"/>
            <w:vMerge w:val="continue"/>
            <w:vAlign w:val="center"/>
          </w:tcPr>
          <w:p w14:paraId="3AC81700">
            <w:pPr>
              <w:wordWrap w:val="0"/>
              <w:spacing w:line="240" w:lineRule="auto"/>
              <w:jc w:val="center"/>
              <w:rPr>
                <w:rFonts w:cs="Times New Roman"/>
                <w:kern w:val="0"/>
                <w:sz w:val="21"/>
                <w:szCs w:val="21"/>
                <w14:ligatures w14:val="none"/>
              </w:rPr>
            </w:pPr>
          </w:p>
        </w:tc>
        <w:tc>
          <w:tcPr>
            <w:tcW w:w="1230" w:type="dxa"/>
            <w:vMerge w:val="continue"/>
            <w:noWrap/>
            <w:vAlign w:val="center"/>
          </w:tcPr>
          <w:p w14:paraId="29273BCF">
            <w:pPr>
              <w:wordWrap w:val="0"/>
              <w:spacing w:line="240" w:lineRule="auto"/>
              <w:jc w:val="center"/>
              <w:rPr>
                <w:rFonts w:cs="Times New Roman"/>
                <w:kern w:val="0"/>
                <w:sz w:val="21"/>
                <w:szCs w:val="21"/>
                <w14:ligatures w14:val="none"/>
              </w:rPr>
            </w:pPr>
          </w:p>
        </w:tc>
        <w:tc>
          <w:tcPr>
            <w:tcW w:w="1080" w:type="dxa"/>
            <w:noWrap/>
            <w:vAlign w:val="center"/>
          </w:tcPr>
          <w:p w14:paraId="612E41C0">
            <w:pPr>
              <w:wordWrap w:val="0"/>
              <w:spacing w:line="240" w:lineRule="auto"/>
              <w:jc w:val="center"/>
              <w:rPr>
                <w:rFonts w:cs="Times New Roman"/>
                <w:kern w:val="0"/>
                <w:sz w:val="21"/>
                <w:szCs w:val="21"/>
                <w14:ligatures w14:val="none"/>
              </w:rPr>
            </w:pPr>
            <w:r>
              <w:rPr>
                <w:rFonts w:cs="Times New Roman"/>
                <w:kern w:val="0"/>
                <w:sz w:val="21"/>
                <w:szCs w:val="21"/>
                <w14:ligatures w14:val="none"/>
              </w:rPr>
              <w:t>日均值</w:t>
            </w:r>
          </w:p>
        </w:tc>
        <w:tc>
          <w:tcPr>
            <w:tcW w:w="1960" w:type="dxa"/>
            <w:noWrap/>
            <w:vAlign w:val="center"/>
          </w:tcPr>
          <w:p w14:paraId="469D3C84">
            <w:pPr>
              <w:wordWrap w:val="0"/>
              <w:spacing w:line="240" w:lineRule="auto"/>
              <w:jc w:val="center"/>
              <w:rPr>
                <w:rFonts w:cs="Times New Roman"/>
                <w:kern w:val="0"/>
                <w:sz w:val="21"/>
                <w:szCs w:val="21"/>
                <w14:ligatures w14:val="none"/>
              </w:rPr>
            </w:pPr>
            <w:r>
              <w:rPr>
                <w:rFonts w:hint="eastAsia"/>
                <w:sz w:val="21"/>
                <w:szCs w:val="21"/>
              </w:rPr>
              <w:t>7.17E-03</w:t>
            </w:r>
          </w:p>
        </w:tc>
        <w:tc>
          <w:tcPr>
            <w:tcW w:w="1080" w:type="dxa"/>
            <w:noWrap/>
            <w:vAlign w:val="center"/>
          </w:tcPr>
          <w:p w14:paraId="19275EA9">
            <w:pPr>
              <w:wordWrap w:val="0"/>
              <w:spacing w:line="240" w:lineRule="auto"/>
              <w:jc w:val="center"/>
              <w:rPr>
                <w:rFonts w:cs="Times New Roman"/>
                <w:kern w:val="0"/>
                <w:sz w:val="21"/>
                <w:szCs w:val="21"/>
                <w14:ligatures w14:val="none"/>
              </w:rPr>
            </w:pPr>
            <w:r>
              <w:rPr>
                <w:rFonts w:hint="eastAsia"/>
                <w:sz w:val="21"/>
                <w:szCs w:val="21"/>
              </w:rPr>
              <w:t>231026</w:t>
            </w:r>
          </w:p>
        </w:tc>
        <w:tc>
          <w:tcPr>
            <w:tcW w:w="1080" w:type="dxa"/>
            <w:noWrap/>
            <w:vAlign w:val="center"/>
          </w:tcPr>
          <w:p w14:paraId="1667308B">
            <w:pPr>
              <w:wordWrap w:val="0"/>
              <w:spacing w:line="240" w:lineRule="auto"/>
              <w:jc w:val="center"/>
              <w:rPr>
                <w:rFonts w:cs="Times New Roman"/>
                <w:kern w:val="0"/>
                <w:sz w:val="21"/>
                <w:szCs w:val="21"/>
                <w14:ligatures w14:val="none"/>
              </w:rPr>
            </w:pPr>
            <w:r>
              <w:rPr>
                <w:rFonts w:hint="eastAsia"/>
                <w:sz w:val="21"/>
                <w:szCs w:val="21"/>
              </w:rPr>
              <w:t>1.00E+02</w:t>
            </w:r>
          </w:p>
        </w:tc>
        <w:tc>
          <w:tcPr>
            <w:tcW w:w="1080" w:type="dxa"/>
            <w:noWrap/>
            <w:vAlign w:val="center"/>
          </w:tcPr>
          <w:p w14:paraId="0FBE125A">
            <w:pPr>
              <w:wordWrap w:val="0"/>
              <w:spacing w:line="240" w:lineRule="auto"/>
              <w:jc w:val="center"/>
              <w:rPr>
                <w:rFonts w:cs="Times New Roman"/>
                <w:kern w:val="0"/>
                <w:sz w:val="21"/>
                <w:szCs w:val="21"/>
                <w14:ligatures w14:val="none"/>
              </w:rPr>
            </w:pPr>
            <w:r>
              <w:rPr>
                <w:rFonts w:hint="eastAsia"/>
                <w:sz w:val="21"/>
                <w:szCs w:val="21"/>
              </w:rPr>
              <w:t>0.01</w:t>
            </w:r>
          </w:p>
        </w:tc>
        <w:tc>
          <w:tcPr>
            <w:tcW w:w="1080" w:type="dxa"/>
            <w:noWrap/>
            <w:vAlign w:val="center"/>
          </w:tcPr>
          <w:p w14:paraId="09D2AF9C">
            <w:pPr>
              <w:wordWrap w:val="0"/>
              <w:spacing w:line="240" w:lineRule="auto"/>
              <w:jc w:val="center"/>
              <w:rPr>
                <w:rFonts w:cs="Times New Roman"/>
                <w:kern w:val="0"/>
                <w:sz w:val="21"/>
                <w:szCs w:val="21"/>
                <w14:ligatures w14:val="none"/>
              </w:rPr>
            </w:pPr>
            <w:r>
              <w:rPr>
                <w:rFonts w:hint="eastAsia"/>
                <w:sz w:val="21"/>
                <w:szCs w:val="21"/>
              </w:rPr>
              <w:t>达标</w:t>
            </w:r>
          </w:p>
        </w:tc>
      </w:tr>
      <w:tr w14:paraId="51A724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70" w:type="dxa"/>
            <w:vMerge w:val="restart"/>
            <w:vAlign w:val="center"/>
          </w:tcPr>
          <w:p w14:paraId="25C6E2D7">
            <w:pPr>
              <w:wordWrap w:val="0"/>
              <w:spacing w:line="240" w:lineRule="auto"/>
              <w:jc w:val="center"/>
              <w:rPr>
                <w:rFonts w:cs="Times New Roman"/>
                <w:kern w:val="0"/>
                <w:sz w:val="21"/>
                <w:szCs w:val="21"/>
                <w14:ligatures w14:val="none"/>
              </w:rPr>
            </w:pPr>
            <w:r>
              <w:rPr>
                <w:rFonts w:hint="eastAsia" w:cs="Times New Roman"/>
                <w:kern w:val="0"/>
                <w:sz w:val="21"/>
                <w:szCs w:val="21"/>
                <w14:ligatures w14:val="none"/>
              </w:rPr>
              <w:t>9</w:t>
            </w:r>
          </w:p>
        </w:tc>
        <w:tc>
          <w:tcPr>
            <w:tcW w:w="1230" w:type="dxa"/>
            <w:vMerge w:val="restart"/>
            <w:noWrap/>
            <w:vAlign w:val="center"/>
          </w:tcPr>
          <w:p w14:paraId="59F911DE">
            <w:pPr>
              <w:wordWrap w:val="0"/>
              <w:spacing w:line="240" w:lineRule="auto"/>
              <w:jc w:val="center"/>
              <w:rPr>
                <w:rFonts w:cs="Times New Roman"/>
                <w:kern w:val="0"/>
                <w:sz w:val="21"/>
                <w:szCs w:val="21"/>
                <w14:ligatures w14:val="none"/>
              </w:rPr>
            </w:pPr>
            <w:r>
              <w:rPr>
                <w:rFonts w:hint="eastAsia" w:cs="Times New Roman"/>
                <w:kern w:val="0"/>
                <w:sz w:val="21"/>
                <w:szCs w:val="21"/>
                <w14:ligatures w14:val="none"/>
              </w:rPr>
              <w:t>于家村</w:t>
            </w:r>
          </w:p>
        </w:tc>
        <w:tc>
          <w:tcPr>
            <w:tcW w:w="1080" w:type="dxa"/>
            <w:noWrap/>
            <w:vAlign w:val="center"/>
          </w:tcPr>
          <w:p w14:paraId="432F6197">
            <w:pPr>
              <w:wordWrap w:val="0"/>
              <w:spacing w:line="240" w:lineRule="auto"/>
              <w:jc w:val="center"/>
              <w:rPr>
                <w:rFonts w:cs="Times New Roman"/>
                <w:kern w:val="0"/>
                <w:sz w:val="21"/>
                <w:szCs w:val="21"/>
                <w14:ligatures w14:val="none"/>
              </w:rPr>
            </w:pPr>
            <w:r>
              <w:rPr>
                <w:rFonts w:cs="Times New Roman"/>
                <w:kern w:val="0"/>
                <w:sz w:val="21"/>
                <w:szCs w:val="21"/>
                <w14:ligatures w14:val="none"/>
              </w:rPr>
              <w:t>小时值</w:t>
            </w:r>
          </w:p>
        </w:tc>
        <w:tc>
          <w:tcPr>
            <w:tcW w:w="1960" w:type="dxa"/>
            <w:noWrap/>
            <w:vAlign w:val="center"/>
          </w:tcPr>
          <w:p w14:paraId="0BBFC5EF">
            <w:pPr>
              <w:wordWrap w:val="0"/>
              <w:spacing w:line="240" w:lineRule="auto"/>
              <w:jc w:val="center"/>
              <w:rPr>
                <w:rFonts w:cs="Times New Roman"/>
                <w:kern w:val="0"/>
                <w:sz w:val="21"/>
                <w:szCs w:val="21"/>
                <w14:ligatures w14:val="none"/>
              </w:rPr>
            </w:pPr>
            <w:r>
              <w:rPr>
                <w:rFonts w:hint="eastAsia"/>
                <w:sz w:val="21"/>
                <w:szCs w:val="21"/>
              </w:rPr>
              <w:t>1.50E-01</w:t>
            </w:r>
          </w:p>
        </w:tc>
        <w:tc>
          <w:tcPr>
            <w:tcW w:w="1080" w:type="dxa"/>
            <w:noWrap/>
            <w:vAlign w:val="center"/>
          </w:tcPr>
          <w:p w14:paraId="571920C3">
            <w:pPr>
              <w:wordWrap w:val="0"/>
              <w:spacing w:line="240" w:lineRule="auto"/>
              <w:jc w:val="center"/>
              <w:rPr>
                <w:rFonts w:cs="Times New Roman"/>
                <w:kern w:val="0"/>
                <w:sz w:val="21"/>
                <w:szCs w:val="21"/>
                <w14:ligatures w14:val="none"/>
              </w:rPr>
            </w:pPr>
            <w:r>
              <w:rPr>
                <w:rFonts w:hint="eastAsia"/>
                <w:sz w:val="21"/>
                <w:szCs w:val="21"/>
              </w:rPr>
              <w:t>23102202</w:t>
            </w:r>
          </w:p>
        </w:tc>
        <w:tc>
          <w:tcPr>
            <w:tcW w:w="1080" w:type="dxa"/>
            <w:noWrap/>
            <w:vAlign w:val="center"/>
          </w:tcPr>
          <w:p w14:paraId="7A0AC8DB">
            <w:pPr>
              <w:wordWrap w:val="0"/>
              <w:spacing w:line="240" w:lineRule="auto"/>
              <w:jc w:val="center"/>
              <w:rPr>
                <w:rFonts w:cs="Times New Roman"/>
                <w:kern w:val="0"/>
                <w:sz w:val="21"/>
                <w:szCs w:val="21"/>
                <w14:ligatures w14:val="none"/>
              </w:rPr>
            </w:pPr>
            <w:r>
              <w:rPr>
                <w:rFonts w:hint="eastAsia"/>
                <w:sz w:val="21"/>
                <w:szCs w:val="21"/>
              </w:rPr>
              <w:t>3.00E+02</w:t>
            </w:r>
          </w:p>
        </w:tc>
        <w:tc>
          <w:tcPr>
            <w:tcW w:w="1080" w:type="dxa"/>
            <w:noWrap/>
            <w:vAlign w:val="center"/>
          </w:tcPr>
          <w:p w14:paraId="0AC8689B">
            <w:pPr>
              <w:wordWrap w:val="0"/>
              <w:spacing w:line="240" w:lineRule="auto"/>
              <w:jc w:val="center"/>
              <w:rPr>
                <w:rFonts w:cs="Times New Roman"/>
                <w:kern w:val="0"/>
                <w:sz w:val="21"/>
                <w:szCs w:val="21"/>
                <w14:ligatures w14:val="none"/>
              </w:rPr>
            </w:pPr>
            <w:r>
              <w:rPr>
                <w:rFonts w:hint="eastAsia"/>
                <w:sz w:val="21"/>
                <w:szCs w:val="21"/>
              </w:rPr>
              <w:t>0.05</w:t>
            </w:r>
          </w:p>
        </w:tc>
        <w:tc>
          <w:tcPr>
            <w:tcW w:w="1080" w:type="dxa"/>
            <w:noWrap/>
            <w:vAlign w:val="center"/>
          </w:tcPr>
          <w:p w14:paraId="4561BD47">
            <w:pPr>
              <w:wordWrap w:val="0"/>
              <w:spacing w:line="240" w:lineRule="auto"/>
              <w:jc w:val="center"/>
              <w:rPr>
                <w:rFonts w:cs="Times New Roman"/>
                <w:kern w:val="0"/>
                <w:sz w:val="21"/>
                <w:szCs w:val="21"/>
                <w14:ligatures w14:val="none"/>
              </w:rPr>
            </w:pPr>
            <w:r>
              <w:rPr>
                <w:rFonts w:hint="eastAsia"/>
                <w:sz w:val="21"/>
                <w:szCs w:val="21"/>
              </w:rPr>
              <w:t>达标</w:t>
            </w:r>
          </w:p>
        </w:tc>
      </w:tr>
      <w:tr w14:paraId="7FAB69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70" w:type="dxa"/>
            <w:vMerge w:val="continue"/>
            <w:vAlign w:val="center"/>
          </w:tcPr>
          <w:p w14:paraId="143A09C2">
            <w:pPr>
              <w:wordWrap w:val="0"/>
              <w:spacing w:line="240" w:lineRule="auto"/>
              <w:jc w:val="center"/>
              <w:rPr>
                <w:rFonts w:cs="Times New Roman"/>
                <w:kern w:val="0"/>
                <w:sz w:val="21"/>
                <w:szCs w:val="21"/>
                <w14:ligatures w14:val="none"/>
              </w:rPr>
            </w:pPr>
          </w:p>
        </w:tc>
        <w:tc>
          <w:tcPr>
            <w:tcW w:w="1230" w:type="dxa"/>
            <w:vMerge w:val="continue"/>
            <w:noWrap/>
            <w:vAlign w:val="center"/>
          </w:tcPr>
          <w:p w14:paraId="119524CE">
            <w:pPr>
              <w:wordWrap w:val="0"/>
              <w:spacing w:line="240" w:lineRule="auto"/>
              <w:jc w:val="center"/>
              <w:rPr>
                <w:rFonts w:cs="Times New Roman"/>
                <w:kern w:val="0"/>
                <w:sz w:val="21"/>
                <w:szCs w:val="21"/>
                <w14:ligatures w14:val="none"/>
              </w:rPr>
            </w:pPr>
          </w:p>
        </w:tc>
        <w:tc>
          <w:tcPr>
            <w:tcW w:w="1080" w:type="dxa"/>
            <w:noWrap/>
            <w:vAlign w:val="center"/>
          </w:tcPr>
          <w:p w14:paraId="21B1B7B2">
            <w:pPr>
              <w:wordWrap w:val="0"/>
              <w:spacing w:line="240" w:lineRule="auto"/>
              <w:jc w:val="center"/>
              <w:rPr>
                <w:rFonts w:cs="Times New Roman"/>
                <w:kern w:val="0"/>
                <w:sz w:val="21"/>
                <w:szCs w:val="21"/>
                <w14:ligatures w14:val="none"/>
              </w:rPr>
            </w:pPr>
            <w:r>
              <w:rPr>
                <w:rFonts w:cs="Times New Roman"/>
                <w:kern w:val="0"/>
                <w:sz w:val="21"/>
                <w:szCs w:val="21"/>
                <w14:ligatures w14:val="none"/>
              </w:rPr>
              <w:t>日均值</w:t>
            </w:r>
          </w:p>
        </w:tc>
        <w:tc>
          <w:tcPr>
            <w:tcW w:w="1960" w:type="dxa"/>
            <w:noWrap/>
            <w:vAlign w:val="center"/>
          </w:tcPr>
          <w:p w14:paraId="39E0FEBB">
            <w:pPr>
              <w:wordWrap w:val="0"/>
              <w:spacing w:line="240" w:lineRule="auto"/>
              <w:jc w:val="center"/>
              <w:rPr>
                <w:rFonts w:cs="Times New Roman"/>
                <w:kern w:val="0"/>
                <w:sz w:val="21"/>
                <w:szCs w:val="21"/>
                <w14:ligatures w14:val="none"/>
              </w:rPr>
            </w:pPr>
            <w:r>
              <w:rPr>
                <w:rFonts w:hint="eastAsia"/>
                <w:sz w:val="21"/>
                <w:szCs w:val="21"/>
              </w:rPr>
              <w:t>9.65E-03</w:t>
            </w:r>
          </w:p>
        </w:tc>
        <w:tc>
          <w:tcPr>
            <w:tcW w:w="1080" w:type="dxa"/>
            <w:noWrap/>
            <w:vAlign w:val="center"/>
          </w:tcPr>
          <w:p w14:paraId="07992853">
            <w:pPr>
              <w:wordWrap w:val="0"/>
              <w:spacing w:line="240" w:lineRule="auto"/>
              <w:jc w:val="center"/>
              <w:rPr>
                <w:rFonts w:cs="Times New Roman"/>
                <w:kern w:val="0"/>
                <w:sz w:val="21"/>
                <w:szCs w:val="21"/>
                <w14:ligatures w14:val="none"/>
              </w:rPr>
            </w:pPr>
            <w:r>
              <w:rPr>
                <w:rFonts w:hint="eastAsia"/>
                <w:sz w:val="21"/>
                <w:szCs w:val="21"/>
              </w:rPr>
              <w:t>231022</w:t>
            </w:r>
          </w:p>
        </w:tc>
        <w:tc>
          <w:tcPr>
            <w:tcW w:w="1080" w:type="dxa"/>
            <w:noWrap/>
            <w:vAlign w:val="center"/>
          </w:tcPr>
          <w:p w14:paraId="19ACAA35">
            <w:pPr>
              <w:wordWrap w:val="0"/>
              <w:spacing w:line="240" w:lineRule="auto"/>
              <w:jc w:val="center"/>
              <w:rPr>
                <w:rFonts w:cs="Times New Roman"/>
                <w:kern w:val="0"/>
                <w:sz w:val="21"/>
                <w:szCs w:val="21"/>
                <w14:ligatures w14:val="none"/>
              </w:rPr>
            </w:pPr>
            <w:r>
              <w:rPr>
                <w:rFonts w:hint="eastAsia"/>
                <w:sz w:val="21"/>
                <w:szCs w:val="21"/>
              </w:rPr>
              <w:t>1.00E+02</w:t>
            </w:r>
          </w:p>
        </w:tc>
        <w:tc>
          <w:tcPr>
            <w:tcW w:w="1080" w:type="dxa"/>
            <w:noWrap/>
            <w:vAlign w:val="center"/>
          </w:tcPr>
          <w:p w14:paraId="100A739F">
            <w:pPr>
              <w:wordWrap w:val="0"/>
              <w:spacing w:line="240" w:lineRule="auto"/>
              <w:jc w:val="center"/>
              <w:rPr>
                <w:rFonts w:cs="Times New Roman"/>
                <w:kern w:val="0"/>
                <w:sz w:val="21"/>
                <w:szCs w:val="21"/>
                <w14:ligatures w14:val="none"/>
              </w:rPr>
            </w:pPr>
            <w:r>
              <w:rPr>
                <w:rFonts w:hint="eastAsia"/>
                <w:sz w:val="21"/>
                <w:szCs w:val="21"/>
              </w:rPr>
              <w:t>0.01</w:t>
            </w:r>
          </w:p>
        </w:tc>
        <w:tc>
          <w:tcPr>
            <w:tcW w:w="1080" w:type="dxa"/>
            <w:noWrap/>
            <w:vAlign w:val="center"/>
          </w:tcPr>
          <w:p w14:paraId="7C024F5C">
            <w:pPr>
              <w:wordWrap w:val="0"/>
              <w:spacing w:line="240" w:lineRule="auto"/>
              <w:jc w:val="center"/>
              <w:rPr>
                <w:rFonts w:cs="Times New Roman"/>
                <w:kern w:val="0"/>
                <w:sz w:val="21"/>
                <w:szCs w:val="21"/>
                <w14:ligatures w14:val="none"/>
              </w:rPr>
            </w:pPr>
            <w:r>
              <w:rPr>
                <w:rFonts w:hint="eastAsia"/>
                <w:sz w:val="21"/>
                <w:szCs w:val="21"/>
              </w:rPr>
              <w:t>达标</w:t>
            </w:r>
          </w:p>
        </w:tc>
      </w:tr>
      <w:tr w14:paraId="2394D2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70" w:type="dxa"/>
            <w:vMerge w:val="restart"/>
            <w:vAlign w:val="center"/>
          </w:tcPr>
          <w:p w14:paraId="6E0A3833">
            <w:pPr>
              <w:wordWrap w:val="0"/>
              <w:spacing w:line="240" w:lineRule="auto"/>
              <w:jc w:val="center"/>
              <w:rPr>
                <w:rFonts w:cs="Times New Roman"/>
                <w:kern w:val="0"/>
                <w:sz w:val="21"/>
                <w:szCs w:val="21"/>
                <w14:ligatures w14:val="none"/>
              </w:rPr>
            </w:pPr>
            <w:r>
              <w:rPr>
                <w:rFonts w:hint="eastAsia" w:cs="Times New Roman"/>
                <w:kern w:val="0"/>
                <w:sz w:val="21"/>
                <w:szCs w:val="21"/>
                <w14:ligatures w14:val="none"/>
              </w:rPr>
              <w:t>10</w:t>
            </w:r>
          </w:p>
        </w:tc>
        <w:tc>
          <w:tcPr>
            <w:tcW w:w="1230" w:type="dxa"/>
            <w:vMerge w:val="restart"/>
            <w:noWrap/>
            <w:vAlign w:val="center"/>
          </w:tcPr>
          <w:p w14:paraId="191AFDC8">
            <w:pPr>
              <w:wordWrap w:val="0"/>
              <w:spacing w:line="240" w:lineRule="auto"/>
              <w:jc w:val="center"/>
              <w:rPr>
                <w:rFonts w:cs="Times New Roman"/>
                <w:kern w:val="0"/>
                <w:sz w:val="21"/>
                <w:szCs w:val="21"/>
                <w14:ligatures w14:val="none"/>
              </w:rPr>
            </w:pPr>
            <w:r>
              <w:rPr>
                <w:rFonts w:hint="eastAsia" w:cs="Times New Roman"/>
                <w:kern w:val="0"/>
                <w:sz w:val="21"/>
                <w:szCs w:val="21"/>
                <w14:ligatures w14:val="none"/>
              </w:rPr>
              <w:t>陈巷</w:t>
            </w:r>
          </w:p>
        </w:tc>
        <w:tc>
          <w:tcPr>
            <w:tcW w:w="1080" w:type="dxa"/>
            <w:noWrap/>
            <w:vAlign w:val="center"/>
          </w:tcPr>
          <w:p w14:paraId="3B86A1DF">
            <w:pPr>
              <w:wordWrap w:val="0"/>
              <w:spacing w:line="240" w:lineRule="auto"/>
              <w:jc w:val="center"/>
              <w:rPr>
                <w:rFonts w:cs="Times New Roman"/>
                <w:kern w:val="0"/>
                <w:sz w:val="21"/>
                <w:szCs w:val="21"/>
                <w14:ligatures w14:val="none"/>
              </w:rPr>
            </w:pPr>
            <w:r>
              <w:rPr>
                <w:rFonts w:cs="Times New Roman"/>
                <w:kern w:val="0"/>
                <w:sz w:val="21"/>
                <w:szCs w:val="21"/>
                <w14:ligatures w14:val="none"/>
              </w:rPr>
              <w:t>小时值</w:t>
            </w:r>
          </w:p>
        </w:tc>
        <w:tc>
          <w:tcPr>
            <w:tcW w:w="1960" w:type="dxa"/>
            <w:noWrap/>
            <w:vAlign w:val="center"/>
          </w:tcPr>
          <w:p w14:paraId="36FCB50A">
            <w:pPr>
              <w:wordWrap w:val="0"/>
              <w:spacing w:line="240" w:lineRule="auto"/>
              <w:jc w:val="center"/>
              <w:rPr>
                <w:rFonts w:cs="Times New Roman"/>
                <w:kern w:val="0"/>
                <w:sz w:val="21"/>
                <w:szCs w:val="21"/>
                <w14:ligatures w14:val="none"/>
              </w:rPr>
            </w:pPr>
            <w:r>
              <w:rPr>
                <w:rFonts w:hint="eastAsia"/>
                <w:sz w:val="21"/>
                <w:szCs w:val="21"/>
              </w:rPr>
              <w:t>1.11E-01</w:t>
            </w:r>
          </w:p>
        </w:tc>
        <w:tc>
          <w:tcPr>
            <w:tcW w:w="1080" w:type="dxa"/>
            <w:noWrap/>
            <w:vAlign w:val="center"/>
          </w:tcPr>
          <w:p w14:paraId="17BA0FFC">
            <w:pPr>
              <w:wordWrap w:val="0"/>
              <w:spacing w:line="240" w:lineRule="auto"/>
              <w:jc w:val="center"/>
              <w:rPr>
                <w:rFonts w:cs="Times New Roman"/>
                <w:kern w:val="0"/>
                <w:sz w:val="21"/>
                <w:szCs w:val="21"/>
                <w14:ligatures w14:val="none"/>
              </w:rPr>
            </w:pPr>
            <w:r>
              <w:rPr>
                <w:rFonts w:hint="eastAsia"/>
                <w:sz w:val="21"/>
                <w:szCs w:val="21"/>
              </w:rPr>
              <w:t>23092204</w:t>
            </w:r>
          </w:p>
        </w:tc>
        <w:tc>
          <w:tcPr>
            <w:tcW w:w="1080" w:type="dxa"/>
            <w:noWrap/>
            <w:vAlign w:val="center"/>
          </w:tcPr>
          <w:p w14:paraId="5803F7BC">
            <w:pPr>
              <w:wordWrap w:val="0"/>
              <w:spacing w:line="240" w:lineRule="auto"/>
              <w:jc w:val="center"/>
              <w:rPr>
                <w:rFonts w:cs="Times New Roman"/>
                <w:kern w:val="0"/>
                <w:sz w:val="21"/>
                <w:szCs w:val="21"/>
                <w14:ligatures w14:val="none"/>
              </w:rPr>
            </w:pPr>
            <w:r>
              <w:rPr>
                <w:rFonts w:hint="eastAsia"/>
                <w:sz w:val="21"/>
                <w:szCs w:val="21"/>
              </w:rPr>
              <w:t>3.00E+02</w:t>
            </w:r>
          </w:p>
        </w:tc>
        <w:tc>
          <w:tcPr>
            <w:tcW w:w="1080" w:type="dxa"/>
            <w:noWrap/>
            <w:vAlign w:val="center"/>
          </w:tcPr>
          <w:p w14:paraId="2B43C230">
            <w:pPr>
              <w:wordWrap w:val="0"/>
              <w:spacing w:line="240" w:lineRule="auto"/>
              <w:jc w:val="center"/>
              <w:rPr>
                <w:rFonts w:cs="Times New Roman"/>
                <w:kern w:val="0"/>
                <w:sz w:val="21"/>
                <w:szCs w:val="21"/>
                <w14:ligatures w14:val="none"/>
              </w:rPr>
            </w:pPr>
            <w:r>
              <w:rPr>
                <w:rFonts w:hint="eastAsia"/>
                <w:sz w:val="21"/>
                <w:szCs w:val="21"/>
              </w:rPr>
              <w:t>0.04</w:t>
            </w:r>
          </w:p>
        </w:tc>
        <w:tc>
          <w:tcPr>
            <w:tcW w:w="1080" w:type="dxa"/>
            <w:noWrap/>
            <w:vAlign w:val="center"/>
          </w:tcPr>
          <w:p w14:paraId="617D6B93">
            <w:pPr>
              <w:wordWrap w:val="0"/>
              <w:spacing w:line="240" w:lineRule="auto"/>
              <w:jc w:val="center"/>
              <w:rPr>
                <w:rFonts w:cs="Times New Roman"/>
                <w:kern w:val="0"/>
                <w:sz w:val="21"/>
                <w:szCs w:val="21"/>
                <w14:ligatures w14:val="none"/>
              </w:rPr>
            </w:pPr>
            <w:r>
              <w:rPr>
                <w:rFonts w:hint="eastAsia"/>
                <w:sz w:val="21"/>
                <w:szCs w:val="21"/>
              </w:rPr>
              <w:t>达标</w:t>
            </w:r>
          </w:p>
        </w:tc>
      </w:tr>
      <w:tr w14:paraId="5BFD18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70" w:type="dxa"/>
            <w:vMerge w:val="continue"/>
            <w:vAlign w:val="center"/>
          </w:tcPr>
          <w:p w14:paraId="1F68BC20">
            <w:pPr>
              <w:wordWrap w:val="0"/>
              <w:spacing w:line="240" w:lineRule="auto"/>
              <w:jc w:val="center"/>
              <w:rPr>
                <w:rFonts w:cs="Times New Roman"/>
                <w:kern w:val="0"/>
                <w:sz w:val="21"/>
                <w:szCs w:val="21"/>
                <w14:ligatures w14:val="none"/>
              </w:rPr>
            </w:pPr>
          </w:p>
        </w:tc>
        <w:tc>
          <w:tcPr>
            <w:tcW w:w="1230" w:type="dxa"/>
            <w:vMerge w:val="continue"/>
            <w:noWrap/>
            <w:vAlign w:val="center"/>
          </w:tcPr>
          <w:p w14:paraId="1005D871">
            <w:pPr>
              <w:wordWrap w:val="0"/>
              <w:spacing w:line="240" w:lineRule="auto"/>
              <w:jc w:val="center"/>
              <w:rPr>
                <w:rFonts w:cs="Times New Roman"/>
                <w:kern w:val="0"/>
                <w:sz w:val="21"/>
                <w:szCs w:val="21"/>
                <w14:ligatures w14:val="none"/>
              </w:rPr>
            </w:pPr>
          </w:p>
        </w:tc>
        <w:tc>
          <w:tcPr>
            <w:tcW w:w="1080" w:type="dxa"/>
            <w:noWrap/>
            <w:vAlign w:val="center"/>
          </w:tcPr>
          <w:p w14:paraId="4B4D1F19">
            <w:pPr>
              <w:wordWrap w:val="0"/>
              <w:spacing w:line="240" w:lineRule="auto"/>
              <w:jc w:val="center"/>
              <w:rPr>
                <w:rFonts w:cs="Times New Roman"/>
                <w:kern w:val="0"/>
                <w:sz w:val="21"/>
                <w:szCs w:val="21"/>
                <w14:ligatures w14:val="none"/>
              </w:rPr>
            </w:pPr>
            <w:r>
              <w:rPr>
                <w:rFonts w:cs="Times New Roman"/>
                <w:kern w:val="0"/>
                <w:sz w:val="21"/>
                <w:szCs w:val="21"/>
                <w14:ligatures w14:val="none"/>
              </w:rPr>
              <w:t>日均值</w:t>
            </w:r>
          </w:p>
        </w:tc>
        <w:tc>
          <w:tcPr>
            <w:tcW w:w="1960" w:type="dxa"/>
            <w:noWrap/>
            <w:vAlign w:val="center"/>
          </w:tcPr>
          <w:p w14:paraId="68AED6D3">
            <w:pPr>
              <w:wordWrap w:val="0"/>
              <w:spacing w:line="240" w:lineRule="auto"/>
              <w:jc w:val="center"/>
              <w:rPr>
                <w:rFonts w:cs="Times New Roman"/>
                <w:kern w:val="0"/>
                <w:sz w:val="21"/>
                <w:szCs w:val="21"/>
                <w14:ligatures w14:val="none"/>
              </w:rPr>
            </w:pPr>
            <w:r>
              <w:rPr>
                <w:rFonts w:hint="eastAsia"/>
                <w:sz w:val="21"/>
                <w:szCs w:val="21"/>
              </w:rPr>
              <w:t>6.25E-03</w:t>
            </w:r>
          </w:p>
        </w:tc>
        <w:tc>
          <w:tcPr>
            <w:tcW w:w="1080" w:type="dxa"/>
            <w:noWrap/>
            <w:vAlign w:val="center"/>
          </w:tcPr>
          <w:p w14:paraId="16744734">
            <w:pPr>
              <w:wordWrap w:val="0"/>
              <w:spacing w:line="240" w:lineRule="auto"/>
              <w:jc w:val="center"/>
              <w:rPr>
                <w:rFonts w:cs="Times New Roman"/>
                <w:kern w:val="0"/>
                <w:sz w:val="21"/>
                <w:szCs w:val="21"/>
                <w14:ligatures w14:val="none"/>
              </w:rPr>
            </w:pPr>
            <w:r>
              <w:rPr>
                <w:rFonts w:hint="eastAsia"/>
                <w:sz w:val="21"/>
                <w:szCs w:val="21"/>
              </w:rPr>
              <w:t>230922</w:t>
            </w:r>
          </w:p>
        </w:tc>
        <w:tc>
          <w:tcPr>
            <w:tcW w:w="1080" w:type="dxa"/>
            <w:noWrap/>
            <w:vAlign w:val="center"/>
          </w:tcPr>
          <w:p w14:paraId="05DC549C">
            <w:pPr>
              <w:wordWrap w:val="0"/>
              <w:spacing w:line="240" w:lineRule="auto"/>
              <w:jc w:val="center"/>
              <w:rPr>
                <w:rFonts w:cs="Times New Roman"/>
                <w:kern w:val="0"/>
                <w:sz w:val="21"/>
                <w:szCs w:val="21"/>
                <w14:ligatures w14:val="none"/>
              </w:rPr>
            </w:pPr>
            <w:r>
              <w:rPr>
                <w:rFonts w:hint="eastAsia"/>
                <w:sz w:val="21"/>
                <w:szCs w:val="21"/>
              </w:rPr>
              <w:t>1.00E+02</w:t>
            </w:r>
          </w:p>
        </w:tc>
        <w:tc>
          <w:tcPr>
            <w:tcW w:w="1080" w:type="dxa"/>
            <w:noWrap/>
            <w:vAlign w:val="center"/>
          </w:tcPr>
          <w:p w14:paraId="70A6996B">
            <w:pPr>
              <w:wordWrap w:val="0"/>
              <w:spacing w:line="240" w:lineRule="auto"/>
              <w:jc w:val="center"/>
              <w:rPr>
                <w:rFonts w:cs="Times New Roman"/>
                <w:kern w:val="0"/>
                <w:sz w:val="21"/>
                <w:szCs w:val="21"/>
                <w14:ligatures w14:val="none"/>
              </w:rPr>
            </w:pPr>
            <w:r>
              <w:rPr>
                <w:rFonts w:hint="eastAsia"/>
                <w:sz w:val="21"/>
                <w:szCs w:val="21"/>
              </w:rPr>
              <w:t>0.01</w:t>
            </w:r>
          </w:p>
        </w:tc>
        <w:tc>
          <w:tcPr>
            <w:tcW w:w="1080" w:type="dxa"/>
            <w:noWrap/>
            <w:vAlign w:val="center"/>
          </w:tcPr>
          <w:p w14:paraId="42589947">
            <w:pPr>
              <w:wordWrap w:val="0"/>
              <w:spacing w:line="240" w:lineRule="auto"/>
              <w:jc w:val="center"/>
              <w:rPr>
                <w:rFonts w:cs="Times New Roman"/>
                <w:kern w:val="0"/>
                <w:sz w:val="21"/>
                <w:szCs w:val="21"/>
                <w14:ligatures w14:val="none"/>
              </w:rPr>
            </w:pPr>
            <w:r>
              <w:rPr>
                <w:rFonts w:hint="eastAsia"/>
                <w:sz w:val="21"/>
                <w:szCs w:val="21"/>
              </w:rPr>
              <w:t>达标</w:t>
            </w:r>
          </w:p>
        </w:tc>
      </w:tr>
      <w:tr w14:paraId="669EFF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70" w:type="dxa"/>
            <w:vMerge w:val="restart"/>
            <w:vAlign w:val="center"/>
          </w:tcPr>
          <w:p w14:paraId="17B217AA">
            <w:pPr>
              <w:wordWrap w:val="0"/>
              <w:spacing w:line="240" w:lineRule="auto"/>
              <w:jc w:val="center"/>
              <w:rPr>
                <w:rFonts w:cs="Times New Roman"/>
                <w:kern w:val="0"/>
                <w:sz w:val="21"/>
                <w:szCs w:val="21"/>
                <w14:ligatures w14:val="none"/>
              </w:rPr>
            </w:pPr>
            <w:r>
              <w:rPr>
                <w:rFonts w:hint="eastAsia" w:cs="Times New Roman"/>
                <w:kern w:val="0"/>
                <w:sz w:val="21"/>
                <w:szCs w:val="21"/>
                <w14:ligatures w14:val="none"/>
              </w:rPr>
              <w:t>11</w:t>
            </w:r>
          </w:p>
        </w:tc>
        <w:tc>
          <w:tcPr>
            <w:tcW w:w="1230" w:type="dxa"/>
            <w:vMerge w:val="restart"/>
            <w:noWrap/>
            <w:vAlign w:val="center"/>
          </w:tcPr>
          <w:p w14:paraId="264286E3">
            <w:pPr>
              <w:wordWrap w:val="0"/>
              <w:spacing w:line="240" w:lineRule="auto"/>
              <w:jc w:val="center"/>
              <w:rPr>
                <w:rFonts w:cs="Times New Roman"/>
                <w:kern w:val="0"/>
                <w:sz w:val="21"/>
                <w:szCs w:val="21"/>
                <w14:ligatures w14:val="none"/>
              </w:rPr>
            </w:pPr>
            <w:r>
              <w:rPr>
                <w:rFonts w:cs="Times New Roman"/>
                <w:kern w:val="0"/>
                <w:sz w:val="21"/>
                <w:szCs w:val="21"/>
                <w14:ligatures w14:val="none"/>
              </w:rPr>
              <w:t>网格</w:t>
            </w:r>
          </w:p>
        </w:tc>
        <w:tc>
          <w:tcPr>
            <w:tcW w:w="1080" w:type="dxa"/>
            <w:noWrap/>
            <w:vAlign w:val="center"/>
          </w:tcPr>
          <w:p w14:paraId="613D79CB">
            <w:pPr>
              <w:wordWrap w:val="0"/>
              <w:spacing w:line="240" w:lineRule="auto"/>
              <w:jc w:val="center"/>
              <w:rPr>
                <w:rFonts w:cs="Times New Roman"/>
                <w:kern w:val="0"/>
                <w:sz w:val="21"/>
                <w:szCs w:val="21"/>
                <w14:ligatures w14:val="none"/>
              </w:rPr>
            </w:pPr>
            <w:r>
              <w:rPr>
                <w:rFonts w:cs="Times New Roman"/>
                <w:kern w:val="0"/>
                <w:sz w:val="21"/>
                <w:szCs w:val="21"/>
                <w14:ligatures w14:val="none"/>
              </w:rPr>
              <w:t>小时值</w:t>
            </w:r>
          </w:p>
        </w:tc>
        <w:tc>
          <w:tcPr>
            <w:tcW w:w="1960" w:type="dxa"/>
            <w:noWrap/>
            <w:vAlign w:val="center"/>
          </w:tcPr>
          <w:p w14:paraId="0E765DF4">
            <w:pPr>
              <w:wordWrap w:val="0"/>
              <w:spacing w:line="240" w:lineRule="auto"/>
              <w:jc w:val="center"/>
              <w:rPr>
                <w:rFonts w:cs="Times New Roman"/>
                <w:kern w:val="0"/>
                <w:sz w:val="21"/>
                <w:szCs w:val="21"/>
                <w14:ligatures w14:val="none"/>
              </w:rPr>
            </w:pPr>
            <w:r>
              <w:rPr>
                <w:rFonts w:hint="eastAsia"/>
                <w:sz w:val="21"/>
                <w:szCs w:val="21"/>
              </w:rPr>
              <w:t>4.91E-01</w:t>
            </w:r>
          </w:p>
        </w:tc>
        <w:tc>
          <w:tcPr>
            <w:tcW w:w="1080" w:type="dxa"/>
            <w:noWrap/>
            <w:vAlign w:val="center"/>
          </w:tcPr>
          <w:p w14:paraId="6DFF211F">
            <w:pPr>
              <w:wordWrap w:val="0"/>
              <w:spacing w:line="240" w:lineRule="auto"/>
              <w:jc w:val="center"/>
              <w:rPr>
                <w:rFonts w:cs="Times New Roman"/>
                <w:kern w:val="0"/>
                <w:sz w:val="21"/>
                <w:szCs w:val="21"/>
                <w14:ligatures w14:val="none"/>
              </w:rPr>
            </w:pPr>
            <w:r>
              <w:rPr>
                <w:rFonts w:hint="eastAsia"/>
                <w:sz w:val="21"/>
                <w:szCs w:val="21"/>
              </w:rPr>
              <w:t>23100807</w:t>
            </w:r>
          </w:p>
        </w:tc>
        <w:tc>
          <w:tcPr>
            <w:tcW w:w="1080" w:type="dxa"/>
            <w:noWrap/>
            <w:vAlign w:val="center"/>
          </w:tcPr>
          <w:p w14:paraId="6FA6870A">
            <w:pPr>
              <w:wordWrap w:val="0"/>
              <w:spacing w:line="240" w:lineRule="auto"/>
              <w:jc w:val="center"/>
              <w:rPr>
                <w:rFonts w:cs="Times New Roman"/>
                <w:kern w:val="0"/>
                <w:sz w:val="21"/>
                <w:szCs w:val="21"/>
                <w14:ligatures w14:val="none"/>
              </w:rPr>
            </w:pPr>
            <w:r>
              <w:rPr>
                <w:rFonts w:hint="eastAsia"/>
                <w:sz w:val="21"/>
                <w:szCs w:val="21"/>
              </w:rPr>
              <w:t>3.00E+02</w:t>
            </w:r>
          </w:p>
        </w:tc>
        <w:tc>
          <w:tcPr>
            <w:tcW w:w="1080" w:type="dxa"/>
            <w:noWrap/>
            <w:vAlign w:val="center"/>
          </w:tcPr>
          <w:p w14:paraId="6297704F">
            <w:pPr>
              <w:wordWrap w:val="0"/>
              <w:spacing w:line="240" w:lineRule="auto"/>
              <w:jc w:val="center"/>
              <w:rPr>
                <w:rFonts w:cs="Times New Roman"/>
                <w:kern w:val="0"/>
                <w:sz w:val="21"/>
                <w:szCs w:val="21"/>
                <w14:ligatures w14:val="none"/>
              </w:rPr>
            </w:pPr>
            <w:r>
              <w:rPr>
                <w:rFonts w:hint="eastAsia"/>
                <w:sz w:val="21"/>
                <w:szCs w:val="21"/>
              </w:rPr>
              <w:t>0.16</w:t>
            </w:r>
          </w:p>
        </w:tc>
        <w:tc>
          <w:tcPr>
            <w:tcW w:w="1080" w:type="dxa"/>
            <w:noWrap/>
            <w:vAlign w:val="center"/>
          </w:tcPr>
          <w:p w14:paraId="66BC7345">
            <w:pPr>
              <w:wordWrap w:val="0"/>
              <w:spacing w:line="240" w:lineRule="auto"/>
              <w:jc w:val="center"/>
              <w:rPr>
                <w:rFonts w:cs="Times New Roman"/>
                <w:kern w:val="0"/>
                <w:sz w:val="21"/>
                <w:szCs w:val="21"/>
                <w14:ligatures w14:val="none"/>
              </w:rPr>
            </w:pPr>
            <w:r>
              <w:rPr>
                <w:rFonts w:hint="eastAsia"/>
                <w:sz w:val="21"/>
                <w:szCs w:val="21"/>
              </w:rPr>
              <w:t>达标</w:t>
            </w:r>
          </w:p>
        </w:tc>
      </w:tr>
      <w:tr w14:paraId="05C84D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70" w:type="dxa"/>
            <w:vMerge w:val="continue"/>
          </w:tcPr>
          <w:p w14:paraId="7CBBA3E3">
            <w:pPr>
              <w:wordWrap w:val="0"/>
              <w:spacing w:line="240" w:lineRule="auto"/>
              <w:jc w:val="center"/>
              <w:rPr>
                <w:rFonts w:cs="Times New Roman"/>
                <w:kern w:val="0"/>
                <w:sz w:val="21"/>
                <w:szCs w:val="21"/>
                <w14:ligatures w14:val="none"/>
              </w:rPr>
            </w:pPr>
          </w:p>
        </w:tc>
        <w:tc>
          <w:tcPr>
            <w:tcW w:w="1230" w:type="dxa"/>
            <w:vMerge w:val="continue"/>
            <w:noWrap/>
            <w:vAlign w:val="center"/>
          </w:tcPr>
          <w:p w14:paraId="458B40FD">
            <w:pPr>
              <w:wordWrap w:val="0"/>
              <w:spacing w:line="240" w:lineRule="auto"/>
              <w:jc w:val="center"/>
              <w:rPr>
                <w:rFonts w:cs="Times New Roman"/>
                <w:kern w:val="0"/>
                <w:sz w:val="21"/>
                <w:szCs w:val="21"/>
                <w14:ligatures w14:val="none"/>
              </w:rPr>
            </w:pPr>
          </w:p>
        </w:tc>
        <w:tc>
          <w:tcPr>
            <w:tcW w:w="1080" w:type="dxa"/>
            <w:noWrap/>
            <w:vAlign w:val="center"/>
          </w:tcPr>
          <w:p w14:paraId="0A48F7C4">
            <w:pPr>
              <w:wordWrap w:val="0"/>
              <w:spacing w:line="240" w:lineRule="auto"/>
              <w:jc w:val="center"/>
              <w:rPr>
                <w:rFonts w:cs="Times New Roman"/>
                <w:kern w:val="0"/>
                <w:sz w:val="21"/>
                <w:szCs w:val="21"/>
                <w14:ligatures w14:val="none"/>
              </w:rPr>
            </w:pPr>
            <w:r>
              <w:rPr>
                <w:rFonts w:cs="Times New Roman"/>
                <w:kern w:val="0"/>
                <w:sz w:val="21"/>
                <w:szCs w:val="21"/>
                <w14:ligatures w14:val="none"/>
              </w:rPr>
              <w:t>日均值</w:t>
            </w:r>
          </w:p>
        </w:tc>
        <w:tc>
          <w:tcPr>
            <w:tcW w:w="1960" w:type="dxa"/>
            <w:noWrap/>
            <w:vAlign w:val="center"/>
          </w:tcPr>
          <w:p w14:paraId="2C55C31E">
            <w:pPr>
              <w:wordWrap w:val="0"/>
              <w:spacing w:line="240" w:lineRule="auto"/>
              <w:jc w:val="center"/>
              <w:rPr>
                <w:rFonts w:cs="Times New Roman"/>
                <w:kern w:val="0"/>
                <w:sz w:val="21"/>
                <w:szCs w:val="21"/>
                <w14:ligatures w14:val="none"/>
              </w:rPr>
            </w:pPr>
            <w:r>
              <w:rPr>
                <w:rFonts w:hint="eastAsia"/>
                <w:sz w:val="21"/>
                <w:szCs w:val="21"/>
              </w:rPr>
              <w:t>1.58E-01</w:t>
            </w:r>
          </w:p>
        </w:tc>
        <w:tc>
          <w:tcPr>
            <w:tcW w:w="1080" w:type="dxa"/>
            <w:noWrap/>
            <w:vAlign w:val="center"/>
          </w:tcPr>
          <w:p w14:paraId="712B101D">
            <w:pPr>
              <w:wordWrap w:val="0"/>
              <w:spacing w:line="240" w:lineRule="auto"/>
              <w:jc w:val="center"/>
              <w:rPr>
                <w:rFonts w:cs="Times New Roman"/>
                <w:kern w:val="0"/>
                <w:sz w:val="21"/>
                <w:szCs w:val="21"/>
                <w14:ligatures w14:val="none"/>
              </w:rPr>
            </w:pPr>
            <w:r>
              <w:rPr>
                <w:rFonts w:hint="eastAsia"/>
                <w:sz w:val="21"/>
                <w:szCs w:val="21"/>
              </w:rPr>
              <w:t>230717</w:t>
            </w:r>
          </w:p>
        </w:tc>
        <w:tc>
          <w:tcPr>
            <w:tcW w:w="1080" w:type="dxa"/>
            <w:noWrap/>
            <w:vAlign w:val="center"/>
          </w:tcPr>
          <w:p w14:paraId="1C162DE9">
            <w:pPr>
              <w:wordWrap w:val="0"/>
              <w:spacing w:line="240" w:lineRule="auto"/>
              <w:jc w:val="center"/>
              <w:rPr>
                <w:rFonts w:cs="Times New Roman"/>
                <w:kern w:val="0"/>
                <w:sz w:val="21"/>
                <w:szCs w:val="21"/>
                <w14:ligatures w14:val="none"/>
              </w:rPr>
            </w:pPr>
            <w:r>
              <w:rPr>
                <w:rFonts w:hint="eastAsia"/>
                <w:sz w:val="21"/>
                <w:szCs w:val="21"/>
              </w:rPr>
              <w:t>1.00E+02</w:t>
            </w:r>
          </w:p>
        </w:tc>
        <w:tc>
          <w:tcPr>
            <w:tcW w:w="1080" w:type="dxa"/>
            <w:noWrap/>
            <w:vAlign w:val="center"/>
          </w:tcPr>
          <w:p w14:paraId="19EC0369">
            <w:pPr>
              <w:wordWrap w:val="0"/>
              <w:spacing w:line="240" w:lineRule="auto"/>
              <w:jc w:val="center"/>
              <w:rPr>
                <w:rFonts w:cs="Times New Roman"/>
                <w:kern w:val="0"/>
                <w:sz w:val="21"/>
                <w:szCs w:val="21"/>
                <w14:ligatures w14:val="none"/>
              </w:rPr>
            </w:pPr>
            <w:r>
              <w:rPr>
                <w:rFonts w:hint="eastAsia"/>
                <w:sz w:val="21"/>
                <w:szCs w:val="21"/>
              </w:rPr>
              <w:t>0.16</w:t>
            </w:r>
          </w:p>
        </w:tc>
        <w:tc>
          <w:tcPr>
            <w:tcW w:w="1080" w:type="dxa"/>
            <w:noWrap/>
            <w:vAlign w:val="center"/>
          </w:tcPr>
          <w:p w14:paraId="0E4B9CBA">
            <w:pPr>
              <w:wordWrap w:val="0"/>
              <w:spacing w:line="240" w:lineRule="auto"/>
              <w:jc w:val="center"/>
              <w:rPr>
                <w:rFonts w:cs="Times New Roman"/>
                <w:kern w:val="0"/>
                <w:sz w:val="21"/>
                <w:szCs w:val="21"/>
                <w14:ligatures w14:val="none"/>
              </w:rPr>
            </w:pPr>
            <w:r>
              <w:rPr>
                <w:rFonts w:hint="eastAsia"/>
                <w:sz w:val="21"/>
                <w:szCs w:val="21"/>
              </w:rPr>
              <w:t>达标</w:t>
            </w:r>
          </w:p>
        </w:tc>
      </w:tr>
    </w:tbl>
    <w:p w14:paraId="7049A875">
      <w:pPr>
        <w:ind w:firstLine="480" w:firstLineChars="200"/>
      </w:pPr>
    </w:p>
    <w:p w14:paraId="54D08085">
      <w:pPr>
        <w:ind w:firstLine="468" w:firstLineChars="200"/>
        <w:rPr>
          <w:rFonts w:cs="Times New Roman"/>
          <w:spacing w:val="-3"/>
        </w:rPr>
      </w:pPr>
    </w:p>
    <w:p w14:paraId="5DDF5D6F">
      <w:pPr>
        <w:ind w:firstLine="468" w:firstLineChars="200"/>
        <w:rPr>
          <w:rFonts w:cs="Times New Roman"/>
          <w:spacing w:val="-3"/>
        </w:rPr>
        <w:sectPr>
          <w:pgSz w:w="11906" w:h="16838"/>
          <w:pgMar w:top="1418" w:right="1418" w:bottom="1418" w:left="1418" w:header="851" w:footer="992" w:gutter="0"/>
          <w:cols w:space="425" w:num="1"/>
          <w:docGrid w:type="lines" w:linePitch="326" w:charSpace="0"/>
        </w:sectPr>
      </w:pPr>
    </w:p>
    <w:p w14:paraId="5D105379">
      <w:pPr>
        <w:spacing w:line="240" w:lineRule="auto"/>
        <w:jc w:val="center"/>
        <w:rPr>
          <w:rFonts w:cs="Times New Roman"/>
          <w:spacing w:val="-3"/>
        </w:rPr>
      </w:pPr>
      <w:r>
        <w:drawing>
          <wp:inline distT="0" distB="0" distL="0" distR="0">
            <wp:extent cx="8639810" cy="4148455"/>
            <wp:effectExtent l="0" t="0" r="8890" b="4445"/>
            <wp:docPr id="178014670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0146708" name="图片 1"/>
                    <pic:cNvPicPr>
                      <a:picLocks noChangeAspect="1"/>
                    </pic:cNvPicPr>
                  </pic:nvPicPr>
                  <pic:blipFill>
                    <a:blip r:embed="rId30"/>
                    <a:stretch>
                      <a:fillRect/>
                    </a:stretch>
                  </pic:blipFill>
                  <pic:spPr>
                    <a:xfrm>
                      <a:off x="0" y="0"/>
                      <a:ext cx="8640000" cy="4148533"/>
                    </a:xfrm>
                    <a:prstGeom prst="rect">
                      <a:avLst/>
                    </a:prstGeom>
                  </pic:spPr>
                </pic:pic>
              </a:graphicData>
            </a:graphic>
          </wp:inline>
        </w:drawing>
      </w:r>
    </w:p>
    <w:p w14:paraId="565F353A">
      <w:pPr>
        <w:pStyle w:val="28"/>
        <w:rPr>
          <w:rFonts w:hint="eastAsia"/>
        </w:rPr>
      </w:pPr>
      <w:r>
        <w:rPr>
          <w:rFonts w:hint="eastAsia"/>
        </w:rPr>
        <w:t>图6.2-2  非甲烷总烃1h平均贡献浓度预测结果    单位：</w:t>
      </w:r>
      <w:r>
        <w:rPr>
          <w:rFonts w:ascii="Times New Roman" w:hAnsi="Times New Roman" w:cs="Times New Roman"/>
        </w:rPr>
        <w:t>μg/m</w:t>
      </w:r>
      <w:r>
        <w:rPr>
          <w:rFonts w:ascii="Times New Roman" w:hAnsi="Times New Roman" w:cs="Times New Roman"/>
          <w:vertAlign w:val="superscript"/>
        </w:rPr>
        <w:t>3</w:t>
      </w:r>
    </w:p>
    <w:p w14:paraId="1D89DDF8">
      <w:pPr>
        <w:spacing w:line="240" w:lineRule="auto"/>
        <w:jc w:val="center"/>
      </w:pPr>
      <w:r>
        <w:drawing>
          <wp:inline distT="0" distB="0" distL="0" distR="0">
            <wp:extent cx="8639810" cy="4199890"/>
            <wp:effectExtent l="0" t="0" r="8890" b="0"/>
            <wp:docPr id="142801017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010170" name="图片 1"/>
                    <pic:cNvPicPr>
                      <a:picLocks noChangeAspect="1"/>
                    </pic:cNvPicPr>
                  </pic:nvPicPr>
                  <pic:blipFill>
                    <a:blip r:embed="rId31"/>
                    <a:stretch>
                      <a:fillRect/>
                    </a:stretch>
                  </pic:blipFill>
                  <pic:spPr>
                    <a:xfrm>
                      <a:off x="0" y="0"/>
                      <a:ext cx="8640000" cy="4199974"/>
                    </a:xfrm>
                    <a:prstGeom prst="rect">
                      <a:avLst/>
                    </a:prstGeom>
                  </pic:spPr>
                </pic:pic>
              </a:graphicData>
            </a:graphic>
          </wp:inline>
        </w:drawing>
      </w:r>
    </w:p>
    <w:p w14:paraId="4D153C26">
      <w:pPr>
        <w:pStyle w:val="28"/>
        <w:rPr>
          <w:rFonts w:hint="eastAsia"/>
        </w:rPr>
      </w:pPr>
      <w:r>
        <w:rPr>
          <w:rFonts w:hint="eastAsia"/>
        </w:rPr>
        <w:t>图6.2-3 酚类1h平均贡献浓度预测结果    单位：</w:t>
      </w:r>
      <w:r>
        <w:rPr>
          <w:rFonts w:ascii="Times New Roman" w:hAnsi="Times New Roman" w:cs="Times New Roman"/>
        </w:rPr>
        <w:t>μg/m</w:t>
      </w:r>
      <w:r>
        <w:rPr>
          <w:rFonts w:ascii="Times New Roman" w:hAnsi="Times New Roman" w:cs="Times New Roman"/>
          <w:vertAlign w:val="superscript"/>
        </w:rPr>
        <w:t>3</w:t>
      </w:r>
    </w:p>
    <w:p w14:paraId="42B15B77">
      <w:pPr>
        <w:ind w:firstLine="480" w:firstLineChars="200"/>
      </w:pPr>
    </w:p>
    <w:p w14:paraId="290EC005">
      <w:pPr>
        <w:ind w:firstLine="480" w:firstLineChars="200"/>
      </w:pPr>
    </w:p>
    <w:p w14:paraId="35E946D9">
      <w:pPr>
        <w:spacing w:line="240" w:lineRule="auto"/>
        <w:jc w:val="center"/>
      </w:pPr>
      <w:r>
        <w:drawing>
          <wp:inline distT="0" distB="0" distL="0" distR="0">
            <wp:extent cx="8639810" cy="4199890"/>
            <wp:effectExtent l="0" t="0" r="8890" b="0"/>
            <wp:docPr id="8605720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57205" name="图片 1"/>
                    <pic:cNvPicPr>
                      <a:picLocks noChangeAspect="1"/>
                    </pic:cNvPicPr>
                  </pic:nvPicPr>
                  <pic:blipFill>
                    <a:blip r:embed="rId32"/>
                    <a:stretch>
                      <a:fillRect/>
                    </a:stretch>
                  </pic:blipFill>
                  <pic:spPr>
                    <a:xfrm>
                      <a:off x="0" y="0"/>
                      <a:ext cx="8640000" cy="4199974"/>
                    </a:xfrm>
                    <a:prstGeom prst="rect">
                      <a:avLst/>
                    </a:prstGeom>
                  </pic:spPr>
                </pic:pic>
              </a:graphicData>
            </a:graphic>
          </wp:inline>
        </w:drawing>
      </w:r>
    </w:p>
    <w:p w14:paraId="514FD42A">
      <w:pPr>
        <w:pStyle w:val="28"/>
        <w:rPr>
          <w:rFonts w:hint="eastAsia"/>
        </w:rPr>
      </w:pPr>
      <w:r>
        <w:rPr>
          <w:rFonts w:hint="eastAsia"/>
        </w:rPr>
        <w:t>图6.2-4 硫酸雾1h平均贡献浓度预测结果    单位：</w:t>
      </w:r>
      <w:r>
        <w:rPr>
          <w:rFonts w:ascii="Times New Roman" w:hAnsi="Times New Roman" w:cs="Times New Roman"/>
        </w:rPr>
        <w:t>μg/m</w:t>
      </w:r>
      <w:r>
        <w:rPr>
          <w:rFonts w:ascii="Times New Roman" w:hAnsi="Times New Roman" w:cs="Times New Roman"/>
          <w:vertAlign w:val="superscript"/>
        </w:rPr>
        <w:t>3</w:t>
      </w:r>
    </w:p>
    <w:p w14:paraId="7E8B2738">
      <w:pPr>
        <w:spacing w:line="240" w:lineRule="auto"/>
        <w:jc w:val="center"/>
      </w:pPr>
      <w:r>
        <w:drawing>
          <wp:inline distT="0" distB="0" distL="0" distR="0">
            <wp:extent cx="8639810" cy="3996055"/>
            <wp:effectExtent l="0" t="0" r="8890" b="4445"/>
            <wp:docPr id="9844746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474615" name="图片 1"/>
                    <pic:cNvPicPr>
                      <a:picLocks noChangeAspect="1"/>
                    </pic:cNvPicPr>
                  </pic:nvPicPr>
                  <pic:blipFill>
                    <a:blip r:embed="rId33"/>
                    <a:stretch>
                      <a:fillRect/>
                    </a:stretch>
                  </pic:blipFill>
                  <pic:spPr>
                    <a:xfrm>
                      <a:off x="0" y="0"/>
                      <a:ext cx="8640000" cy="3996119"/>
                    </a:xfrm>
                    <a:prstGeom prst="rect">
                      <a:avLst/>
                    </a:prstGeom>
                  </pic:spPr>
                </pic:pic>
              </a:graphicData>
            </a:graphic>
          </wp:inline>
        </w:drawing>
      </w:r>
    </w:p>
    <w:p w14:paraId="3B6C98FD">
      <w:pPr>
        <w:pStyle w:val="28"/>
        <w:rPr>
          <w:rFonts w:hint="eastAsia"/>
        </w:rPr>
      </w:pPr>
      <w:r>
        <w:rPr>
          <w:rFonts w:hint="eastAsia"/>
        </w:rPr>
        <w:t>图6.2-5 硫酸雾日均贡献浓度预测结果    单位：</w:t>
      </w:r>
      <w:r>
        <w:rPr>
          <w:rFonts w:ascii="Times New Roman" w:hAnsi="Times New Roman" w:cs="Times New Roman"/>
        </w:rPr>
        <w:t>μg/m</w:t>
      </w:r>
      <w:r>
        <w:rPr>
          <w:rFonts w:ascii="Times New Roman" w:hAnsi="Times New Roman" w:cs="Times New Roman"/>
          <w:vertAlign w:val="superscript"/>
        </w:rPr>
        <w:t>3</w:t>
      </w:r>
    </w:p>
    <w:p w14:paraId="5035EF4F">
      <w:pPr>
        <w:ind w:firstLine="480" w:firstLineChars="200"/>
        <w:sectPr>
          <w:pgSz w:w="16838" w:h="11906" w:orient="landscape"/>
          <w:pgMar w:top="1418" w:right="1418" w:bottom="1418" w:left="1418" w:header="851" w:footer="992" w:gutter="0"/>
          <w:cols w:space="425" w:num="1"/>
          <w:docGrid w:type="lines" w:linePitch="326" w:charSpace="0"/>
        </w:sectPr>
      </w:pPr>
    </w:p>
    <w:p w14:paraId="402A9BE4">
      <w:pPr>
        <w:ind w:firstLine="480" w:firstLineChars="200"/>
      </w:pPr>
      <w:r>
        <w:rPr>
          <w:rFonts w:hint="eastAsia"/>
        </w:rPr>
        <w:t>2、叠加现状污染源正常排放预测结果</w:t>
      </w:r>
    </w:p>
    <w:p w14:paraId="3DAB4CC6">
      <w:pPr>
        <w:pStyle w:val="82"/>
        <w:ind w:firstLine="480"/>
        <w:jc w:val="both"/>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本次叠加预测评价主要考虑新增污染源-拟被替代污染源+其他在建污染源后叠加环境空气质量现状，以判定环境保护目标和网格点主要污染物的保证率日平均质量浓度和年平均质量浓度的达标情况。</w:t>
      </w:r>
    </w:p>
    <w:p w14:paraId="6FAD24B0">
      <w:pPr>
        <w:pStyle w:val="82"/>
        <w:ind w:firstLine="480"/>
        <w:jc w:val="both"/>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(1)非甲烷总烃</w:t>
      </w:r>
    </w:p>
    <w:p w14:paraId="60656F31">
      <w:pPr>
        <w:pStyle w:val="82"/>
        <w:ind w:firstLine="480"/>
        <w:jc w:val="both"/>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预测结果表明各敏感点及网格点非甲烷总烃叠加现状浓度背景值后的小时平均浓度均满足《大气污染物综合排放标准详解》中的推荐限值。</w:t>
      </w:r>
    </w:p>
    <w:p w14:paraId="2E67A35D">
      <w:pPr>
        <w:pStyle w:val="28"/>
        <w:rPr>
          <w:rFonts w:hint="eastAsia"/>
          <w:szCs w:val="22"/>
        </w:rPr>
      </w:pPr>
      <w:r>
        <w:rPr>
          <w:szCs w:val="22"/>
        </w:rPr>
        <w:t>表</w:t>
      </w:r>
      <w:r>
        <w:rPr>
          <w:rFonts w:hint="eastAsia"/>
          <w:szCs w:val="22"/>
        </w:rPr>
        <w:t xml:space="preserve">6.2-18 </w:t>
      </w:r>
      <w:r>
        <w:rPr>
          <w:szCs w:val="22"/>
        </w:rPr>
        <w:t xml:space="preserve"> </w:t>
      </w:r>
      <w:r>
        <w:rPr>
          <w:rFonts w:hint="eastAsia"/>
        </w:rPr>
        <w:t>非甲烷总烃叠加预测结果</w:t>
      </w:r>
    </w:p>
    <w:tbl>
      <w:tblPr>
        <w:tblStyle w:val="37"/>
        <w:tblW w:w="941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1129"/>
        <w:gridCol w:w="850"/>
        <w:gridCol w:w="1134"/>
        <w:gridCol w:w="1056"/>
        <w:gridCol w:w="1134"/>
        <w:gridCol w:w="1134"/>
        <w:gridCol w:w="1134"/>
        <w:gridCol w:w="709"/>
        <w:gridCol w:w="709"/>
      </w:tblGrid>
      <w:tr w14:paraId="3C4779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jc w:val="center"/>
        </w:trPr>
        <w:tc>
          <w:tcPr>
            <w:tcW w:w="426" w:type="dxa"/>
            <w:vAlign w:val="center"/>
          </w:tcPr>
          <w:p w14:paraId="58F2E43A">
            <w:pPr>
              <w:wordWrap w:val="0"/>
              <w:spacing w:line="240" w:lineRule="auto"/>
              <w:jc w:val="center"/>
              <w:rPr>
                <w:rFonts w:cs="Times New Roman"/>
                <w:sz w:val="21"/>
                <w:szCs w:val="21"/>
              </w:rPr>
            </w:pPr>
            <w:r>
              <w:rPr>
                <w:rFonts w:hint="eastAsia" w:cs="Times New Roman"/>
                <w:sz w:val="21"/>
                <w:szCs w:val="21"/>
              </w:rPr>
              <w:t>序号</w:t>
            </w:r>
          </w:p>
        </w:tc>
        <w:tc>
          <w:tcPr>
            <w:tcW w:w="1129" w:type="dxa"/>
            <w:noWrap/>
            <w:vAlign w:val="center"/>
          </w:tcPr>
          <w:p w14:paraId="792A5CCF">
            <w:pPr>
              <w:wordWrap w:val="0"/>
              <w:spacing w:line="240" w:lineRule="auto"/>
              <w:jc w:val="center"/>
              <w:rPr>
                <w:rFonts w:cs="Times New Roman"/>
                <w:sz w:val="21"/>
                <w:szCs w:val="21"/>
              </w:rPr>
            </w:pPr>
            <w:r>
              <w:rPr>
                <w:rFonts w:hint="eastAsia" w:cs="Times New Roman"/>
                <w:sz w:val="21"/>
                <w:szCs w:val="21"/>
              </w:rPr>
              <w:t>点名称</w:t>
            </w:r>
          </w:p>
        </w:tc>
        <w:tc>
          <w:tcPr>
            <w:tcW w:w="850" w:type="dxa"/>
            <w:noWrap/>
            <w:vAlign w:val="center"/>
          </w:tcPr>
          <w:p w14:paraId="693765EF">
            <w:pPr>
              <w:wordWrap w:val="0"/>
              <w:spacing w:line="240" w:lineRule="auto"/>
              <w:jc w:val="center"/>
              <w:rPr>
                <w:rFonts w:cs="Times New Roman"/>
                <w:sz w:val="21"/>
                <w:szCs w:val="21"/>
              </w:rPr>
            </w:pPr>
            <w:r>
              <w:rPr>
                <w:rFonts w:cs="Times New Roman"/>
                <w:sz w:val="21"/>
                <w:szCs w:val="21"/>
              </w:rPr>
              <w:t>浓度类型</w:t>
            </w:r>
          </w:p>
        </w:tc>
        <w:tc>
          <w:tcPr>
            <w:tcW w:w="1134" w:type="dxa"/>
            <w:noWrap/>
            <w:vAlign w:val="center"/>
          </w:tcPr>
          <w:p w14:paraId="0D4E8208">
            <w:pPr>
              <w:wordWrap w:val="0"/>
              <w:spacing w:line="240" w:lineRule="auto"/>
              <w:jc w:val="center"/>
              <w:rPr>
                <w:rFonts w:cs="Times New Roman"/>
                <w:sz w:val="21"/>
                <w:szCs w:val="21"/>
              </w:rPr>
            </w:pPr>
            <w:r>
              <w:rPr>
                <w:rFonts w:cs="Times New Roman"/>
                <w:sz w:val="21"/>
                <w:szCs w:val="21"/>
              </w:rPr>
              <w:t>浓度增量(μg/m</w:t>
            </w:r>
            <w:r>
              <w:rPr>
                <w:rFonts w:cs="Times New Roman"/>
                <w:sz w:val="21"/>
                <w:szCs w:val="21"/>
                <w:vertAlign w:val="superscript"/>
              </w:rPr>
              <w:t>3</w:t>
            </w:r>
            <w:r>
              <w:rPr>
                <w:rFonts w:cs="Times New Roman"/>
                <w:sz w:val="21"/>
                <w:szCs w:val="21"/>
              </w:rPr>
              <w:t>)</w:t>
            </w:r>
          </w:p>
        </w:tc>
        <w:tc>
          <w:tcPr>
            <w:tcW w:w="1056" w:type="dxa"/>
            <w:noWrap/>
            <w:vAlign w:val="center"/>
          </w:tcPr>
          <w:p w14:paraId="17DF1838">
            <w:pPr>
              <w:wordWrap w:val="0"/>
              <w:spacing w:line="240" w:lineRule="auto"/>
              <w:jc w:val="center"/>
              <w:rPr>
                <w:rFonts w:cs="Times New Roman"/>
                <w:sz w:val="21"/>
                <w:szCs w:val="21"/>
              </w:rPr>
            </w:pPr>
            <w:r>
              <w:rPr>
                <w:rFonts w:cs="Times New Roman"/>
                <w:sz w:val="21"/>
                <w:szCs w:val="21"/>
              </w:rPr>
              <w:t>出现时间</w:t>
            </w:r>
          </w:p>
        </w:tc>
        <w:tc>
          <w:tcPr>
            <w:tcW w:w="1134" w:type="dxa"/>
            <w:noWrap/>
            <w:vAlign w:val="center"/>
          </w:tcPr>
          <w:p w14:paraId="64B0CF5E">
            <w:pPr>
              <w:wordWrap w:val="0"/>
              <w:spacing w:line="240" w:lineRule="auto"/>
              <w:jc w:val="center"/>
              <w:rPr>
                <w:rFonts w:cs="Times New Roman"/>
                <w:sz w:val="21"/>
                <w:szCs w:val="21"/>
              </w:rPr>
            </w:pPr>
            <w:r>
              <w:rPr>
                <w:rFonts w:cs="Times New Roman"/>
                <w:sz w:val="21"/>
                <w:szCs w:val="21"/>
              </w:rPr>
              <w:t>背景浓度(μg/m</w:t>
            </w:r>
            <w:r>
              <w:rPr>
                <w:rFonts w:cs="Times New Roman"/>
                <w:sz w:val="21"/>
                <w:szCs w:val="21"/>
                <w:vertAlign w:val="superscript"/>
              </w:rPr>
              <w:t>3</w:t>
            </w:r>
            <w:r>
              <w:rPr>
                <w:rFonts w:cs="Times New Roman"/>
                <w:sz w:val="21"/>
                <w:szCs w:val="21"/>
              </w:rPr>
              <w:t>)</w:t>
            </w:r>
          </w:p>
        </w:tc>
        <w:tc>
          <w:tcPr>
            <w:tcW w:w="1134" w:type="dxa"/>
            <w:noWrap/>
            <w:vAlign w:val="center"/>
          </w:tcPr>
          <w:p w14:paraId="6E103DBC">
            <w:pPr>
              <w:wordWrap w:val="0"/>
              <w:spacing w:line="240" w:lineRule="auto"/>
              <w:jc w:val="center"/>
              <w:rPr>
                <w:rFonts w:cs="Times New Roman"/>
                <w:sz w:val="21"/>
                <w:szCs w:val="21"/>
              </w:rPr>
            </w:pPr>
            <w:r>
              <w:rPr>
                <w:rFonts w:cs="Times New Roman"/>
                <w:sz w:val="21"/>
                <w:szCs w:val="21"/>
              </w:rPr>
              <w:t>叠加背景后的浓度(μg/m</w:t>
            </w:r>
            <w:r>
              <w:rPr>
                <w:rFonts w:cs="Times New Roman"/>
                <w:sz w:val="21"/>
                <w:szCs w:val="21"/>
                <w:vertAlign w:val="superscript"/>
              </w:rPr>
              <w:t>3</w:t>
            </w:r>
            <w:r>
              <w:rPr>
                <w:rFonts w:cs="Times New Roman"/>
                <w:sz w:val="21"/>
                <w:szCs w:val="21"/>
              </w:rPr>
              <w:t>)</w:t>
            </w:r>
          </w:p>
        </w:tc>
        <w:tc>
          <w:tcPr>
            <w:tcW w:w="1134" w:type="dxa"/>
            <w:noWrap/>
            <w:vAlign w:val="center"/>
          </w:tcPr>
          <w:p w14:paraId="001D476B">
            <w:pPr>
              <w:wordWrap w:val="0"/>
              <w:spacing w:line="240" w:lineRule="auto"/>
              <w:jc w:val="center"/>
              <w:rPr>
                <w:rFonts w:cs="Times New Roman"/>
                <w:sz w:val="21"/>
                <w:szCs w:val="21"/>
              </w:rPr>
            </w:pPr>
            <w:r>
              <w:rPr>
                <w:rFonts w:cs="Times New Roman"/>
                <w:sz w:val="21"/>
                <w:szCs w:val="21"/>
              </w:rPr>
              <w:t>评价标准(μg/m</w:t>
            </w:r>
            <w:r>
              <w:rPr>
                <w:rFonts w:cs="Times New Roman"/>
                <w:sz w:val="21"/>
                <w:szCs w:val="21"/>
                <w:vertAlign w:val="superscript"/>
              </w:rPr>
              <w:t>3</w:t>
            </w:r>
            <w:r>
              <w:rPr>
                <w:rFonts w:cs="Times New Roman"/>
                <w:sz w:val="21"/>
                <w:szCs w:val="21"/>
              </w:rPr>
              <w:t>)</w:t>
            </w:r>
          </w:p>
        </w:tc>
        <w:tc>
          <w:tcPr>
            <w:tcW w:w="709" w:type="dxa"/>
            <w:noWrap/>
            <w:vAlign w:val="center"/>
          </w:tcPr>
          <w:p w14:paraId="7E49798E">
            <w:pPr>
              <w:wordWrap w:val="0"/>
              <w:spacing w:line="240" w:lineRule="auto"/>
              <w:jc w:val="center"/>
              <w:rPr>
                <w:rFonts w:cs="Times New Roman"/>
                <w:sz w:val="21"/>
                <w:szCs w:val="21"/>
              </w:rPr>
            </w:pPr>
            <w:r>
              <w:rPr>
                <w:rFonts w:cs="Times New Roman"/>
                <w:sz w:val="21"/>
                <w:szCs w:val="21"/>
              </w:rPr>
              <w:t>占标率%</w:t>
            </w:r>
          </w:p>
        </w:tc>
        <w:tc>
          <w:tcPr>
            <w:tcW w:w="709" w:type="dxa"/>
            <w:noWrap/>
            <w:vAlign w:val="center"/>
          </w:tcPr>
          <w:p w14:paraId="63C94ACD">
            <w:pPr>
              <w:wordWrap w:val="0"/>
              <w:spacing w:line="240" w:lineRule="auto"/>
              <w:jc w:val="center"/>
              <w:rPr>
                <w:rFonts w:cs="Times New Roman"/>
                <w:sz w:val="21"/>
                <w:szCs w:val="21"/>
              </w:rPr>
            </w:pPr>
            <w:r>
              <w:rPr>
                <w:rFonts w:cs="Times New Roman"/>
                <w:sz w:val="21"/>
                <w:szCs w:val="21"/>
              </w:rPr>
              <w:t>达标情况</w:t>
            </w:r>
          </w:p>
        </w:tc>
      </w:tr>
      <w:tr w14:paraId="3CEB09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26" w:type="dxa"/>
            <w:vAlign w:val="center"/>
          </w:tcPr>
          <w:p w14:paraId="1D03AA34">
            <w:pPr>
              <w:wordWrap w:val="0"/>
              <w:spacing w:line="240" w:lineRule="auto"/>
              <w:jc w:val="center"/>
              <w:rPr>
                <w:rFonts w:cs="Times New Roman"/>
                <w:sz w:val="21"/>
                <w:szCs w:val="21"/>
              </w:rPr>
            </w:pPr>
            <w:r>
              <w:rPr>
                <w:rFonts w:hint="eastAsia" w:cs="Times New Roman"/>
                <w:sz w:val="21"/>
                <w:szCs w:val="21"/>
              </w:rPr>
              <w:t>1</w:t>
            </w:r>
          </w:p>
        </w:tc>
        <w:tc>
          <w:tcPr>
            <w:tcW w:w="1129" w:type="dxa"/>
            <w:noWrap/>
            <w:vAlign w:val="center"/>
          </w:tcPr>
          <w:p w14:paraId="30A53C79">
            <w:pPr>
              <w:wordWrap w:val="0"/>
              <w:spacing w:line="240" w:lineRule="auto"/>
              <w:jc w:val="center"/>
              <w:rPr>
                <w:rFonts w:cs="Times New Roman"/>
                <w:sz w:val="21"/>
                <w:szCs w:val="21"/>
              </w:rPr>
            </w:pPr>
            <w:r>
              <w:rPr>
                <w:rFonts w:hint="eastAsia"/>
                <w:sz w:val="21"/>
                <w:szCs w:val="21"/>
              </w:rPr>
              <w:t>三铺村</w:t>
            </w:r>
          </w:p>
        </w:tc>
        <w:tc>
          <w:tcPr>
            <w:tcW w:w="850" w:type="dxa"/>
            <w:noWrap/>
            <w:vAlign w:val="center"/>
          </w:tcPr>
          <w:p w14:paraId="4E0DAE8B">
            <w:pPr>
              <w:wordWrap w:val="0"/>
              <w:spacing w:line="240" w:lineRule="auto"/>
              <w:jc w:val="center"/>
              <w:rPr>
                <w:rFonts w:cs="Times New Roman"/>
                <w:sz w:val="21"/>
                <w:szCs w:val="21"/>
              </w:rPr>
            </w:pPr>
            <w:r>
              <w:rPr>
                <w:rFonts w:hint="eastAsia"/>
                <w:sz w:val="21"/>
                <w:szCs w:val="21"/>
              </w:rPr>
              <w:t>小时值</w:t>
            </w:r>
          </w:p>
        </w:tc>
        <w:tc>
          <w:tcPr>
            <w:tcW w:w="1134" w:type="dxa"/>
            <w:noWrap/>
            <w:vAlign w:val="center"/>
          </w:tcPr>
          <w:p w14:paraId="7DEDFA5C">
            <w:pPr>
              <w:spacing w:line="240" w:lineRule="auto"/>
              <w:jc w:val="center"/>
              <w:rPr>
                <w:rFonts w:cs="Times New Roman"/>
                <w:sz w:val="21"/>
                <w:szCs w:val="21"/>
              </w:rPr>
            </w:pPr>
            <w:r>
              <w:rPr>
                <w:rFonts w:hint="eastAsia"/>
                <w:sz w:val="21"/>
                <w:szCs w:val="21"/>
              </w:rPr>
              <w:t>1.71E+01</w:t>
            </w:r>
          </w:p>
        </w:tc>
        <w:tc>
          <w:tcPr>
            <w:tcW w:w="1056" w:type="dxa"/>
            <w:noWrap/>
            <w:vAlign w:val="center"/>
          </w:tcPr>
          <w:p w14:paraId="2DAAA2E5">
            <w:pPr>
              <w:spacing w:line="240" w:lineRule="auto"/>
              <w:jc w:val="center"/>
              <w:rPr>
                <w:rFonts w:cs="Times New Roman"/>
                <w:sz w:val="21"/>
                <w:szCs w:val="21"/>
              </w:rPr>
            </w:pPr>
            <w:r>
              <w:rPr>
                <w:rFonts w:hint="eastAsia"/>
                <w:sz w:val="21"/>
                <w:szCs w:val="21"/>
              </w:rPr>
              <w:t>23102107</w:t>
            </w:r>
          </w:p>
        </w:tc>
        <w:tc>
          <w:tcPr>
            <w:tcW w:w="1134" w:type="dxa"/>
            <w:noWrap/>
            <w:vAlign w:val="center"/>
          </w:tcPr>
          <w:p w14:paraId="0637EE42">
            <w:pPr>
              <w:spacing w:line="240" w:lineRule="auto"/>
              <w:jc w:val="center"/>
              <w:rPr>
                <w:rFonts w:cs="Times New Roman"/>
                <w:sz w:val="21"/>
                <w:szCs w:val="21"/>
              </w:rPr>
            </w:pPr>
            <w:r>
              <w:rPr>
                <w:rFonts w:hint="eastAsia"/>
                <w:sz w:val="21"/>
                <w:szCs w:val="21"/>
              </w:rPr>
              <w:t>1.60E+02</w:t>
            </w:r>
          </w:p>
        </w:tc>
        <w:tc>
          <w:tcPr>
            <w:tcW w:w="1134" w:type="dxa"/>
            <w:noWrap/>
            <w:vAlign w:val="center"/>
          </w:tcPr>
          <w:p w14:paraId="2ABBFCE5">
            <w:pPr>
              <w:spacing w:line="240" w:lineRule="auto"/>
              <w:jc w:val="center"/>
              <w:rPr>
                <w:rFonts w:cs="Times New Roman"/>
                <w:sz w:val="21"/>
                <w:szCs w:val="21"/>
              </w:rPr>
            </w:pPr>
            <w:r>
              <w:rPr>
                <w:rFonts w:hint="eastAsia"/>
                <w:sz w:val="21"/>
                <w:szCs w:val="21"/>
              </w:rPr>
              <w:t>1.77E+02</w:t>
            </w:r>
          </w:p>
        </w:tc>
        <w:tc>
          <w:tcPr>
            <w:tcW w:w="1134" w:type="dxa"/>
            <w:noWrap/>
            <w:vAlign w:val="center"/>
          </w:tcPr>
          <w:p w14:paraId="08E1A966">
            <w:pPr>
              <w:spacing w:line="240" w:lineRule="auto"/>
              <w:jc w:val="center"/>
              <w:rPr>
                <w:rFonts w:cs="Times New Roman"/>
                <w:sz w:val="21"/>
                <w:szCs w:val="21"/>
              </w:rPr>
            </w:pPr>
            <w:r>
              <w:rPr>
                <w:rFonts w:hint="eastAsia"/>
                <w:sz w:val="21"/>
                <w:szCs w:val="21"/>
              </w:rPr>
              <w:t>2.00E+03</w:t>
            </w:r>
          </w:p>
        </w:tc>
        <w:tc>
          <w:tcPr>
            <w:tcW w:w="709" w:type="dxa"/>
            <w:noWrap/>
            <w:vAlign w:val="center"/>
          </w:tcPr>
          <w:p w14:paraId="542C571D">
            <w:pPr>
              <w:spacing w:line="240" w:lineRule="auto"/>
              <w:jc w:val="center"/>
              <w:rPr>
                <w:rFonts w:cs="Times New Roman"/>
                <w:sz w:val="21"/>
                <w:szCs w:val="21"/>
              </w:rPr>
            </w:pPr>
            <w:r>
              <w:rPr>
                <w:rFonts w:hint="eastAsia"/>
                <w:sz w:val="21"/>
                <w:szCs w:val="21"/>
              </w:rPr>
              <w:t>8.85</w:t>
            </w:r>
          </w:p>
        </w:tc>
        <w:tc>
          <w:tcPr>
            <w:tcW w:w="709" w:type="dxa"/>
            <w:noWrap/>
            <w:vAlign w:val="center"/>
          </w:tcPr>
          <w:p w14:paraId="4416E20E">
            <w:pPr>
              <w:spacing w:line="240" w:lineRule="auto"/>
              <w:jc w:val="center"/>
              <w:rPr>
                <w:rFonts w:cs="Times New Roman"/>
                <w:sz w:val="21"/>
                <w:szCs w:val="21"/>
              </w:rPr>
            </w:pPr>
            <w:r>
              <w:rPr>
                <w:rFonts w:hint="eastAsia"/>
                <w:sz w:val="21"/>
                <w:szCs w:val="21"/>
              </w:rPr>
              <w:t>达标</w:t>
            </w:r>
          </w:p>
        </w:tc>
      </w:tr>
      <w:tr w14:paraId="1D3482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26" w:type="dxa"/>
            <w:vAlign w:val="center"/>
          </w:tcPr>
          <w:p w14:paraId="1FE5D713">
            <w:pPr>
              <w:wordWrap w:val="0"/>
              <w:spacing w:line="240" w:lineRule="auto"/>
              <w:jc w:val="center"/>
              <w:rPr>
                <w:rFonts w:cs="Times New Roman"/>
                <w:sz w:val="21"/>
                <w:szCs w:val="21"/>
              </w:rPr>
            </w:pPr>
            <w:r>
              <w:rPr>
                <w:rFonts w:hint="eastAsia" w:cs="Times New Roman"/>
                <w:sz w:val="21"/>
                <w:szCs w:val="21"/>
              </w:rPr>
              <w:t>2</w:t>
            </w:r>
          </w:p>
        </w:tc>
        <w:tc>
          <w:tcPr>
            <w:tcW w:w="1129" w:type="dxa"/>
            <w:noWrap/>
            <w:vAlign w:val="center"/>
          </w:tcPr>
          <w:p w14:paraId="4F78B670">
            <w:pPr>
              <w:wordWrap w:val="0"/>
              <w:spacing w:line="240" w:lineRule="auto"/>
              <w:jc w:val="center"/>
              <w:rPr>
                <w:rFonts w:cs="Times New Roman"/>
                <w:sz w:val="21"/>
                <w:szCs w:val="21"/>
              </w:rPr>
            </w:pPr>
            <w:r>
              <w:rPr>
                <w:rFonts w:hint="eastAsia"/>
                <w:sz w:val="21"/>
                <w:szCs w:val="21"/>
              </w:rPr>
              <w:t>三铺小学</w:t>
            </w:r>
          </w:p>
        </w:tc>
        <w:tc>
          <w:tcPr>
            <w:tcW w:w="850" w:type="dxa"/>
            <w:noWrap/>
            <w:vAlign w:val="center"/>
          </w:tcPr>
          <w:p w14:paraId="64FBCBEA">
            <w:pPr>
              <w:wordWrap w:val="0"/>
              <w:spacing w:line="240" w:lineRule="auto"/>
              <w:jc w:val="center"/>
              <w:rPr>
                <w:rFonts w:cs="Times New Roman"/>
                <w:sz w:val="21"/>
                <w:szCs w:val="21"/>
              </w:rPr>
            </w:pPr>
            <w:r>
              <w:rPr>
                <w:rFonts w:hint="eastAsia"/>
                <w:sz w:val="21"/>
                <w:szCs w:val="21"/>
              </w:rPr>
              <w:t>小时值</w:t>
            </w:r>
          </w:p>
        </w:tc>
        <w:tc>
          <w:tcPr>
            <w:tcW w:w="1134" w:type="dxa"/>
            <w:noWrap/>
            <w:vAlign w:val="center"/>
          </w:tcPr>
          <w:p w14:paraId="2ACAB90F">
            <w:pPr>
              <w:spacing w:line="240" w:lineRule="auto"/>
              <w:jc w:val="center"/>
              <w:rPr>
                <w:rFonts w:cs="Times New Roman"/>
                <w:sz w:val="21"/>
                <w:szCs w:val="21"/>
              </w:rPr>
            </w:pPr>
            <w:r>
              <w:rPr>
                <w:rFonts w:hint="eastAsia"/>
                <w:sz w:val="21"/>
                <w:szCs w:val="21"/>
              </w:rPr>
              <w:t>1.33E+01</w:t>
            </w:r>
          </w:p>
        </w:tc>
        <w:tc>
          <w:tcPr>
            <w:tcW w:w="1056" w:type="dxa"/>
            <w:noWrap/>
            <w:vAlign w:val="center"/>
          </w:tcPr>
          <w:p w14:paraId="3E2A4140">
            <w:pPr>
              <w:spacing w:line="240" w:lineRule="auto"/>
              <w:jc w:val="center"/>
              <w:rPr>
                <w:rFonts w:cs="Times New Roman"/>
                <w:sz w:val="21"/>
                <w:szCs w:val="21"/>
              </w:rPr>
            </w:pPr>
            <w:r>
              <w:rPr>
                <w:rFonts w:hint="eastAsia"/>
                <w:sz w:val="21"/>
                <w:szCs w:val="21"/>
              </w:rPr>
              <w:t>23101820</w:t>
            </w:r>
          </w:p>
        </w:tc>
        <w:tc>
          <w:tcPr>
            <w:tcW w:w="1134" w:type="dxa"/>
            <w:noWrap/>
            <w:vAlign w:val="center"/>
          </w:tcPr>
          <w:p w14:paraId="7616150E">
            <w:pPr>
              <w:spacing w:line="240" w:lineRule="auto"/>
              <w:jc w:val="center"/>
              <w:rPr>
                <w:rFonts w:cs="Times New Roman"/>
                <w:sz w:val="21"/>
                <w:szCs w:val="21"/>
              </w:rPr>
            </w:pPr>
            <w:r>
              <w:rPr>
                <w:rFonts w:hint="eastAsia"/>
                <w:sz w:val="21"/>
                <w:szCs w:val="21"/>
              </w:rPr>
              <w:t>1.60E+02</w:t>
            </w:r>
          </w:p>
        </w:tc>
        <w:tc>
          <w:tcPr>
            <w:tcW w:w="1134" w:type="dxa"/>
            <w:noWrap/>
            <w:vAlign w:val="center"/>
          </w:tcPr>
          <w:p w14:paraId="4832AE00">
            <w:pPr>
              <w:spacing w:line="240" w:lineRule="auto"/>
              <w:jc w:val="center"/>
              <w:rPr>
                <w:rFonts w:cs="Times New Roman"/>
                <w:sz w:val="21"/>
                <w:szCs w:val="21"/>
              </w:rPr>
            </w:pPr>
            <w:r>
              <w:rPr>
                <w:rFonts w:hint="eastAsia"/>
                <w:sz w:val="21"/>
                <w:szCs w:val="21"/>
              </w:rPr>
              <w:t>1.73E+02</w:t>
            </w:r>
          </w:p>
        </w:tc>
        <w:tc>
          <w:tcPr>
            <w:tcW w:w="1134" w:type="dxa"/>
            <w:noWrap/>
            <w:vAlign w:val="center"/>
          </w:tcPr>
          <w:p w14:paraId="5B4A0FD6">
            <w:pPr>
              <w:spacing w:line="240" w:lineRule="auto"/>
              <w:jc w:val="center"/>
              <w:rPr>
                <w:rFonts w:cs="Times New Roman"/>
                <w:sz w:val="21"/>
                <w:szCs w:val="21"/>
              </w:rPr>
            </w:pPr>
            <w:r>
              <w:rPr>
                <w:rFonts w:hint="eastAsia"/>
                <w:sz w:val="21"/>
                <w:szCs w:val="21"/>
              </w:rPr>
              <w:t>2.00E+03</w:t>
            </w:r>
          </w:p>
        </w:tc>
        <w:tc>
          <w:tcPr>
            <w:tcW w:w="709" w:type="dxa"/>
            <w:noWrap/>
            <w:vAlign w:val="center"/>
          </w:tcPr>
          <w:p w14:paraId="434E7CC7">
            <w:pPr>
              <w:spacing w:line="240" w:lineRule="auto"/>
              <w:jc w:val="center"/>
              <w:rPr>
                <w:rFonts w:cs="Times New Roman"/>
                <w:sz w:val="21"/>
                <w:szCs w:val="21"/>
              </w:rPr>
            </w:pPr>
            <w:r>
              <w:rPr>
                <w:rFonts w:hint="eastAsia"/>
                <w:sz w:val="21"/>
                <w:szCs w:val="21"/>
              </w:rPr>
              <w:t>8.67</w:t>
            </w:r>
          </w:p>
        </w:tc>
        <w:tc>
          <w:tcPr>
            <w:tcW w:w="709" w:type="dxa"/>
            <w:noWrap/>
            <w:vAlign w:val="center"/>
          </w:tcPr>
          <w:p w14:paraId="3515B7AF">
            <w:pPr>
              <w:spacing w:line="240" w:lineRule="auto"/>
              <w:jc w:val="center"/>
              <w:rPr>
                <w:rFonts w:cs="Times New Roman"/>
                <w:sz w:val="21"/>
                <w:szCs w:val="21"/>
              </w:rPr>
            </w:pPr>
            <w:r>
              <w:rPr>
                <w:rFonts w:hint="eastAsia"/>
                <w:sz w:val="21"/>
                <w:szCs w:val="21"/>
              </w:rPr>
              <w:t>达标</w:t>
            </w:r>
          </w:p>
        </w:tc>
      </w:tr>
      <w:tr w14:paraId="611809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26" w:type="dxa"/>
            <w:vAlign w:val="center"/>
          </w:tcPr>
          <w:p w14:paraId="028ABE3B">
            <w:pPr>
              <w:wordWrap w:val="0"/>
              <w:spacing w:line="240" w:lineRule="auto"/>
              <w:jc w:val="center"/>
              <w:rPr>
                <w:rFonts w:cs="Times New Roman"/>
                <w:sz w:val="21"/>
                <w:szCs w:val="21"/>
              </w:rPr>
            </w:pPr>
            <w:r>
              <w:rPr>
                <w:rFonts w:hint="eastAsia" w:cs="Times New Roman"/>
                <w:sz w:val="21"/>
                <w:szCs w:val="21"/>
              </w:rPr>
              <w:t>3</w:t>
            </w:r>
          </w:p>
        </w:tc>
        <w:tc>
          <w:tcPr>
            <w:tcW w:w="1129" w:type="dxa"/>
            <w:noWrap/>
            <w:vAlign w:val="center"/>
          </w:tcPr>
          <w:p w14:paraId="1FB0830D">
            <w:pPr>
              <w:wordWrap w:val="0"/>
              <w:spacing w:line="240" w:lineRule="auto"/>
              <w:jc w:val="center"/>
              <w:rPr>
                <w:rFonts w:cs="Times New Roman"/>
                <w:sz w:val="21"/>
                <w:szCs w:val="21"/>
              </w:rPr>
            </w:pPr>
            <w:r>
              <w:rPr>
                <w:rFonts w:hint="eastAsia"/>
                <w:sz w:val="21"/>
                <w:szCs w:val="21"/>
              </w:rPr>
              <w:t>三铺中学</w:t>
            </w:r>
          </w:p>
        </w:tc>
        <w:tc>
          <w:tcPr>
            <w:tcW w:w="850" w:type="dxa"/>
            <w:noWrap/>
            <w:vAlign w:val="center"/>
          </w:tcPr>
          <w:p w14:paraId="51A0443E">
            <w:pPr>
              <w:wordWrap w:val="0"/>
              <w:spacing w:line="240" w:lineRule="auto"/>
              <w:jc w:val="center"/>
              <w:rPr>
                <w:rFonts w:cs="Times New Roman"/>
                <w:sz w:val="21"/>
                <w:szCs w:val="21"/>
              </w:rPr>
            </w:pPr>
            <w:r>
              <w:rPr>
                <w:rFonts w:hint="eastAsia"/>
                <w:sz w:val="21"/>
                <w:szCs w:val="21"/>
              </w:rPr>
              <w:t>小时值</w:t>
            </w:r>
          </w:p>
        </w:tc>
        <w:tc>
          <w:tcPr>
            <w:tcW w:w="1134" w:type="dxa"/>
            <w:noWrap/>
            <w:vAlign w:val="center"/>
          </w:tcPr>
          <w:p w14:paraId="0C66EA0D">
            <w:pPr>
              <w:spacing w:line="240" w:lineRule="auto"/>
              <w:jc w:val="center"/>
              <w:rPr>
                <w:rFonts w:cs="Times New Roman"/>
                <w:sz w:val="21"/>
                <w:szCs w:val="21"/>
              </w:rPr>
            </w:pPr>
            <w:r>
              <w:rPr>
                <w:rFonts w:hint="eastAsia"/>
                <w:sz w:val="21"/>
                <w:szCs w:val="21"/>
              </w:rPr>
              <w:t>1.56E+01</w:t>
            </w:r>
          </w:p>
        </w:tc>
        <w:tc>
          <w:tcPr>
            <w:tcW w:w="1056" w:type="dxa"/>
            <w:noWrap/>
            <w:vAlign w:val="center"/>
          </w:tcPr>
          <w:p w14:paraId="632D9AEF">
            <w:pPr>
              <w:spacing w:line="240" w:lineRule="auto"/>
              <w:jc w:val="center"/>
              <w:rPr>
                <w:rFonts w:cs="Times New Roman"/>
                <w:sz w:val="21"/>
                <w:szCs w:val="21"/>
              </w:rPr>
            </w:pPr>
            <w:r>
              <w:rPr>
                <w:rFonts w:hint="eastAsia"/>
                <w:sz w:val="21"/>
                <w:szCs w:val="21"/>
              </w:rPr>
              <w:t>23110223</w:t>
            </w:r>
          </w:p>
        </w:tc>
        <w:tc>
          <w:tcPr>
            <w:tcW w:w="1134" w:type="dxa"/>
            <w:noWrap/>
            <w:vAlign w:val="center"/>
          </w:tcPr>
          <w:p w14:paraId="679DB516">
            <w:pPr>
              <w:spacing w:line="240" w:lineRule="auto"/>
              <w:jc w:val="center"/>
              <w:rPr>
                <w:rFonts w:cs="Times New Roman"/>
                <w:sz w:val="21"/>
                <w:szCs w:val="21"/>
              </w:rPr>
            </w:pPr>
            <w:r>
              <w:rPr>
                <w:rFonts w:hint="eastAsia"/>
                <w:sz w:val="21"/>
                <w:szCs w:val="21"/>
              </w:rPr>
              <w:t>1.60E+02</w:t>
            </w:r>
          </w:p>
        </w:tc>
        <w:tc>
          <w:tcPr>
            <w:tcW w:w="1134" w:type="dxa"/>
            <w:noWrap/>
            <w:vAlign w:val="center"/>
          </w:tcPr>
          <w:p w14:paraId="28390D45">
            <w:pPr>
              <w:spacing w:line="240" w:lineRule="auto"/>
              <w:jc w:val="center"/>
              <w:rPr>
                <w:rFonts w:cs="Times New Roman"/>
                <w:sz w:val="21"/>
                <w:szCs w:val="21"/>
              </w:rPr>
            </w:pPr>
            <w:r>
              <w:rPr>
                <w:rFonts w:hint="eastAsia"/>
                <w:sz w:val="21"/>
                <w:szCs w:val="21"/>
              </w:rPr>
              <w:t>1.76E+02</w:t>
            </w:r>
          </w:p>
        </w:tc>
        <w:tc>
          <w:tcPr>
            <w:tcW w:w="1134" w:type="dxa"/>
            <w:noWrap/>
            <w:vAlign w:val="center"/>
          </w:tcPr>
          <w:p w14:paraId="2FBEE8B5">
            <w:pPr>
              <w:spacing w:line="240" w:lineRule="auto"/>
              <w:jc w:val="center"/>
              <w:rPr>
                <w:rFonts w:cs="Times New Roman"/>
                <w:sz w:val="21"/>
                <w:szCs w:val="21"/>
              </w:rPr>
            </w:pPr>
            <w:r>
              <w:rPr>
                <w:rFonts w:hint="eastAsia"/>
                <w:sz w:val="21"/>
                <w:szCs w:val="21"/>
              </w:rPr>
              <w:t>2.00E+03</w:t>
            </w:r>
          </w:p>
        </w:tc>
        <w:tc>
          <w:tcPr>
            <w:tcW w:w="709" w:type="dxa"/>
            <w:noWrap/>
            <w:vAlign w:val="center"/>
          </w:tcPr>
          <w:p w14:paraId="49F23D06">
            <w:pPr>
              <w:spacing w:line="240" w:lineRule="auto"/>
              <w:jc w:val="center"/>
              <w:rPr>
                <w:rFonts w:cs="Times New Roman"/>
                <w:sz w:val="21"/>
                <w:szCs w:val="21"/>
              </w:rPr>
            </w:pPr>
            <w:r>
              <w:rPr>
                <w:rFonts w:hint="eastAsia"/>
                <w:sz w:val="21"/>
                <w:szCs w:val="21"/>
              </w:rPr>
              <w:t>8.78</w:t>
            </w:r>
          </w:p>
        </w:tc>
        <w:tc>
          <w:tcPr>
            <w:tcW w:w="709" w:type="dxa"/>
            <w:noWrap/>
            <w:vAlign w:val="center"/>
          </w:tcPr>
          <w:p w14:paraId="6D1BDDC7">
            <w:pPr>
              <w:spacing w:line="240" w:lineRule="auto"/>
              <w:jc w:val="center"/>
              <w:rPr>
                <w:rFonts w:cs="Times New Roman"/>
                <w:sz w:val="21"/>
                <w:szCs w:val="21"/>
              </w:rPr>
            </w:pPr>
            <w:r>
              <w:rPr>
                <w:rFonts w:hint="eastAsia"/>
                <w:sz w:val="21"/>
                <w:szCs w:val="21"/>
              </w:rPr>
              <w:t>达标</w:t>
            </w:r>
          </w:p>
        </w:tc>
      </w:tr>
      <w:tr w14:paraId="567C63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26" w:type="dxa"/>
            <w:vAlign w:val="center"/>
          </w:tcPr>
          <w:p w14:paraId="72402733">
            <w:pPr>
              <w:wordWrap w:val="0"/>
              <w:spacing w:line="240" w:lineRule="auto"/>
              <w:jc w:val="center"/>
              <w:rPr>
                <w:rFonts w:cs="Times New Roman"/>
                <w:sz w:val="21"/>
                <w:szCs w:val="21"/>
              </w:rPr>
            </w:pPr>
            <w:r>
              <w:rPr>
                <w:rFonts w:hint="eastAsia" w:cs="Times New Roman"/>
                <w:sz w:val="21"/>
                <w:szCs w:val="21"/>
              </w:rPr>
              <w:t>4</w:t>
            </w:r>
          </w:p>
        </w:tc>
        <w:tc>
          <w:tcPr>
            <w:tcW w:w="1129" w:type="dxa"/>
            <w:noWrap/>
            <w:vAlign w:val="center"/>
          </w:tcPr>
          <w:p w14:paraId="222CB249">
            <w:pPr>
              <w:wordWrap w:val="0"/>
              <w:spacing w:line="240" w:lineRule="auto"/>
              <w:jc w:val="center"/>
              <w:rPr>
                <w:rFonts w:cs="Times New Roman"/>
                <w:sz w:val="21"/>
                <w:szCs w:val="21"/>
              </w:rPr>
            </w:pPr>
            <w:r>
              <w:rPr>
                <w:rFonts w:hint="eastAsia"/>
                <w:sz w:val="21"/>
                <w:szCs w:val="21"/>
              </w:rPr>
              <w:t>高王家</w:t>
            </w:r>
          </w:p>
        </w:tc>
        <w:tc>
          <w:tcPr>
            <w:tcW w:w="850" w:type="dxa"/>
            <w:noWrap/>
            <w:vAlign w:val="center"/>
          </w:tcPr>
          <w:p w14:paraId="27C05D95">
            <w:pPr>
              <w:wordWrap w:val="0"/>
              <w:spacing w:line="240" w:lineRule="auto"/>
              <w:jc w:val="center"/>
              <w:rPr>
                <w:rFonts w:cs="Times New Roman"/>
                <w:sz w:val="21"/>
                <w:szCs w:val="21"/>
              </w:rPr>
            </w:pPr>
            <w:r>
              <w:rPr>
                <w:rFonts w:hint="eastAsia"/>
                <w:sz w:val="21"/>
                <w:szCs w:val="21"/>
              </w:rPr>
              <w:t>小时值</w:t>
            </w:r>
          </w:p>
        </w:tc>
        <w:tc>
          <w:tcPr>
            <w:tcW w:w="1134" w:type="dxa"/>
            <w:noWrap/>
            <w:vAlign w:val="center"/>
          </w:tcPr>
          <w:p w14:paraId="19D2E669">
            <w:pPr>
              <w:spacing w:line="240" w:lineRule="auto"/>
              <w:jc w:val="center"/>
              <w:rPr>
                <w:rFonts w:cs="Times New Roman"/>
                <w:sz w:val="21"/>
                <w:szCs w:val="21"/>
              </w:rPr>
            </w:pPr>
            <w:r>
              <w:rPr>
                <w:rFonts w:hint="eastAsia"/>
                <w:sz w:val="21"/>
                <w:szCs w:val="21"/>
              </w:rPr>
              <w:t>1.10E+01</w:t>
            </w:r>
          </w:p>
        </w:tc>
        <w:tc>
          <w:tcPr>
            <w:tcW w:w="1056" w:type="dxa"/>
            <w:noWrap/>
            <w:vAlign w:val="center"/>
          </w:tcPr>
          <w:p w14:paraId="4ADE1659">
            <w:pPr>
              <w:spacing w:line="240" w:lineRule="auto"/>
              <w:jc w:val="center"/>
              <w:rPr>
                <w:rFonts w:cs="Times New Roman"/>
                <w:sz w:val="21"/>
                <w:szCs w:val="21"/>
              </w:rPr>
            </w:pPr>
            <w:r>
              <w:rPr>
                <w:rFonts w:hint="eastAsia"/>
                <w:sz w:val="21"/>
                <w:szCs w:val="21"/>
              </w:rPr>
              <w:t>23072401</w:t>
            </w:r>
          </w:p>
        </w:tc>
        <w:tc>
          <w:tcPr>
            <w:tcW w:w="1134" w:type="dxa"/>
            <w:noWrap/>
            <w:vAlign w:val="center"/>
          </w:tcPr>
          <w:p w14:paraId="450C23C2">
            <w:pPr>
              <w:spacing w:line="240" w:lineRule="auto"/>
              <w:jc w:val="center"/>
              <w:rPr>
                <w:rFonts w:cs="Times New Roman"/>
                <w:sz w:val="21"/>
                <w:szCs w:val="21"/>
              </w:rPr>
            </w:pPr>
            <w:r>
              <w:rPr>
                <w:rFonts w:hint="eastAsia"/>
                <w:sz w:val="21"/>
                <w:szCs w:val="21"/>
              </w:rPr>
              <w:t>1.60E+02</w:t>
            </w:r>
          </w:p>
        </w:tc>
        <w:tc>
          <w:tcPr>
            <w:tcW w:w="1134" w:type="dxa"/>
            <w:noWrap/>
            <w:vAlign w:val="center"/>
          </w:tcPr>
          <w:p w14:paraId="7DC491A1">
            <w:pPr>
              <w:spacing w:line="240" w:lineRule="auto"/>
              <w:jc w:val="center"/>
              <w:rPr>
                <w:rFonts w:cs="Times New Roman"/>
                <w:sz w:val="21"/>
                <w:szCs w:val="21"/>
              </w:rPr>
            </w:pPr>
            <w:r>
              <w:rPr>
                <w:rFonts w:hint="eastAsia"/>
                <w:sz w:val="21"/>
                <w:szCs w:val="21"/>
              </w:rPr>
              <w:t>1.71E+02</w:t>
            </w:r>
          </w:p>
        </w:tc>
        <w:tc>
          <w:tcPr>
            <w:tcW w:w="1134" w:type="dxa"/>
            <w:noWrap/>
            <w:vAlign w:val="center"/>
          </w:tcPr>
          <w:p w14:paraId="7913CA9E">
            <w:pPr>
              <w:spacing w:line="240" w:lineRule="auto"/>
              <w:jc w:val="center"/>
              <w:rPr>
                <w:rFonts w:cs="Times New Roman"/>
                <w:sz w:val="21"/>
                <w:szCs w:val="21"/>
              </w:rPr>
            </w:pPr>
            <w:r>
              <w:rPr>
                <w:rFonts w:hint="eastAsia"/>
                <w:sz w:val="21"/>
                <w:szCs w:val="21"/>
              </w:rPr>
              <w:t>2.00E+03</w:t>
            </w:r>
          </w:p>
        </w:tc>
        <w:tc>
          <w:tcPr>
            <w:tcW w:w="709" w:type="dxa"/>
            <w:noWrap/>
            <w:vAlign w:val="center"/>
          </w:tcPr>
          <w:p w14:paraId="0750F66E">
            <w:pPr>
              <w:spacing w:line="240" w:lineRule="auto"/>
              <w:jc w:val="center"/>
              <w:rPr>
                <w:rFonts w:cs="Times New Roman"/>
                <w:sz w:val="21"/>
                <w:szCs w:val="21"/>
              </w:rPr>
            </w:pPr>
            <w:r>
              <w:rPr>
                <w:rFonts w:hint="eastAsia"/>
                <w:sz w:val="21"/>
                <w:szCs w:val="21"/>
              </w:rPr>
              <w:t>8.55</w:t>
            </w:r>
          </w:p>
        </w:tc>
        <w:tc>
          <w:tcPr>
            <w:tcW w:w="709" w:type="dxa"/>
            <w:noWrap/>
            <w:vAlign w:val="center"/>
          </w:tcPr>
          <w:p w14:paraId="480A8425">
            <w:pPr>
              <w:spacing w:line="240" w:lineRule="auto"/>
              <w:jc w:val="center"/>
              <w:rPr>
                <w:rFonts w:cs="Times New Roman"/>
                <w:sz w:val="21"/>
                <w:szCs w:val="21"/>
              </w:rPr>
            </w:pPr>
            <w:r>
              <w:rPr>
                <w:rFonts w:hint="eastAsia"/>
                <w:sz w:val="21"/>
                <w:szCs w:val="21"/>
              </w:rPr>
              <w:t>达标</w:t>
            </w:r>
          </w:p>
        </w:tc>
      </w:tr>
      <w:tr w14:paraId="316734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26" w:type="dxa"/>
            <w:vAlign w:val="center"/>
          </w:tcPr>
          <w:p w14:paraId="7CFDFF5E">
            <w:pPr>
              <w:wordWrap w:val="0"/>
              <w:spacing w:line="240" w:lineRule="auto"/>
              <w:jc w:val="center"/>
              <w:rPr>
                <w:rFonts w:cs="Times New Roman"/>
                <w:sz w:val="21"/>
                <w:szCs w:val="21"/>
              </w:rPr>
            </w:pPr>
            <w:r>
              <w:rPr>
                <w:rFonts w:hint="eastAsia" w:cs="Times New Roman"/>
                <w:sz w:val="21"/>
                <w:szCs w:val="21"/>
              </w:rPr>
              <w:t>5</w:t>
            </w:r>
          </w:p>
        </w:tc>
        <w:tc>
          <w:tcPr>
            <w:tcW w:w="1129" w:type="dxa"/>
            <w:noWrap/>
            <w:vAlign w:val="center"/>
          </w:tcPr>
          <w:p w14:paraId="373AA5A5">
            <w:pPr>
              <w:wordWrap w:val="0"/>
              <w:spacing w:line="240" w:lineRule="auto"/>
              <w:jc w:val="center"/>
              <w:rPr>
                <w:rFonts w:cs="Times New Roman"/>
                <w:sz w:val="21"/>
                <w:szCs w:val="21"/>
              </w:rPr>
            </w:pPr>
            <w:r>
              <w:rPr>
                <w:rFonts w:hint="eastAsia"/>
                <w:sz w:val="21"/>
                <w:szCs w:val="21"/>
              </w:rPr>
              <w:t>大柏村</w:t>
            </w:r>
          </w:p>
        </w:tc>
        <w:tc>
          <w:tcPr>
            <w:tcW w:w="850" w:type="dxa"/>
            <w:noWrap/>
            <w:vAlign w:val="center"/>
          </w:tcPr>
          <w:p w14:paraId="5FF18561">
            <w:pPr>
              <w:wordWrap w:val="0"/>
              <w:spacing w:line="240" w:lineRule="auto"/>
              <w:jc w:val="center"/>
              <w:rPr>
                <w:rFonts w:cs="Times New Roman"/>
                <w:sz w:val="21"/>
                <w:szCs w:val="21"/>
              </w:rPr>
            </w:pPr>
            <w:r>
              <w:rPr>
                <w:rFonts w:hint="eastAsia"/>
                <w:sz w:val="21"/>
                <w:szCs w:val="21"/>
              </w:rPr>
              <w:t>小时值</w:t>
            </w:r>
          </w:p>
        </w:tc>
        <w:tc>
          <w:tcPr>
            <w:tcW w:w="1134" w:type="dxa"/>
            <w:noWrap/>
            <w:vAlign w:val="center"/>
          </w:tcPr>
          <w:p w14:paraId="4F96BD4B">
            <w:pPr>
              <w:spacing w:line="240" w:lineRule="auto"/>
              <w:jc w:val="center"/>
              <w:rPr>
                <w:rFonts w:cs="Times New Roman"/>
                <w:sz w:val="21"/>
                <w:szCs w:val="21"/>
              </w:rPr>
            </w:pPr>
            <w:r>
              <w:rPr>
                <w:rFonts w:hint="eastAsia"/>
                <w:sz w:val="21"/>
                <w:szCs w:val="21"/>
              </w:rPr>
              <w:t>1.37E+01</w:t>
            </w:r>
          </w:p>
        </w:tc>
        <w:tc>
          <w:tcPr>
            <w:tcW w:w="1056" w:type="dxa"/>
            <w:noWrap/>
            <w:vAlign w:val="center"/>
          </w:tcPr>
          <w:p w14:paraId="64E8C507">
            <w:pPr>
              <w:spacing w:line="240" w:lineRule="auto"/>
              <w:jc w:val="center"/>
              <w:rPr>
                <w:rFonts w:cs="Times New Roman"/>
                <w:sz w:val="21"/>
                <w:szCs w:val="21"/>
              </w:rPr>
            </w:pPr>
            <w:r>
              <w:rPr>
                <w:rFonts w:hint="eastAsia"/>
                <w:sz w:val="21"/>
                <w:szCs w:val="21"/>
              </w:rPr>
              <w:t>23122503</w:t>
            </w:r>
          </w:p>
        </w:tc>
        <w:tc>
          <w:tcPr>
            <w:tcW w:w="1134" w:type="dxa"/>
            <w:noWrap/>
            <w:vAlign w:val="center"/>
          </w:tcPr>
          <w:p w14:paraId="50DB9521">
            <w:pPr>
              <w:spacing w:line="240" w:lineRule="auto"/>
              <w:jc w:val="center"/>
              <w:rPr>
                <w:rFonts w:cs="Times New Roman"/>
                <w:sz w:val="21"/>
                <w:szCs w:val="21"/>
              </w:rPr>
            </w:pPr>
            <w:r>
              <w:rPr>
                <w:rFonts w:hint="eastAsia"/>
                <w:sz w:val="21"/>
                <w:szCs w:val="21"/>
              </w:rPr>
              <w:t>1.60E+02</w:t>
            </w:r>
          </w:p>
        </w:tc>
        <w:tc>
          <w:tcPr>
            <w:tcW w:w="1134" w:type="dxa"/>
            <w:noWrap/>
            <w:vAlign w:val="center"/>
          </w:tcPr>
          <w:p w14:paraId="12F4E8EF">
            <w:pPr>
              <w:spacing w:line="240" w:lineRule="auto"/>
              <w:jc w:val="center"/>
              <w:rPr>
                <w:rFonts w:cs="Times New Roman"/>
                <w:sz w:val="21"/>
                <w:szCs w:val="21"/>
              </w:rPr>
            </w:pPr>
            <w:r>
              <w:rPr>
                <w:rFonts w:hint="eastAsia"/>
                <w:sz w:val="21"/>
                <w:szCs w:val="21"/>
              </w:rPr>
              <w:t>1.74E+02</w:t>
            </w:r>
          </w:p>
        </w:tc>
        <w:tc>
          <w:tcPr>
            <w:tcW w:w="1134" w:type="dxa"/>
            <w:noWrap/>
            <w:vAlign w:val="center"/>
          </w:tcPr>
          <w:p w14:paraId="5898D969">
            <w:pPr>
              <w:spacing w:line="240" w:lineRule="auto"/>
              <w:jc w:val="center"/>
              <w:rPr>
                <w:rFonts w:cs="Times New Roman"/>
                <w:sz w:val="21"/>
                <w:szCs w:val="21"/>
              </w:rPr>
            </w:pPr>
            <w:r>
              <w:rPr>
                <w:rFonts w:hint="eastAsia"/>
                <w:sz w:val="21"/>
                <w:szCs w:val="21"/>
              </w:rPr>
              <w:t>2.00E+03</w:t>
            </w:r>
          </w:p>
        </w:tc>
        <w:tc>
          <w:tcPr>
            <w:tcW w:w="709" w:type="dxa"/>
            <w:noWrap/>
            <w:vAlign w:val="center"/>
          </w:tcPr>
          <w:p w14:paraId="7AD98102">
            <w:pPr>
              <w:spacing w:line="240" w:lineRule="auto"/>
              <w:jc w:val="center"/>
              <w:rPr>
                <w:rFonts w:cs="Times New Roman"/>
                <w:sz w:val="21"/>
                <w:szCs w:val="21"/>
              </w:rPr>
            </w:pPr>
            <w:r>
              <w:rPr>
                <w:rFonts w:hint="eastAsia"/>
                <w:sz w:val="21"/>
                <w:szCs w:val="21"/>
              </w:rPr>
              <w:t>8.69</w:t>
            </w:r>
          </w:p>
        </w:tc>
        <w:tc>
          <w:tcPr>
            <w:tcW w:w="709" w:type="dxa"/>
            <w:noWrap/>
            <w:vAlign w:val="center"/>
          </w:tcPr>
          <w:p w14:paraId="05373133">
            <w:pPr>
              <w:spacing w:line="240" w:lineRule="auto"/>
              <w:jc w:val="center"/>
              <w:rPr>
                <w:rFonts w:cs="Times New Roman"/>
                <w:sz w:val="21"/>
                <w:szCs w:val="21"/>
              </w:rPr>
            </w:pPr>
            <w:r>
              <w:rPr>
                <w:rFonts w:hint="eastAsia"/>
                <w:sz w:val="21"/>
                <w:szCs w:val="21"/>
              </w:rPr>
              <w:t>达标</w:t>
            </w:r>
          </w:p>
        </w:tc>
      </w:tr>
      <w:tr w14:paraId="6E4ADD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26" w:type="dxa"/>
            <w:vAlign w:val="center"/>
          </w:tcPr>
          <w:p w14:paraId="5F594E22">
            <w:pPr>
              <w:wordWrap w:val="0"/>
              <w:spacing w:line="240" w:lineRule="auto"/>
              <w:jc w:val="center"/>
              <w:rPr>
                <w:rFonts w:cs="Times New Roman"/>
                <w:sz w:val="21"/>
                <w:szCs w:val="21"/>
              </w:rPr>
            </w:pPr>
            <w:r>
              <w:rPr>
                <w:rFonts w:hint="eastAsia" w:cs="Times New Roman"/>
                <w:sz w:val="21"/>
                <w:szCs w:val="21"/>
              </w:rPr>
              <w:t>6</w:t>
            </w:r>
          </w:p>
        </w:tc>
        <w:tc>
          <w:tcPr>
            <w:tcW w:w="1129" w:type="dxa"/>
            <w:noWrap/>
            <w:vAlign w:val="center"/>
          </w:tcPr>
          <w:p w14:paraId="001760EC">
            <w:pPr>
              <w:wordWrap w:val="0"/>
              <w:spacing w:line="240" w:lineRule="auto"/>
              <w:jc w:val="center"/>
              <w:rPr>
                <w:rFonts w:cs="Times New Roman"/>
                <w:sz w:val="21"/>
                <w:szCs w:val="21"/>
              </w:rPr>
            </w:pPr>
            <w:r>
              <w:rPr>
                <w:rFonts w:hint="eastAsia"/>
                <w:sz w:val="21"/>
                <w:szCs w:val="21"/>
              </w:rPr>
              <w:t>曹杨家</w:t>
            </w:r>
          </w:p>
        </w:tc>
        <w:tc>
          <w:tcPr>
            <w:tcW w:w="850" w:type="dxa"/>
            <w:noWrap/>
            <w:vAlign w:val="center"/>
          </w:tcPr>
          <w:p w14:paraId="1BEDE6CC">
            <w:pPr>
              <w:wordWrap w:val="0"/>
              <w:spacing w:line="240" w:lineRule="auto"/>
              <w:jc w:val="center"/>
              <w:rPr>
                <w:rFonts w:cs="Times New Roman"/>
                <w:sz w:val="21"/>
                <w:szCs w:val="21"/>
              </w:rPr>
            </w:pPr>
            <w:r>
              <w:rPr>
                <w:rFonts w:hint="eastAsia"/>
                <w:sz w:val="21"/>
                <w:szCs w:val="21"/>
              </w:rPr>
              <w:t>小时值</w:t>
            </w:r>
          </w:p>
        </w:tc>
        <w:tc>
          <w:tcPr>
            <w:tcW w:w="1134" w:type="dxa"/>
            <w:noWrap/>
            <w:vAlign w:val="center"/>
          </w:tcPr>
          <w:p w14:paraId="10BBE845">
            <w:pPr>
              <w:spacing w:line="240" w:lineRule="auto"/>
              <w:jc w:val="center"/>
              <w:rPr>
                <w:rFonts w:cs="Times New Roman"/>
                <w:sz w:val="21"/>
                <w:szCs w:val="21"/>
              </w:rPr>
            </w:pPr>
            <w:r>
              <w:rPr>
                <w:rFonts w:hint="eastAsia"/>
                <w:sz w:val="21"/>
                <w:szCs w:val="21"/>
              </w:rPr>
              <w:t>1.14E+01</w:t>
            </w:r>
          </w:p>
        </w:tc>
        <w:tc>
          <w:tcPr>
            <w:tcW w:w="1056" w:type="dxa"/>
            <w:noWrap/>
            <w:vAlign w:val="center"/>
          </w:tcPr>
          <w:p w14:paraId="13CA5D1C">
            <w:pPr>
              <w:spacing w:line="240" w:lineRule="auto"/>
              <w:jc w:val="center"/>
              <w:rPr>
                <w:rFonts w:cs="Times New Roman"/>
                <w:sz w:val="21"/>
                <w:szCs w:val="21"/>
              </w:rPr>
            </w:pPr>
            <w:r>
              <w:rPr>
                <w:rFonts w:hint="eastAsia"/>
                <w:sz w:val="21"/>
                <w:szCs w:val="21"/>
              </w:rPr>
              <w:t>23061401</w:t>
            </w:r>
          </w:p>
        </w:tc>
        <w:tc>
          <w:tcPr>
            <w:tcW w:w="1134" w:type="dxa"/>
            <w:noWrap/>
            <w:vAlign w:val="center"/>
          </w:tcPr>
          <w:p w14:paraId="5562BDEF">
            <w:pPr>
              <w:spacing w:line="240" w:lineRule="auto"/>
              <w:jc w:val="center"/>
              <w:rPr>
                <w:rFonts w:cs="Times New Roman"/>
                <w:sz w:val="21"/>
                <w:szCs w:val="21"/>
              </w:rPr>
            </w:pPr>
            <w:r>
              <w:rPr>
                <w:rFonts w:hint="eastAsia"/>
                <w:sz w:val="21"/>
                <w:szCs w:val="21"/>
              </w:rPr>
              <w:t>1.60E+02</w:t>
            </w:r>
          </w:p>
        </w:tc>
        <w:tc>
          <w:tcPr>
            <w:tcW w:w="1134" w:type="dxa"/>
            <w:noWrap/>
            <w:vAlign w:val="center"/>
          </w:tcPr>
          <w:p w14:paraId="481D4D98">
            <w:pPr>
              <w:spacing w:line="240" w:lineRule="auto"/>
              <w:jc w:val="center"/>
              <w:rPr>
                <w:rFonts w:cs="Times New Roman"/>
                <w:sz w:val="21"/>
                <w:szCs w:val="21"/>
              </w:rPr>
            </w:pPr>
            <w:r>
              <w:rPr>
                <w:rFonts w:hint="eastAsia"/>
                <w:sz w:val="21"/>
                <w:szCs w:val="21"/>
              </w:rPr>
              <w:t>1.71E+02</w:t>
            </w:r>
          </w:p>
        </w:tc>
        <w:tc>
          <w:tcPr>
            <w:tcW w:w="1134" w:type="dxa"/>
            <w:noWrap/>
            <w:vAlign w:val="center"/>
          </w:tcPr>
          <w:p w14:paraId="27369CE8">
            <w:pPr>
              <w:spacing w:line="240" w:lineRule="auto"/>
              <w:jc w:val="center"/>
              <w:rPr>
                <w:rFonts w:cs="Times New Roman"/>
                <w:sz w:val="21"/>
                <w:szCs w:val="21"/>
              </w:rPr>
            </w:pPr>
            <w:r>
              <w:rPr>
                <w:rFonts w:hint="eastAsia"/>
                <w:sz w:val="21"/>
                <w:szCs w:val="21"/>
              </w:rPr>
              <w:t>2.00E+03</w:t>
            </w:r>
          </w:p>
        </w:tc>
        <w:tc>
          <w:tcPr>
            <w:tcW w:w="709" w:type="dxa"/>
            <w:noWrap/>
            <w:vAlign w:val="center"/>
          </w:tcPr>
          <w:p w14:paraId="752E3E34">
            <w:pPr>
              <w:spacing w:line="240" w:lineRule="auto"/>
              <w:jc w:val="center"/>
              <w:rPr>
                <w:rFonts w:cs="Times New Roman"/>
                <w:sz w:val="21"/>
                <w:szCs w:val="21"/>
              </w:rPr>
            </w:pPr>
            <w:r>
              <w:rPr>
                <w:rFonts w:hint="eastAsia"/>
                <w:sz w:val="21"/>
                <w:szCs w:val="21"/>
              </w:rPr>
              <w:t>8.57</w:t>
            </w:r>
          </w:p>
        </w:tc>
        <w:tc>
          <w:tcPr>
            <w:tcW w:w="709" w:type="dxa"/>
            <w:noWrap/>
            <w:vAlign w:val="center"/>
          </w:tcPr>
          <w:p w14:paraId="0A154D80">
            <w:pPr>
              <w:spacing w:line="240" w:lineRule="auto"/>
              <w:jc w:val="center"/>
              <w:rPr>
                <w:rFonts w:cs="Times New Roman"/>
                <w:sz w:val="21"/>
                <w:szCs w:val="21"/>
              </w:rPr>
            </w:pPr>
            <w:r>
              <w:rPr>
                <w:rFonts w:hint="eastAsia"/>
                <w:sz w:val="21"/>
                <w:szCs w:val="21"/>
              </w:rPr>
              <w:t>达标</w:t>
            </w:r>
          </w:p>
        </w:tc>
      </w:tr>
      <w:tr w14:paraId="259DF1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26" w:type="dxa"/>
            <w:vAlign w:val="center"/>
          </w:tcPr>
          <w:p w14:paraId="4926F5D6">
            <w:pPr>
              <w:wordWrap w:val="0"/>
              <w:spacing w:line="240" w:lineRule="auto"/>
              <w:jc w:val="center"/>
              <w:rPr>
                <w:rFonts w:cs="Times New Roman"/>
                <w:sz w:val="21"/>
                <w:szCs w:val="21"/>
              </w:rPr>
            </w:pPr>
            <w:r>
              <w:rPr>
                <w:rFonts w:hint="eastAsia" w:cs="Times New Roman"/>
                <w:sz w:val="21"/>
                <w:szCs w:val="21"/>
              </w:rPr>
              <w:t>7</w:t>
            </w:r>
          </w:p>
        </w:tc>
        <w:tc>
          <w:tcPr>
            <w:tcW w:w="1129" w:type="dxa"/>
            <w:noWrap/>
            <w:vAlign w:val="center"/>
          </w:tcPr>
          <w:p w14:paraId="76B1F160">
            <w:pPr>
              <w:wordWrap w:val="0"/>
              <w:spacing w:line="240" w:lineRule="auto"/>
              <w:jc w:val="center"/>
              <w:rPr>
                <w:rFonts w:cs="Times New Roman"/>
                <w:sz w:val="21"/>
                <w:szCs w:val="21"/>
              </w:rPr>
            </w:pPr>
            <w:r>
              <w:rPr>
                <w:rFonts w:hint="eastAsia"/>
                <w:sz w:val="21"/>
                <w:szCs w:val="21"/>
              </w:rPr>
              <w:t>夏家湖</w:t>
            </w:r>
          </w:p>
        </w:tc>
        <w:tc>
          <w:tcPr>
            <w:tcW w:w="850" w:type="dxa"/>
            <w:noWrap/>
            <w:vAlign w:val="center"/>
          </w:tcPr>
          <w:p w14:paraId="2385D987">
            <w:pPr>
              <w:wordWrap w:val="0"/>
              <w:spacing w:line="240" w:lineRule="auto"/>
              <w:jc w:val="center"/>
              <w:rPr>
                <w:rFonts w:cs="Times New Roman"/>
                <w:sz w:val="21"/>
                <w:szCs w:val="21"/>
              </w:rPr>
            </w:pPr>
            <w:r>
              <w:rPr>
                <w:rFonts w:hint="eastAsia"/>
                <w:sz w:val="21"/>
                <w:szCs w:val="21"/>
              </w:rPr>
              <w:t>小时值</w:t>
            </w:r>
          </w:p>
        </w:tc>
        <w:tc>
          <w:tcPr>
            <w:tcW w:w="1134" w:type="dxa"/>
            <w:noWrap/>
            <w:vAlign w:val="center"/>
          </w:tcPr>
          <w:p w14:paraId="60F6C803">
            <w:pPr>
              <w:spacing w:line="240" w:lineRule="auto"/>
              <w:jc w:val="center"/>
              <w:rPr>
                <w:rFonts w:cs="Times New Roman"/>
                <w:sz w:val="21"/>
                <w:szCs w:val="21"/>
              </w:rPr>
            </w:pPr>
            <w:r>
              <w:rPr>
                <w:rFonts w:hint="eastAsia"/>
                <w:sz w:val="21"/>
                <w:szCs w:val="21"/>
              </w:rPr>
              <w:t>1.04E+01</w:t>
            </w:r>
          </w:p>
        </w:tc>
        <w:tc>
          <w:tcPr>
            <w:tcW w:w="1056" w:type="dxa"/>
            <w:noWrap/>
            <w:vAlign w:val="center"/>
          </w:tcPr>
          <w:p w14:paraId="76640F3A">
            <w:pPr>
              <w:spacing w:line="240" w:lineRule="auto"/>
              <w:jc w:val="center"/>
              <w:rPr>
                <w:rFonts w:cs="Times New Roman"/>
                <w:sz w:val="21"/>
                <w:szCs w:val="21"/>
              </w:rPr>
            </w:pPr>
            <w:r>
              <w:rPr>
                <w:rFonts w:hint="eastAsia"/>
                <w:sz w:val="21"/>
                <w:szCs w:val="21"/>
              </w:rPr>
              <w:t>23092720</w:t>
            </w:r>
          </w:p>
        </w:tc>
        <w:tc>
          <w:tcPr>
            <w:tcW w:w="1134" w:type="dxa"/>
            <w:noWrap/>
            <w:vAlign w:val="center"/>
          </w:tcPr>
          <w:p w14:paraId="77A912BD">
            <w:pPr>
              <w:spacing w:line="240" w:lineRule="auto"/>
              <w:jc w:val="center"/>
              <w:rPr>
                <w:rFonts w:cs="Times New Roman"/>
                <w:sz w:val="21"/>
                <w:szCs w:val="21"/>
              </w:rPr>
            </w:pPr>
            <w:r>
              <w:rPr>
                <w:rFonts w:hint="eastAsia"/>
                <w:sz w:val="21"/>
                <w:szCs w:val="21"/>
              </w:rPr>
              <w:t>1.60E+02</w:t>
            </w:r>
          </w:p>
        </w:tc>
        <w:tc>
          <w:tcPr>
            <w:tcW w:w="1134" w:type="dxa"/>
            <w:noWrap/>
            <w:vAlign w:val="center"/>
          </w:tcPr>
          <w:p w14:paraId="2C40C171">
            <w:pPr>
              <w:spacing w:line="240" w:lineRule="auto"/>
              <w:jc w:val="center"/>
              <w:rPr>
                <w:rFonts w:cs="Times New Roman"/>
                <w:sz w:val="21"/>
                <w:szCs w:val="21"/>
              </w:rPr>
            </w:pPr>
            <w:r>
              <w:rPr>
                <w:rFonts w:hint="eastAsia"/>
                <w:sz w:val="21"/>
                <w:szCs w:val="21"/>
              </w:rPr>
              <w:t>1.70E+02</w:t>
            </w:r>
          </w:p>
        </w:tc>
        <w:tc>
          <w:tcPr>
            <w:tcW w:w="1134" w:type="dxa"/>
            <w:noWrap/>
            <w:vAlign w:val="center"/>
          </w:tcPr>
          <w:p w14:paraId="4B49CB5D">
            <w:pPr>
              <w:spacing w:line="240" w:lineRule="auto"/>
              <w:jc w:val="center"/>
              <w:rPr>
                <w:rFonts w:cs="Times New Roman"/>
                <w:sz w:val="21"/>
                <w:szCs w:val="21"/>
              </w:rPr>
            </w:pPr>
            <w:r>
              <w:rPr>
                <w:rFonts w:hint="eastAsia"/>
                <w:sz w:val="21"/>
                <w:szCs w:val="21"/>
              </w:rPr>
              <w:t>2.00E+03</w:t>
            </w:r>
          </w:p>
        </w:tc>
        <w:tc>
          <w:tcPr>
            <w:tcW w:w="709" w:type="dxa"/>
            <w:noWrap/>
            <w:vAlign w:val="center"/>
          </w:tcPr>
          <w:p w14:paraId="690B9B47">
            <w:pPr>
              <w:spacing w:line="240" w:lineRule="auto"/>
              <w:jc w:val="center"/>
              <w:rPr>
                <w:rFonts w:cs="Times New Roman"/>
                <w:sz w:val="21"/>
                <w:szCs w:val="21"/>
              </w:rPr>
            </w:pPr>
            <w:r>
              <w:rPr>
                <w:rFonts w:hint="eastAsia"/>
                <w:sz w:val="21"/>
                <w:szCs w:val="21"/>
              </w:rPr>
              <w:t>8.52</w:t>
            </w:r>
          </w:p>
        </w:tc>
        <w:tc>
          <w:tcPr>
            <w:tcW w:w="709" w:type="dxa"/>
            <w:noWrap/>
            <w:vAlign w:val="center"/>
          </w:tcPr>
          <w:p w14:paraId="7D50F397">
            <w:pPr>
              <w:spacing w:line="240" w:lineRule="auto"/>
              <w:jc w:val="center"/>
              <w:rPr>
                <w:rFonts w:cs="Times New Roman"/>
                <w:sz w:val="21"/>
                <w:szCs w:val="21"/>
              </w:rPr>
            </w:pPr>
            <w:r>
              <w:rPr>
                <w:rFonts w:hint="eastAsia"/>
                <w:sz w:val="21"/>
                <w:szCs w:val="21"/>
              </w:rPr>
              <w:t>达标</w:t>
            </w:r>
          </w:p>
        </w:tc>
      </w:tr>
      <w:tr w14:paraId="0A4F0E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26" w:type="dxa"/>
            <w:vAlign w:val="center"/>
          </w:tcPr>
          <w:p w14:paraId="373DE95D">
            <w:pPr>
              <w:wordWrap w:val="0"/>
              <w:spacing w:line="240" w:lineRule="auto"/>
              <w:jc w:val="center"/>
              <w:rPr>
                <w:rFonts w:cs="Times New Roman"/>
                <w:sz w:val="21"/>
                <w:szCs w:val="21"/>
              </w:rPr>
            </w:pPr>
            <w:r>
              <w:rPr>
                <w:rFonts w:hint="eastAsia" w:cs="Times New Roman"/>
                <w:sz w:val="21"/>
                <w:szCs w:val="21"/>
              </w:rPr>
              <w:t>8</w:t>
            </w:r>
          </w:p>
        </w:tc>
        <w:tc>
          <w:tcPr>
            <w:tcW w:w="1129" w:type="dxa"/>
            <w:noWrap/>
            <w:vAlign w:val="center"/>
          </w:tcPr>
          <w:p w14:paraId="5D2E73F1">
            <w:pPr>
              <w:wordWrap w:val="0"/>
              <w:spacing w:line="240" w:lineRule="auto"/>
              <w:jc w:val="center"/>
              <w:rPr>
                <w:rFonts w:cs="Times New Roman"/>
                <w:sz w:val="21"/>
                <w:szCs w:val="21"/>
              </w:rPr>
            </w:pPr>
            <w:r>
              <w:rPr>
                <w:rFonts w:hint="eastAsia"/>
                <w:sz w:val="21"/>
                <w:szCs w:val="21"/>
              </w:rPr>
              <w:t>二铺</w:t>
            </w:r>
          </w:p>
        </w:tc>
        <w:tc>
          <w:tcPr>
            <w:tcW w:w="850" w:type="dxa"/>
            <w:noWrap/>
            <w:vAlign w:val="center"/>
          </w:tcPr>
          <w:p w14:paraId="5A22D89D">
            <w:pPr>
              <w:wordWrap w:val="0"/>
              <w:spacing w:line="240" w:lineRule="auto"/>
              <w:jc w:val="center"/>
              <w:rPr>
                <w:rFonts w:cs="Times New Roman"/>
                <w:sz w:val="21"/>
                <w:szCs w:val="21"/>
              </w:rPr>
            </w:pPr>
            <w:r>
              <w:rPr>
                <w:rFonts w:hint="eastAsia"/>
                <w:sz w:val="21"/>
                <w:szCs w:val="21"/>
              </w:rPr>
              <w:t>小时值</w:t>
            </w:r>
          </w:p>
        </w:tc>
        <w:tc>
          <w:tcPr>
            <w:tcW w:w="1134" w:type="dxa"/>
            <w:noWrap/>
            <w:vAlign w:val="center"/>
          </w:tcPr>
          <w:p w14:paraId="05DCE6BD">
            <w:pPr>
              <w:spacing w:line="240" w:lineRule="auto"/>
              <w:jc w:val="center"/>
              <w:rPr>
                <w:rFonts w:cs="Times New Roman"/>
                <w:sz w:val="21"/>
                <w:szCs w:val="21"/>
              </w:rPr>
            </w:pPr>
            <w:r>
              <w:rPr>
                <w:rFonts w:hint="eastAsia"/>
                <w:sz w:val="21"/>
                <w:szCs w:val="21"/>
              </w:rPr>
              <w:t>9.67E+00</w:t>
            </w:r>
          </w:p>
        </w:tc>
        <w:tc>
          <w:tcPr>
            <w:tcW w:w="1056" w:type="dxa"/>
            <w:noWrap/>
            <w:vAlign w:val="center"/>
          </w:tcPr>
          <w:p w14:paraId="068CA320">
            <w:pPr>
              <w:spacing w:line="240" w:lineRule="auto"/>
              <w:jc w:val="center"/>
              <w:rPr>
                <w:rFonts w:cs="Times New Roman"/>
                <w:sz w:val="21"/>
                <w:szCs w:val="21"/>
              </w:rPr>
            </w:pPr>
            <w:r>
              <w:rPr>
                <w:rFonts w:hint="eastAsia"/>
                <w:sz w:val="21"/>
                <w:szCs w:val="21"/>
              </w:rPr>
              <w:t>23122322</w:t>
            </w:r>
          </w:p>
        </w:tc>
        <w:tc>
          <w:tcPr>
            <w:tcW w:w="1134" w:type="dxa"/>
            <w:noWrap/>
            <w:vAlign w:val="center"/>
          </w:tcPr>
          <w:p w14:paraId="5C5ABA85">
            <w:pPr>
              <w:spacing w:line="240" w:lineRule="auto"/>
              <w:jc w:val="center"/>
              <w:rPr>
                <w:rFonts w:cs="Times New Roman"/>
                <w:sz w:val="21"/>
                <w:szCs w:val="21"/>
              </w:rPr>
            </w:pPr>
            <w:r>
              <w:rPr>
                <w:rFonts w:hint="eastAsia"/>
                <w:sz w:val="21"/>
                <w:szCs w:val="21"/>
              </w:rPr>
              <w:t>1.60E+02</w:t>
            </w:r>
          </w:p>
        </w:tc>
        <w:tc>
          <w:tcPr>
            <w:tcW w:w="1134" w:type="dxa"/>
            <w:noWrap/>
            <w:vAlign w:val="center"/>
          </w:tcPr>
          <w:p w14:paraId="1FB26D7D">
            <w:pPr>
              <w:spacing w:line="240" w:lineRule="auto"/>
              <w:jc w:val="center"/>
              <w:rPr>
                <w:rFonts w:cs="Times New Roman"/>
                <w:sz w:val="21"/>
                <w:szCs w:val="21"/>
              </w:rPr>
            </w:pPr>
            <w:r>
              <w:rPr>
                <w:rFonts w:hint="eastAsia"/>
                <w:sz w:val="21"/>
                <w:szCs w:val="21"/>
              </w:rPr>
              <w:t>1.70E+02</w:t>
            </w:r>
          </w:p>
        </w:tc>
        <w:tc>
          <w:tcPr>
            <w:tcW w:w="1134" w:type="dxa"/>
            <w:noWrap/>
            <w:vAlign w:val="center"/>
          </w:tcPr>
          <w:p w14:paraId="1B1F20D7">
            <w:pPr>
              <w:spacing w:line="240" w:lineRule="auto"/>
              <w:jc w:val="center"/>
              <w:rPr>
                <w:rFonts w:cs="Times New Roman"/>
                <w:sz w:val="21"/>
                <w:szCs w:val="21"/>
              </w:rPr>
            </w:pPr>
            <w:r>
              <w:rPr>
                <w:rFonts w:hint="eastAsia"/>
                <w:sz w:val="21"/>
                <w:szCs w:val="21"/>
              </w:rPr>
              <w:t>2.00E+03</w:t>
            </w:r>
          </w:p>
        </w:tc>
        <w:tc>
          <w:tcPr>
            <w:tcW w:w="709" w:type="dxa"/>
            <w:noWrap/>
            <w:vAlign w:val="center"/>
          </w:tcPr>
          <w:p w14:paraId="143B9613">
            <w:pPr>
              <w:spacing w:line="240" w:lineRule="auto"/>
              <w:jc w:val="center"/>
              <w:rPr>
                <w:rFonts w:cs="Times New Roman"/>
                <w:sz w:val="21"/>
                <w:szCs w:val="21"/>
              </w:rPr>
            </w:pPr>
            <w:r>
              <w:rPr>
                <w:rFonts w:hint="eastAsia"/>
                <w:sz w:val="21"/>
                <w:szCs w:val="21"/>
              </w:rPr>
              <w:t>8.48</w:t>
            </w:r>
          </w:p>
        </w:tc>
        <w:tc>
          <w:tcPr>
            <w:tcW w:w="709" w:type="dxa"/>
            <w:noWrap/>
            <w:vAlign w:val="center"/>
          </w:tcPr>
          <w:p w14:paraId="4CF912B2">
            <w:pPr>
              <w:spacing w:line="240" w:lineRule="auto"/>
              <w:jc w:val="center"/>
              <w:rPr>
                <w:rFonts w:cs="Times New Roman"/>
                <w:sz w:val="21"/>
                <w:szCs w:val="21"/>
              </w:rPr>
            </w:pPr>
            <w:r>
              <w:rPr>
                <w:rFonts w:hint="eastAsia"/>
                <w:sz w:val="21"/>
                <w:szCs w:val="21"/>
              </w:rPr>
              <w:t>达标</w:t>
            </w:r>
          </w:p>
        </w:tc>
      </w:tr>
      <w:tr w14:paraId="716A50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26" w:type="dxa"/>
            <w:vAlign w:val="center"/>
          </w:tcPr>
          <w:p w14:paraId="15EE39E7">
            <w:pPr>
              <w:wordWrap w:val="0"/>
              <w:spacing w:line="240" w:lineRule="auto"/>
              <w:jc w:val="center"/>
              <w:rPr>
                <w:rFonts w:cs="Times New Roman"/>
                <w:sz w:val="21"/>
                <w:szCs w:val="21"/>
              </w:rPr>
            </w:pPr>
            <w:r>
              <w:rPr>
                <w:rFonts w:hint="eastAsia" w:cs="Times New Roman"/>
                <w:sz w:val="21"/>
                <w:szCs w:val="21"/>
              </w:rPr>
              <w:t>9</w:t>
            </w:r>
          </w:p>
        </w:tc>
        <w:tc>
          <w:tcPr>
            <w:tcW w:w="1129" w:type="dxa"/>
            <w:noWrap/>
            <w:vAlign w:val="center"/>
          </w:tcPr>
          <w:p w14:paraId="6F2FFE00">
            <w:pPr>
              <w:wordWrap w:val="0"/>
              <w:spacing w:line="240" w:lineRule="auto"/>
              <w:jc w:val="center"/>
              <w:rPr>
                <w:rFonts w:cs="Times New Roman"/>
                <w:sz w:val="21"/>
                <w:szCs w:val="21"/>
              </w:rPr>
            </w:pPr>
            <w:r>
              <w:rPr>
                <w:rFonts w:hint="eastAsia"/>
                <w:sz w:val="21"/>
                <w:szCs w:val="21"/>
              </w:rPr>
              <w:t>于家村</w:t>
            </w:r>
          </w:p>
        </w:tc>
        <w:tc>
          <w:tcPr>
            <w:tcW w:w="850" w:type="dxa"/>
            <w:noWrap/>
            <w:vAlign w:val="center"/>
          </w:tcPr>
          <w:p w14:paraId="1F3030DA">
            <w:pPr>
              <w:wordWrap w:val="0"/>
              <w:spacing w:line="240" w:lineRule="auto"/>
              <w:jc w:val="center"/>
              <w:rPr>
                <w:rFonts w:cs="Times New Roman"/>
                <w:sz w:val="21"/>
                <w:szCs w:val="21"/>
              </w:rPr>
            </w:pPr>
            <w:r>
              <w:rPr>
                <w:rFonts w:hint="eastAsia"/>
                <w:sz w:val="21"/>
                <w:szCs w:val="21"/>
              </w:rPr>
              <w:t>小时值</w:t>
            </w:r>
          </w:p>
        </w:tc>
        <w:tc>
          <w:tcPr>
            <w:tcW w:w="1134" w:type="dxa"/>
            <w:noWrap/>
            <w:vAlign w:val="center"/>
          </w:tcPr>
          <w:p w14:paraId="16CECF93">
            <w:pPr>
              <w:spacing w:line="240" w:lineRule="auto"/>
              <w:jc w:val="center"/>
              <w:rPr>
                <w:rFonts w:cs="Times New Roman"/>
                <w:sz w:val="21"/>
                <w:szCs w:val="21"/>
              </w:rPr>
            </w:pPr>
            <w:r>
              <w:rPr>
                <w:rFonts w:hint="eastAsia"/>
                <w:sz w:val="21"/>
                <w:szCs w:val="21"/>
              </w:rPr>
              <w:t>1.02E+01</w:t>
            </w:r>
          </w:p>
        </w:tc>
        <w:tc>
          <w:tcPr>
            <w:tcW w:w="1056" w:type="dxa"/>
            <w:noWrap/>
            <w:vAlign w:val="center"/>
          </w:tcPr>
          <w:p w14:paraId="16FDEC9B">
            <w:pPr>
              <w:spacing w:line="240" w:lineRule="auto"/>
              <w:jc w:val="center"/>
              <w:rPr>
                <w:rFonts w:cs="Times New Roman"/>
                <w:sz w:val="21"/>
                <w:szCs w:val="21"/>
              </w:rPr>
            </w:pPr>
            <w:r>
              <w:rPr>
                <w:rFonts w:hint="eastAsia"/>
                <w:sz w:val="21"/>
                <w:szCs w:val="21"/>
              </w:rPr>
              <w:t>23090223</w:t>
            </w:r>
          </w:p>
        </w:tc>
        <w:tc>
          <w:tcPr>
            <w:tcW w:w="1134" w:type="dxa"/>
            <w:noWrap/>
            <w:vAlign w:val="center"/>
          </w:tcPr>
          <w:p w14:paraId="266AC49C">
            <w:pPr>
              <w:spacing w:line="240" w:lineRule="auto"/>
              <w:jc w:val="center"/>
              <w:rPr>
                <w:rFonts w:cs="Times New Roman"/>
                <w:sz w:val="21"/>
                <w:szCs w:val="21"/>
              </w:rPr>
            </w:pPr>
            <w:r>
              <w:rPr>
                <w:rFonts w:hint="eastAsia"/>
                <w:sz w:val="21"/>
                <w:szCs w:val="21"/>
              </w:rPr>
              <w:t>1.60E+02</w:t>
            </w:r>
          </w:p>
        </w:tc>
        <w:tc>
          <w:tcPr>
            <w:tcW w:w="1134" w:type="dxa"/>
            <w:noWrap/>
            <w:vAlign w:val="center"/>
          </w:tcPr>
          <w:p w14:paraId="69056764">
            <w:pPr>
              <w:spacing w:line="240" w:lineRule="auto"/>
              <w:jc w:val="center"/>
              <w:rPr>
                <w:rFonts w:cs="Times New Roman"/>
                <w:sz w:val="21"/>
                <w:szCs w:val="21"/>
              </w:rPr>
            </w:pPr>
            <w:r>
              <w:rPr>
                <w:rFonts w:hint="eastAsia"/>
                <w:sz w:val="21"/>
                <w:szCs w:val="21"/>
              </w:rPr>
              <w:t>1.70E+02</w:t>
            </w:r>
          </w:p>
        </w:tc>
        <w:tc>
          <w:tcPr>
            <w:tcW w:w="1134" w:type="dxa"/>
            <w:noWrap/>
            <w:vAlign w:val="center"/>
          </w:tcPr>
          <w:p w14:paraId="0F5C558D">
            <w:pPr>
              <w:spacing w:line="240" w:lineRule="auto"/>
              <w:jc w:val="center"/>
              <w:rPr>
                <w:rFonts w:cs="Times New Roman"/>
                <w:sz w:val="21"/>
                <w:szCs w:val="21"/>
              </w:rPr>
            </w:pPr>
            <w:r>
              <w:rPr>
                <w:rFonts w:hint="eastAsia"/>
                <w:sz w:val="21"/>
                <w:szCs w:val="21"/>
              </w:rPr>
              <w:t>2.00E+03</w:t>
            </w:r>
          </w:p>
        </w:tc>
        <w:tc>
          <w:tcPr>
            <w:tcW w:w="709" w:type="dxa"/>
            <w:noWrap/>
            <w:vAlign w:val="center"/>
          </w:tcPr>
          <w:p w14:paraId="644ABD1D">
            <w:pPr>
              <w:spacing w:line="240" w:lineRule="auto"/>
              <w:jc w:val="center"/>
              <w:rPr>
                <w:rFonts w:cs="Times New Roman"/>
                <w:sz w:val="21"/>
                <w:szCs w:val="21"/>
              </w:rPr>
            </w:pPr>
            <w:r>
              <w:rPr>
                <w:rFonts w:hint="eastAsia"/>
                <w:sz w:val="21"/>
                <w:szCs w:val="21"/>
              </w:rPr>
              <w:t>8.51</w:t>
            </w:r>
          </w:p>
        </w:tc>
        <w:tc>
          <w:tcPr>
            <w:tcW w:w="709" w:type="dxa"/>
            <w:noWrap/>
            <w:vAlign w:val="center"/>
          </w:tcPr>
          <w:p w14:paraId="2245F8E6">
            <w:pPr>
              <w:spacing w:line="240" w:lineRule="auto"/>
              <w:jc w:val="center"/>
              <w:rPr>
                <w:rFonts w:cs="Times New Roman"/>
                <w:sz w:val="21"/>
                <w:szCs w:val="21"/>
              </w:rPr>
            </w:pPr>
            <w:r>
              <w:rPr>
                <w:rFonts w:hint="eastAsia"/>
                <w:sz w:val="21"/>
                <w:szCs w:val="21"/>
              </w:rPr>
              <w:t>达标</w:t>
            </w:r>
          </w:p>
        </w:tc>
      </w:tr>
      <w:tr w14:paraId="50D83F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26" w:type="dxa"/>
            <w:vAlign w:val="center"/>
          </w:tcPr>
          <w:p w14:paraId="16A2A42C">
            <w:pPr>
              <w:wordWrap w:val="0"/>
              <w:spacing w:line="240" w:lineRule="auto"/>
              <w:jc w:val="center"/>
              <w:rPr>
                <w:rFonts w:cs="Times New Roman"/>
                <w:sz w:val="21"/>
                <w:szCs w:val="21"/>
              </w:rPr>
            </w:pPr>
            <w:r>
              <w:rPr>
                <w:rFonts w:hint="eastAsia" w:cs="Times New Roman"/>
                <w:sz w:val="21"/>
                <w:szCs w:val="21"/>
              </w:rPr>
              <w:t>10</w:t>
            </w:r>
          </w:p>
        </w:tc>
        <w:tc>
          <w:tcPr>
            <w:tcW w:w="1129" w:type="dxa"/>
            <w:noWrap/>
            <w:vAlign w:val="center"/>
          </w:tcPr>
          <w:p w14:paraId="7880F470">
            <w:pPr>
              <w:wordWrap w:val="0"/>
              <w:spacing w:line="240" w:lineRule="auto"/>
              <w:jc w:val="center"/>
              <w:rPr>
                <w:rFonts w:cs="Times New Roman"/>
                <w:sz w:val="21"/>
                <w:szCs w:val="21"/>
              </w:rPr>
            </w:pPr>
            <w:r>
              <w:rPr>
                <w:rFonts w:hint="eastAsia"/>
                <w:sz w:val="21"/>
                <w:szCs w:val="21"/>
              </w:rPr>
              <w:t>陈巷</w:t>
            </w:r>
          </w:p>
        </w:tc>
        <w:tc>
          <w:tcPr>
            <w:tcW w:w="850" w:type="dxa"/>
            <w:noWrap/>
            <w:vAlign w:val="center"/>
          </w:tcPr>
          <w:p w14:paraId="062E5F55">
            <w:pPr>
              <w:wordWrap w:val="0"/>
              <w:spacing w:line="240" w:lineRule="auto"/>
              <w:jc w:val="center"/>
              <w:rPr>
                <w:rFonts w:cs="Times New Roman"/>
                <w:sz w:val="21"/>
                <w:szCs w:val="21"/>
              </w:rPr>
            </w:pPr>
            <w:r>
              <w:rPr>
                <w:rFonts w:hint="eastAsia"/>
                <w:sz w:val="21"/>
                <w:szCs w:val="21"/>
              </w:rPr>
              <w:t>小时值</w:t>
            </w:r>
          </w:p>
        </w:tc>
        <w:tc>
          <w:tcPr>
            <w:tcW w:w="1134" w:type="dxa"/>
            <w:noWrap/>
            <w:vAlign w:val="center"/>
          </w:tcPr>
          <w:p w14:paraId="3C0BF00F">
            <w:pPr>
              <w:spacing w:line="240" w:lineRule="auto"/>
              <w:jc w:val="center"/>
              <w:rPr>
                <w:rFonts w:cs="Times New Roman"/>
                <w:sz w:val="21"/>
                <w:szCs w:val="21"/>
              </w:rPr>
            </w:pPr>
            <w:r>
              <w:rPr>
                <w:rFonts w:hint="eastAsia"/>
                <w:sz w:val="21"/>
                <w:szCs w:val="21"/>
              </w:rPr>
              <w:t>9.95E+00</w:t>
            </w:r>
          </w:p>
        </w:tc>
        <w:tc>
          <w:tcPr>
            <w:tcW w:w="1056" w:type="dxa"/>
            <w:noWrap/>
            <w:vAlign w:val="center"/>
          </w:tcPr>
          <w:p w14:paraId="3105416C">
            <w:pPr>
              <w:spacing w:line="240" w:lineRule="auto"/>
              <w:jc w:val="center"/>
              <w:rPr>
                <w:rFonts w:cs="Times New Roman"/>
                <w:sz w:val="21"/>
                <w:szCs w:val="21"/>
              </w:rPr>
            </w:pPr>
            <w:r>
              <w:rPr>
                <w:rFonts w:hint="eastAsia"/>
                <w:sz w:val="21"/>
                <w:szCs w:val="21"/>
              </w:rPr>
              <w:t>23071601</w:t>
            </w:r>
          </w:p>
        </w:tc>
        <w:tc>
          <w:tcPr>
            <w:tcW w:w="1134" w:type="dxa"/>
            <w:noWrap/>
            <w:vAlign w:val="center"/>
          </w:tcPr>
          <w:p w14:paraId="31AB9B23">
            <w:pPr>
              <w:spacing w:line="240" w:lineRule="auto"/>
              <w:jc w:val="center"/>
              <w:rPr>
                <w:rFonts w:cs="Times New Roman"/>
                <w:sz w:val="21"/>
                <w:szCs w:val="21"/>
              </w:rPr>
            </w:pPr>
            <w:r>
              <w:rPr>
                <w:rFonts w:hint="eastAsia"/>
                <w:sz w:val="21"/>
                <w:szCs w:val="21"/>
              </w:rPr>
              <w:t>1.60E+02</w:t>
            </w:r>
          </w:p>
        </w:tc>
        <w:tc>
          <w:tcPr>
            <w:tcW w:w="1134" w:type="dxa"/>
            <w:noWrap/>
            <w:vAlign w:val="center"/>
          </w:tcPr>
          <w:p w14:paraId="1F6B4B75">
            <w:pPr>
              <w:spacing w:line="240" w:lineRule="auto"/>
              <w:jc w:val="center"/>
              <w:rPr>
                <w:rFonts w:cs="Times New Roman"/>
                <w:sz w:val="21"/>
                <w:szCs w:val="21"/>
              </w:rPr>
            </w:pPr>
            <w:r>
              <w:rPr>
                <w:rFonts w:hint="eastAsia"/>
                <w:sz w:val="21"/>
                <w:szCs w:val="21"/>
              </w:rPr>
              <w:t>1.70E+02</w:t>
            </w:r>
          </w:p>
        </w:tc>
        <w:tc>
          <w:tcPr>
            <w:tcW w:w="1134" w:type="dxa"/>
            <w:noWrap/>
            <w:vAlign w:val="center"/>
          </w:tcPr>
          <w:p w14:paraId="723A94C1">
            <w:pPr>
              <w:spacing w:line="240" w:lineRule="auto"/>
              <w:jc w:val="center"/>
              <w:rPr>
                <w:rFonts w:cs="Times New Roman"/>
                <w:sz w:val="21"/>
                <w:szCs w:val="21"/>
              </w:rPr>
            </w:pPr>
            <w:r>
              <w:rPr>
                <w:rFonts w:hint="eastAsia"/>
                <w:sz w:val="21"/>
                <w:szCs w:val="21"/>
              </w:rPr>
              <w:t>2.00E+03</w:t>
            </w:r>
          </w:p>
        </w:tc>
        <w:tc>
          <w:tcPr>
            <w:tcW w:w="709" w:type="dxa"/>
            <w:noWrap/>
            <w:vAlign w:val="center"/>
          </w:tcPr>
          <w:p w14:paraId="4C69945E">
            <w:pPr>
              <w:spacing w:line="240" w:lineRule="auto"/>
              <w:jc w:val="center"/>
              <w:rPr>
                <w:rFonts w:cs="Times New Roman"/>
                <w:sz w:val="21"/>
                <w:szCs w:val="21"/>
              </w:rPr>
            </w:pPr>
            <w:r>
              <w:rPr>
                <w:rFonts w:hint="eastAsia"/>
                <w:sz w:val="21"/>
                <w:szCs w:val="21"/>
              </w:rPr>
              <w:t>8.50</w:t>
            </w:r>
          </w:p>
        </w:tc>
        <w:tc>
          <w:tcPr>
            <w:tcW w:w="709" w:type="dxa"/>
            <w:noWrap/>
            <w:vAlign w:val="center"/>
          </w:tcPr>
          <w:p w14:paraId="096DB57D">
            <w:pPr>
              <w:spacing w:line="240" w:lineRule="auto"/>
              <w:jc w:val="center"/>
              <w:rPr>
                <w:rFonts w:cs="Times New Roman"/>
                <w:sz w:val="21"/>
                <w:szCs w:val="21"/>
              </w:rPr>
            </w:pPr>
            <w:r>
              <w:rPr>
                <w:rFonts w:hint="eastAsia"/>
                <w:sz w:val="21"/>
                <w:szCs w:val="21"/>
              </w:rPr>
              <w:t>达标</w:t>
            </w:r>
          </w:p>
        </w:tc>
      </w:tr>
      <w:tr w14:paraId="733473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26" w:type="dxa"/>
            <w:vAlign w:val="center"/>
          </w:tcPr>
          <w:p w14:paraId="131BED56">
            <w:pPr>
              <w:wordWrap w:val="0"/>
              <w:spacing w:line="240" w:lineRule="auto"/>
              <w:jc w:val="center"/>
              <w:rPr>
                <w:rFonts w:cs="Times New Roman"/>
                <w:sz w:val="21"/>
                <w:szCs w:val="21"/>
              </w:rPr>
            </w:pPr>
            <w:r>
              <w:rPr>
                <w:rFonts w:hint="eastAsia" w:cs="Times New Roman"/>
                <w:sz w:val="21"/>
                <w:szCs w:val="21"/>
              </w:rPr>
              <w:t>11</w:t>
            </w:r>
          </w:p>
        </w:tc>
        <w:tc>
          <w:tcPr>
            <w:tcW w:w="1129" w:type="dxa"/>
            <w:noWrap/>
            <w:vAlign w:val="center"/>
          </w:tcPr>
          <w:p w14:paraId="316CAB99">
            <w:pPr>
              <w:wordWrap w:val="0"/>
              <w:spacing w:line="240" w:lineRule="auto"/>
              <w:jc w:val="center"/>
              <w:rPr>
                <w:rFonts w:cs="Times New Roman"/>
                <w:sz w:val="21"/>
                <w:szCs w:val="21"/>
              </w:rPr>
            </w:pPr>
            <w:r>
              <w:rPr>
                <w:rFonts w:hint="eastAsia"/>
                <w:sz w:val="21"/>
                <w:szCs w:val="21"/>
              </w:rPr>
              <w:t>网格</w:t>
            </w:r>
          </w:p>
        </w:tc>
        <w:tc>
          <w:tcPr>
            <w:tcW w:w="850" w:type="dxa"/>
            <w:noWrap/>
            <w:vAlign w:val="center"/>
          </w:tcPr>
          <w:p w14:paraId="30FFDEA1">
            <w:pPr>
              <w:wordWrap w:val="0"/>
              <w:spacing w:line="240" w:lineRule="auto"/>
              <w:jc w:val="center"/>
              <w:rPr>
                <w:rFonts w:cs="Times New Roman"/>
                <w:sz w:val="21"/>
                <w:szCs w:val="21"/>
              </w:rPr>
            </w:pPr>
            <w:r>
              <w:rPr>
                <w:rFonts w:hint="eastAsia"/>
                <w:sz w:val="21"/>
                <w:szCs w:val="21"/>
              </w:rPr>
              <w:t>小时值</w:t>
            </w:r>
          </w:p>
        </w:tc>
        <w:tc>
          <w:tcPr>
            <w:tcW w:w="1134" w:type="dxa"/>
            <w:noWrap/>
            <w:vAlign w:val="center"/>
          </w:tcPr>
          <w:p w14:paraId="630C9C5B">
            <w:pPr>
              <w:spacing w:line="240" w:lineRule="auto"/>
              <w:jc w:val="center"/>
              <w:rPr>
                <w:rFonts w:cs="Times New Roman"/>
                <w:sz w:val="21"/>
                <w:szCs w:val="21"/>
              </w:rPr>
            </w:pPr>
            <w:r>
              <w:rPr>
                <w:rFonts w:hint="eastAsia"/>
                <w:sz w:val="21"/>
                <w:szCs w:val="21"/>
              </w:rPr>
              <w:t>4.60E+01</w:t>
            </w:r>
          </w:p>
        </w:tc>
        <w:tc>
          <w:tcPr>
            <w:tcW w:w="1056" w:type="dxa"/>
            <w:noWrap/>
            <w:vAlign w:val="center"/>
          </w:tcPr>
          <w:p w14:paraId="75D72F0A">
            <w:pPr>
              <w:spacing w:line="240" w:lineRule="auto"/>
              <w:jc w:val="center"/>
              <w:rPr>
                <w:rFonts w:cs="Times New Roman"/>
                <w:sz w:val="21"/>
                <w:szCs w:val="21"/>
              </w:rPr>
            </w:pPr>
            <w:r>
              <w:rPr>
                <w:rFonts w:hint="eastAsia"/>
                <w:sz w:val="21"/>
                <w:szCs w:val="21"/>
              </w:rPr>
              <w:t>23092622</w:t>
            </w:r>
          </w:p>
        </w:tc>
        <w:tc>
          <w:tcPr>
            <w:tcW w:w="1134" w:type="dxa"/>
            <w:noWrap/>
            <w:vAlign w:val="center"/>
          </w:tcPr>
          <w:p w14:paraId="5B34869F">
            <w:pPr>
              <w:spacing w:line="240" w:lineRule="auto"/>
              <w:jc w:val="center"/>
              <w:rPr>
                <w:rFonts w:cs="Times New Roman"/>
                <w:sz w:val="21"/>
                <w:szCs w:val="21"/>
              </w:rPr>
            </w:pPr>
            <w:r>
              <w:rPr>
                <w:rFonts w:hint="eastAsia"/>
                <w:sz w:val="21"/>
                <w:szCs w:val="21"/>
              </w:rPr>
              <w:t>1.60E+02</w:t>
            </w:r>
          </w:p>
        </w:tc>
        <w:tc>
          <w:tcPr>
            <w:tcW w:w="1134" w:type="dxa"/>
            <w:noWrap/>
            <w:vAlign w:val="center"/>
          </w:tcPr>
          <w:p w14:paraId="091D627F">
            <w:pPr>
              <w:spacing w:line="240" w:lineRule="auto"/>
              <w:jc w:val="center"/>
              <w:rPr>
                <w:rFonts w:cs="Times New Roman"/>
                <w:sz w:val="21"/>
                <w:szCs w:val="21"/>
              </w:rPr>
            </w:pPr>
            <w:r>
              <w:rPr>
                <w:rFonts w:hint="eastAsia"/>
                <w:sz w:val="21"/>
                <w:szCs w:val="21"/>
              </w:rPr>
              <w:t>2.06E+02</w:t>
            </w:r>
          </w:p>
        </w:tc>
        <w:tc>
          <w:tcPr>
            <w:tcW w:w="1134" w:type="dxa"/>
            <w:noWrap/>
            <w:vAlign w:val="center"/>
          </w:tcPr>
          <w:p w14:paraId="475868B8">
            <w:pPr>
              <w:spacing w:line="240" w:lineRule="auto"/>
              <w:jc w:val="center"/>
              <w:rPr>
                <w:rFonts w:cs="Times New Roman"/>
                <w:sz w:val="21"/>
                <w:szCs w:val="21"/>
              </w:rPr>
            </w:pPr>
            <w:r>
              <w:rPr>
                <w:rFonts w:hint="eastAsia"/>
                <w:sz w:val="21"/>
                <w:szCs w:val="21"/>
              </w:rPr>
              <w:t>2.00E+03</w:t>
            </w:r>
          </w:p>
        </w:tc>
        <w:tc>
          <w:tcPr>
            <w:tcW w:w="709" w:type="dxa"/>
            <w:noWrap/>
            <w:vAlign w:val="center"/>
          </w:tcPr>
          <w:p w14:paraId="25B638BB">
            <w:pPr>
              <w:spacing w:line="240" w:lineRule="auto"/>
              <w:jc w:val="center"/>
              <w:rPr>
                <w:rFonts w:cs="Times New Roman"/>
                <w:sz w:val="21"/>
                <w:szCs w:val="21"/>
              </w:rPr>
            </w:pPr>
            <w:r>
              <w:rPr>
                <w:rFonts w:hint="eastAsia"/>
                <w:sz w:val="21"/>
                <w:szCs w:val="21"/>
              </w:rPr>
              <w:t>10.3</w:t>
            </w:r>
          </w:p>
        </w:tc>
        <w:tc>
          <w:tcPr>
            <w:tcW w:w="709" w:type="dxa"/>
            <w:noWrap/>
            <w:vAlign w:val="center"/>
          </w:tcPr>
          <w:p w14:paraId="5AAB2843">
            <w:pPr>
              <w:spacing w:line="240" w:lineRule="auto"/>
              <w:jc w:val="center"/>
              <w:rPr>
                <w:rFonts w:cs="Times New Roman"/>
                <w:sz w:val="21"/>
                <w:szCs w:val="21"/>
              </w:rPr>
            </w:pPr>
            <w:r>
              <w:rPr>
                <w:rFonts w:hint="eastAsia"/>
                <w:sz w:val="21"/>
                <w:szCs w:val="21"/>
              </w:rPr>
              <w:t>达标</w:t>
            </w:r>
          </w:p>
        </w:tc>
      </w:tr>
    </w:tbl>
    <w:p w14:paraId="3E3AE5F8">
      <w:pPr>
        <w:pStyle w:val="82"/>
        <w:ind w:firstLine="480"/>
        <w:jc w:val="both"/>
        <w:rPr>
          <w:rFonts w:ascii="Times New Roman" w:hAnsi="Times New Roman" w:cs="Times New Roman"/>
          <w:color w:val="000000" w:themeColor="text1"/>
          <w14:textFill>
            <w14:solidFill>
              <w14:schemeClr w14:val="tx1"/>
            </w14:solidFill>
          </w14:textFill>
        </w:rPr>
      </w:pPr>
    </w:p>
    <w:p w14:paraId="749528A4">
      <w:pPr>
        <w:pStyle w:val="82"/>
        <w:ind w:firstLine="480"/>
        <w:jc w:val="both"/>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(2)酚类</w:t>
      </w:r>
    </w:p>
    <w:p w14:paraId="19451BB5">
      <w:pPr>
        <w:pStyle w:val="82"/>
        <w:ind w:firstLine="480"/>
        <w:jc w:val="both"/>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预测结果表明各敏感点及网格点分类叠加现状浓度背景值后的小时平均浓度均满足《大气污染物综合排放标准详解》中的推荐限值。</w:t>
      </w:r>
    </w:p>
    <w:p w14:paraId="0B44B99C">
      <w:pPr>
        <w:pStyle w:val="28"/>
        <w:rPr>
          <w:rFonts w:hint="eastAsia"/>
          <w:szCs w:val="22"/>
        </w:rPr>
      </w:pPr>
      <w:r>
        <w:rPr>
          <w:szCs w:val="22"/>
        </w:rPr>
        <w:t>表</w:t>
      </w:r>
      <w:r>
        <w:rPr>
          <w:rFonts w:hint="eastAsia"/>
          <w:szCs w:val="22"/>
        </w:rPr>
        <w:t xml:space="preserve">6.2-19 </w:t>
      </w:r>
      <w:r>
        <w:rPr>
          <w:szCs w:val="22"/>
        </w:rPr>
        <w:t xml:space="preserve"> </w:t>
      </w:r>
      <w:r>
        <w:rPr>
          <w:rFonts w:hint="eastAsia"/>
        </w:rPr>
        <w:t>酚类叠加预测结果</w:t>
      </w:r>
    </w:p>
    <w:tbl>
      <w:tblPr>
        <w:tblStyle w:val="37"/>
        <w:tblW w:w="941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1129"/>
        <w:gridCol w:w="850"/>
        <w:gridCol w:w="1134"/>
        <w:gridCol w:w="1056"/>
        <w:gridCol w:w="1134"/>
        <w:gridCol w:w="1134"/>
        <w:gridCol w:w="1134"/>
        <w:gridCol w:w="709"/>
        <w:gridCol w:w="709"/>
      </w:tblGrid>
      <w:tr w14:paraId="7E4FF4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jc w:val="center"/>
        </w:trPr>
        <w:tc>
          <w:tcPr>
            <w:tcW w:w="426" w:type="dxa"/>
            <w:vAlign w:val="center"/>
          </w:tcPr>
          <w:p w14:paraId="66915AC1">
            <w:pPr>
              <w:wordWrap w:val="0"/>
              <w:spacing w:line="240" w:lineRule="auto"/>
              <w:jc w:val="center"/>
              <w:rPr>
                <w:rFonts w:cs="Times New Roman"/>
                <w:sz w:val="21"/>
                <w:szCs w:val="21"/>
              </w:rPr>
            </w:pPr>
            <w:r>
              <w:rPr>
                <w:rFonts w:hint="eastAsia" w:cs="Times New Roman"/>
                <w:sz w:val="21"/>
                <w:szCs w:val="21"/>
              </w:rPr>
              <w:t>序号</w:t>
            </w:r>
          </w:p>
        </w:tc>
        <w:tc>
          <w:tcPr>
            <w:tcW w:w="1129" w:type="dxa"/>
            <w:noWrap/>
            <w:vAlign w:val="center"/>
          </w:tcPr>
          <w:p w14:paraId="71538A15">
            <w:pPr>
              <w:wordWrap w:val="0"/>
              <w:spacing w:line="240" w:lineRule="auto"/>
              <w:jc w:val="center"/>
              <w:rPr>
                <w:rFonts w:cs="Times New Roman"/>
                <w:sz w:val="21"/>
                <w:szCs w:val="21"/>
              </w:rPr>
            </w:pPr>
            <w:r>
              <w:rPr>
                <w:rFonts w:hint="eastAsia" w:cs="Times New Roman"/>
                <w:sz w:val="21"/>
                <w:szCs w:val="21"/>
              </w:rPr>
              <w:t>点名称</w:t>
            </w:r>
          </w:p>
        </w:tc>
        <w:tc>
          <w:tcPr>
            <w:tcW w:w="850" w:type="dxa"/>
            <w:noWrap/>
            <w:vAlign w:val="center"/>
          </w:tcPr>
          <w:p w14:paraId="2CE53E04">
            <w:pPr>
              <w:wordWrap w:val="0"/>
              <w:spacing w:line="240" w:lineRule="auto"/>
              <w:jc w:val="center"/>
              <w:rPr>
                <w:rFonts w:cs="Times New Roman"/>
                <w:sz w:val="21"/>
                <w:szCs w:val="21"/>
              </w:rPr>
            </w:pPr>
            <w:r>
              <w:rPr>
                <w:rFonts w:cs="Times New Roman"/>
                <w:sz w:val="21"/>
                <w:szCs w:val="21"/>
              </w:rPr>
              <w:t>浓度类型</w:t>
            </w:r>
          </w:p>
        </w:tc>
        <w:tc>
          <w:tcPr>
            <w:tcW w:w="1134" w:type="dxa"/>
            <w:noWrap/>
            <w:vAlign w:val="center"/>
          </w:tcPr>
          <w:p w14:paraId="7188F8FD">
            <w:pPr>
              <w:wordWrap w:val="0"/>
              <w:spacing w:line="240" w:lineRule="auto"/>
              <w:jc w:val="center"/>
              <w:rPr>
                <w:rFonts w:cs="Times New Roman"/>
                <w:sz w:val="21"/>
                <w:szCs w:val="21"/>
              </w:rPr>
            </w:pPr>
            <w:r>
              <w:rPr>
                <w:rFonts w:cs="Times New Roman"/>
                <w:sz w:val="21"/>
                <w:szCs w:val="21"/>
              </w:rPr>
              <w:t>浓度增量(μg/m</w:t>
            </w:r>
            <w:r>
              <w:rPr>
                <w:rFonts w:cs="Times New Roman"/>
                <w:sz w:val="21"/>
                <w:szCs w:val="21"/>
                <w:vertAlign w:val="superscript"/>
              </w:rPr>
              <w:t>3</w:t>
            </w:r>
            <w:r>
              <w:rPr>
                <w:rFonts w:cs="Times New Roman"/>
                <w:sz w:val="21"/>
                <w:szCs w:val="21"/>
              </w:rPr>
              <w:t>)</w:t>
            </w:r>
          </w:p>
        </w:tc>
        <w:tc>
          <w:tcPr>
            <w:tcW w:w="1056" w:type="dxa"/>
            <w:noWrap/>
            <w:vAlign w:val="center"/>
          </w:tcPr>
          <w:p w14:paraId="2EC50470">
            <w:pPr>
              <w:wordWrap w:val="0"/>
              <w:spacing w:line="240" w:lineRule="auto"/>
              <w:jc w:val="center"/>
              <w:rPr>
                <w:rFonts w:cs="Times New Roman"/>
                <w:sz w:val="21"/>
                <w:szCs w:val="21"/>
              </w:rPr>
            </w:pPr>
            <w:r>
              <w:rPr>
                <w:rFonts w:cs="Times New Roman"/>
                <w:sz w:val="21"/>
                <w:szCs w:val="21"/>
              </w:rPr>
              <w:t>出现时间</w:t>
            </w:r>
          </w:p>
        </w:tc>
        <w:tc>
          <w:tcPr>
            <w:tcW w:w="1134" w:type="dxa"/>
            <w:noWrap/>
            <w:vAlign w:val="center"/>
          </w:tcPr>
          <w:p w14:paraId="57480059">
            <w:pPr>
              <w:wordWrap w:val="0"/>
              <w:spacing w:line="240" w:lineRule="auto"/>
              <w:jc w:val="center"/>
              <w:rPr>
                <w:rFonts w:cs="Times New Roman"/>
                <w:sz w:val="21"/>
                <w:szCs w:val="21"/>
              </w:rPr>
            </w:pPr>
            <w:r>
              <w:rPr>
                <w:rFonts w:cs="Times New Roman"/>
                <w:sz w:val="21"/>
                <w:szCs w:val="21"/>
              </w:rPr>
              <w:t>背景浓度(μg/m</w:t>
            </w:r>
            <w:r>
              <w:rPr>
                <w:rFonts w:cs="Times New Roman"/>
                <w:sz w:val="21"/>
                <w:szCs w:val="21"/>
                <w:vertAlign w:val="superscript"/>
              </w:rPr>
              <w:t>3</w:t>
            </w:r>
            <w:r>
              <w:rPr>
                <w:rFonts w:cs="Times New Roman"/>
                <w:sz w:val="21"/>
                <w:szCs w:val="21"/>
              </w:rPr>
              <w:t>)</w:t>
            </w:r>
          </w:p>
        </w:tc>
        <w:tc>
          <w:tcPr>
            <w:tcW w:w="1134" w:type="dxa"/>
            <w:noWrap/>
            <w:vAlign w:val="center"/>
          </w:tcPr>
          <w:p w14:paraId="00423100">
            <w:pPr>
              <w:wordWrap w:val="0"/>
              <w:spacing w:line="240" w:lineRule="auto"/>
              <w:jc w:val="center"/>
              <w:rPr>
                <w:rFonts w:cs="Times New Roman"/>
                <w:sz w:val="21"/>
                <w:szCs w:val="21"/>
              </w:rPr>
            </w:pPr>
            <w:r>
              <w:rPr>
                <w:rFonts w:cs="Times New Roman"/>
                <w:sz w:val="21"/>
                <w:szCs w:val="21"/>
              </w:rPr>
              <w:t>叠加背景后的浓度(μg/m</w:t>
            </w:r>
            <w:r>
              <w:rPr>
                <w:rFonts w:cs="Times New Roman"/>
                <w:sz w:val="21"/>
                <w:szCs w:val="21"/>
                <w:vertAlign w:val="superscript"/>
              </w:rPr>
              <w:t>3</w:t>
            </w:r>
            <w:r>
              <w:rPr>
                <w:rFonts w:cs="Times New Roman"/>
                <w:sz w:val="21"/>
                <w:szCs w:val="21"/>
              </w:rPr>
              <w:t>)</w:t>
            </w:r>
          </w:p>
        </w:tc>
        <w:tc>
          <w:tcPr>
            <w:tcW w:w="1134" w:type="dxa"/>
            <w:noWrap/>
            <w:vAlign w:val="center"/>
          </w:tcPr>
          <w:p w14:paraId="065E783D">
            <w:pPr>
              <w:wordWrap w:val="0"/>
              <w:spacing w:line="240" w:lineRule="auto"/>
              <w:jc w:val="center"/>
              <w:rPr>
                <w:rFonts w:cs="Times New Roman"/>
                <w:sz w:val="21"/>
                <w:szCs w:val="21"/>
              </w:rPr>
            </w:pPr>
            <w:r>
              <w:rPr>
                <w:rFonts w:cs="Times New Roman"/>
                <w:sz w:val="21"/>
                <w:szCs w:val="21"/>
              </w:rPr>
              <w:t>评价标准(μg/m</w:t>
            </w:r>
            <w:r>
              <w:rPr>
                <w:rFonts w:cs="Times New Roman"/>
                <w:sz w:val="21"/>
                <w:szCs w:val="21"/>
                <w:vertAlign w:val="superscript"/>
              </w:rPr>
              <w:t>3</w:t>
            </w:r>
            <w:r>
              <w:rPr>
                <w:rFonts w:cs="Times New Roman"/>
                <w:sz w:val="21"/>
                <w:szCs w:val="21"/>
              </w:rPr>
              <w:t>)</w:t>
            </w:r>
          </w:p>
        </w:tc>
        <w:tc>
          <w:tcPr>
            <w:tcW w:w="709" w:type="dxa"/>
            <w:noWrap/>
            <w:vAlign w:val="center"/>
          </w:tcPr>
          <w:p w14:paraId="71376837">
            <w:pPr>
              <w:wordWrap w:val="0"/>
              <w:spacing w:line="240" w:lineRule="auto"/>
              <w:jc w:val="center"/>
              <w:rPr>
                <w:rFonts w:cs="Times New Roman"/>
                <w:sz w:val="21"/>
                <w:szCs w:val="21"/>
              </w:rPr>
            </w:pPr>
            <w:r>
              <w:rPr>
                <w:rFonts w:cs="Times New Roman"/>
                <w:sz w:val="21"/>
                <w:szCs w:val="21"/>
              </w:rPr>
              <w:t>占标率%</w:t>
            </w:r>
          </w:p>
        </w:tc>
        <w:tc>
          <w:tcPr>
            <w:tcW w:w="709" w:type="dxa"/>
            <w:noWrap/>
            <w:vAlign w:val="center"/>
          </w:tcPr>
          <w:p w14:paraId="75A60D0F">
            <w:pPr>
              <w:wordWrap w:val="0"/>
              <w:spacing w:line="240" w:lineRule="auto"/>
              <w:jc w:val="center"/>
              <w:rPr>
                <w:rFonts w:cs="Times New Roman"/>
                <w:sz w:val="21"/>
                <w:szCs w:val="21"/>
              </w:rPr>
            </w:pPr>
            <w:r>
              <w:rPr>
                <w:rFonts w:cs="Times New Roman"/>
                <w:sz w:val="21"/>
                <w:szCs w:val="21"/>
              </w:rPr>
              <w:t>达标情况</w:t>
            </w:r>
          </w:p>
        </w:tc>
      </w:tr>
      <w:tr w14:paraId="46DA7C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26" w:type="dxa"/>
            <w:vAlign w:val="center"/>
          </w:tcPr>
          <w:p w14:paraId="5C7336E1">
            <w:pPr>
              <w:wordWrap w:val="0"/>
              <w:spacing w:line="240" w:lineRule="auto"/>
              <w:jc w:val="center"/>
              <w:rPr>
                <w:rFonts w:cs="Times New Roman"/>
                <w:sz w:val="21"/>
                <w:szCs w:val="21"/>
              </w:rPr>
            </w:pPr>
            <w:r>
              <w:rPr>
                <w:rFonts w:hint="eastAsia" w:cs="Times New Roman"/>
                <w:sz w:val="21"/>
                <w:szCs w:val="21"/>
              </w:rPr>
              <w:t>1</w:t>
            </w:r>
          </w:p>
        </w:tc>
        <w:tc>
          <w:tcPr>
            <w:tcW w:w="1129" w:type="dxa"/>
            <w:noWrap/>
            <w:vAlign w:val="center"/>
          </w:tcPr>
          <w:p w14:paraId="4B0D4468">
            <w:pPr>
              <w:wordWrap w:val="0"/>
              <w:spacing w:line="240" w:lineRule="auto"/>
              <w:jc w:val="center"/>
              <w:rPr>
                <w:rFonts w:cs="Times New Roman"/>
                <w:sz w:val="21"/>
                <w:szCs w:val="21"/>
              </w:rPr>
            </w:pPr>
            <w:r>
              <w:rPr>
                <w:rFonts w:hint="eastAsia"/>
                <w:sz w:val="21"/>
                <w:szCs w:val="21"/>
              </w:rPr>
              <w:t>三铺村</w:t>
            </w:r>
          </w:p>
        </w:tc>
        <w:tc>
          <w:tcPr>
            <w:tcW w:w="850" w:type="dxa"/>
            <w:noWrap/>
            <w:vAlign w:val="center"/>
          </w:tcPr>
          <w:p w14:paraId="57062E7C">
            <w:pPr>
              <w:wordWrap w:val="0"/>
              <w:spacing w:line="240" w:lineRule="auto"/>
              <w:jc w:val="center"/>
              <w:rPr>
                <w:rFonts w:cs="Times New Roman"/>
                <w:sz w:val="21"/>
                <w:szCs w:val="21"/>
              </w:rPr>
            </w:pPr>
            <w:r>
              <w:rPr>
                <w:rFonts w:hint="eastAsia"/>
                <w:sz w:val="21"/>
                <w:szCs w:val="21"/>
              </w:rPr>
              <w:t>小时值</w:t>
            </w:r>
          </w:p>
        </w:tc>
        <w:tc>
          <w:tcPr>
            <w:tcW w:w="1134" w:type="dxa"/>
            <w:noWrap/>
            <w:vAlign w:val="center"/>
          </w:tcPr>
          <w:p w14:paraId="233229AF">
            <w:pPr>
              <w:spacing w:line="240" w:lineRule="auto"/>
              <w:jc w:val="center"/>
              <w:rPr>
                <w:rFonts w:cs="Times New Roman"/>
                <w:sz w:val="21"/>
                <w:szCs w:val="21"/>
              </w:rPr>
            </w:pPr>
            <w:r>
              <w:rPr>
                <w:rFonts w:hint="eastAsia"/>
                <w:sz w:val="21"/>
                <w:szCs w:val="21"/>
              </w:rPr>
              <w:t>7.05E-01</w:t>
            </w:r>
          </w:p>
        </w:tc>
        <w:tc>
          <w:tcPr>
            <w:tcW w:w="1056" w:type="dxa"/>
            <w:noWrap/>
            <w:vAlign w:val="center"/>
          </w:tcPr>
          <w:p w14:paraId="5675E1DC">
            <w:pPr>
              <w:spacing w:line="240" w:lineRule="auto"/>
              <w:jc w:val="center"/>
              <w:rPr>
                <w:rFonts w:cs="Times New Roman"/>
                <w:sz w:val="21"/>
                <w:szCs w:val="21"/>
              </w:rPr>
            </w:pPr>
            <w:r>
              <w:rPr>
                <w:rFonts w:hint="eastAsia"/>
                <w:sz w:val="21"/>
                <w:szCs w:val="21"/>
              </w:rPr>
              <w:t>23061622</w:t>
            </w:r>
          </w:p>
        </w:tc>
        <w:tc>
          <w:tcPr>
            <w:tcW w:w="1134" w:type="dxa"/>
            <w:noWrap/>
            <w:vAlign w:val="center"/>
          </w:tcPr>
          <w:p w14:paraId="0366931C">
            <w:pPr>
              <w:spacing w:line="240" w:lineRule="auto"/>
              <w:jc w:val="center"/>
              <w:rPr>
                <w:rFonts w:cs="Times New Roman"/>
                <w:sz w:val="21"/>
                <w:szCs w:val="21"/>
              </w:rPr>
            </w:pPr>
            <w:r>
              <w:rPr>
                <w:rFonts w:hint="eastAsia"/>
                <w:sz w:val="21"/>
                <w:szCs w:val="21"/>
              </w:rPr>
              <w:t>0.00E+00</w:t>
            </w:r>
          </w:p>
        </w:tc>
        <w:tc>
          <w:tcPr>
            <w:tcW w:w="1134" w:type="dxa"/>
            <w:noWrap/>
            <w:vAlign w:val="center"/>
          </w:tcPr>
          <w:p w14:paraId="11265904">
            <w:pPr>
              <w:spacing w:line="240" w:lineRule="auto"/>
              <w:jc w:val="center"/>
              <w:rPr>
                <w:rFonts w:cs="Times New Roman"/>
                <w:sz w:val="21"/>
                <w:szCs w:val="21"/>
              </w:rPr>
            </w:pPr>
            <w:r>
              <w:rPr>
                <w:rFonts w:hint="eastAsia"/>
                <w:sz w:val="21"/>
                <w:szCs w:val="21"/>
              </w:rPr>
              <w:t>7.05E-01</w:t>
            </w:r>
          </w:p>
        </w:tc>
        <w:tc>
          <w:tcPr>
            <w:tcW w:w="1134" w:type="dxa"/>
            <w:noWrap/>
            <w:vAlign w:val="center"/>
          </w:tcPr>
          <w:p w14:paraId="073198A4">
            <w:pPr>
              <w:spacing w:line="240" w:lineRule="auto"/>
              <w:jc w:val="center"/>
              <w:rPr>
                <w:rFonts w:cs="Times New Roman"/>
                <w:sz w:val="21"/>
                <w:szCs w:val="21"/>
              </w:rPr>
            </w:pPr>
            <w:r>
              <w:rPr>
                <w:rFonts w:hint="eastAsia"/>
                <w:sz w:val="21"/>
                <w:szCs w:val="21"/>
              </w:rPr>
              <w:t>2.00E+01</w:t>
            </w:r>
          </w:p>
        </w:tc>
        <w:tc>
          <w:tcPr>
            <w:tcW w:w="709" w:type="dxa"/>
            <w:noWrap/>
            <w:vAlign w:val="center"/>
          </w:tcPr>
          <w:p w14:paraId="14B9892C">
            <w:pPr>
              <w:spacing w:line="240" w:lineRule="auto"/>
              <w:jc w:val="center"/>
              <w:rPr>
                <w:rFonts w:cs="Times New Roman"/>
                <w:sz w:val="21"/>
                <w:szCs w:val="21"/>
              </w:rPr>
            </w:pPr>
            <w:r>
              <w:rPr>
                <w:rFonts w:hint="eastAsia"/>
                <w:sz w:val="21"/>
                <w:szCs w:val="21"/>
              </w:rPr>
              <w:t>3.53</w:t>
            </w:r>
          </w:p>
        </w:tc>
        <w:tc>
          <w:tcPr>
            <w:tcW w:w="709" w:type="dxa"/>
            <w:noWrap/>
            <w:vAlign w:val="center"/>
          </w:tcPr>
          <w:p w14:paraId="2CD01C4D">
            <w:pPr>
              <w:spacing w:line="240" w:lineRule="auto"/>
              <w:jc w:val="center"/>
              <w:rPr>
                <w:rFonts w:cs="Times New Roman"/>
                <w:sz w:val="21"/>
                <w:szCs w:val="21"/>
              </w:rPr>
            </w:pPr>
            <w:r>
              <w:rPr>
                <w:rFonts w:hint="eastAsia"/>
                <w:sz w:val="21"/>
                <w:szCs w:val="21"/>
              </w:rPr>
              <w:t>达标</w:t>
            </w:r>
          </w:p>
        </w:tc>
      </w:tr>
      <w:tr w14:paraId="0C2704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26" w:type="dxa"/>
            <w:vAlign w:val="center"/>
          </w:tcPr>
          <w:p w14:paraId="46D7F23F">
            <w:pPr>
              <w:wordWrap w:val="0"/>
              <w:spacing w:line="240" w:lineRule="auto"/>
              <w:jc w:val="center"/>
              <w:rPr>
                <w:rFonts w:cs="Times New Roman"/>
                <w:sz w:val="21"/>
                <w:szCs w:val="21"/>
              </w:rPr>
            </w:pPr>
            <w:r>
              <w:rPr>
                <w:rFonts w:hint="eastAsia" w:cs="Times New Roman"/>
                <w:sz w:val="21"/>
                <w:szCs w:val="21"/>
              </w:rPr>
              <w:t>2</w:t>
            </w:r>
          </w:p>
        </w:tc>
        <w:tc>
          <w:tcPr>
            <w:tcW w:w="1129" w:type="dxa"/>
            <w:noWrap/>
            <w:vAlign w:val="center"/>
          </w:tcPr>
          <w:p w14:paraId="65753DF1">
            <w:pPr>
              <w:wordWrap w:val="0"/>
              <w:spacing w:line="240" w:lineRule="auto"/>
              <w:jc w:val="center"/>
              <w:rPr>
                <w:rFonts w:cs="Times New Roman"/>
                <w:sz w:val="21"/>
                <w:szCs w:val="21"/>
              </w:rPr>
            </w:pPr>
            <w:r>
              <w:rPr>
                <w:rFonts w:hint="eastAsia"/>
                <w:sz w:val="21"/>
                <w:szCs w:val="21"/>
              </w:rPr>
              <w:t>三铺小学</w:t>
            </w:r>
          </w:p>
        </w:tc>
        <w:tc>
          <w:tcPr>
            <w:tcW w:w="850" w:type="dxa"/>
            <w:noWrap/>
            <w:vAlign w:val="center"/>
          </w:tcPr>
          <w:p w14:paraId="5DD62555">
            <w:pPr>
              <w:wordWrap w:val="0"/>
              <w:spacing w:line="240" w:lineRule="auto"/>
              <w:jc w:val="center"/>
              <w:rPr>
                <w:rFonts w:cs="Times New Roman"/>
                <w:sz w:val="21"/>
                <w:szCs w:val="21"/>
              </w:rPr>
            </w:pPr>
            <w:r>
              <w:rPr>
                <w:rFonts w:hint="eastAsia"/>
                <w:sz w:val="21"/>
                <w:szCs w:val="21"/>
              </w:rPr>
              <w:t>小时值</w:t>
            </w:r>
          </w:p>
        </w:tc>
        <w:tc>
          <w:tcPr>
            <w:tcW w:w="1134" w:type="dxa"/>
            <w:noWrap/>
            <w:vAlign w:val="center"/>
          </w:tcPr>
          <w:p w14:paraId="7B632576">
            <w:pPr>
              <w:spacing w:line="240" w:lineRule="auto"/>
              <w:jc w:val="center"/>
              <w:rPr>
                <w:rFonts w:cs="Times New Roman"/>
                <w:sz w:val="21"/>
                <w:szCs w:val="21"/>
              </w:rPr>
            </w:pPr>
            <w:r>
              <w:rPr>
                <w:rFonts w:hint="eastAsia"/>
                <w:sz w:val="21"/>
                <w:szCs w:val="21"/>
              </w:rPr>
              <w:t>6.62E-01</w:t>
            </w:r>
          </w:p>
        </w:tc>
        <w:tc>
          <w:tcPr>
            <w:tcW w:w="1056" w:type="dxa"/>
            <w:noWrap/>
            <w:vAlign w:val="center"/>
          </w:tcPr>
          <w:p w14:paraId="25A11C2D">
            <w:pPr>
              <w:spacing w:line="240" w:lineRule="auto"/>
              <w:jc w:val="center"/>
              <w:rPr>
                <w:rFonts w:cs="Times New Roman"/>
                <w:sz w:val="21"/>
                <w:szCs w:val="21"/>
              </w:rPr>
            </w:pPr>
            <w:r>
              <w:rPr>
                <w:rFonts w:hint="eastAsia"/>
                <w:sz w:val="21"/>
                <w:szCs w:val="21"/>
              </w:rPr>
              <w:t>23051823</w:t>
            </w:r>
          </w:p>
        </w:tc>
        <w:tc>
          <w:tcPr>
            <w:tcW w:w="1134" w:type="dxa"/>
            <w:noWrap/>
            <w:vAlign w:val="center"/>
          </w:tcPr>
          <w:p w14:paraId="30C2AB03">
            <w:pPr>
              <w:spacing w:line="240" w:lineRule="auto"/>
              <w:jc w:val="center"/>
              <w:rPr>
                <w:rFonts w:cs="Times New Roman"/>
                <w:sz w:val="21"/>
                <w:szCs w:val="21"/>
              </w:rPr>
            </w:pPr>
            <w:r>
              <w:rPr>
                <w:rFonts w:hint="eastAsia"/>
                <w:sz w:val="21"/>
                <w:szCs w:val="21"/>
              </w:rPr>
              <w:t>0.00E+00</w:t>
            </w:r>
          </w:p>
        </w:tc>
        <w:tc>
          <w:tcPr>
            <w:tcW w:w="1134" w:type="dxa"/>
            <w:noWrap/>
            <w:vAlign w:val="center"/>
          </w:tcPr>
          <w:p w14:paraId="37276290">
            <w:pPr>
              <w:spacing w:line="240" w:lineRule="auto"/>
              <w:jc w:val="center"/>
              <w:rPr>
                <w:rFonts w:cs="Times New Roman"/>
                <w:sz w:val="21"/>
                <w:szCs w:val="21"/>
              </w:rPr>
            </w:pPr>
            <w:r>
              <w:rPr>
                <w:rFonts w:hint="eastAsia"/>
                <w:sz w:val="21"/>
                <w:szCs w:val="21"/>
              </w:rPr>
              <w:t>6.62E-01</w:t>
            </w:r>
          </w:p>
        </w:tc>
        <w:tc>
          <w:tcPr>
            <w:tcW w:w="1134" w:type="dxa"/>
            <w:noWrap/>
            <w:vAlign w:val="center"/>
          </w:tcPr>
          <w:p w14:paraId="7CFD0B4C">
            <w:pPr>
              <w:spacing w:line="240" w:lineRule="auto"/>
              <w:jc w:val="center"/>
              <w:rPr>
                <w:rFonts w:cs="Times New Roman"/>
                <w:sz w:val="21"/>
                <w:szCs w:val="21"/>
              </w:rPr>
            </w:pPr>
            <w:r>
              <w:rPr>
                <w:rFonts w:hint="eastAsia"/>
                <w:sz w:val="21"/>
                <w:szCs w:val="21"/>
              </w:rPr>
              <w:t>2.00E+01</w:t>
            </w:r>
          </w:p>
        </w:tc>
        <w:tc>
          <w:tcPr>
            <w:tcW w:w="709" w:type="dxa"/>
            <w:noWrap/>
            <w:vAlign w:val="center"/>
          </w:tcPr>
          <w:p w14:paraId="12A74C69">
            <w:pPr>
              <w:spacing w:line="240" w:lineRule="auto"/>
              <w:jc w:val="center"/>
              <w:rPr>
                <w:rFonts w:cs="Times New Roman"/>
                <w:sz w:val="21"/>
                <w:szCs w:val="21"/>
              </w:rPr>
            </w:pPr>
            <w:r>
              <w:rPr>
                <w:rFonts w:hint="eastAsia"/>
                <w:sz w:val="21"/>
                <w:szCs w:val="21"/>
              </w:rPr>
              <w:t>3.31</w:t>
            </w:r>
          </w:p>
        </w:tc>
        <w:tc>
          <w:tcPr>
            <w:tcW w:w="709" w:type="dxa"/>
            <w:noWrap/>
            <w:vAlign w:val="center"/>
          </w:tcPr>
          <w:p w14:paraId="372B1DE7">
            <w:pPr>
              <w:spacing w:line="240" w:lineRule="auto"/>
              <w:jc w:val="center"/>
              <w:rPr>
                <w:rFonts w:cs="Times New Roman"/>
                <w:sz w:val="21"/>
                <w:szCs w:val="21"/>
              </w:rPr>
            </w:pPr>
            <w:r>
              <w:rPr>
                <w:rFonts w:hint="eastAsia"/>
                <w:sz w:val="21"/>
                <w:szCs w:val="21"/>
              </w:rPr>
              <w:t>达标</w:t>
            </w:r>
          </w:p>
        </w:tc>
      </w:tr>
      <w:tr w14:paraId="76143E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26" w:type="dxa"/>
            <w:vAlign w:val="center"/>
          </w:tcPr>
          <w:p w14:paraId="4FF2FD09">
            <w:pPr>
              <w:wordWrap w:val="0"/>
              <w:spacing w:line="240" w:lineRule="auto"/>
              <w:jc w:val="center"/>
              <w:rPr>
                <w:rFonts w:cs="Times New Roman"/>
                <w:sz w:val="21"/>
                <w:szCs w:val="21"/>
              </w:rPr>
            </w:pPr>
            <w:r>
              <w:rPr>
                <w:rFonts w:hint="eastAsia" w:cs="Times New Roman"/>
                <w:sz w:val="21"/>
                <w:szCs w:val="21"/>
              </w:rPr>
              <w:t>3</w:t>
            </w:r>
          </w:p>
        </w:tc>
        <w:tc>
          <w:tcPr>
            <w:tcW w:w="1129" w:type="dxa"/>
            <w:noWrap/>
            <w:vAlign w:val="center"/>
          </w:tcPr>
          <w:p w14:paraId="37E21F2E">
            <w:pPr>
              <w:wordWrap w:val="0"/>
              <w:spacing w:line="240" w:lineRule="auto"/>
              <w:jc w:val="center"/>
              <w:rPr>
                <w:rFonts w:cs="Times New Roman"/>
                <w:sz w:val="21"/>
                <w:szCs w:val="21"/>
              </w:rPr>
            </w:pPr>
            <w:r>
              <w:rPr>
                <w:rFonts w:hint="eastAsia"/>
                <w:sz w:val="21"/>
                <w:szCs w:val="21"/>
              </w:rPr>
              <w:t>三铺中学</w:t>
            </w:r>
          </w:p>
        </w:tc>
        <w:tc>
          <w:tcPr>
            <w:tcW w:w="850" w:type="dxa"/>
            <w:noWrap/>
            <w:vAlign w:val="center"/>
          </w:tcPr>
          <w:p w14:paraId="78D30A8A">
            <w:pPr>
              <w:wordWrap w:val="0"/>
              <w:spacing w:line="240" w:lineRule="auto"/>
              <w:jc w:val="center"/>
              <w:rPr>
                <w:rFonts w:cs="Times New Roman"/>
                <w:sz w:val="21"/>
                <w:szCs w:val="21"/>
              </w:rPr>
            </w:pPr>
            <w:r>
              <w:rPr>
                <w:rFonts w:hint="eastAsia"/>
                <w:sz w:val="21"/>
                <w:szCs w:val="21"/>
              </w:rPr>
              <w:t>小时值</w:t>
            </w:r>
          </w:p>
        </w:tc>
        <w:tc>
          <w:tcPr>
            <w:tcW w:w="1134" w:type="dxa"/>
            <w:noWrap/>
            <w:vAlign w:val="center"/>
          </w:tcPr>
          <w:p w14:paraId="53484060">
            <w:pPr>
              <w:spacing w:line="240" w:lineRule="auto"/>
              <w:jc w:val="center"/>
              <w:rPr>
                <w:rFonts w:cs="Times New Roman"/>
                <w:sz w:val="21"/>
                <w:szCs w:val="21"/>
              </w:rPr>
            </w:pPr>
            <w:r>
              <w:rPr>
                <w:rFonts w:hint="eastAsia"/>
                <w:sz w:val="21"/>
                <w:szCs w:val="21"/>
              </w:rPr>
              <w:t>7.85E-01</w:t>
            </w:r>
          </w:p>
        </w:tc>
        <w:tc>
          <w:tcPr>
            <w:tcW w:w="1056" w:type="dxa"/>
            <w:noWrap/>
            <w:vAlign w:val="center"/>
          </w:tcPr>
          <w:p w14:paraId="15DA809D">
            <w:pPr>
              <w:spacing w:line="240" w:lineRule="auto"/>
              <w:jc w:val="center"/>
              <w:rPr>
                <w:rFonts w:cs="Times New Roman"/>
                <w:sz w:val="21"/>
                <w:szCs w:val="21"/>
              </w:rPr>
            </w:pPr>
            <w:r>
              <w:rPr>
                <w:rFonts w:hint="eastAsia"/>
                <w:sz w:val="21"/>
                <w:szCs w:val="21"/>
              </w:rPr>
              <w:t>23061124</w:t>
            </w:r>
          </w:p>
        </w:tc>
        <w:tc>
          <w:tcPr>
            <w:tcW w:w="1134" w:type="dxa"/>
            <w:noWrap/>
            <w:vAlign w:val="center"/>
          </w:tcPr>
          <w:p w14:paraId="7A84C36D">
            <w:pPr>
              <w:spacing w:line="240" w:lineRule="auto"/>
              <w:jc w:val="center"/>
              <w:rPr>
                <w:rFonts w:cs="Times New Roman"/>
                <w:sz w:val="21"/>
                <w:szCs w:val="21"/>
              </w:rPr>
            </w:pPr>
            <w:r>
              <w:rPr>
                <w:rFonts w:hint="eastAsia"/>
                <w:sz w:val="21"/>
                <w:szCs w:val="21"/>
              </w:rPr>
              <w:t>0.00E+00</w:t>
            </w:r>
          </w:p>
        </w:tc>
        <w:tc>
          <w:tcPr>
            <w:tcW w:w="1134" w:type="dxa"/>
            <w:noWrap/>
            <w:vAlign w:val="center"/>
          </w:tcPr>
          <w:p w14:paraId="524A15DF">
            <w:pPr>
              <w:spacing w:line="240" w:lineRule="auto"/>
              <w:jc w:val="center"/>
              <w:rPr>
                <w:rFonts w:cs="Times New Roman"/>
                <w:sz w:val="21"/>
                <w:szCs w:val="21"/>
              </w:rPr>
            </w:pPr>
            <w:r>
              <w:rPr>
                <w:rFonts w:hint="eastAsia"/>
                <w:sz w:val="21"/>
                <w:szCs w:val="21"/>
              </w:rPr>
              <w:t>7.85E-01</w:t>
            </w:r>
          </w:p>
        </w:tc>
        <w:tc>
          <w:tcPr>
            <w:tcW w:w="1134" w:type="dxa"/>
            <w:noWrap/>
            <w:vAlign w:val="center"/>
          </w:tcPr>
          <w:p w14:paraId="7F35EDCA">
            <w:pPr>
              <w:spacing w:line="240" w:lineRule="auto"/>
              <w:jc w:val="center"/>
              <w:rPr>
                <w:rFonts w:cs="Times New Roman"/>
                <w:sz w:val="21"/>
                <w:szCs w:val="21"/>
              </w:rPr>
            </w:pPr>
            <w:r>
              <w:rPr>
                <w:rFonts w:hint="eastAsia"/>
                <w:sz w:val="21"/>
                <w:szCs w:val="21"/>
              </w:rPr>
              <w:t>2.00E+01</w:t>
            </w:r>
          </w:p>
        </w:tc>
        <w:tc>
          <w:tcPr>
            <w:tcW w:w="709" w:type="dxa"/>
            <w:noWrap/>
            <w:vAlign w:val="center"/>
          </w:tcPr>
          <w:p w14:paraId="52F06028">
            <w:pPr>
              <w:spacing w:line="240" w:lineRule="auto"/>
              <w:jc w:val="center"/>
              <w:rPr>
                <w:rFonts w:cs="Times New Roman"/>
                <w:sz w:val="21"/>
                <w:szCs w:val="21"/>
              </w:rPr>
            </w:pPr>
            <w:r>
              <w:rPr>
                <w:rFonts w:hint="eastAsia"/>
                <w:sz w:val="21"/>
                <w:szCs w:val="21"/>
              </w:rPr>
              <w:t>3.93</w:t>
            </w:r>
          </w:p>
        </w:tc>
        <w:tc>
          <w:tcPr>
            <w:tcW w:w="709" w:type="dxa"/>
            <w:noWrap/>
            <w:vAlign w:val="center"/>
          </w:tcPr>
          <w:p w14:paraId="6AA5CF72">
            <w:pPr>
              <w:spacing w:line="240" w:lineRule="auto"/>
              <w:jc w:val="center"/>
              <w:rPr>
                <w:rFonts w:cs="Times New Roman"/>
                <w:sz w:val="21"/>
                <w:szCs w:val="21"/>
              </w:rPr>
            </w:pPr>
            <w:r>
              <w:rPr>
                <w:rFonts w:hint="eastAsia"/>
                <w:sz w:val="21"/>
                <w:szCs w:val="21"/>
              </w:rPr>
              <w:t>达标</w:t>
            </w:r>
          </w:p>
        </w:tc>
      </w:tr>
      <w:tr w14:paraId="0CC68D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26" w:type="dxa"/>
            <w:vAlign w:val="center"/>
          </w:tcPr>
          <w:p w14:paraId="01A8D8CB">
            <w:pPr>
              <w:wordWrap w:val="0"/>
              <w:spacing w:line="240" w:lineRule="auto"/>
              <w:jc w:val="center"/>
              <w:rPr>
                <w:rFonts w:cs="Times New Roman"/>
                <w:sz w:val="21"/>
                <w:szCs w:val="21"/>
              </w:rPr>
            </w:pPr>
            <w:r>
              <w:rPr>
                <w:rFonts w:hint="eastAsia" w:cs="Times New Roman"/>
                <w:sz w:val="21"/>
                <w:szCs w:val="21"/>
              </w:rPr>
              <w:t>4</w:t>
            </w:r>
          </w:p>
        </w:tc>
        <w:tc>
          <w:tcPr>
            <w:tcW w:w="1129" w:type="dxa"/>
            <w:noWrap/>
            <w:vAlign w:val="center"/>
          </w:tcPr>
          <w:p w14:paraId="45918BFC">
            <w:pPr>
              <w:wordWrap w:val="0"/>
              <w:spacing w:line="240" w:lineRule="auto"/>
              <w:jc w:val="center"/>
              <w:rPr>
                <w:rFonts w:cs="Times New Roman"/>
                <w:sz w:val="21"/>
                <w:szCs w:val="21"/>
              </w:rPr>
            </w:pPr>
            <w:r>
              <w:rPr>
                <w:rFonts w:hint="eastAsia"/>
                <w:sz w:val="21"/>
                <w:szCs w:val="21"/>
              </w:rPr>
              <w:t>高王家</w:t>
            </w:r>
          </w:p>
        </w:tc>
        <w:tc>
          <w:tcPr>
            <w:tcW w:w="850" w:type="dxa"/>
            <w:noWrap/>
            <w:vAlign w:val="center"/>
          </w:tcPr>
          <w:p w14:paraId="7BB40AC7">
            <w:pPr>
              <w:wordWrap w:val="0"/>
              <w:spacing w:line="240" w:lineRule="auto"/>
              <w:jc w:val="center"/>
              <w:rPr>
                <w:rFonts w:cs="Times New Roman"/>
                <w:sz w:val="21"/>
                <w:szCs w:val="21"/>
              </w:rPr>
            </w:pPr>
            <w:r>
              <w:rPr>
                <w:rFonts w:hint="eastAsia"/>
                <w:sz w:val="21"/>
                <w:szCs w:val="21"/>
              </w:rPr>
              <w:t>小时值</w:t>
            </w:r>
          </w:p>
        </w:tc>
        <w:tc>
          <w:tcPr>
            <w:tcW w:w="1134" w:type="dxa"/>
            <w:noWrap/>
            <w:vAlign w:val="center"/>
          </w:tcPr>
          <w:p w14:paraId="450E5D7E">
            <w:pPr>
              <w:spacing w:line="240" w:lineRule="auto"/>
              <w:jc w:val="center"/>
              <w:rPr>
                <w:rFonts w:cs="Times New Roman"/>
                <w:sz w:val="21"/>
                <w:szCs w:val="21"/>
              </w:rPr>
            </w:pPr>
            <w:r>
              <w:rPr>
                <w:rFonts w:hint="eastAsia"/>
                <w:sz w:val="21"/>
                <w:szCs w:val="21"/>
              </w:rPr>
              <w:t>6.21E-01</w:t>
            </w:r>
          </w:p>
        </w:tc>
        <w:tc>
          <w:tcPr>
            <w:tcW w:w="1056" w:type="dxa"/>
            <w:noWrap/>
            <w:vAlign w:val="center"/>
          </w:tcPr>
          <w:p w14:paraId="53258583">
            <w:pPr>
              <w:spacing w:line="240" w:lineRule="auto"/>
              <w:jc w:val="center"/>
              <w:rPr>
                <w:rFonts w:cs="Times New Roman"/>
                <w:sz w:val="21"/>
                <w:szCs w:val="21"/>
              </w:rPr>
            </w:pPr>
            <w:r>
              <w:rPr>
                <w:rFonts w:hint="eastAsia"/>
                <w:sz w:val="21"/>
                <w:szCs w:val="21"/>
              </w:rPr>
              <w:t>23072220</w:t>
            </w:r>
          </w:p>
        </w:tc>
        <w:tc>
          <w:tcPr>
            <w:tcW w:w="1134" w:type="dxa"/>
            <w:noWrap/>
            <w:vAlign w:val="center"/>
          </w:tcPr>
          <w:p w14:paraId="617FCB27">
            <w:pPr>
              <w:spacing w:line="240" w:lineRule="auto"/>
              <w:jc w:val="center"/>
              <w:rPr>
                <w:rFonts w:cs="Times New Roman"/>
                <w:sz w:val="21"/>
                <w:szCs w:val="21"/>
              </w:rPr>
            </w:pPr>
            <w:r>
              <w:rPr>
                <w:rFonts w:hint="eastAsia"/>
                <w:sz w:val="21"/>
                <w:szCs w:val="21"/>
              </w:rPr>
              <w:t>0.00E+00</w:t>
            </w:r>
          </w:p>
        </w:tc>
        <w:tc>
          <w:tcPr>
            <w:tcW w:w="1134" w:type="dxa"/>
            <w:noWrap/>
            <w:vAlign w:val="center"/>
          </w:tcPr>
          <w:p w14:paraId="7EA18BD4">
            <w:pPr>
              <w:spacing w:line="240" w:lineRule="auto"/>
              <w:jc w:val="center"/>
              <w:rPr>
                <w:rFonts w:cs="Times New Roman"/>
                <w:sz w:val="21"/>
                <w:szCs w:val="21"/>
              </w:rPr>
            </w:pPr>
            <w:r>
              <w:rPr>
                <w:rFonts w:hint="eastAsia"/>
                <w:sz w:val="21"/>
                <w:szCs w:val="21"/>
              </w:rPr>
              <w:t>6.21E-01</w:t>
            </w:r>
          </w:p>
        </w:tc>
        <w:tc>
          <w:tcPr>
            <w:tcW w:w="1134" w:type="dxa"/>
            <w:noWrap/>
            <w:vAlign w:val="center"/>
          </w:tcPr>
          <w:p w14:paraId="167E3D1A">
            <w:pPr>
              <w:spacing w:line="240" w:lineRule="auto"/>
              <w:jc w:val="center"/>
              <w:rPr>
                <w:rFonts w:cs="Times New Roman"/>
                <w:sz w:val="21"/>
                <w:szCs w:val="21"/>
              </w:rPr>
            </w:pPr>
            <w:r>
              <w:rPr>
                <w:rFonts w:hint="eastAsia"/>
                <w:sz w:val="21"/>
                <w:szCs w:val="21"/>
              </w:rPr>
              <w:t>2.00E+01</w:t>
            </w:r>
          </w:p>
        </w:tc>
        <w:tc>
          <w:tcPr>
            <w:tcW w:w="709" w:type="dxa"/>
            <w:noWrap/>
            <w:vAlign w:val="center"/>
          </w:tcPr>
          <w:p w14:paraId="03FAD64E">
            <w:pPr>
              <w:spacing w:line="240" w:lineRule="auto"/>
              <w:jc w:val="center"/>
              <w:rPr>
                <w:rFonts w:cs="Times New Roman"/>
                <w:sz w:val="21"/>
                <w:szCs w:val="21"/>
              </w:rPr>
            </w:pPr>
            <w:r>
              <w:rPr>
                <w:rFonts w:hint="eastAsia"/>
                <w:sz w:val="21"/>
                <w:szCs w:val="21"/>
              </w:rPr>
              <w:t>3.11</w:t>
            </w:r>
          </w:p>
        </w:tc>
        <w:tc>
          <w:tcPr>
            <w:tcW w:w="709" w:type="dxa"/>
            <w:noWrap/>
            <w:vAlign w:val="center"/>
          </w:tcPr>
          <w:p w14:paraId="48FC293B">
            <w:pPr>
              <w:spacing w:line="240" w:lineRule="auto"/>
              <w:jc w:val="center"/>
              <w:rPr>
                <w:rFonts w:cs="Times New Roman"/>
                <w:sz w:val="21"/>
                <w:szCs w:val="21"/>
              </w:rPr>
            </w:pPr>
            <w:r>
              <w:rPr>
                <w:rFonts w:hint="eastAsia"/>
                <w:sz w:val="21"/>
                <w:szCs w:val="21"/>
              </w:rPr>
              <w:t>达标</w:t>
            </w:r>
          </w:p>
        </w:tc>
      </w:tr>
      <w:tr w14:paraId="2CC2E2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26" w:type="dxa"/>
            <w:vAlign w:val="center"/>
          </w:tcPr>
          <w:p w14:paraId="382C9C5D">
            <w:pPr>
              <w:wordWrap w:val="0"/>
              <w:spacing w:line="240" w:lineRule="auto"/>
              <w:jc w:val="center"/>
              <w:rPr>
                <w:rFonts w:cs="Times New Roman"/>
                <w:sz w:val="21"/>
                <w:szCs w:val="21"/>
              </w:rPr>
            </w:pPr>
            <w:r>
              <w:rPr>
                <w:rFonts w:hint="eastAsia" w:cs="Times New Roman"/>
                <w:sz w:val="21"/>
                <w:szCs w:val="21"/>
              </w:rPr>
              <w:t>5</w:t>
            </w:r>
          </w:p>
        </w:tc>
        <w:tc>
          <w:tcPr>
            <w:tcW w:w="1129" w:type="dxa"/>
            <w:noWrap/>
            <w:vAlign w:val="center"/>
          </w:tcPr>
          <w:p w14:paraId="227768BD">
            <w:pPr>
              <w:wordWrap w:val="0"/>
              <w:spacing w:line="240" w:lineRule="auto"/>
              <w:jc w:val="center"/>
              <w:rPr>
                <w:rFonts w:cs="Times New Roman"/>
                <w:sz w:val="21"/>
                <w:szCs w:val="21"/>
              </w:rPr>
            </w:pPr>
            <w:r>
              <w:rPr>
                <w:rFonts w:hint="eastAsia"/>
                <w:sz w:val="21"/>
                <w:szCs w:val="21"/>
              </w:rPr>
              <w:t>大柏村</w:t>
            </w:r>
          </w:p>
        </w:tc>
        <w:tc>
          <w:tcPr>
            <w:tcW w:w="850" w:type="dxa"/>
            <w:noWrap/>
            <w:vAlign w:val="center"/>
          </w:tcPr>
          <w:p w14:paraId="59F9E30A">
            <w:pPr>
              <w:wordWrap w:val="0"/>
              <w:spacing w:line="240" w:lineRule="auto"/>
              <w:jc w:val="center"/>
              <w:rPr>
                <w:rFonts w:cs="Times New Roman"/>
                <w:sz w:val="21"/>
                <w:szCs w:val="21"/>
              </w:rPr>
            </w:pPr>
            <w:r>
              <w:rPr>
                <w:rFonts w:hint="eastAsia"/>
                <w:sz w:val="21"/>
                <w:szCs w:val="21"/>
              </w:rPr>
              <w:t>小时值</w:t>
            </w:r>
          </w:p>
        </w:tc>
        <w:tc>
          <w:tcPr>
            <w:tcW w:w="1134" w:type="dxa"/>
            <w:noWrap/>
            <w:vAlign w:val="center"/>
          </w:tcPr>
          <w:p w14:paraId="6287E24E">
            <w:pPr>
              <w:spacing w:line="240" w:lineRule="auto"/>
              <w:jc w:val="center"/>
              <w:rPr>
                <w:rFonts w:cs="Times New Roman"/>
                <w:sz w:val="21"/>
                <w:szCs w:val="21"/>
              </w:rPr>
            </w:pPr>
            <w:r>
              <w:rPr>
                <w:rFonts w:hint="eastAsia"/>
                <w:sz w:val="21"/>
                <w:szCs w:val="21"/>
              </w:rPr>
              <w:t>3.82E-01</w:t>
            </w:r>
          </w:p>
        </w:tc>
        <w:tc>
          <w:tcPr>
            <w:tcW w:w="1056" w:type="dxa"/>
            <w:noWrap/>
            <w:vAlign w:val="center"/>
          </w:tcPr>
          <w:p w14:paraId="1201A4DA">
            <w:pPr>
              <w:spacing w:line="240" w:lineRule="auto"/>
              <w:jc w:val="center"/>
              <w:rPr>
                <w:rFonts w:cs="Times New Roman"/>
                <w:sz w:val="21"/>
                <w:szCs w:val="21"/>
              </w:rPr>
            </w:pPr>
            <w:r>
              <w:rPr>
                <w:rFonts w:hint="eastAsia"/>
                <w:sz w:val="21"/>
                <w:szCs w:val="21"/>
              </w:rPr>
              <w:t>23071424</w:t>
            </w:r>
          </w:p>
        </w:tc>
        <w:tc>
          <w:tcPr>
            <w:tcW w:w="1134" w:type="dxa"/>
            <w:noWrap/>
            <w:vAlign w:val="center"/>
          </w:tcPr>
          <w:p w14:paraId="641E02DB">
            <w:pPr>
              <w:spacing w:line="240" w:lineRule="auto"/>
              <w:jc w:val="center"/>
              <w:rPr>
                <w:rFonts w:cs="Times New Roman"/>
                <w:sz w:val="21"/>
                <w:szCs w:val="21"/>
              </w:rPr>
            </w:pPr>
            <w:r>
              <w:rPr>
                <w:rFonts w:hint="eastAsia"/>
                <w:sz w:val="21"/>
                <w:szCs w:val="21"/>
              </w:rPr>
              <w:t>0.00E+00</w:t>
            </w:r>
          </w:p>
        </w:tc>
        <w:tc>
          <w:tcPr>
            <w:tcW w:w="1134" w:type="dxa"/>
            <w:noWrap/>
            <w:vAlign w:val="center"/>
          </w:tcPr>
          <w:p w14:paraId="6E606638">
            <w:pPr>
              <w:spacing w:line="240" w:lineRule="auto"/>
              <w:jc w:val="center"/>
              <w:rPr>
                <w:rFonts w:cs="Times New Roman"/>
                <w:sz w:val="21"/>
                <w:szCs w:val="21"/>
              </w:rPr>
            </w:pPr>
            <w:r>
              <w:rPr>
                <w:rFonts w:hint="eastAsia"/>
                <w:sz w:val="21"/>
                <w:szCs w:val="21"/>
              </w:rPr>
              <w:t>3.82E-01</w:t>
            </w:r>
          </w:p>
        </w:tc>
        <w:tc>
          <w:tcPr>
            <w:tcW w:w="1134" w:type="dxa"/>
            <w:noWrap/>
            <w:vAlign w:val="center"/>
          </w:tcPr>
          <w:p w14:paraId="033E6A4F">
            <w:pPr>
              <w:spacing w:line="240" w:lineRule="auto"/>
              <w:jc w:val="center"/>
              <w:rPr>
                <w:rFonts w:cs="Times New Roman"/>
                <w:sz w:val="21"/>
                <w:szCs w:val="21"/>
              </w:rPr>
            </w:pPr>
            <w:r>
              <w:rPr>
                <w:rFonts w:hint="eastAsia"/>
                <w:sz w:val="21"/>
                <w:szCs w:val="21"/>
              </w:rPr>
              <w:t>2.00E+01</w:t>
            </w:r>
          </w:p>
        </w:tc>
        <w:tc>
          <w:tcPr>
            <w:tcW w:w="709" w:type="dxa"/>
            <w:noWrap/>
            <w:vAlign w:val="center"/>
          </w:tcPr>
          <w:p w14:paraId="0C8104D6">
            <w:pPr>
              <w:spacing w:line="240" w:lineRule="auto"/>
              <w:jc w:val="center"/>
              <w:rPr>
                <w:rFonts w:cs="Times New Roman"/>
                <w:sz w:val="21"/>
                <w:szCs w:val="21"/>
              </w:rPr>
            </w:pPr>
            <w:r>
              <w:rPr>
                <w:rFonts w:hint="eastAsia"/>
                <w:sz w:val="21"/>
                <w:szCs w:val="21"/>
              </w:rPr>
              <w:t>1.91</w:t>
            </w:r>
          </w:p>
        </w:tc>
        <w:tc>
          <w:tcPr>
            <w:tcW w:w="709" w:type="dxa"/>
            <w:noWrap/>
            <w:vAlign w:val="center"/>
          </w:tcPr>
          <w:p w14:paraId="4CA338B2">
            <w:pPr>
              <w:spacing w:line="240" w:lineRule="auto"/>
              <w:jc w:val="center"/>
              <w:rPr>
                <w:rFonts w:cs="Times New Roman"/>
                <w:sz w:val="21"/>
                <w:szCs w:val="21"/>
              </w:rPr>
            </w:pPr>
            <w:r>
              <w:rPr>
                <w:rFonts w:hint="eastAsia"/>
                <w:sz w:val="21"/>
                <w:szCs w:val="21"/>
              </w:rPr>
              <w:t>达标</w:t>
            </w:r>
          </w:p>
        </w:tc>
      </w:tr>
      <w:tr w14:paraId="6F6395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26" w:type="dxa"/>
            <w:vAlign w:val="center"/>
          </w:tcPr>
          <w:p w14:paraId="4B8808E5">
            <w:pPr>
              <w:wordWrap w:val="0"/>
              <w:spacing w:line="240" w:lineRule="auto"/>
              <w:jc w:val="center"/>
              <w:rPr>
                <w:rFonts w:cs="Times New Roman"/>
                <w:sz w:val="21"/>
                <w:szCs w:val="21"/>
              </w:rPr>
            </w:pPr>
            <w:r>
              <w:rPr>
                <w:rFonts w:hint="eastAsia" w:cs="Times New Roman"/>
                <w:sz w:val="21"/>
                <w:szCs w:val="21"/>
              </w:rPr>
              <w:t>6</w:t>
            </w:r>
          </w:p>
        </w:tc>
        <w:tc>
          <w:tcPr>
            <w:tcW w:w="1129" w:type="dxa"/>
            <w:noWrap/>
            <w:vAlign w:val="center"/>
          </w:tcPr>
          <w:p w14:paraId="3CCA0385">
            <w:pPr>
              <w:wordWrap w:val="0"/>
              <w:spacing w:line="240" w:lineRule="auto"/>
              <w:jc w:val="center"/>
              <w:rPr>
                <w:rFonts w:cs="Times New Roman"/>
                <w:sz w:val="21"/>
                <w:szCs w:val="21"/>
              </w:rPr>
            </w:pPr>
            <w:r>
              <w:rPr>
                <w:rFonts w:hint="eastAsia"/>
                <w:sz w:val="21"/>
                <w:szCs w:val="21"/>
              </w:rPr>
              <w:t>曹杨家</w:t>
            </w:r>
          </w:p>
        </w:tc>
        <w:tc>
          <w:tcPr>
            <w:tcW w:w="850" w:type="dxa"/>
            <w:noWrap/>
            <w:vAlign w:val="center"/>
          </w:tcPr>
          <w:p w14:paraId="2CF5E65A">
            <w:pPr>
              <w:wordWrap w:val="0"/>
              <w:spacing w:line="240" w:lineRule="auto"/>
              <w:jc w:val="center"/>
              <w:rPr>
                <w:rFonts w:cs="Times New Roman"/>
                <w:sz w:val="21"/>
                <w:szCs w:val="21"/>
              </w:rPr>
            </w:pPr>
            <w:r>
              <w:rPr>
                <w:rFonts w:hint="eastAsia"/>
                <w:sz w:val="21"/>
                <w:szCs w:val="21"/>
              </w:rPr>
              <w:t>小时值</w:t>
            </w:r>
          </w:p>
        </w:tc>
        <w:tc>
          <w:tcPr>
            <w:tcW w:w="1134" w:type="dxa"/>
            <w:noWrap/>
            <w:vAlign w:val="center"/>
          </w:tcPr>
          <w:p w14:paraId="7092C6C9">
            <w:pPr>
              <w:spacing w:line="240" w:lineRule="auto"/>
              <w:jc w:val="center"/>
              <w:rPr>
                <w:rFonts w:cs="Times New Roman"/>
                <w:sz w:val="21"/>
                <w:szCs w:val="21"/>
              </w:rPr>
            </w:pPr>
            <w:r>
              <w:rPr>
                <w:rFonts w:hint="eastAsia"/>
                <w:sz w:val="21"/>
                <w:szCs w:val="21"/>
              </w:rPr>
              <w:t>4.06E-01</w:t>
            </w:r>
          </w:p>
        </w:tc>
        <w:tc>
          <w:tcPr>
            <w:tcW w:w="1056" w:type="dxa"/>
            <w:noWrap/>
            <w:vAlign w:val="center"/>
          </w:tcPr>
          <w:p w14:paraId="49E100C9">
            <w:pPr>
              <w:spacing w:line="240" w:lineRule="auto"/>
              <w:jc w:val="center"/>
              <w:rPr>
                <w:rFonts w:cs="Times New Roman"/>
                <w:sz w:val="21"/>
                <w:szCs w:val="21"/>
              </w:rPr>
            </w:pPr>
            <w:r>
              <w:rPr>
                <w:rFonts w:hint="eastAsia"/>
                <w:sz w:val="21"/>
                <w:szCs w:val="21"/>
              </w:rPr>
              <w:t>23070504</w:t>
            </w:r>
          </w:p>
        </w:tc>
        <w:tc>
          <w:tcPr>
            <w:tcW w:w="1134" w:type="dxa"/>
            <w:noWrap/>
            <w:vAlign w:val="center"/>
          </w:tcPr>
          <w:p w14:paraId="57E7EAEC">
            <w:pPr>
              <w:spacing w:line="240" w:lineRule="auto"/>
              <w:jc w:val="center"/>
              <w:rPr>
                <w:rFonts w:cs="Times New Roman"/>
                <w:sz w:val="21"/>
                <w:szCs w:val="21"/>
              </w:rPr>
            </w:pPr>
            <w:r>
              <w:rPr>
                <w:rFonts w:hint="eastAsia"/>
                <w:sz w:val="21"/>
                <w:szCs w:val="21"/>
              </w:rPr>
              <w:t>0.00E+00</w:t>
            </w:r>
          </w:p>
        </w:tc>
        <w:tc>
          <w:tcPr>
            <w:tcW w:w="1134" w:type="dxa"/>
            <w:noWrap/>
            <w:vAlign w:val="center"/>
          </w:tcPr>
          <w:p w14:paraId="772C39A5">
            <w:pPr>
              <w:spacing w:line="240" w:lineRule="auto"/>
              <w:jc w:val="center"/>
              <w:rPr>
                <w:rFonts w:cs="Times New Roman"/>
                <w:sz w:val="21"/>
                <w:szCs w:val="21"/>
              </w:rPr>
            </w:pPr>
            <w:r>
              <w:rPr>
                <w:rFonts w:hint="eastAsia"/>
                <w:sz w:val="21"/>
                <w:szCs w:val="21"/>
              </w:rPr>
              <w:t>4.06E-01</w:t>
            </w:r>
          </w:p>
        </w:tc>
        <w:tc>
          <w:tcPr>
            <w:tcW w:w="1134" w:type="dxa"/>
            <w:noWrap/>
            <w:vAlign w:val="center"/>
          </w:tcPr>
          <w:p w14:paraId="76AC6DF1">
            <w:pPr>
              <w:spacing w:line="240" w:lineRule="auto"/>
              <w:jc w:val="center"/>
              <w:rPr>
                <w:rFonts w:cs="Times New Roman"/>
                <w:sz w:val="21"/>
                <w:szCs w:val="21"/>
              </w:rPr>
            </w:pPr>
            <w:r>
              <w:rPr>
                <w:rFonts w:hint="eastAsia"/>
                <w:sz w:val="21"/>
                <w:szCs w:val="21"/>
              </w:rPr>
              <w:t>2.00E+01</w:t>
            </w:r>
          </w:p>
        </w:tc>
        <w:tc>
          <w:tcPr>
            <w:tcW w:w="709" w:type="dxa"/>
            <w:noWrap/>
            <w:vAlign w:val="center"/>
          </w:tcPr>
          <w:p w14:paraId="5002B242">
            <w:pPr>
              <w:spacing w:line="240" w:lineRule="auto"/>
              <w:jc w:val="center"/>
              <w:rPr>
                <w:rFonts w:cs="Times New Roman"/>
                <w:sz w:val="21"/>
                <w:szCs w:val="21"/>
              </w:rPr>
            </w:pPr>
            <w:r>
              <w:rPr>
                <w:rFonts w:hint="eastAsia"/>
                <w:sz w:val="21"/>
                <w:szCs w:val="21"/>
              </w:rPr>
              <w:t>2.03</w:t>
            </w:r>
          </w:p>
        </w:tc>
        <w:tc>
          <w:tcPr>
            <w:tcW w:w="709" w:type="dxa"/>
            <w:noWrap/>
            <w:vAlign w:val="center"/>
          </w:tcPr>
          <w:p w14:paraId="127D639F">
            <w:pPr>
              <w:spacing w:line="240" w:lineRule="auto"/>
              <w:jc w:val="center"/>
              <w:rPr>
                <w:rFonts w:cs="Times New Roman"/>
                <w:sz w:val="21"/>
                <w:szCs w:val="21"/>
              </w:rPr>
            </w:pPr>
            <w:r>
              <w:rPr>
                <w:rFonts w:hint="eastAsia"/>
                <w:sz w:val="21"/>
                <w:szCs w:val="21"/>
              </w:rPr>
              <w:t>达标</w:t>
            </w:r>
          </w:p>
        </w:tc>
      </w:tr>
      <w:tr w14:paraId="46DF3B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26" w:type="dxa"/>
            <w:vAlign w:val="center"/>
          </w:tcPr>
          <w:p w14:paraId="5A783318">
            <w:pPr>
              <w:wordWrap w:val="0"/>
              <w:spacing w:line="240" w:lineRule="auto"/>
              <w:jc w:val="center"/>
              <w:rPr>
                <w:rFonts w:cs="Times New Roman"/>
                <w:sz w:val="21"/>
                <w:szCs w:val="21"/>
              </w:rPr>
            </w:pPr>
            <w:r>
              <w:rPr>
                <w:rFonts w:hint="eastAsia" w:cs="Times New Roman"/>
                <w:sz w:val="21"/>
                <w:szCs w:val="21"/>
              </w:rPr>
              <w:t>7</w:t>
            </w:r>
          </w:p>
        </w:tc>
        <w:tc>
          <w:tcPr>
            <w:tcW w:w="1129" w:type="dxa"/>
            <w:noWrap/>
            <w:vAlign w:val="center"/>
          </w:tcPr>
          <w:p w14:paraId="504CFF67">
            <w:pPr>
              <w:wordWrap w:val="0"/>
              <w:spacing w:line="240" w:lineRule="auto"/>
              <w:jc w:val="center"/>
              <w:rPr>
                <w:rFonts w:cs="Times New Roman"/>
                <w:sz w:val="21"/>
                <w:szCs w:val="21"/>
              </w:rPr>
            </w:pPr>
            <w:r>
              <w:rPr>
                <w:rFonts w:hint="eastAsia"/>
                <w:sz w:val="21"/>
                <w:szCs w:val="21"/>
              </w:rPr>
              <w:t>夏家湖</w:t>
            </w:r>
          </w:p>
        </w:tc>
        <w:tc>
          <w:tcPr>
            <w:tcW w:w="850" w:type="dxa"/>
            <w:noWrap/>
            <w:vAlign w:val="center"/>
          </w:tcPr>
          <w:p w14:paraId="34EEEA89">
            <w:pPr>
              <w:wordWrap w:val="0"/>
              <w:spacing w:line="240" w:lineRule="auto"/>
              <w:jc w:val="center"/>
              <w:rPr>
                <w:rFonts w:cs="Times New Roman"/>
                <w:sz w:val="21"/>
                <w:szCs w:val="21"/>
              </w:rPr>
            </w:pPr>
            <w:r>
              <w:rPr>
                <w:rFonts w:hint="eastAsia"/>
                <w:sz w:val="21"/>
                <w:szCs w:val="21"/>
              </w:rPr>
              <w:t>小时值</w:t>
            </w:r>
          </w:p>
        </w:tc>
        <w:tc>
          <w:tcPr>
            <w:tcW w:w="1134" w:type="dxa"/>
            <w:noWrap/>
            <w:vAlign w:val="center"/>
          </w:tcPr>
          <w:p w14:paraId="4CA8549F">
            <w:pPr>
              <w:spacing w:line="240" w:lineRule="auto"/>
              <w:jc w:val="center"/>
              <w:rPr>
                <w:rFonts w:cs="Times New Roman"/>
                <w:sz w:val="21"/>
                <w:szCs w:val="21"/>
              </w:rPr>
            </w:pPr>
            <w:r>
              <w:rPr>
                <w:rFonts w:hint="eastAsia"/>
                <w:sz w:val="21"/>
                <w:szCs w:val="21"/>
              </w:rPr>
              <w:t>4.84E-01</w:t>
            </w:r>
          </w:p>
        </w:tc>
        <w:tc>
          <w:tcPr>
            <w:tcW w:w="1056" w:type="dxa"/>
            <w:noWrap/>
            <w:vAlign w:val="center"/>
          </w:tcPr>
          <w:p w14:paraId="70C34335">
            <w:pPr>
              <w:spacing w:line="240" w:lineRule="auto"/>
              <w:jc w:val="center"/>
              <w:rPr>
                <w:rFonts w:cs="Times New Roman"/>
                <w:sz w:val="21"/>
                <w:szCs w:val="21"/>
              </w:rPr>
            </w:pPr>
            <w:r>
              <w:rPr>
                <w:rFonts w:hint="eastAsia"/>
                <w:sz w:val="21"/>
                <w:szCs w:val="21"/>
              </w:rPr>
              <w:t>23081020</w:t>
            </w:r>
          </w:p>
        </w:tc>
        <w:tc>
          <w:tcPr>
            <w:tcW w:w="1134" w:type="dxa"/>
            <w:noWrap/>
            <w:vAlign w:val="center"/>
          </w:tcPr>
          <w:p w14:paraId="0DF6343B">
            <w:pPr>
              <w:spacing w:line="240" w:lineRule="auto"/>
              <w:jc w:val="center"/>
              <w:rPr>
                <w:rFonts w:cs="Times New Roman"/>
                <w:sz w:val="21"/>
                <w:szCs w:val="21"/>
              </w:rPr>
            </w:pPr>
            <w:r>
              <w:rPr>
                <w:rFonts w:hint="eastAsia"/>
                <w:sz w:val="21"/>
                <w:szCs w:val="21"/>
              </w:rPr>
              <w:t>0.00E+00</w:t>
            </w:r>
          </w:p>
        </w:tc>
        <w:tc>
          <w:tcPr>
            <w:tcW w:w="1134" w:type="dxa"/>
            <w:noWrap/>
            <w:vAlign w:val="center"/>
          </w:tcPr>
          <w:p w14:paraId="393E652B">
            <w:pPr>
              <w:spacing w:line="240" w:lineRule="auto"/>
              <w:jc w:val="center"/>
              <w:rPr>
                <w:rFonts w:cs="Times New Roman"/>
                <w:sz w:val="21"/>
                <w:szCs w:val="21"/>
              </w:rPr>
            </w:pPr>
            <w:r>
              <w:rPr>
                <w:rFonts w:hint="eastAsia"/>
                <w:sz w:val="21"/>
                <w:szCs w:val="21"/>
              </w:rPr>
              <w:t>4.84E-01</w:t>
            </w:r>
          </w:p>
        </w:tc>
        <w:tc>
          <w:tcPr>
            <w:tcW w:w="1134" w:type="dxa"/>
            <w:noWrap/>
            <w:vAlign w:val="center"/>
          </w:tcPr>
          <w:p w14:paraId="29BC0321">
            <w:pPr>
              <w:spacing w:line="240" w:lineRule="auto"/>
              <w:jc w:val="center"/>
              <w:rPr>
                <w:rFonts w:cs="Times New Roman"/>
                <w:sz w:val="21"/>
                <w:szCs w:val="21"/>
              </w:rPr>
            </w:pPr>
            <w:r>
              <w:rPr>
                <w:rFonts w:hint="eastAsia"/>
                <w:sz w:val="21"/>
                <w:szCs w:val="21"/>
              </w:rPr>
              <w:t>2.00E+01</w:t>
            </w:r>
          </w:p>
        </w:tc>
        <w:tc>
          <w:tcPr>
            <w:tcW w:w="709" w:type="dxa"/>
            <w:noWrap/>
            <w:vAlign w:val="center"/>
          </w:tcPr>
          <w:p w14:paraId="2CD0E108">
            <w:pPr>
              <w:spacing w:line="240" w:lineRule="auto"/>
              <w:jc w:val="center"/>
              <w:rPr>
                <w:rFonts w:cs="Times New Roman"/>
                <w:sz w:val="21"/>
                <w:szCs w:val="21"/>
              </w:rPr>
            </w:pPr>
            <w:r>
              <w:rPr>
                <w:rFonts w:hint="eastAsia"/>
                <w:sz w:val="21"/>
                <w:szCs w:val="21"/>
              </w:rPr>
              <w:t>2.42</w:t>
            </w:r>
          </w:p>
        </w:tc>
        <w:tc>
          <w:tcPr>
            <w:tcW w:w="709" w:type="dxa"/>
            <w:noWrap/>
            <w:vAlign w:val="center"/>
          </w:tcPr>
          <w:p w14:paraId="6455B3CA">
            <w:pPr>
              <w:spacing w:line="240" w:lineRule="auto"/>
              <w:jc w:val="center"/>
              <w:rPr>
                <w:rFonts w:cs="Times New Roman"/>
                <w:sz w:val="21"/>
                <w:szCs w:val="21"/>
              </w:rPr>
            </w:pPr>
            <w:r>
              <w:rPr>
                <w:rFonts w:hint="eastAsia"/>
                <w:sz w:val="21"/>
                <w:szCs w:val="21"/>
              </w:rPr>
              <w:t>达标</w:t>
            </w:r>
          </w:p>
        </w:tc>
      </w:tr>
      <w:tr w14:paraId="59374E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26" w:type="dxa"/>
            <w:vAlign w:val="center"/>
          </w:tcPr>
          <w:p w14:paraId="7D0BC4DF">
            <w:pPr>
              <w:wordWrap w:val="0"/>
              <w:spacing w:line="240" w:lineRule="auto"/>
              <w:jc w:val="center"/>
              <w:rPr>
                <w:rFonts w:cs="Times New Roman"/>
                <w:sz w:val="21"/>
                <w:szCs w:val="21"/>
              </w:rPr>
            </w:pPr>
            <w:r>
              <w:rPr>
                <w:rFonts w:hint="eastAsia" w:cs="Times New Roman"/>
                <w:sz w:val="21"/>
                <w:szCs w:val="21"/>
              </w:rPr>
              <w:t>8</w:t>
            </w:r>
          </w:p>
        </w:tc>
        <w:tc>
          <w:tcPr>
            <w:tcW w:w="1129" w:type="dxa"/>
            <w:noWrap/>
            <w:vAlign w:val="center"/>
          </w:tcPr>
          <w:p w14:paraId="478C98EB">
            <w:pPr>
              <w:wordWrap w:val="0"/>
              <w:spacing w:line="240" w:lineRule="auto"/>
              <w:jc w:val="center"/>
              <w:rPr>
                <w:rFonts w:cs="Times New Roman"/>
                <w:sz w:val="21"/>
                <w:szCs w:val="21"/>
              </w:rPr>
            </w:pPr>
            <w:r>
              <w:rPr>
                <w:rFonts w:hint="eastAsia"/>
                <w:sz w:val="21"/>
                <w:szCs w:val="21"/>
              </w:rPr>
              <w:t>二铺</w:t>
            </w:r>
          </w:p>
        </w:tc>
        <w:tc>
          <w:tcPr>
            <w:tcW w:w="850" w:type="dxa"/>
            <w:noWrap/>
            <w:vAlign w:val="center"/>
          </w:tcPr>
          <w:p w14:paraId="77D35D96">
            <w:pPr>
              <w:wordWrap w:val="0"/>
              <w:spacing w:line="240" w:lineRule="auto"/>
              <w:jc w:val="center"/>
              <w:rPr>
                <w:rFonts w:cs="Times New Roman"/>
                <w:sz w:val="21"/>
                <w:szCs w:val="21"/>
              </w:rPr>
            </w:pPr>
            <w:r>
              <w:rPr>
                <w:rFonts w:hint="eastAsia"/>
                <w:sz w:val="21"/>
                <w:szCs w:val="21"/>
              </w:rPr>
              <w:t>小时值</w:t>
            </w:r>
          </w:p>
        </w:tc>
        <w:tc>
          <w:tcPr>
            <w:tcW w:w="1134" w:type="dxa"/>
            <w:noWrap/>
            <w:vAlign w:val="center"/>
          </w:tcPr>
          <w:p w14:paraId="02BA4B1E">
            <w:pPr>
              <w:spacing w:line="240" w:lineRule="auto"/>
              <w:jc w:val="center"/>
              <w:rPr>
                <w:rFonts w:cs="Times New Roman"/>
                <w:sz w:val="21"/>
                <w:szCs w:val="21"/>
              </w:rPr>
            </w:pPr>
            <w:r>
              <w:rPr>
                <w:rFonts w:hint="eastAsia"/>
                <w:sz w:val="21"/>
                <w:szCs w:val="21"/>
              </w:rPr>
              <w:t>5.94E-01</w:t>
            </w:r>
          </w:p>
        </w:tc>
        <w:tc>
          <w:tcPr>
            <w:tcW w:w="1056" w:type="dxa"/>
            <w:noWrap/>
            <w:vAlign w:val="center"/>
          </w:tcPr>
          <w:p w14:paraId="3FE068AF">
            <w:pPr>
              <w:spacing w:line="240" w:lineRule="auto"/>
              <w:jc w:val="center"/>
              <w:rPr>
                <w:rFonts w:cs="Times New Roman"/>
                <w:sz w:val="21"/>
                <w:szCs w:val="21"/>
              </w:rPr>
            </w:pPr>
            <w:r>
              <w:rPr>
                <w:rFonts w:hint="eastAsia"/>
                <w:sz w:val="21"/>
                <w:szCs w:val="21"/>
              </w:rPr>
              <w:t>23092523</w:t>
            </w:r>
          </w:p>
        </w:tc>
        <w:tc>
          <w:tcPr>
            <w:tcW w:w="1134" w:type="dxa"/>
            <w:noWrap/>
            <w:vAlign w:val="center"/>
          </w:tcPr>
          <w:p w14:paraId="1F1CD08E">
            <w:pPr>
              <w:spacing w:line="240" w:lineRule="auto"/>
              <w:jc w:val="center"/>
              <w:rPr>
                <w:rFonts w:cs="Times New Roman"/>
                <w:sz w:val="21"/>
                <w:szCs w:val="21"/>
              </w:rPr>
            </w:pPr>
            <w:r>
              <w:rPr>
                <w:rFonts w:hint="eastAsia"/>
                <w:sz w:val="21"/>
                <w:szCs w:val="21"/>
              </w:rPr>
              <w:t>0.00E+00</w:t>
            </w:r>
          </w:p>
        </w:tc>
        <w:tc>
          <w:tcPr>
            <w:tcW w:w="1134" w:type="dxa"/>
            <w:noWrap/>
            <w:vAlign w:val="center"/>
          </w:tcPr>
          <w:p w14:paraId="2F798CF0">
            <w:pPr>
              <w:spacing w:line="240" w:lineRule="auto"/>
              <w:jc w:val="center"/>
              <w:rPr>
                <w:rFonts w:cs="Times New Roman"/>
                <w:sz w:val="21"/>
                <w:szCs w:val="21"/>
              </w:rPr>
            </w:pPr>
            <w:r>
              <w:rPr>
                <w:rFonts w:hint="eastAsia"/>
                <w:sz w:val="21"/>
                <w:szCs w:val="21"/>
              </w:rPr>
              <w:t>5.94E-01</w:t>
            </w:r>
          </w:p>
        </w:tc>
        <w:tc>
          <w:tcPr>
            <w:tcW w:w="1134" w:type="dxa"/>
            <w:noWrap/>
            <w:vAlign w:val="center"/>
          </w:tcPr>
          <w:p w14:paraId="65209340">
            <w:pPr>
              <w:spacing w:line="240" w:lineRule="auto"/>
              <w:jc w:val="center"/>
              <w:rPr>
                <w:rFonts w:cs="Times New Roman"/>
                <w:sz w:val="21"/>
                <w:szCs w:val="21"/>
              </w:rPr>
            </w:pPr>
            <w:r>
              <w:rPr>
                <w:rFonts w:hint="eastAsia"/>
                <w:sz w:val="21"/>
                <w:szCs w:val="21"/>
              </w:rPr>
              <w:t>2.00E+01</w:t>
            </w:r>
          </w:p>
        </w:tc>
        <w:tc>
          <w:tcPr>
            <w:tcW w:w="709" w:type="dxa"/>
            <w:noWrap/>
            <w:vAlign w:val="center"/>
          </w:tcPr>
          <w:p w14:paraId="2DBDE3B4">
            <w:pPr>
              <w:spacing w:line="240" w:lineRule="auto"/>
              <w:jc w:val="center"/>
              <w:rPr>
                <w:rFonts w:cs="Times New Roman"/>
                <w:sz w:val="21"/>
                <w:szCs w:val="21"/>
              </w:rPr>
            </w:pPr>
            <w:r>
              <w:rPr>
                <w:rFonts w:hint="eastAsia"/>
                <w:sz w:val="21"/>
                <w:szCs w:val="21"/>
              </w:rPr>
              <w:t>2.97</w:t>
            </w:r>
          </w:p>
        </w:tc>
        <w:tc>
          <w:tcPr>
            <w:tcW w:w="709" w:type="dxa"/>
            <w:noWrap/>
            <w:vAlign w:val="center"/>
          </w:tcPr>
          <w:p w14:paraId="68D547FB">
            <w:pPr>
              <w:spacing w:line="240" w:lineRule="auto"/>
              <w:jc w:val="center"/>
              <w:rPr>
                <w:rFonts w:cs="Times New Roman"/>
                <w:sz w:val="21"/>
                <w:szCs w:val="21"/>
              </w:rPr>
            </w:pPr>
            <w:r>
              <w:rPr>
                <w:rFonts w:hint="eastAsia"/>
                <w:sz w:val="21"/>
                <w:szCs w:val="21"/>
              </w:rPr>
              <w:t>达标</w:t>
            </w:r>
          </w:p>
        </w:tc>
      </w:tr>
      <w:tr w14:paraId="7C8BC5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26" w:type="dxa"/>
            <w:vAlign w:val="center"/>
          </w:tcPr>
          <w:p w14:paraId="39DDFB7B">
            <w:pPr>
              <w:wordWrap w:val="0"/>
              <w:spacing w:line="240" w:lineRule="auto"/>
              <w:jc w:val="center"/>
              <w:rPr>
                <w:rFonts w:cs="Times New Roman"/>
                <w:sz w:val="21"/>
                <w:szCs w:val="21"/>
              </w:rPr>
            </w:pPr>
            <w:r>
              <w:rPr>
                <w:rFonts w:hint="eastAsia" w:cs="Times New Roman"/>
                <w:sz w:val="21"/>
                <w:szCs w:val="21"/>
              </w:rPr>
              <w:t>9</w:t>
            </w:r>
          </w:p>
        </w:tc>
        <w:tc>
          <w:tcPr>
            <w:tcW w:w="1129" w:type="dxa"/>
            <w:noWrap/>
            <w:vAlign w:val="center"/>
          </w:tcPr>
          <w:p w14:paraId="140560AC">
            <w:pPr>
              <w:wordWrap w:val="0"/>
              <w:spacing w:line="240" w:lineRule="auto"/>
              <w:jc w:val="center"/>
              <w:rPr>
                <w:rFonts w:cs="Times New Roman"/>
                <w:sz w:val="21"/>
                <w:szCs w:val="21"/>
              </w:rPr>
            </w:pPr>
            <w:r>
              <w:rPr>
                <w:rFonts w:hint="eastAsia"/>
                <w:sz w:val="21"/>
                <w:szCs w:val="21"/>
              </w:rPr>
              <w:t>于家村</w:t>
            </w:r>
          </w:p>
        </w:tc>
        <w:tc>
          <w:tcPr>
            <w:tcW w:w="850" w:type="dxa"/>
            <w:noWrap/>
            <w:vAlign w:val="center"/>
          </w:tcPr>
          <w:p w14:paraId="2D5A68CC">
            <w:pPr>
              <w:wordWrap w:val="0"/>
              <w:spacing w:line="240" w:lineRule="auto"/>
              <w:jc w:val="center"/>
              <w:rPr>
                <w:rFonts w:cs="Times New Roman"/>
                <w:sz w:val="21"/>
                <w:szCs w:val="21"/>
              </w:rPr>
            </w:pPr>
            <w:r>
              <w:rPr>
                <w:rFonts w:hint="eastAsia"/>
                <w:sz w:val="21"/>
                <w:szCs w:val="21"/>
              </w:rPr>
              <w:t>小时值</w:t>
            </w:r>
          </w:p>
        </w:tc>
        <w:tc>
          <w:tcPr>
            <w:tcW w:w="1134" w:type="dxa"/>
            <w:noWrap/>
            <w:vAlign w:val="center"/>
          </w:tcPr>
          <w:p w14:paraId="00732A70">
            <w:pPr>
              <w:spacing w:line="240" w:lineRule="auto"/>
              <w:jc w:val="center"/>
              <w:rPr>
                <w:rFonts w:cs="Times New Roman"/>
                <w:sz w:val="21"/>
                <w:szCs w:val="21"/>
              </w:rPr>
            </w:pPr>
            <w:r>
              <w:rPr>
                <w:rFonts w:hint="eastAsia"/>
                <w:sz w:val="21"/>
                <w:szCs w:val="21"/>
              </w:rPr>
              <w:t>4.46E-01</w:t>
            </w:r>
          </w:p>
        </w:tc>
        <w:tc>
          <w:tcPr>
            <w:tcW w:w="1056" w:type="dxa"/>
            <w:noWrap/>
            <w:vAlign w:val="center"/>
          </w:tcPr>
          <w:p w14:paraId="5D2FB35F">
            <w:pPr>
              <w:spacing w:line="240" w:lineRule="auto"/>
              <w:jc w:val="center"/>
              <w:rPr>
                <w:rFonts w:cs="Times New Roman"/>
                <w:sz w:val="21"/>
                <w:szCs w:val="21"/>
              </w:rPr>
            </w:pPr>
            <w:r>
              <w:rPr>
                <w:rFonts w:hint="eastAsia"/>
                <w:sz w:val="21"/>
                <w:szCs w:val="21"/>
              </w:rPr>
              <w:t>23092818</w:t>
            </w:r>
          </w:p>
        </w:tc>
        <w:tc>
          <w:tcPr>
            <w:tcW w:w="1134" w:type="dxa"/>
            <w:noWrap/>
            <w:vAlign w:val="center"/>
          </w:tcPr>
          <w:p w14:paraId="0A01358F">
            <w:pPr>
              <w:spacing w:line="240" w:lineRule="auto"/>
              <w:jc w:val="center"/>
              <w:rPr>
                <w:rFonts w:cs="Times New Roman"/>
                <w:sz w:val="21"/>
                <w:szCs w:val="21"/>
              </w:rPr>
            </w:pPr>
            <w:r>
              <w:rPr>
                <w:rFonts w:hint="eastAsia"/>
                <w:sz w:val="21"/>
                <w:szCs w:val="21"/>
              </w:rPr>
              <w:t>0.00E+00</w:t>
            </w:r>
          </w:p>
        </w:tc>
        <w:tc>
          <w:tcPr>
            <w:tcW w:w="1134" w:type="dxa"/>
            <w:noWrap/>
            <w:vAlign w:val="center"/>
          </w:tcPr>
          <w:p w14:paraId="6B70590E">
            <w:pPr>
              <w:spacing w:line="240" w:lineRule="auto"/>
              <w:jc w:val="center"/>
              <w:rPr>
                <w:rFonts w:cs="Times New Roman"/>
                <w:sz w:val="21"/>
                <w:szCs w:val="21"/>
              </w:rPr>
            </w:pPr>
            <w:r>
              <w:rPr>
                <w:rFonts w:hint="eastAsia"/>
                <w:sz w:val="21"/>
                <w:szCs w:val="21"/>
              </w:rPr>
              <w:t>4.46E-01</w:t>
            </w:r>
          </w:p>
        </w:tc>
        <w:tc>
          <w:tcPr>
            <w:tcW w:w="1134" w:type="dxa"/>
            <w:noWrap/>
            <w:vAlign w:val="center"/>
          </w:tcPr>
          <w:p w14:paraId="5015716F">
            <w:pPr>
              <w:spacing w:line="240" w:lineRule="auto"/>
              <w:jc w:val="center"/>
              <w:rPr>
                <w:rFonts w:cs="Times New Roman"/>
                <w:sz w:val="21"/>
                <w:szCs w:val="21"/>
              </w:rPr>
            </w:pPr>
            <w:r>
              <w:rPr>
                <w:rFonts w:hint="eastAsia"/>
                <w:sz w:val="21"/>
                <w:szCs w:val="21"/>
              </w:rPr>
              <w:t>2.00E+01</w:t>
            </w:r>
          </w:p>
        </w:tc>
        <w:tc>
          <w:tcPr>
            <w:tcW w:w="709" w:type="dxa"/>
            <w:noWrap/>
            <w:vAlign w:val="center"/>
          </w:tcPr>
          <w:p w14:paraId="61AD9932">
            <w:pPr>
              <w:spacing w:line="240" w:lineRule="auto"/>
              <w:jc w:val="center"/>
              <w:rPr>
                <w:rFonts w:cs="Times New Roman"/>
                <w:sz w:val="21"/>
                <w:szCs w:val="21"/>
              </w:rPr>
            </w:pPr>
            <w:r>
              <w:rPr>
                <w:rFonts w:hint="eastAsia"/>
                <w:sz w:val="21"/>
                <w:szCs w:val="21"/>
              </w:rPr>
              <w:t>2.23</w:t>
            </w:r>
          </w:p>
        </w:tc>
        <w:tc>
          <w:tcPr>
            <w:tcW w:w="709" w:type="dxa"/>
            <w:noWrap/>
            <w:vAlign w:val="center"/>
          </w:tcPr>
          <w:p w14:paraId="5BDB0641">
            <w:pPr>
              <w:spacing w:line="240" w:lineRule="auto"/>
              <w:jc w:val="center"/>
              <w:rPr>
                <w:rFonts w:cs="Times New Roman"/>
                <w:sz w:val="21"/>
                <w:szCs w:val="21"/>
              </w:rPr>
            </w:pPr>
            <w:r>
              <w:rPr>
                <w:rFonts w:hint="eastAsia"/>
                <w:sz w:val="21"/>
                <w:szCs w:val="21"/>
              </w:rPr>
              <w:t>达标</w:t>
            </w:r>
          </w:p>
        </w:tc>
      </w:tr>
      <w:tr w14:paraId="774B79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26" w:type="dxa"/>
            <w:vAlign w:val="center"/>
          </w:tcPr>
          <w:p w14:paraId="1922C4D1">
            <w:pPr>
              <w:wordWrap w:val="0"/>
              <w:spacing w:line="240" w:lineRule="auto"/>
              <w:jc w:val="center"/>
              <w:rPr>
                <w:rFonts w:cs="Times New Roman"/>
                <w:sz w:val="21"/>
                <w:szCs w:val="21"/>
              </w:rPr>
            </w:pPr>
            <w:r>
              <w:rPr>
                <w:rFonts w:hint="eastAsia" w:cs="Times New Roman"/>
                <w:sz w:val="21"/>
                <w:szCs w:val="21"/>
              </w:rPr>
              <w:t>10</w:t>
            </w:r>
          </w:p>
        </w:tc>
        <w:tc>
          <w:tcPr>
            <w:tcW w:w="1129" w:type="dxa"/>
            <w:noWrap/>
            <w:vAlign w:val="center"/>
          </w:tcPr>
          <w:p w14:paraId="65E5391A">
            <w:pPr>
              <w:wordWrap w:val="0"/>
              <w:spacing w:line="240" w:lineRule="auto"/>
              <w:jc w:val="center"/>
              <w:rPr>
                <w:rFonts w:cs="Times New Roman"/>
                <w:sz w:val="21"/>
                <w:szCs w:val="21"/>
              </w:rPr>
            </w:pPr>
            <w:r>
              <w:rPr>
                <w:rFonts w:hint="eastAsia"/>
                <w:sz w:val="21"/>
                <w:szCs w:val="21"/>
              </w:rPr>
              <w:t>陈巷</w:t>
            </w:r>
          </w:p>
        </w:tc>
        <w:tc>
          <w:tcPr>
            <w:tcW w:w="850" w:type="dxa"/>
            <w:noWrap/>
            <w:vAlign w:val="center"/>
          </w:tcPr>
          <w:p w14:paraId="25CC769C">
            <w:pPr>
              <w:wordWrap w:val="0"/>
              <w:spacing w:line="240" w:lineRule="auto"/>
              <w:jc w:val="center"/>
              <w:rPr>
                <w:rFonts w:cs="Times New Roman"/>
                <w:sz w:val="21"/>
                <w:szCs w:val="21"/>
              </w:rPr>
            </w:pPr>
            <w:r>
              <w:rPr>
                <w:rFonts w:hint="eastAsia"/>
                <w:sz w:val="21"/>
                <w:szCs w:val="21"/>
              </w:rPr>
              <w:t>小时值</w:t>
            </w:r>
          </w:p>
        </w:tc>
        <w:tc>
          <w:tcPr>
            <w:tcW w:w="1134" w:type="dxa"/>
            <w:noWrap/>
            <w:vAlign w:val="center"/>
          </w:tcPr>
          <w:p w14:paraId="2FEF022F">
            <w:pPr>
              <w:spacing w:line="240" w:lineRule="auto"/>
              <w:jc w:val="center"/>
              <w:rPr>
                <w:rFonts w:cs="Times New Roman"/>
                <w:sz w:val="21"/>
                <w:szCs w:val="21"/>
              </w:rPr>
            </w:pPr>
            <w:r>
              <w:rPr>
                <w:rFonts w:hint="eastAsia"/>
                <w:sz w:val="21"/>
                <w:szCs w:val="21"/>
              </w:rPr>
              <w:t>4.22E-01</w:t>
            </w:r>
          </w:p>
        </w:tc>
        <w:tc>
          <w:tcPr>
            <w:tcW w:w="1056" w:type="dxa"/>
            <w:noWrap/>
            <w:vAlign w:val="center"/>
          </w:tcPr>
          <w:p w14:paraId="7F3391CC">
            <w:pPr>
              <w:spacing w:line="240" w:lineRule="auto"/>
              <w:jc w:val="center"/>
              <w:rPr>
                <w:rFonts w:cs="Times New Roman"/>
                <w:sz w:val="21"/>
                <w:szCs w:val="21"/>
              </w:rPr>
            </w:pPr>
            <w:r>
              <w:rPr>
                <w:rFonts w:hint="eastAsia"/>
                <w:sz w:val="21"/>
                <w:szCs w:val="21"/>
              </w:rPr>
              <w:t>23071601</w:t>
            </w:r>
          </w:p>
        </w:tc>
        <w:tc>
          <w:tcPr>
            <w:tcW w:w="1134" w:type="dxa"/>
            <w:noWrap/>
            <w:vAlign w:val="center"/>
          </w:tcPr>
          <w:p w14:paraId="786D3F4F">
            <w:pPr>
              <w:spacing w:line="240" w:lineRule="auto"/>
              <w:jc w:val="center"/>
              <w:rPr>
                <w:rFonts w:cs="Times New Roman"/>
                <w:sz w:val="21"/>
                <w:szCs w:val="21"/>
              </w:rPr>
            </w:pPr>
            <w:r>
              <w:rPr>
                <w:rFonts w:hint="eastAsia"/>
                <w:sz w:val="21"/>
                <w:szCs w:val="21"/>
              </w:rPr>
              <w:t>0.00E+00</w:t>
            </w:r>
          </w:p>
        </w:tc>
        <w:tc>
          <w:tcPr>
            <w:tcW w:w="1134" w:type="dxa"/>
            <w:noWrap/>
            <w:vAlign w:val="center"/>
          </w:tcPr>
          <w:p w14:paraId="1222B1D0">
            <w:pPr>
              <w:spacing w:line="240" w:lineRule="auto"/>
              <w:jc w:val="center"/>
              <w:rPr>
                <w:rFonts w:cs="Times New Roman"/>
                <w:sz w:val="21"/>
                <w:szCs w:val="21"/>
              </w:rPr>
            </w:pPr>
            <w:r>
              <w:rPr>
                <w:rFonts w:hint="eastAsia"/>
                <w:sz w:val="21"/>
                <w:szCs w:val="21"/>
              </w:rPr>
              <w:t>4.22E-01</w:t>
            </w:r>
          </w:p>
        </w:tc>
        <w:tc>
          <w:tcPr>
            <w:tcW w:w="1134" w:type="dxa"/>
            <w:noWrap/>
            <w:vAlign w:val="center"/>
          </w:tcPr>
          <w:p w14:paraId="580C32A1">
            <w:pPr>
              <w:spacing w:line="240" w:lineRule="auto"/>
              <w:jc w:val="center"/>
              <w:rPr>
                <w:rFonts w:cs="Times New Roman"/>
                <w:sz w:val="21"/>
                <w:szCs w:val="21"/>
              </w:rPr>
            </w:pPr>
            <w:r>
              <w:rPr>
                <w:rFonts w:hint="eastAsia"/>
                <w:sz w:val="21"/>
                <w:szCs w:val="21"/>
              </w:rPr>
              <w:t>2.00E+01</w:t>
            </w:r>
          </w:p>
        </w:tc>
        <w:tc>
          <w:tcPr>
            <w:tcW w:w="709" w:type="dxa"/>
            <w:noWrap/>
            <w:vAlign w:val="center"/>
          </w:tcPr>
          <w:p w14:paraId="66FF41EC">
            <w:pPr>
              <w:spacing w:line="240" w:lineRule="auto"/>
              <w:jc w:val="center"/>
              <w:rPr>
                <w:rFonts w:cs="Times New Roman"/>
                <w:sz w:val="21"/>
                <w:szCs w:val="21"/>
              </w:rPr>
            </w:pPr>
            <w:r>
              <w:rPr>
                <w:rFonts w:hint="eastAsia"/>
                <w:sz w:val="21"/>
                <w:szCs w:val="21"/>
              </w:rPr>
              <w:t>2.11</w:t>
            </w:r>
          </w:p>
        </w:tc>
        <w:tc>
          <w:tcPr>
            <w:tcW w:w="709" w:type="dxa"/>
            <w:noWrap/>
            <w:vAlign w:val="center"/>
          </w:tcPr>
          <w:p w14:paraId="6990E91A">
            <w:pPr>
              <w:spacing w:line="240" w:lineRule="auto"/>
              <w:jc w:val="center"/>
              <w:rPr>
                <w:rFonts w:cs="Times New Roman"/>
                <w:sz w:val="21"/>
                <w:szCs w:val="21"/>
              </w:rPr>
            </w:pPr>
            <w:r>
              <w:rPr>
                <w:rFonts w:hint="eastAsia"/>
                <w:sz w:val="21"/>
                <w:szCs w:val="21"/>
              </w:rPr>
              <w:t>达标</w:t>
            </w:r>
          </w:p>
        </w:tc>
      </w:tr>
      <w:tr w14:paraId="7D7698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26" w:type="dxa"/>
            <w:vAlign w:val="center"/>
          </w:tcPr>
          <w:p w14:paraId="25865156">
            <w:pPr>
              <w:wordWrap w:val="0"/>
              <w:spacing w:line="240" w:lineRule="auto"/>
              <w:jc w:val="center"/>
              <w:rPr>
                <w:rFonts w:cs="Times New Roman"/>
                <w:sz w:val="21"/>
                <w:szCs w:val="21"/>
              </w:rPr>
            </w:pPr>
            <w:r>
              <w:rPr>
                <w:rFonts w:hint="eastAsia" w:cs="Times New Roman"/>
                <w:sz w:val="21"/>
                <w:szCs w:val="21"/>
              </w:rPr>
              <w:t>11</w:t>
            </w:r>
          </w:p>
        </w:tc>
        <w:tc>
          <w:tcPr>
            <w:tcW w:w="1129" w:type="dxa"/>
            <w:noWrap/>
            <w:vAlign w:val="center"/>
          </w:tcPr>
          <w:p w14:paraId="2CEB121B">
            <w:pPr>
              <w:wordWrap w:val="0"/>
              <w:spacing w:line="240" w:lineRule="auto"/>
              <w:jc w:val="center"/>
              <w:rPr>
                <w:rFonts w:cs="Times New Roman"/>
                <w:sz w:val="21"/>
                <w:szCs w:val="21"/>
              </w:rPr>
            </w:pPr>
            <w:r>
              <w:rPr>
                <w:rFonts w:hint="eastAsia"/>
                <w:sz w:val="21"/>
                <w:szCs w:val="21"/>
              </w:rPr>
              <w:t>网格</w:t>
            </w:r>
          </w:p>
        </w:tc>
        <w:tc>
          <w:tcPr>
            <w:tcW w:w="850" w:type="dxa"/>
            <w:noWrap/>
            <w:vAlign w:val="center"/>
          </w:tcPr>
          <w:p w14:paraId="512262AF">
            <w:pPr>
              <w:wordWrap w:val="0"/>
              <w:spacing w:line="240" w:lineRule="auto"/>
              <w:jc w:val="center"/>
              <w:rPr>
                <w:rFonts w:cs="Times New Roman"/>
                <w:sz w:val="21"/>
                <w:szCs w:val="21"/>
              </w:rPr>
            </w:pPr>
            <w:r>
              <w:rPr>
                <w:rFonts w:hint="eastAsia"/>
                <w:sz w:val="21"/>
                <w:szCs w:val="21"/>
              </w:rPr>
              <w:t>小时值</w:t>
            </w:r>
          </w:p>
        </w:tc>
        <w:tc>
          <w:tcPr>
            <w:tcW w:w="1134" w:type="dxa"/>
            <w:noWrap/>
            <w:vAlign w:val="center"/>
          </w:tcPr>
          <w:p w14:paraId="2F30BB5A">
            <w:pPr>
              <w:spacing w:line="240" w:lineRule="auto"/>
              <w:jc w:val="center"/>
              <w:rPr>
                <w:rFonts w:cs="Times New Roman"/>
                <w:sz w:val="21"/>
                <w:szCs w:val="21"/>
              </w:rPr>
            </w:pPr>
            <w:r>
              <w:rPr>
                <w:rFonts w:hint="eastAsia"/>
                <w:sz w:val="21"/>
                <w:szCs w:val="21"/>
              </w:rPr>
              <w:t>1.24E+00</w:t>
            </w:r>
          </w:p>
        </w:tc>
        <w:tc>
          <w:tcPr>
            <w:tcW w:w="1056" w:type="dxa"/>
            <w:noWrap/>
            <w:vAlign w:val="center"/>
          </w:tcPr>
          <w:p w14:paraId="7B90351F">
            <w:pPr>
              <w:spacing w:line="240" w:lineRule="auto"/>
              <w:jc w:val="center"/>
              <w:rPr>
                <w:rFonts w:cs="Times New Roman"/>
                <w:sz w:val="21"/>
                <w:szCs w:val="21"/>
              </w:rPr>
            </w:pPr>
            <w:r>
              <w:rPr>
                <w:rFonts w:hint="eastAsia"/>
                <w:sz w:val="21"/>
                <w:szCs w:val="21"/>
              </w:rPr>
              <w:t>23110217</w:t>
            </w:r>
          </w:p>
        </w:tc>
        <w:tc>
          <w:tcPr>
            <w:tcW w:w="1134" w:type="dxa"/>
            <w:noWrap/>
            <w:vAlign w:val="center"/>
          </w:tcPr>
          <w:p w14:paraId="6652E6C3">
            <w:pPr>
              <w:spacing w:line="240" w:lineRule="auto"/>
              <w:jc w:val="center"/>
              <w:rPr>
                <w:rFonts w:cs="Times New Roman"/>
                <w:sz w:val="21"/>
                <w:szCs w:val="21"/>
              </w:rPr>
            </w:pPr>
            <w:r>
              <w:rPr>
                <w:rFonts w:hint="eastAsia"/>
                <w:sz w:val="21"/>
                <w:szCs w:val="21"/>
              </w:rPr>
              <w:t>0.00E+00</w:t>
            </w:r>
          </w:p>
        </w:tc>
        <w:tc>
          <w:tcPr>
            <w:tcW w:w="1134" w:type="dxa"/>
            <w:noWrap/>
            <w:vAlign w:val="center"/>
          </w:tcPr>
          <w:p w14:paraId="156BB476">
            <w:pPr>
              <w:spacing w:line="240" w:lineRule="auto"/>
              <w:jc w:val="center"/>
              <w:rPr>
                <w:rFonts w:cs="Times New Roman"/>
                <w:sz w:val="21"/>
                <w:szCs w:val="21"/>
              </w:rPr>
            </w:pPr>
            <w:r>
              <w:rPr>
                <w:rFonts w:hint="eastAsia"/>
                <w:sz w:val="21"/>
                <w:szCs w:val="21"/>
              </w:rPr>
              <w:t>1.24E+00</w:t>
            </w:r>
          </w:p>
        </w:tc>
        <w:tc>
          <w:tcPr>
            <w:tcW w:w="1134" w:type="dxa"/>
            <w:noWrap/>
            <w:vAlign w:val="center"/>
          </w:tcPr>
          <w:p w14:paraId="5FF6E2BD">
            <w:pPr>
              <w:spacing w:line="240" w:lineRule="auto"/>
              <w:jc w:val="center"/>
              <w:rPr>
                <w:rFonts w:cs="Times New Roman"/>
                <w:sz w:val="21"/>
                <w:szCs w:val="21"/>
              </w:rPr>
            </w:pPr>
            <w:r>
              <w:rPr>
                <w:rFonts w:hint="eastAsia"/>
                <w:sz w:val="21"/>
                <w:szCs w:val="21"/>
              </w:rPr>
              <w:t>2.00E+01</w:t>
            </w:r>
          </w:p>
        </w:tc>
        <w:tc>
          <w:tcPr>
            <w:tcW w:w="709" w:type="dxa"/>
            <w:noWrap/>
            <w:vAlign w:val="center"/>
          </w:tcPr>
          <w:p w14:paraId="1D655EA1">
            <w:pPr>
              <w:spacing w:line="240" w:lineRule="auto"/>
              <w:jc w:val="center"/>
              <w:rPr>
                <w:rFonts w:cs="Times New Roman"/>
                <w:sz w:val="21"/>
                <w:szCs w:val="21"/>
              </w:rPr>
            </w:pPr>
            <w:r>
              <w:rPr>
                <w:rFonts w:hint="eastAsia"/>
                <w:sz w:val="21"/>
                <w:szCs w:val="21"/>
              </w:rPr>
              <w:t>6.19</w:t>
            </w:r>
          </w:p>
        </w:tc>
        <w:tc>
          <w:tcPr>
            <w:tcW w:w="709" w:type="dxa"/>
            <w:noWrap/>
            <w:vAlign w:val="center"/>
          </w:tcPr>
          <w:p w14:paraId="54EC0487">
            <w:pPr>
              <w:spacing w:line="240" w:lineRule="auto"/>
              <w:jc w:val="center"/>
              <w:rPr>
                <w:rFonts w:cs="Times New Roman"/>
                <w:sz w:val="21"/>
                <w:szCs w:val="21"/>
              </w:rPr>
            </w:pPr>
            <w:r>
              <w:rPr>
                <w:rFonts w:hint="eastAsia"/>
                <w:sz w:val="21"/>
                <w:szCs w:val="21"/>
              </w:rPr>
              <w:t>达标</w:t>
            </w:r>
          </w:p>
        </w:tc>
      </w:tr>
    </w:tbl>
    <w:p w14:paraId="49B87D64">
      <w:pPr>
        <w:pStyle w:val="82"/>
        <w:ind w:firstLine="480"/>
        <w:jc w:val="both"/>
        <w:rPr>
          <w:rFonts w:ascii="Times New Roman" w:hAnsi="Times New Roman" w:cs="Times New Roman"/>
          <w:color w:val="000000" w:themeColor="text1"/>
          <w14:textFill>
            <w14:solidFill>
              <w14:schemeClr w14:val="tx1"/>
            </w14:solidFill>
          </w14:textFill>
        </w:rPr>
      </w:pPr>
    </w:p>
    <w:p w14:paraId="45AF422A">
      <w:pPr>
        <w:pStyle w:val="82"/>
        <w:ind w:firstLine="480"/>
        <w:jc w:val="both"/>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(3)硫酸雾</w:t>
      </w:r>
    </w:p>
    <w:p w14:paraId="6F8A211E">
      <w:pPr>
        <w:ind w:firstLine="480" w:firstLineChars="200"/>
      </w:pPr>
      <w:r>
        <w:rPr>
          <w:rFonts w:hint="eastAsia"/>
        </w:rPr>
        <w:t>根据预测结果，各敏感点及网格点</w:t>
      </w:r>
      <w:r>
        <w:rPr>
          <w:rFonts w:hint="eastAsia" w:cs="Times New Roman"/>
        </w:rPr>
        <w:t>镉</w:t>
      </w:r>
      <w:r>
        <w:rPr>
          <w:rFonts w:hint="eastAsia"/>
        </w:rPr>
        <w:t>叠加环境质量现状浓度背景值后的年平均浓度均满足《环境影响评价技术导则大气环境》(HJ2.2-2018)附录D参考标准值要求。</w:t>
      </w:r>
    </w:p>
    <w:p w14:paraId="21257044">
      <w:pPr>
        <w:pStyle w:val="28"/>
        <w:rPr>
          <w:rFonts w:hint="eastAsia"/>
          <w:szCs w:val="22"/>
        </w:rPr>
      </w:pPr>
      <w:r>
        <w:rPr>
          <w:szCs w:val="22"/>
        </w:rPr>
        <w:t>表</w:t>
      </w:r>
      <w:r>
        <w:rPr>
          <w:rFonts w:hint="eastAsia"/>
          <w:szCs w:val="22"/>
        </w:rPr>
        <w:t xml:space="preserve">6.2-20 </w:t>
      </w:r>
      <w:r>
        <w:rPr>
          <w:szCs w:val="22"/>
        </w:rPr>
        <w:t xml:space="preserve"> </w:t>
      </w:r>
      <w:r>
        <w:rPr>
          <w:rFonts w:hint="eastAsia"/>
        </w:rPr>
        <w:t>硫酸雾叠加预测结果</w:t>
      </w:r>
    </w:p>
    <w:tbl>
      <w:tblPr>
        <w:tblStyle w:val="37"/>
        <w:tblW w:w="921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846"/>
        <w:gridCol w:w="851"/>
        <w:gridCol w:w="1134"/>
        <w:gridCol w:w="1133"/>
        <w:gridCol w:w="1134"/>
        <w:gridCol w:w="1134"/>
        <w:gridCol w:w="1134"/>
        <w:gridCol w:w="709"/>
        <w:gridCol w:w="709"/>
      </w:tblGrid>
      <w:tr w14:paraId="3A5432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jc w:val="center"/>
        </w:trPr>
        <w:tc>
          <w:tcPr>
            <w:tcW w:w="426" w:type="dxa"/>
            <w:vAlign w:val="center"/>
          </w:tcPr>
          <w:p w14:paraId="345097A0">
            <w:pPr>
              <w:wordWrap w:val="0"/>
              <w:spacing w:line="240" w:lineRule="auto"/>
              <w:jc w:val="center"/>
              <w:rPr>
                <w:rFonts w:cs="Times New Roman"/>
                <w:sz w:val="21"/>
                <w:szCs w:val="21"/>
              </w:rPr>
            </w:pPr>
            <w:r>
              <w:rPr>
                <w:rFonts w:hint="eastAsia" w:cs="Times New Roman"/>
                <w:sz w:val="21"/>
                <w:szCs w:val="21"/>
              </w:rPr>
              <w:t>序号</w:t>
            </w:r>
          </w:p>
        </w:tc>
        <w:tc>
          <w:tcPr>
            <w:tcW w:w="846" w:type="dxa"/>
            <w:noWrap/>
            <w:vAlign w:val="center"/>
          </w:tcPr>
          <w:p w14:paraId="12D5B470">
            <w:pPr>
              <w:wordWrap w:val="0"/>
              <w:spacing w:line="240" w:lineRule="auto"/>
              <w:jc w:val="center"/>
              <w:rPr>
                <w:rFonts w:cs="Times New Roman"/>
                <w:sz w:val="21"/>
                <w:szCs w:val="21"/>
              </w:rPr>
            </w:pPr>
            <w:r>
              <w:rPr>
                <w:rFonts w:hint="eastAsia" w:cs="Times New Roman"/>
                <w:sz w:val="21"/>
                <w:szCs w:val="21"/>
              </w:rPr>
              <w:t>点名称</w:t>
            </w:r>
          </w:p>
        </w:tc>
        <w:tc>
          <w:tcPr>
            <w:tcW w:w="851" w:type="dxa"/>
            <w:noWrap/>
            <w:vAlign w:val="center"/>
          </w:tcPr>
          <w:p w14:paraId="2B77E1F7">
            <w:pPr>
              <w:wordWrap w:val="0"/>
              <w:spacing w:line="240" w:lineRule="auto"/>
              <w:jc w:val="center"/>
              <w:rPr>
                <w:rFonts w:cs="Times New Roman"/>
                <w:sz w:val="21"/>
                <w:szCs w:val="21"/>
              </w:rPr>
            </w:pPr>
            <w:r>
              <w:rPr>
                <w:rFonts w:cs="Times New Roman"/>
                <w:sz w:val="21"/>
                <w:szCs w:val="21"/>
              </w:rPr>
              <w:t>浓度类型</w:t>
            </w:r>
          </w:p>
        </w:tc>
        <w:tc>
          <w:tcPr>
            <w:tcW w:w="1134" w:type="dxa"/>
            <w:noWrap/>
            <w:vAlign w:val="center"/>
          </w:tcPr>
          <w:p w14:paraId="312479D4">
            <w:pPr>
              <w:wordWrap w:val="0"/>
              <w:spacing w:line="240" w:lineRule="auto"/>
              <w:jc w:val="center"/>
              <w:rPr>
                <w:rFonts w:cs="Times New Roman"/>
                <w:sz w:val="21"/>
                <w:szCs w:val="21"/>
              </w:rPr>
            </w:pPr>
            <w:r>
              <w:rPr>
                <w:rFonts w:cs="Times New Roman"/>
                <w:sz w:val="21"/>
                <w:szCs w:val="21"/>
              </w:rPr>
              <w:t>浓度增量(μg/m</w:t>
            </w:r>
            <w:r>
              <w:rPr>
                <w:rFonts w:cs="Times New Roman"/>
                <w:sz w:val="21"/>
                <w:szCs w:val="21"/>
                <w:vertAlign w:val="superscript"/>
              </w:rPr>
              <w:t>3</w:t>
            </w:r>
            <w:r>
              <w:rPr>
                <w:rFonts w:cs="Times New Roman"/>
                <w:sz w:val="21"/>
                <w:szCs w:val="21"/>
              </w:rPr>
              <w:t>)</w:t>
            </w:r>
          </w:p>
        </w:tc>
        <w:tc>
          <w:tcPr>
            <w:tcW w:w="1133" w:type="dxa"/>
            <w:noWrap/>
            <w:vAlign w:val="center"/>
          </w:tcPr>
          <w:p w14:paraId="5F627D3A">
            <w:pPr>
              <w:wordWrap w:val="0"/>
              <w:spacing w:line="240" w:lineRule="auto"/>
              <w:jc w:val="center"/>
              <w:rPr>
                <w:rFonts w:cs="Times New Roman"/>
                <w:sz w:val="21"/>
                <w:szCs w:val="21"/>
              </w:rPr>
            </w:pPr>
            <w:r>
              <w:rPr>
                <w:rFonts w:cs="Times New Roman"/>
                <w:sz w:val="21"/>
                <w:szCs w:val="21"/>
              </w:rPr>
              <w:t>出现时间</w:t>
            </w:r>
          </w:p>
        </w:tc>
        <w:tc>
          <w:tcPr>
            <w:tcW w:w="1134" w:type="dxa"/>
            <w:noWrap/>
            <w:vAlign w:val="center"/>
          </w:tcPr>
          <w:p w14:paraId="606AF149">
            <w:pPr>
              <w:wordWrap w:val="0"/>
              <w:spacing w:line="240" w:lineRule="auto"/>
              <w:jc w:val="center"/>
              <w:rPr>
                <w:rFonts w:cs="Times New Roman"/>
                <w:sz w:val="21"/>
                <w:szCs w:val="21"/>
              </w:rPr>
            </w:pPr>
            <w:r>
              <w:rPr>
                <w:rFonts w:cs="Times New Roman"/>
                <w:sz w:val="21"/>
                <w:szCs w:val="21"/>
              </w:rPr>
              <w:t>背景浓度(μg/m</w:t>
            </w:r>
            <w:r>
              <w:rPr>
                <w:rFonts w:cs="Times New Roman"/>
                <w:sz w:val="21"/>
                <w:szCs w:val="21"/>
                <w:vertAlign w:val="superscript"/>
              </w:rPr>
              <w:t>3</w:t>
            </w:r>
            <w:r>
              <w:rPr>
                <w:rFonts w:cs="Times New Roman"/>
                <w:sz w:val="21"/>
                <w:szCs w:val="21"/>
              </w:rPr>
              <w:t>)</w:t>
            </w:r>
          </w:p>
        </w:tc>
        <w:tc>
          <w:tcPr>
            <w:tcW w:w="1134" w:type="dxa"/>
            <w:noWrap/>
            <w:vAlign w:val="center"/>
          </w:tcPr>
          <w:p w14:paraId="01B767D9">
            <w:pPr>
              <w:wordWrap w:val="0"/>
              <w:spacing w:line="240" w:lineRule="auto"/>
              <w:jc w:val="center"/>
              <w:rPr>
                <w:rFonts w:cs="Times New Roman"/>
                <w:sz w:val="21"/>
                <w:szCs w:val="21"/>
              </w:rPr>
            </w:pPr>
            <w:r>
              <w:rPr>
                <w:rFonts w:cs="Times New Roman"/>
                <w:sz w:val="21"/>
                <w:szCs w:val="21"/>
              </w:rPr>
              <w:t>叠加背景后的浓度(μg/m</w:t>
            </w:r>
            <w:r>
              <w:rPr>
                <w:rFonts w:cs="Times New Roman"/>
                <w:sz w:val="21"/>
                <w:szCs w:val="21"/>
                <w:vertAlign w:val="superscript"/>
              </w:rPr>
              <w:t>3</w:t>
            </w:r>
            <w:r>
              <w:rPr>
                <w:rFonts w:cs="Times New Roman"/>
                <w:sz w:val="21"/>
                <w:szCs w:val="21"/>
              </w:rPr>
              <w:t>)</w:t>
            </w:r>
          </w:p>
        </w:tc>
        <w:tc>
          <w:tcPr>
            <w:tcW w:w="1134" w:type="dxa"/>
            <w:noWrap/>
            <w:vAlign w:val="center"/>
          </w:tcPr>
          <w:p w14:paraId="741799A4">
            <w:pPr>
              <w:wordWrap w:val="0"/>
              <w:spacing w:line="240" w:lineRule="auto"/>
              <w:jc w:val="center"/>
              <w:rPr>
                <w:rFonts w:cs="Times New Roman"/>
                <w:sz w:val="21"/>
                <w:szCs w:val="21"/>
              </w:rPr>
            </w:pPr>
            <w:r>
              <w:rPr>
                <w:rFonts w:cs="Times New Roman"/>
                <w:sz w:val="21"/>
                <w:szCs w:val="21"/>
              </w:rPr>
              <w:t>评价标准(μg/m</w:t>
            </w:r>
            <w:r>
              <w:rPr>
                <w:rFonts w:cs="Times New Roman"/>
                <w:sz w:val="21"/>
                <w:szCs w:val="21"/>
                <w:vertAlign w:val="superscript"/>
              </w:rPr>
              <w:t>3</w:t>
            </w:r>
            <w:r>
              <w:rPr>
                <w:rFonts w:cs="Times New Roman"/>
                <w:sz w:val="21"/>
                <w:szCs w:val="21"/>
              </w:rPr>
              <w:t>)</w:t>
            </w:r>
          </w:p>
        </w:tc>
        <w:tc>
          <w:tcPr>
            <w:tcW w:w="709" w:type="dxa"/>
            <w:noWrap/>
            <w:vAlign w:val="center"/>
          </w:tcPr>
          <w:p w14:paraId="486E100E">
            <w:pPr>
              <w:wordWrap w:val="0"/>
              <w:spacing w:line="240" w:lineRule="auto"/>
              <w:jc w:val="center"/>
              <w:rPr>
                <w:rFonts w:cs="Times New Roman"/>
                <w:sz w:val="21"/>
                <w:szCs w:val="21"/>
              </w:rPr>
            </w:pPr>
            <w:r>
              <w:rPr>
                <w:rFonts w:cs="Times New Roman"/>
                <w:sz w:val="21"/>
                <w:szCs w:val="21"/>
              </w:rPr>
              <w:t>占标率%</w:t>
            </w:r>
          </w:p>
        </w:tc>
        <w:tc>
          <w:tcPr>
            <w:tcW w:w="709" w:type="dxa"/>
            <w:noWrap/>
            <w:vAlign w:val="center"/>
          </w:tcPr>
          <w:p w14:paraId="416AD402">
            <w:pPr>
              <w:wordWrap w:val="0"/>
              <w:spacing w:line="240" w:lineRule="auto"/>
              <w:jc w:val="center"/>
              <w:rPr>
                <w:rFonts w:cs="Times New Roman"/>
                <w:sz w:val="21"/>
                <w:szCs w:val="21"/>
              </w:rPr>
            </w:pPr>
            <w:r>
              <w:rPr>
                <w:rFonts w:cs="Times New Roman"/>
                <w:sz w:val="21"/>
                <w:szCs w:val="21"/>
              </w:rPr>
              <w:t>达标情况</w:t>
            </w:r>
          </w:p>
        </w:tc>
      </w:tr>
      <w:tr w14:paraId="6B4488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26" w:type="dxa"/>
            <w:vMerge w:val="restart"/>
            <w:vAlign w:val="center"/>
          </w:tcPr>
          <w:p w14:paraId="4B19E107">
            <w:pPr>
              <w:wordWrap w:val="0"/>
              <w:spacing w:line="240" w:lineRule="auto"/>
              <w:jc w:val="center"/>
              <w:rPr>
                <w:rFonts w:cs="Times New Roman"/>
                <w:sz w:val="21"/>
                <w:szCs w:val="21"/>
              </w:rPr>
            </w:pPr>
            <w:r>
              <w:rPr>
                <w:rFonts w:hint="eastAsia" w:cs="Times New Roman"/>
                <w:sz w:val="21"/>
                <w:szCs w:val="21"/>
              </w:rPr>
              <w:t>1</w:t>
            </w:r>
          </w:p>
        </w:tc>
        <w:tc>
          <w:tcPr>
            <w:tcW w:w="846" w:type="dxa"/>
            <w:vMerge w:val="restart"/>
            <w:noWrap/>
            <w:vAlign w:val="center"/>
          </w:tcPr>
          <w:p w14:paraId="3ADAA076">
            <w:pPr>
              <w:wordWrap w:val="0"/>
              <w:spacing w:line="240" w:lineRule="auto"/>
              <w:jc w:val="center"/>
              <w:rPr>
                <w:rFonts w:cs="Times New Roman"/>
                <w:sz w:val="21"/>
                <w:szCs w:val="21"/>
              </w:rPr>
            </w:pPr>
            <w:r>
              <w:rPr>
                <w:rFonts w:hint="eastAsia" w:cs="Times New Roman"/>
                <w:kern w:val="0"/>
                <w:sz w:val="21"/>
                <w:szCs w:val="21"/>
                <w14:ligatures w14:val="none"/>
              </w:rPr>
              <w:t>三铺村</w:t>
            </w:r>
          </w:p>
        </w:tc>
        <w:tc>
          <w:tcPr>
            <w:tcW w:w="851" w:type="dxa"/>
            <w:noWrap/>
            <w:vAlign w:val="center"/>
          </w:tcPr>
          <w:p w14:paraId="704A9D51">
            <w:pPr>
              <w:wordWrap w:val="0"/>
              <w:spacing w:line="240" w:lineRule="auto"/>
              <w:jc w:val="center"/>
              <w:rPr>
                <w:rFonts w:cs="Times New Roman"/>
                <w:sz w:val="21"/>
                <w:szCs w:val="21"/>
              </w:rPr>
            </w:pPr>
            <w:r>
              <w:rPr>
                <w:rFonts w:cs="Times New Roman"/>
                <w:kern w:val="0"/>
                <w:sz w:val="21"/>
                <w:szCs w:val="21"/>
                <w14:ligatures w14:val="none"/>
              </w:rPr>
              <w:t>小时值</w:t>
            </w:r>
          </w:p>
        </w:tc>
        <w:tc>
          <w:tcPr>
            <w:tcW w:w="1134" w:type="dxa"/>
            <w:noWrap/>
            <w:vAlign w:val="center"/>
          </w:tcPr>
          <w:p w14:paraId="79820D15">
            <w:pPr>
              <w:wordWrap w:val="0"/>
              <w:spacing w:line="240" w:lineRule="auto"/>
              <w:jc w:val="center"/>
              <w:rPr>
                <w:rFonts w:cs="Times New Roman"/>
                <w:sz w:val="21"/>
                <w:szCs w:val="21"/>
              </w:rPr>
            </w:pPr>
            <w:r>
              <w:rPr>
                <w:rFonts w:hint="eastAsia"/>
                <w:sz w:val="21"/>
                <w:szCs w:val="21"/>
              </w:rPr>
              <w:t>2.91E+00</w:t>
            </w:r>
          </w:p>
        </w:tc>
        <w:tc>
          <w:tcPr>
            <w:tcW w:w="1133" w:type="dxa"/>
            <w:noWrap/>
            <w:vAlign w:val="center"/>
          </w:tcPr>
          <w:p w14:paraId="0D3CC4C2">
            <w:pPr>
              <w:wordWrap w:val="0"/>
              <w:spacing w:line="240" w:lineRule="auto"/>
              <w:jc w:val="center"/>
              <w:rPr>
                <w:rFonts w:cs="Times New Roman"/>
                <w:sz w:val="21"/>
                <w:szCs w:val="21"/>
              </w:rPr>
            </w:pPr>
            <w:r>
              <w:rPr>
                <w:rFonts w:hint="eastAsia"/>
                <w:sz w:val="21"/>
                <w:szCs w:val="21"/>
              </w:rPr>
              <w:t>23030607</w:t>
            </w:r>
          </w:p>
        </w:tc>
        <w:tc>
          <w:tcPr>
            <w:tcW w:w="1134" w:type="dxa"/>
            <w:noWrap/>
            <w:vAlign w:val="center"/>
          </w:tcPr>
          <w:p w14:paraId="6F551021">
            <w:pPr>
              <w:wordWrap w:val="0"/>
              <w:spacing w:line="240" w:lineRule="auto"/>
              <w:jc w:val="center"/>
              <w:rPr>
                <w:rFonts w:cs="Times New Roman"/>
                <w:sz w:val="21"/>
                <w:szCs w:val="21"/>
              </w:rPr>
            </w:pPr>
            <w:r>
              <w:rPr>
                <w:rFonts w:hint="eastAsia"/>
                <w:sz w:val="21"/>
                <w:szCs w:val="21"/>
              </w:rPr>
              <w:t>0.00E+00</w:t>
            </w:r>
          </w:p>
        </w:tc>
        <w:tc>
          <w:tcPr>
            <w:tcW w:w="1134" w:type="dxa"/>
            <w:noWrap/>
            <w:vAlign w:val="center"/>
          </w:tcPr>
          <w:p w14:paraId="2D58B109">
            <w:pPr>
              <w:wordWrap w:val="0"/>
              <w:spacing w:line="240" w:lineRule="auto"/>
              <w:jc w:val="center"/>
              <w:rPr>
                <w:rFonts w:cs="Times New Roman"/>
                <w:sz w:val="21"/>
                <w:szCs w:val="21"/>
              </w:rPr>
            </w:pPr>
            <w:r>
              <w:rPr>
                <w:rFonts w:hint="eastAsia"/>
                <w:sz w:val="21"/>
                <w:szCs w:val="21"/>
              </w:rPr>
              <w:t>2.91E+00</w:t>
            </w:r>
          </w:p>
        </w:tc>
        <w:tc>
          <w:tcPr>
            <w:tcW w:w="1134" w:type="dxa"/>
            <w:noWrap/>
            <w:vAlign w:val="center"/>
          </w:tcPr>
          <w:p w14:paraId="3E8C613D">
            <w:pPr>
              <w:wordWrap w:val="0"/>
              <w:spacing w:line="240" w:lineRule="auto"/>
              <w:jc w:val="center"/>
              <w:rPr>
                <w:rFonts w:cs="Times New Roman"/>
                <w:sz w:val="21"/>
                <w:szCs w:val="21"/>
              </w:rPr>
            </w:pPr>
            <w:r>
              <w:rPr>
                <w:rFonts w:hint="eastAsia"/>
                <w:sz w:val="21"/>
                <w:szCs w:val="21"/>
              </w:rPr>
              <w:t>3.00E+02</w:t>
            </w:r>
          </w:p>
        </w:tc>
        <w:tc>
          <w:tcPr>
            <w:tcW w:w="709" w:type="dxa"/>
            <w:noWrap/>
            <w:vAlign w:val="center"/>
          </w:tcPr>
          <w:p w14:paraId="2A7B3921">
            <w:pPr>
              <w:wordWrap w:val="0"/>
              <w:spacing w:line="240" w:lineRule="auto"/>
              <w:jc w:val="center"/>
              <w:rPr>
                <w:rFonts w:cs="Times New Roman"/>
                <w:sz w:val="21"/>
                <w:szCs w:val="21"/>
              </w:rPr>
            </w:pPr>
            <w:r>
              <w:rPr>
                <w:rFonts w:hint="eastAsia"/>
                <w:sz w:val="21"/>
                <w:szCs w:val="21"/>
              </w:rPr>
              <w:t>0.97</w:t>
            </w:r>
          </w:p>
        </w:tc>
        <w:tc>
          <w:tcPr>
            <w:tcW w:w="709" w:type="dxa"/>
            <w:noWrap/>
            <w:vAlign w:val="center"/>
          </w:tcPr>
          <w:p w14:paraId="544B63E7">
            <w:pPr>
              <w:wordWrap w:val="0"/>
              <w:spacing w:line="240" w:lineRule="auto"/>
              <w:jc w:val="center"/>
              <w:rPr>
                <w:rFonts w:cs="Times New Roman"/>
                <w:sz w:val="21"/>
                <w:szCs w:val="21"/>
              </w:rPr>
            </w:pPr>
            <w:r>
              <w:rPr>
                <w:rFonts w:hint="eastAsia"/>
                <w:sz w:val="21"/>
                <w:szCs w:val="21"/>
              </w:rPr>
              <w:t>达标</w:t>
            </w:r>
          </w:p>
        </w:tc>
      </w:tr>
      <w:tr w14:paraId="07D82B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26" w:type="dxa"/>
            <w:vMerge w:val="continue"/>
            <w:vAlign w:val="center"/>
          </w:tcPr>
          <w:p w14:paraId="3F398D88">
            <w:pPr>
              <w:wordWrap w:val="0"/>
              <w:spacing w:line="240" w:lineRule="auto"/>
              <w:jc w:val="center"/>
              <w:rPr>
                <w:rFonts w:cs="Times New Roman"/>
                <w:sz w:val="21"/>
                <w:szCs w:val="21"/>
              </w:rPr>
            </w:pPr>
          </w:p>
        </w:tc>
        <w:tc>
          <w:tcPr>
            <w:tcW w:w="846" w:type="dxa"/>
            <w:vMerge w:val="continue"/>
            <w:noWrap/>
            <w:vAlign w:val="center"/>
          </w:tcPr>
          <w:p w14:paraId="1DF7718D">
            <w:pPr>
              <w:wordWrap w:val="0"/>
              <w:spacing w:line="240" w:lineRule="auto"/>
              <w:jc w:val="center"/>
              <w:rPr>
                <w:rFonts w:cs="Times New Roman"/>
                <w:sz w:val="21"/>
                <w:szCs w:val="21"/>
              </w:rPr>
            </w:pPr>
          </w:p>
        </w:tc>
        <w:tc>
          <w:tcPr>
            <w:tcW w:w="851" w:type="dxa"/>
            <w:noWrap/>
            <w:vAlign w:val="center"/>
          </w:tcPr>
          <w:p w14:paraId="38CBEB37">
            <w:pPr>
              <w:wordWrap w:val="0"/>
              <w:spacing w:line="240" w:lineRule="auto"/>
              <w:jc w:val="center"/>
              <w:rPr>
                <w:rFonts w:cs="Times New Roman"/>
                <w:sz w:val="21"/>
                <w:szCs w:val="21"/>
              </w:rPr>
            </w:pPr>
            <w:r>
              <w:rPr>
                <w:rFonts w:cs="Times New Roman"/>
                <w:kern w:val="0"/>
                <w:sz w:val="21"/>
                <w:szCs w:val="21"/>
                <w14:ligatures w14:val="none"/>
              </w:rPr>
              <w:t>日均值</w:t>
            </w:r>
          </w:p>
        </w:tc>
        <w:tc>
          <w:tcPr>
            <w:tcW w:w="1134" w:type="dxa"/>
            <w:noWrap/>
            <w:vAlign w:val="center"/>
          </w:tcPr>
          <w:p w14:paraId="020B7147">
            <w:pPr>
              <w:wordWrap w:val="0"/>
              <w:spacing w:line="240" w:lineRule="auto"/>
              <w:jc w:val="center"/>
              <w:rPr>
                <w:rFonts w:cs="Times New Roman"/>
                <w:sz w:val="21"/>
                <w:szCs w:val="21"/>
              </w:rPr>
            </w:pPr>
            <w:r>
              <w:rPr>
                <w:rFonts w:hint="eastAsia"/>
                <w:sz w:val="21"/>
                <w:szCs w:val="21"/>
              </w:rPr>
              <w:t>3.90E-01</w:t>
            </w:r>
          </w:p>
        </w:tc>
        <w:tc>
          <w:tcPr>
            <w:tcW w:w="1133" w:type="dxa"/>
            <w:noWrap/>
            <w:vAlign w:val="center"/>
          </w:tcPr>
          <w:p w14:paraId="0C057189">
            <w:pPr>
              <w:wordWrap w:val="0"/>
              <w:spacing w:line="240" w:lineRule="auto"/>
              <w:jc w:val="center"/>
              <w:rPr>
                <w:rFonts w:cs="Times New Roman"/>
                <w:sz w:val="21"/>
                <w:szCs w:val="21"/>
              </w:rPr>
            </w:pPr>
            <w:r>
              <w:rPr>
                <w:rFonts w:hint="eastAsia"/>
                <w:sz w:val="21"/>
                <w:szCs w:val="21"/>
              </w:rPr>
              <w:t>230128</w:t>
            </w:r>
          </w:p>
        </w:tc>
        <w:tc>
          <w:tcPr>
            <w:tcW w:w="1134" w:type="dxa"/>
            <w:noWrap/>
            <w:vAlign w:val="center"/>
          </w:tcPr>
          <w:p w14:paraId="47E145DA">
            <w:pPr>
              <w:wordWrap w:val="0"/>
              <w:spacing w:line="240" w:lineRule="auto"/>
              <w:jc w:val="center"/>
              <w:rPr>
                <w:rFonts w:cs="Times New Roman"/>
                <w:sz w:val="21"/>
                <w:szCs w:val="21"/>
              </w:rPr>
            </w:pPr>
            <w:r>
              <w:rPr>
                <w:rFonts w:hint="eastAsia"/>
                <w:sz w:val="21"/>
                <w:szCs w:val="21"/>
              </w:rPr>
              <w:t>0.00E+00</w:t>
            </w:r>
          </w:p>
        </w:tc>
        <w:tc>
          <w:tcPr>
            <w:tcW w:w="1134" w:type="dxa"/>
            <w:noWrap/>
            <w:vAlign w:val="center"/>
          </w:tcPr>
          <w:p w14:paraId="284185B1">
            <w:pPr>
              <w:wordWrap w:val="0"/>
              <w:spacing w:line="240" w:lineRule="auto"/>
              <w:jc w:val="center"/>
              <w:rPr>
                <w:rFonts w:cs="Times New Roman"/>
                <w:sz w:val="21"/>
                <w:szCs w:val="21"/>
              </w:rPr>
            </w:pPr>
            <w:r>
              <w:rPr>
                <w:rFonts w:hint="eastAsia"/>
                <w:sz w:val="21"/>
                <w:szCs w:val="21"/>
              </w:rPr>
              <w:t>3.90E-01</w:t>
            </w:r>
          </w:p>
        </w:tc>
        <w:tc>
          <w:tcPr>
            <w:tcW w:w="1134" w:type="dxa"/>
            <w:noWrap/>
            <w:vAlign w:val="center"/>
          </w:tcPr>
          <w:p w14:paraId="74B2A91F">
            <w:pPr>
              <w:wordWrap w:val="0"/>
              <w:spacing w:line="240" w:lineRule="auto"/>
              <w:jc w:val="center"/>
              <w:rPr>
                <w:rFonts w:cs="Times New Roman"/>
                <w:sz w:val="21"/>
                <w:szCs w:val="21"/>
              </w:rPr>
            </w:pPr>
            <w:r>
              <w:rPr>
                <w:rFonts w:hint="eastAsia"/>
                <w:sz w:val="21"/>
                <w:szCs w:val="21"/>
              </w:rPr>
              <w:t>1.00E+02</w:t>
            </w:r>
          </w:p>
        </w:tc>
        <w:tc>
          <w:tcPr>
            <w:tcW w:w="709" w:type="dxa"/>
            <w:noWrap/>
            <w:vAlign w:val="center"/>
          </w:tcPr>
          <w:p w14:paraId="050EF197">
            <w:pPr>
              <w:wordWrap w:val="0"/>
              <w:spacing w:line="240" w:lineRule="auto"/>
              <w:jc w:val="center"/>
              <w:rPr>
                <w:rFonts w:cs="Times New Roman"/>
                <w:sz w:val="21"/>
                <w:szCs w:val="21"/>
              </w:rPr>
            </w:pPr>
            <w:r>
              <w:rPr>
                <w:rFonts w:hint="eastAsia"/>
                <w:sz w:val="21"/>
                <w:szCs w:val="21"/>
              </w:rPr>
              <w:t>0.39</w:t>
            </w:r>
          </w:p>
        </w:tc>
        <w:tc>
          <w:tcPr>
            <w:tcW w:w="709" w:type="dxa"/>
            <w:noWrap/>
            <w:vAlign w:val="center"/>
          </w:tcPr>
          <w:p w14:paraId="2956F3EA">
            <w:pPr>
              <w:wordWrap w:val="0"/>
              <w:spacing w:line="240" w:lineRule="auto"/>
              <w:jc w:val="center"/>
              <w:rPr>
                <w:rFonts w:cs="Times New Roman"/>
                <w:sz w:val="21"/>
                <w:szCs w:val="21"/>
              </w:rPr>
            </w:pPr>
            <w:r>
              <w:rPr>
                <w:rFonts w:hint="eastAsia"/>
                <w:sz w:val="21"/>
                <w:szCs w:val="21"/>
              </w:rPr>
              <w:t>达标</w:t>
            </w:r>
          </w:p>
        </w:tc>
      </w:tr>
      <w:tr w14:paraId="2CF669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26" w:type="dxa"/>
            <w:vMerge w:val="restart"/>
            <w:vAlign w:val="center"/>
          </w:tcPr>
          <w:p w14:paraId="0B08CE80">
            <w:pPr>
              <w:wordWrap w:val="0"/>
              <w:spacing w:line="240" w:lineRule="auto"/>
              <w:jc w:val="center"/>
              <w:rPr>
                <w:rFonts w:cs="Times New Roman"/>
                <w:sz w:val="21"/>
                <w:szCs w:val="21"/>
              </w:rPr>
            </w:pPr>
            <w:r>
              <w:rPr>
                <w:rFonts w:hint="eastAsia" w:cs="Times New Roman"/>
                <w:sz w:val="21"/>
                <w:szCs w:val="21"/>
              </w:rPr>
              <w:t>2</w:t>
            </w:r>
          </w:p>
        </w:tc>
        <w:tc>
          <w:tcPr>
            <w:tcW w:w="846" w:type="dxa"/>
            <w:vMerge w:val="restart"/>
            <w:noWrap/>
            <w:vAlign w:val="center"/>
          </w:tcPr>
          <w:p w14:paraId="6BE6BC8B">
            <w:pPr>
              <w:wordWrap w:val="0"/>
              <w:spacing w:line="240" w:lineRule="auto"/>
              <w:jc w:val="center"/>
              <w:rPr>
                <w:rFonts w:cs="Times New Roman"/>
                <w:sz w:val="21"/>
                <w:szCs w:val="21"/>
              </w:rPr>
            </w:pPr>
            <w:r>
              <w:rPr>
                <w:rFonts w:hint="eastAsia" w:cs="Times New Roman"/>
                <w:kern w:val="0"/>
                <w:sz w:val="21"/>
                <w:szCs w:val="21"/>
                <w14:ligatures w14:val="none"/>
              </w:rPr>
              <w:t>三铺小学</w:t>
            </w:r>
          </w:p>
        </w:tc>
        <w:tc>
          <w:tcPr>
            <w:tcW w:w="851" w:type="dxa"/>
            <w:noWrap/>
            <w:vAlign w:val="center"/>
          </w:tcPr>
          <w:p w14:paraId="0DDC1B9B">
            <w:pPr>
              <w:wordWrap w:val="0"/>
              <w:spacing w:line="240" w:lineRule="auto"/>
              <w:jc w:val="center"/>
              <w:rPr>
                <w:rFonts w:cs="Times New Roman"/>
                <w:sz w:val="21"/>
                <w:szCs w:val="21"/>
              </w:rPr>
            </w:pPr>
            <w:r>
              <w:rPr>
                <w:rFonts w:cs="Times New Roman"/>
                <w:kern w:val="0"/>
                <w:sz w:val="21"/>
                <w:szCs w:val="21"/>
                <w14:ligatures w14:val="none"/>
              </w:rPr>
              <w:t>小时值</w:t>
            </w:r>
          </w:p>
        </w:tc>
        <w:tc>
          <w:tcPr>
            <w:tcW w:w="1134" w:type="dxa"/>
            <w:noWrap/>
            <w:vAlign w:val="center"/>
          </w:tcPr>
          <w:p w14:paraId="501BCD91">
            <w:pPr>
              <w:wordWrap w:val="0"/>
              <w:spacing w:line="240" w:lineRule="auto"/>
              <w:jc w:val="center"/>
              <w:rPr>
                <w:rFonts w:cs="Times New Roman"/>
                <w:sz w:val="21"/>
                <w:szCs w:val="21"/>
              </w:rPr>
            </w:pPr>
            <w:r>
              <w:rPr>
                <w:rFonts w:hint="eastAsia"/>
                <w:sz w:val="21"/>
                <w:szCs w:val="21"/>
              </w:rPr>
              <w:t>2.14E+00</w:t>
            </w:r>
          </w:p>
        </w:tc>
        <w:tc>
          <w:tcPr>
            <w:tcW w:w="1133" w:type="dxa"/>
            <w:noWrap/>
            <w:vAlign w:val="center"/>
          </w:tcPr>
          <w:p w14:paraId="55AA1FB9">
            <w:pPr>
              <w:wordWrap w:val="0"/>
              <w:spacing w:line="240" w:lineRule="auto"/>
              <w:jc w:val="center"/>
              <w:rPr>
                <w:rFonts w:cs="Times New Roman"/>
                <w:sz w:val="21"/>
                <w:szCs w:val="21"/>
              </w:rPr>
            </w:pPr>
            <w:r>
              <w:rPr>
                <w:rFonts w:hint="eastAsia"/>
                <w:sz w:val="21"/>
                <w:szCs w:val="21"/>
              </w:rPr>
              <w:t>23072401</w:t>
            </w:r>
          </w:p>
        </w:tc>
        <w:tc>
          <w:tcPr>
            <w:tcW w:w="1134" w:type="dxa"/>
            <w:noWrap/>
            <w:vAlign w:val="center"/>
          </w:tcPr>
          <w:p w14:paraId="7A8FD332">
            <w:pPr>
              <w:wordWrap w:val="0"/>
              <w:spacing w:line="240" w:lineRule="auto"/>
              <w:jc w:val="center"/>
              <w:rPr>
                <w:rFonts w:cs="Times New Roman"/>
                <w:sz w:val="21"/>
                <w:szCs w:val="21"/>
              </w:rPr>
            </w:pPr>
            <w:r>
              <w:rPr>
                <w:rFonts w:hint="eastAsia"/>
                <w:sz w:val="21"/>
                <w:szCs w:val="21"/>
              </w:rPr>
              <w:t>0.00E+00</w:t>
            </w:r>
          </w:p>
        </w:tc>
        <w:tc>
          <w:tcPr>
            <w:tcW w:w="1134" w:type="dxa"/>
            <w:noWrap/>
            <w:vAlign w:val="center"/>
          </w:tcPr>
          <w:p w14:paraId="7AA620F1">
            <w:pPr>
              <w:wordWrap w:val="0"/>
              <w:spacing w:line="240" w:lineRule="auto"/>
              <w:jc w:val="center"/>
              <w:rPr>
                <w:rFonts w:cs="Times New Roman"/>
                <w:sz w:val="21"/>
                <w:szCs w:val="21"/>
              </w:rPr>
            </w:pPr>
            <w:r>
              <w:rPr>
                <w:rFonts w:hint="eastAsia"/>
                <w:sz w:val="21"/>
                <w:szCs w:val="21"/>
              </w:rPr>
              <w:t>2.14E+00</w:t>
            </w:r>
          </w:p>
        </w:tc>
        <w:tc>
          <w:tcPr>
            <w:tcW w:w="1134" w:type="dxa"/>
            <w:noWrap/>
            <w:vAlign w:val="center"/>
          </w:tcPr>
          <w:p w14:paraId="524AC073">
            <w:pPr>
              <w:wordWrap w:val="0"/>
              <w:spacing w:line="240" w:lineRule="auto"/>
              <w:jc w:val="center"/>
              <w:rPr>
                <w:rFonts w:cs="Times New Roman"/>
                <w:sz w:val="21"/>
                <w:szCs w:val="21"/>
              </w:rPr>
            </w:pPr>
            <w:r>
              <w:rPr>
                <w:rFonts w:hint="eastAsia"/>
                <w:sz w:val="21"/>
                <w:szCs w:val="21"/>
              </w:rPr>
              <w:t>3.00E+02</w:t>
            </w:r>
          </w:p>
        </w:tc>
        <w:tc>
          <w:tcPr>
            <w:tcW w:w="709" w:type="dxa"/>
            <w:noWrap/>
            <w:vAlign w:val="center"/>
          </w:tcPr>
          <w:p w14:paraId="18C5E235">
            <w:pPr>
              <w:wordWrap w:val="0"/>
              <w:spacing w:line="240" w:lineRule="auto"/>
              <w:jc w:val="center"/>
              <w:rPr>
                <w:rFonts w:cs="Times New Roman"/>
                <w:sz w:val="21"/>
                <w:szCs w:val="21"/>
              </w:rPr>
            </w:pPr>
            <w:r>
              <w:rPr>
                <w:rFonts w:hint="eastAsia"/>
                <w:sz w:val="21"/>
                <w:szCs w:val="21"/>
              </w:rPr>
              <w:t>0.71</w:t>
            </w:r>
          </w:p>
        </w:tc>
        <w:tc>
          <w:tcPr>
            <w:tcW w:w="709" w:type="dxa"/>
            <w:noWrap/>
            <w:vAlign w:val="center"/>
          </w:tcPr>
          <w:p w14:paraId="7A83CA57">
            <w:pPr>
              <w:wordWrap w:val="0"/>
              <w:spacing w:line="240" w:lineRule="auto"/>
              <w:jc w:val="center"/>
              <w:rPr>
                <w:rFonts w:cs="Times New Roman"/>
                <w:sz w:val="21"/>
                <w:szCs w:val="21"/>
              </w:rPr>
            </w:pPr>
            <w:r>
              <w:rPr>
                <w:rFonts w:hint="eastAsia"/>
                <w:sz w:val="21"/>
                <w:szCs w:val="21"/>
              </w:rPr>
              <w:t>达标</w:t>
            </w:r>
          </w:p>
        </w:tc>
      </w:tr>
      <w:tr w14:paraId="0DA6DE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26" w:type="dxa"/>
            <w:vMerge w:val="continue"/>
            <w:vAlign w:val="center"/>
          </w:tcPr>
          <w:p w14:paraId="043C79D4">
            <w:pPr>
              <w:wordWrap w:val="0"/>
              <w:spacing w:line="240" w:lineRule="auto"/>
              <w:jc w:val="center"/>
              <w:rPr>
                <w:rFonts w:cs="Times New Roman"/>
                <w:sz w:val="21"/>
                <w:szCs w:val="21"/>
              </w:rPr>
            </w:pPr>
          </w:p>
        </w:tc>
        <w:tc>
          <w:tcPr>
            <w:tcW w:w="846" w:type="dxa"/>
            <w:vMerge w:val="continue"/>
            <w:noWrap/>
            <w:vAlign w:val="center"/>
          </w:tcPr>
          <w:p w14:paraId="1F1A7C8E">
            <w:pPr>
              <w:wordWrap w:val="0"/>
              <w:spacing w:line="240" w:lineRule="auto"/>
              <w:jc w:val="center"/>
              <w:rPr>
                <w:rFonts w:cs="Times New Roman"/>
                <w:sz w:val="21"/>
                <w:szCs w:val="21"/>
              </w:rPr>
            </w:pPr>
          </w:p>
        </w:tc>
        <w:tc>
          <w:tcPr>
            <w:tcW w:w="851" w:type="dxa"/>
            <w:noWrap/>
            <w:vAlign w:val="center"/>
          </w:tcPr>
          <w:p w14:paraId="56291273">
            <w:pPr>
              <w:wordWrap w:val="0"/>
              <w:spacing w:line="240" w:lineRule="auto"/>
              <w:jc w:val="center"/>
              <w:rPr>
                <w:rFonts w:cs="Times New Roman"/>
                <w:sz w:val="21"/>
                <w:szCs w:val="21"/>
              </w:rPr>
            </w:pPr>
            <w:r>
              <w:rPr>
                <w:rFonts w:cs="Times New Roman"/>
                <w:kern w:val="0"/>
                <w:sz w:val="21"/>
                <w:szCs w:val="21"/>
                <w14:ligatures w14:val="none"/>
              </w:rPr>
              <w:t>日均值</w:t>
            </w:r>
          </w:p>
        </w:tc>
        <w:tc>
          <w:tcPr>
            <w:tcW w:w="1134" w:type="dxa"/>
            <w:noWrap/>
            <w:vAlign w:val="center"/>
          </w:tcPr>
          <w:p w14:paraId="00B5AED5">
            <w:pPr>
              <w:wordWrap w:val="0"/>
              <w:spacing w:line="240" w:lineRule="auto"/>
              <w:jc w:val="center"/>
              <w:rPr>
                <w:rFonts w:cs="Times New Roman"/>
                <w:sz w:val="21"/>
                <w:szCs w:val="21"/>
              </w:rPr>
            </w:pPr>
            <w:r>
              <w:rPr>
                <w:rFonts w:hint="eastAsia"/>
                <w:sz w:val="21"/>
                <w:szCs w:val="21"/>
              </w:rPr>
              <w:t>2.60E-01</w:t>
            </w:r>
          </w:p>
        </w:tc>
        <w:tc>
          <w:tcPr>
            <w:tcW w:w="1133" w:type="dxa"/>
            <w:noWrap/>
            <w:vAlign w:val="center"/>
          </w:tcPr>
          <w:p w14:paraId="5500C7D1">
            <w:pPr>
              <w:wordWrap w:val="0"/>
              <w:spacing w:line="240" w:lineRule="auto"/>
              <w:jc w:val="center"/>
              <w:rPr>
                <w:rFonts w:cs="Times New Roman"/>
                <w:sz w:val="21"/>
                <w:szCs w:val="21"/>
              </w:rPr>
            </w:pPr>
            <w:r>
              <w:rPr>
                <w:rFonts w:hint="eastAsia"/>
                <w:sz w:val="21"/>
                <w:szCs w:val="21"/>
              </w:rPr>
              <w:t>231201</w:t>
            </w:r>
          </w:p>
        </w:tc>
        <w:tc>
          <w:tcPr>
            <w:tcW w:w="1134" w:type="dxa"/>
            <w:noWrap/>
            <w:vAlign w:val="center"/>
          </w:tcPr>
          <w:p w14:paraId="19FE7DBD">
            <w:pPr>
              <w:wordWrap w:val="0"/>
              <w:spacing w:line="240" w:lineRule="auto"/>
              <w:jc w:val="center"/>
              <w:rPr>
                <w:rFonts w:cs="Times New Roman"/>
                <w:sz w:val="21"/>
                <w:szCs w:val="21"/>
              </w:rPr>
            </w:pPr>
            <w:r>
              <w:rPr>
                <w:rFonts w:hint="eastAsia"/>
                <w:sz w:val="21"/>
                <w:szCs w:val="21"/>
              </w:rPr>
              <w:t>0.00E+00</w:t>
            </w:r>
          </w:p>
        </w:tc>
        <w:tc>
          <w:tcPr>
            <w:tcW w:w="1134" w:type="dxa"/>
            <w:noWrap/>
            <w:vAlign w:val="center"/>
          </w:tcPr>
          <w:p w14:paraId="532A6E50">
            <w:pPr>
              <w:wordWrap w:val="0"/>
              <w:spacing w:line="240" w:lineRule="auto"/>
              <w:jc w:val="center"/>
              <w:rPr>
                <w:rFonts w:cs="Times New Roman"/>
                <w:sz w:val="21"/>
                <w:szCs w:val="21"/>
              </w:rPr>
            </w:pPr>
            <w:r>
              <w:rPr>
                <w:rFonts w:hint="eastAsia"/>
                <w:sz w:val="21"/>
                <w:szCs w:val="21"/>
              </w:rPr>
              <w:t>2.60E-01</w:t>
            </w:r>
          </w:p>
        </w:tc>
        <w:tc>
          <w:tcPr>
            <w:tcW w:w="1134" w:type="dxa"/>
            <w:noWrap/>
            <w:vAlign w:val="center"/>
          </w:tcPr>
          <w:p w14:paraId="1DD6C4D0">
            <w:pPr>
              <w:wordWrap w:val="0"/>
              <w:spacing w:line="240" w:lineRule="auto"/>
              <w:jc w:val="center"/>
              <w:rPr>
                <w:rFonts w:cs="Times New Roman"/>
                <w:sz w:val="21"/>
                <w:szCs w:val="21"/>
              </w:rPr>
            </w:pPr>
            <w:r>
              <w:rPr>
                <w:rFonts w:hint="eastAsia"/>
                <w:sz w:val="21"/>
                <w:szCs w:val="21"/>
              </w:rPr>
              <w:t>1.00E+02</w:t>
            </w:r>
          </w:p>
        </w:tc>
        <w:tc>
          <w:tcPr>
            <w:tcW w:w="709" w:type="dxa"/>
            <w:noWrap/>
            <w:vAlign w:val="center"/>
          </w:tcPr>
          <w:p w14:paraId="5349198E">
            <w:pPr>
              <w:wordWrap w:val="0"/>
              <w:spacing w:line="240" w:lineRule="auto"/>
              <w:jc w:val="center"/>
              <w:rPr>
                <w:rFonts w:cs="Times New Roman"/>
                <w:sz w:val="21"/>
                <w:szCs w:val="21"/>
              </w:rPr>
            </w:pPr>
            <w:r>
              <w:rPr>
                <w:rFonts w:hint="eastAsia"/>
                <w:sz w:val="21"/>
                <w:szCs w:val="21"/>
              </w:rPr>
              <w:t>0.26</w:t>
            </w:r>
          </w:p>
        </w:tc>
        <w:tc>
          <w:tcPr>
            <w:tcW w:w="709" w:type="dxa"/>
            <w:noWrap/>
            <w:vAlign w:val="center"/>
          </w:tcPr>
          <w:p w14:paraId="36664D0E">
            <w:pPr>
              <w:wordWrap w:val="0"/>
              <w:spacing w:line="240" w:lineRule="auto"/>
              <w:jc w:val="center"/>
              <w:rPr>
                <w:rFonts w:cs="Times New Roman"/>
                <w:sz w:val="21"/>
                <w:szCs w:val="21"/>
              </w:rPr>
            </w:pPr>
            <w:r>
              <w:rPr>
                <w:rFonts w:hint="eastAsia"/>
                <w:sz w:val="21"/>
                <w:szCs w:val="21"/>
              </w:rPr>
              <w:t>达标</w:t>
            </w:r>
          </w:p>
        </w:tc>
      </w:tr>
      <w:tr w14:paraId="03C5D2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26" w:type="dxa"/>
            <w:vMerge w:val="restart"/>
            <w:vAlign w:val="center"/>
          </w:tcPr>
          <w:p w14:paraId="55A7AC6F">
            <w:pPr>
              <w:wordWrap w:val="0"/>
              <w:spacing w:line="240" w:lineRule="auto"/>
              <w:jc w:val="center"/>
              <w:rPr>
                <w:rFonts w:cs="Times New Roman"/>
                <w:sz w:val="21"/>
                <w:szCs w:val="21"/>
              </w:rPr>
            </w:pPr>
            <w:r>
              <w:rPr>
                <w:rFonts w:hint="eastAsia" w:cs="Times New Roman"/>
                <w:sz w:val="21"/>
                <w:szCs w:val="21"/>
              </w:rPr>
              <w:t>3</w:t>
            </w:r>
          </w:p>
        </w:tc>
        <w:tc>
          <w:tcPr>
            <w:tcW w:w="846" w:type="dxa"/>
            <w:vMerge w:val="restart"/>
            <w:noWrap/>
            <w:vAlign w:val="center"/>
          </w:tcPr>
          <w:p w14:paraId="1C8F10F8">
            <w:pPr>
              <w:wordWrap w:val="0"/>
              <w:spacing w:line="240" w:lineRule="auto"/>
              <w:jc w:val="center"/>
              <w:rPr>
                <w:rFonts w:cs="Times New Roman"/>
                <w:sz w:val="21"/>
                <w:szCs w:val="21"/>
              </w:rPr>
            </w:pPr>
            <w:r>
              <w:rPr>
                <w:rFonts w:hint="eastAsia" w:cs="Times New Roman"/>
                <w:kern w:val="0"/>
                <w:sz w:val="21"/>
                <w:szCs w:val="21"/>
                <w14:ligatures w14:val="none"/>
              </w:rPr>
              <w:t>三铺中学</w:t>
            </w:r>
          </w:p>
        </w:tc>
        <w:tc>
          <w:tcPr>
            <w:tcW w:w="851" w:type="dxa"/>
            <w:noWrap/>
            <w:vAlign w:val="center"/>
          </w:tcPr>
          <w:p w14:paraId="378AAA20">
            <w:pPr>
              <w:wordWrap w:val="0"/>
              <w:spacing w:line="240" w:lineRule="auto"/>
              <w:jc w:val="center"/>
              <w:rPr>
                <w:rFonts w:cs="Times New Roman"/>
                <w:sz w:val="21"/>
                <w:szCs w:val="21"/>
              </w:rPr>
            </w:pPr>
            <w:r>
              <w:rPr>
                <w:rFonts w:cs="Times New Roman"/>
                <w:kern w:val="0"/>
                <w:sz w:val="21"/>
                <w:szCs w:val="21"/>
                <w14:ligatures w14:val="none"/>
              </w:rPr>
              <w:t>小时值</w:t>
            </w:r>
          </w:p>
        </w:tc>
        <w:tc>
          <w:tcPr>
            <w:tcW w:w="1134" w:type="dxa"/>
            <w:noWrap/>
            <w:vAlign w:val="center"/>
          </w:tcPr>
          <w:p w14:paraId="5DAD51A9">
            <w:pPr>
              <w:wordWrap w:val="0"/>
              <w:spacing w:line="240" w:lineRule="auto"/>
              <w:jc w:val="center"/>
              <w:rPr>
                <w:rFonts w:cs="Times New Roman"/>
                <w:sz w:val="21"/>
                <w:szCs w:val="21"/>
              </w:rPr>
            </w:pPr>
            <w:r>
              <w:rPr>
                <w:rFonts w:hint="eastAsia"/>
                <w:sz w:val="21"/>
                <w:szCs w:val="21"/>
              </w:rPr>
              <w:t>2.08E+00</w:t>
            </w:r>
          </w:p>
        </w:tc>
        <w:tc>
          <w:tcPr>
            <w:tcW w:w="1133" w:type="dxa"/>
            <w:noWrap/>
            <w:vAlign w:val="center"/>
          </w:tcPr>
          <w:p w14:paraId="5D229789">
            <w:pPr>
              <w:wordWrap w:val="0"/>
              <w:spacing w:line="240" w:lineRule="auto"/>
              <w:jc w:val="center"/>
              <w:rPr>
                <w:rFonts w:cs="Times New Roman"/>
                <w:sz w:val="21"/>
                <w:szCs w:val="21"/>
              </w:rPr>
            </w:pPr>
            <w:r>
              <w:rPr>
                <w:rFonts w:hint="eastAsia"/>
                <w:sz w:val="21"/>
                <w:szCs w:val="21"/>
              </w:rPr>
              <w:t>23070102</w:t>
            </w:r>
          </w:p>
        </w:tc>
        <w:tc>
          <w:tcPr>
            <w:tcW w:w="1134" w:type="dxa"/>
            <w:noWrap/>
            <w:vAlign w:val="center"/>
          </w:tcPr>
          <w:p w14:paraId="131C4621">
            <w:pPr>
              <w:wordWrap w:val="0"/>
              <w:spacing w:line="240" w:lineRule="auto"/>
              <w:jc w:val="center"/>
              <w:rPr>
                <w:rFonts w:cs="Times New Roman"/>
                <w:sz w:val="21"/>
                <w:szCs w:val="21"/>
              </w:rPr>
            </w:pPr>
            <w:r>
              <w:rPr>
                <w:rFonts w:hint="eastAsia"/>
                <w:sz w:val="21"/>
                <w:szCs w:val="21"/>
              </w:rPr>
              <w:t>0.00E+00</w:t>
            </w:r>
          </w:p>
        </w:tc>
        <w:tc>
          <w:tcPr>
            <w:tcW w:w="1134" w:type="dxa"/>
            <w:noWrap/>
            <w:vAlign w:val="center"/>
          </w:tcPr>
          <w:p w14:paraId="3EBB0DEB">
            <w:pPr>
              <w:wordWrap w:val="0"/>
              <w:spacing w:line="240" w:lineRule="auto"/>
              <w:jc w:val="center"/>
              <w:rPr>
                <w:rFonts w:cs="Times New Roman"/>
                <w:sz w:val="21"/>
                <w:szCs w:val="21"/>
              </w:rPr>
            </w:pPr>
            <w:r>
              <w:rPr>
                <w:rFonts w:hint="eastAsia"/>
                <w:sz w:val="21"/>
                <w:szCs w:val="21"/>
              </w:rPr>
              <w:t>2.08E+00</w:t>
            </w:r>
          </w:p>
        </w:tc>
        <w:tc>
          <w:tcPr>
            <w:tcW w:w="1134" w:type="dxa"/>
            <w:noWrap/>
            <w:vAlign w:val="center"/>
          </w:tcPr>
          <w:p w14:paraId="2911D779">
            <w:pPr>
              <w:wordWrap w:val="0"/>
              <w:spacing w:line="240" w:lineRule="auto"/>
              <w:jc w:val="center"/>
              <w:rPr>
                <w:rFonts w:cs="Times New Roman"/>
                <w:sz w:val="21"/>
                <w:szCs w:val="21"/>
              </w:rPr>
            </w:pPr>
            <w:r>
              <w:rPr>
                <w:rFonts w:hint="eastAsia"/>
                <w:sz w:val="21"/>
                <w:szCs w:val="21"/>
              </w:rPr>
              <w:t>3.00E+02</w:t>
            </w:r>
          </w:p>
        </w:tc>
        <w:tc>
          <w:tcPr>
            <w:tcW w:w="709" w:type="dxa"/>
            <w:noWrap/>
            <w:vAlign w:val="center"/>
          </w:tcPr>
          <w:p w14:paraId="2C841466">
            <w:pPr>
              <w:wordWrap w:val="0"/>
              <w:spacing w:line="240" w:lineRule="auto"/>
              <w:jc w:val="center"/>
              <w:rPr>
                <w:rFonts w:cs="Times New Roman"/>
                <w:sz w:val="21"/>
                <w:szCs w:val="21"/>
              </w:rPr>
            </w:pPr>
            <w:r>
              <w:rPr>
                <w:rFonts w:hint="eastAsia"/>
                <w:sz w:val="21"/>
                <w:szCs w:val="21"/>
              </w:rPr>
              <w:t>0.69</w:t>
            </w:r>
          </w:p>
        </w:tc>
        <w:tc>
          <w:tcPr>
            <w:tcW w:w="709" w:type="dxa"/>
            <w:noWrap/>
            <w:vAlign w:val="center"/>
          </w:tcPr>
          <w:p w14:paraId="620F65EB">
            <w:pPr>
              <w:wordWrap w:val="0"/>
              <w:spacing w:line="240" w:lineRule="auto"/>
              <w:jc w:val="center"/>
              <w:rPr>
                <w:rFonts w:cs="Times New Roman"/>
                <w:sz w:val="21"/>
                <w:szCs w:val="21"/>
              </w:rPr>
            </w:pPr>
            <w:r>
              <w:rPr>
                <w:rFonts w:hint="eastAsia"/>
                <w:sz w:val="21"/>
                <w:szCs w:val="21"/>
              </w:rPr>
              <w:t>达标</w:t>
            </w:r>
          </w:p>
        </w:tc>
      </w:tr>
      <w:tr w14:paraId="08832D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26" w:type="dxa"/>
            <w:vMerge w:val="continue"/>
            <w:vAlign w:val="center"/>
          </w:tcPr>
          <w:p w14:paraId="572B0718">
            <w:pPr>
              <w:wordWrap w:val="0"/>
              <w:spacing w:line="240" w:lineRule="auto"/>
              <w:jc w:val="center"/>
              <w:rPr>
                <w:rFonts w:cs="Times New Roman"/>
                <w:sz w:val="21"/>
                <w:szCs w:val="21"/>
              </w:rPr>
            </w:pPr>
          </w:p>
        </w:tc>
        <w:tc>
          <w:tcPr>
            <w:tcW w:w="846" w:type="dxa"/>
            <w:vMerge w:val="continue"/>
            <w:noWrap/>
            <w:vAlign w:val="center"/>
          </w:tcPr>
          <w:p w14:paraId="28BC1370">
            <w:pPr>
              <w:wordWrap w:val="0"/>
              <w:spacing w:line="240" w:lineRule="auto"/>
              <w:jc w:val="center"/>
              <w:rPr>
                <w:rFonts w:cs="Times New Roman"/>
                <w:sz w:val="21"/>
                <w:szCs w:val="21"/>
              </w:rPr>
            </w:pPr>
          </w:p>
        </w:tc>
        <w:tc>
          <w:tcPr>
            <w:tcW w:w="851" w:type="dxa"/>
            <w:noWrap/>
            <w:vAlign w:val="center"/>
          </w:tcPr>
          <w:p w14:paraId="524282DB">
            <w:pPr>
              <w:wordWrap w:val="0"/>
              <w:spacing w:line="240" w:lineRule="auto"/>
              <w:jc w:val="center"/>
              <w:rPr>
                <w:rFonts w:cs="Times New Roman"/>
                <w:sz w:val="21"/>
                <w:szCs w:val="21"/>
              </w:rPr>
            </w:pPr>
            <w:r>
              <w:rPr>
                <w:rFonts w:cs="Times New Roman"/>
                <w:kern w:val="0"/>
                <w:sz w:val="21"/>
                <w:szCs w:val="21"/>
                <w14:ligatures w14:val="none"/>
              </w:rPr>
              <w:t>日均值</w:t>
            </w:r>
          </w:p>
        </w:tc>
        <w:tc>
          <w:tcPr>
            <w:tcW w:w="1134" w:type="dxa"/>
            <w:noWrap/>
            <w:vAlign w:val="center"/>
          </w:tcPr>
          <w:p w14:paraId="5CA2FD39">
            <w:pPr>
              <w:wordWrap w:val="0"/>
              <w:spacing w:line="240" w:lineRule="auto"/>
              <w:jc w:val="center"/>
              <w:rPr>
                <w:rFonts w:cs="Times New Roman"/>
                <w:sz w:val="21"/>
                <w:szCs w:val="21"/>
              </w:rPr>
            </w:pPr>
            <w:r>
              <w:rPr>
                <w:rFonts w:hint="eastAsia"/>
                <w:sz w:val="21"/>
                <w:szCs w:val="21"/>
              </w:rPr>
              <w:t>2.50E-01</w:t>
            </w:r>
          </w:p>
        </w:tc>
        <w:tc>
          <w:tcPr>
            <w:tcW w:w="1133" w:type="dxa"/>
            <w:noWrap/>
            <w:vAlign w:val="center"/>
          </w:tcPr>
          <w:p w14:paraId="73D96299">
            <w:pPr>
              <w:wordWrap w:val="0"/>
              <w:spacing w:line="240" w:lineRule="auto"/>
              <w:jc w:val="center"/>
              <w:rPr>
                <w:rFonts w:cs="Times New Roman"/>
                <w:sz w:val="21"/>
                <w:szCs w:val="21"/>
              </w:rPr>
            </w:pPr>
            <w:r>
              <w:rPr>
                <w:rFonts w:hint="eastAsia"/>
                <w:sz w:val="21"/>
                <w:szCs w:val="21"/>
              </w:rPr>
              <w:t>231205</w:t>
            </w:r>
          </w:p>
        </w:tc>
        <w:tc>
          <w:tcPr>
            <w:tcW w:w="1134" w:type="dxa"/>
            <w:noWrap/>
            <w:vAlign w:val="center"/>
          </w:tcPr>
          <w:p w14:paraId="75A88130">
            <w:pPr>
              <w:wordWrap w:val="0"/>
              <w:spacing w:line="240" w:lineRule="auto"/>
              <w:jc w:val="center"/>
              <w:rPr>
                <w:rFonts w:cs="Times New Roman"/>
                <w:sz w:val="21"/>
                <w:szCs w:val="21"/>
              </w:rPr>
            </w:pPr>
            <w:r>
              <w:rPr>
                <w:rFonts w:hint="eastAsia"/>
                <w:sz w:val="21"/>
                <w:szCs w:val="21"/>
              </w:rPr>
              <w:t>0.00E+00</w:t>
            </w:r>
          </w:p>
        </w:tc>
        <w:tc>
          <w:tcPr>
            <w:tcW w:w="1134" w:type="dxa"/>
            <w:noWrap/>
            <w:vAlign w:val="center"/>
          </w:tcPr>
          <w:p w14:paraId="5C710725">
            <w:pPr>
              <w:wordWrap w:val="0"/>
              <w:spacing w:line="240" w:lineRule="auto"/>
              <w:jc w:val="center"/>
              <w:rPr>
                <w:rFonts w:cs="Times New Roman"/>
                <w:sz w:val="21"/>
                <w:szCs w:val="21"/>
              </w:rPr>
            </w:pPr>
            <w:r>
              <w:rPr>
                <w:rFonts w:hint="eastAsia"/>
                <w:sz w:val="21"/>
                <w:szCs w:val="21"/>
              </w:rPr>
              <w:t>2.50E-01</w:t>
            </w:r>
          </w:p>
        </w:tc>
        <w:tc>
          <w:tcPr>
            <w:tcW w:w="1134" w:type="dxa"/>
            <w:noWrap/>
            <w:vAlign w:val="center"/>
          </w:tcPr>
          <w:p w14:paraId="772C0841">
            <w:pPr>
              <w:wordWrap w:val="0"/>
              <w:spacing w:line="240" w:lineRule="auto"/>
              <w:jc w:val="center"/>
              <w:rPr>
                <w:rFonts w:cs="Times New Roman"/>
                <w:sz w:val="21"/>
                <w:szCs w:val="21"/>
              </w:rPr>
            </w:pPr>
            <w:r>
              <w:rPr>
                <w:rFonts w:hint="eastAsia"/>
                <w:sz w:val="21"/>
                <w:szCs w:val="21"/>
              </w:rPr>
              <w:t>1.00E+02</w:t>
            </w:r>
          </w:p>
        </w:tc>
        <w:tc>
          <w:tcPr>
            <w:tcW w:w="709" w:type="dxa"/>
            <w:noWrap/>
            <w:vAlign w:val="center"/>
          </w:tcPr>
          <w:p w14:paraId="6F45A271">
            <w:pPr>
              <w:wordWrap w:val="0"/>
              <w:spacing w:line="240" w:lineRule="auto"/>
              <w:jc w:val="center"/>
              <w:rPr>
                <w:rFonts w:cs="Times New Roman"/>
                <w:sz w:val="21"/>
                <w:szCs w:val="21"/>
              </w:rPr>
            </w:pPr>
            <w:r>
              <w:rPr>
                <w:rFonts w:hint="eastAsia"/>
                <w:sz w:val="21"/>
                <w:szCs w:val="21"/>
              </w:rPr>
              <w:t>0.25</w:t>
            </w:r>
          </w:p>
        </w:tc>
        <w:tc>
          <w:tcPr>
            <w:tcW w:w="709" w:type="dxa"/>
            <w:noWrap/>
            <w:vAlign w:val="center"/>
          </w:tcPr>
          <w:p w14:paraId="5D75BA91">
            <w:pPr>
              <w:wordWrap w:val="0"/>
              <w:spacing w:line="240" w:lineRule="auto"/>
              <w:jc w:val="center"/>
              <w:rPr>
                <w:rFonts w:cs="Times New Roman"/>
                <w:sz w:val="21"/>
                <w:szCs w:val="21"/>
              </w:rPr>
            </w:pPr>
            <w:r>
              <w:rPr>
                <w:rFonts w:hint="eastAsia"/>
                <w:sz w:val="21"/>
                <w:szCs w:val="21"/>
              </w:rPr>
              <w:t>达标</w:t>
            </w:r>
          </w:p>
        </w:tc>
      </w:tr>
      <w:tr w14:paraId="13F02E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26" w:type="dxa"/>
            <w:vMerge w:val="restart"/>
            <w:vAlign w:val="center"/>
          </w:tcPr>
          <w:p w14:paraId="2B7D5B36">
            <w:pPr>
              <w:wordWrap w:val="0"/>
              <w:spacing w:line="240" w:lineRule="auto"/>
              <w:jc w:val="center"/>
              <w:rPr>
                <w:rFonts w:cs="Times New Roman"/>
                <w:sz w:val="21"/>
                <w:szCs w:val="21"/>
              </w:rPr>
            </w:pPr>
            <w:r>
              <w:rPr>
                <w:rFonts w:hint="eastAsia" w:cs="Times New Roman"/>
                <w:sz w:val="21"/>
                <w:szCs w:val="21"/>
              </w:rPr>
              <w:t>4</w:t>
            </w:r>
          </w:p>
        </w:tc>
        <w:tc>
          <w:tcPr>
            <w:tcW w:w="846" w:type="dxa"/>
            <w:vMerge w:val="restart"/>
            <w:noWrap/>
            <w:vAlign w:val="center"/>
          </w:tcPr>
          <w:p w14:paraId="0320F406">
            <w:pPr>
              <w:wordWrap w:val="0"/>
              <w:spacing w:line="240" w:lineRule="auto"/>
              <w:jc w:val="center"/>
              <w:rPr>
                <w:rFonts w:cs="Times New Roman"/>
                <w:sz w:val="21"/>
                <w:szCs w:val="21"/>
              </w:rPr>
            </w:pPr>
            <w:r>
              <w:rPr>
                <w:rFonts w:hint="eastAsia" w:cs="Times New Roman"/>
                <w:kern w:val="0"/>
                <w:sz w:val="21"/>
                <w:szCs w:val="21"/>
                <w14:ligatures w14:val="none"/>
              </w:rPr>
              <w:t>高王家</w:t>
            </w:r>
          </w:p>
        </w:tc>
        <w:tc>
          <w:tcPr>
            <w:tcW w:w="851" w:type="dxa"/>
            <w:noWrap/>
            <w:vAlign w:val="center"/>
          </w:tcPr>
          <w:p w14:paraId="223E2FA5">
            <w:pPr>
              <w:wordWrap w:val="0"/>
              <w:spacing w:line="240" w:lineRule="auto"/>
              <w:jc w:val="center"/>
              <w:rPr>
                <w:rFonts w:cs="Times New Roman"/>
                <w:sz w:val="21"/>
                <w:szCs w:val="21"/>
              </w:rPr>
            </w:pPr>
            <w:r>
              <w:rPr>
                <w:rFonts w:cs="Times New Roman"/>
                <w:kern w:val="0"/>
                <w:sz w:val="21"/>
                <w:szCs w:val="21"/>
                <w14:ligatures w14:val="none"/>
              </w:rPr>
              <w:t>小时值</w:t>
            </w:r>
          </w:p>
        </w:tc>
        <w:tc>
          <w:tcPr>
            <w:tcW w:w="1134" w:type="dxa"/>
            <w:noWrap/>
            <w:vAlign w:val="center"/>
          </w:tcPr>
          <w:p w14:paraId="46B69FE4">
            <w:pPr>
              <w:wordWrap w:val="0"/>
              <w:spacing w:line="240" w:lineRule="auto"/>
              <w:jc w:val="center"/>
              <w:rPr>
                <w:rFonts w:cs="Times New Roman"/>
                <w:sz w:val="21"/>
                <w:szCs w:val="21"/>
              </w:rPr>
            </w:pPr>
            <w:r>
              <w:rPr>
                <w:rFonts w:hint="eastAsia"/>
                <w:sz w:val="21"/>
                <w:szCs w:val="21"/>
              </w:rPr>
              <w:t>1.46E+00</w:t>
            </w:r>
          </w:p>
        </w:tc>
        <w:tc>
          <w:tcPr>
            <w:tcW w:w="1133" w:type="dxa"/>
            <w:noWrap/>
            <w:vAlign w:val="center"/>
          </w:tcPr>
          <w:p w14:paraId="6720BB3A">
            <w:pPr>
              <w:wordWrap w:val="0"/>
              <w:spacing w:line="240" w:lineRule="auto"/>
              <w:jc w:val="center"/>
              <w:rPr>
                <w:rFonts w:cs="Times New Roman"/>
                <w:sz w:val="21"/>
                <w:szCs w:val="21"/>
              </w:rPr>
            </w:pPr>
            <w:r>
              <w:rPr>
                <w:rFonts w:hint="eastAsia"/>
                <w:sz w:val="21"/>
                <w:szCs w:val="21"/>
              </w:rPr>
              <w:t>23092205</w:t>
            </w:r>
          </w:p>
        </w:tc>
        <w:tc>
          <w:tcPr>
            <w:tcW w:w="1134" w:type="dxa"/>
            <w:noWrap/>
            <w:vAlign w:val="center"/>
          </w:tcPr>
          <w:p w14:paraId="6DBB9242">
            <w:pPr>
              <w:wordWrap w:val="0"/>
              <w:spacing w:line="240" w:lineRule="auto"/>
              <w:jc w:val="center"/>
              <w:rPr>
                <w:rFonts w:cs="Times New Roman"/>
                <w:sz w:val="21"/>
                <w:szCs w:val="21"/>
              </w:rPr>
            </w:pPr>
            <w:r>
              <w:rPr>
                <w:rFonts w:hint="eastAsia"/>
                <w:sz w:val="21"/>
                <w:szCs w:val="21"/>
              </w:rPr>
              <w:t>0.00E+00</w:t>
            </w:r>
          </w:p>
        </w:tc>
        <w:tc>
          <w:tcPr>
            <w:tcW w:w="1134" w:type="dxa"/>
            <w:noWrap/>
            <w:vAlign w:val="center"/>
          </w:tcPr>
          <w:p w14:paraId="4FE6E749">
            <w:pPr>
              <w:wordWrap w:val="0"/>
              <w:spacing w:line="240" w:lineRule="auto"/>
              <w:jc w:val="center"/>
              <w:rPr>
                <w:rFonts w:cs="Times New Roman"/>
                <w:sz w:val="21"/>
                <w:szCs w:val="21"/>
              </w:rPr>
            </w:pPr>
            <w:r>
              <w:rPr>
                <w:rFonts w:hint="eastAsia"/>
                <w:sz w:val="21"/>
                <w:szCs w:val="21"/>
              </w:rPr>
              <w:t>1.46E+00</w:t>
            </w:r>
          </w:p>
        </w:tc>
        <w:tc>
          <w:tcPr>
            <w:tcW w:w="1134" w:type="dxa"/>
            <w:noWrap/>
            <w:vAlign w:val="center"/>
          </w:tcPr>
          <w:p w14:paraId="6843B85B">
            <w:pPr>
              <w:wordWrap w:val="0"/>
              <w:spacing w:line="240" w:lineRule="auto"/>
              <w:jc w:val="center"/>
              <w:rPr>
                <w:rFonts w:cs="Times New Roman"/>
                <w:sz w:val="21"/>
                <w:szCs w:val="21"/>
              </w:rPr>
            </w:pPr>
            <w:r>
              <w:rPr>
                <w:rFonts w:hint="eastAsia"/>
                <w:sz w:val="21"/>
                <w:szCs w:val="21"/>
              </w:rPr>
              <w:t>3.00E+02</w:t>
            </w:r>
          </w:p>
        </w:tc>
        <w:tc>
          <w:tcPr>
            <w:tcW w:w="709" w:type="dxa"/>
            <w:noWrap/>
            <w:vAlign w:val="center"/>
          </w:tcPr>
          <w:p w14:paraId="090456ED">
            <w:pPr>
              <w:wordWrap w:val="0"/>
              <w:spacing w:line="240" w:lineRule="auto"/>
              <w:jc w:val="center"/>
              <w:rPr>
                <w:rFonts w:cs="Times New Roman"/>
                <w:sz w:val="21"/>
                <w:szCs w:val="21"/>
              </w:rPr>
            </w:pPr>
            <w:r>
              <w:rPr>
                <w:rFonts w:hint="eastAsia"/>
                <w:sz w:val="21"/>
                <w:szCs w:val="21"/>
              </w:rPr>
              <w:t>0.49</w:t>
            </w:r>
          </w:p>
        </w:tc>
        <w:tc>
          <w:tcPr>
            <w:tcW w:w="709" w:type="dxa"/>
            <w:noWrap/>
            <w:vAlign w:val="center"/>
          </w:tcPr>
          <w:p w14:paraId="068769BD">
            <w:pPr>
              <w:wordWrap w:val="0"/>
              <w:spacing w:line="240" w:lineRule="auto"/>
              <w:jc w:val="center"/>
              <w:rPr>
                <w:rFonts w:cs="Times New Roman"/>
                <w:sz w:val="21"/>
                <w:szCs w:val="21"/>
              </w:rPr>
            </w:pPr>
            <w:r>
              <w:rPr>
                <w:rFonts w:hint="eastAsia"/>
                <w:sz w:val="21"/>
                <w:szCs w:val="21"/>
              </w:rPr>
              <w:t>达标</w:t>
            </w:r>
          </w:p>
        </w:tc>
      </w:tr>
      <w:tr w14:paraId="5B0743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26" w:type="dxa"/>
            <w:vMerge w:val="continue"/>
            <w:vAlign w:val="center"/>
          </w:tcPr>
          <w:p w14:paraId="00350992">
            <w:pPr>
              <w:wordWrap w:val="0"/>
              <w:spacing w:line="240" w:lineRule="auto"/>
              <w:jc w:val="center"/>
              <w:rPr>
                <w:rFonts w:cs="Times New Roman"/>
                <w:sz w:val="21"/>
                <w:szCs w:val="21"/>
              </w:rPr>
            </w:pPr>
          </w:p>
        </w:tc>
        <w:tc>
          <w:tcPr>
            <w:tcW w:w="846" w:type="dxa"/>
            <w:vMerge w:val="continue"/>
            <w:noWrap/>
            <w:vAlign w:val="center"/>
          </w:tcPr>
          <w:p w14:paraId="0DBCDF70">
            <w:pPr>
              <w:wordWrap w:val="0"/>
              <w:spacing w:line="240" w:lineRule="auto"/>
              <w:jc w:val="center"/>
              <w:rPr>
                <w:rFonts w:cs="Times New Roman"/>
                <w:sz w:val="21"/>
                <w:szCs w:val="21"/>
              </w:rPr>
            </w:pPr>
          </w:p>
        </w:tc>
        <w:tc>
          <w:tcPr>
            <w:tcW w:w="851" w:type="dxa"/>
            <w:noWrap/>
            <w:vAlign w:val="center"/>
          </w:tcPr>
          <w:p w14:paraId="21D48469">
            <w:pPr>
              <w:wordWrap w:val="0"/>
              <w:spacing w:line="240" w:lineRule="auto"/>
              <w:jc w:val="center"/>
              <w:rPr>
                <w:rFonts w:cs="Times New Roman"/>
                <w:sz w:val="21"/>
                <w:szCs w:val="21"/>
              </w:rPr>
            </w:pPr>
            <w:r>
              <w:rPr>
                <w:rFonts w:cs="Times New Roman"/>
                <w:kern w:val="0"/>
                <w:sz w:val="21"/>
                <w:szCs w:val="21"/>
                <w14:ligatures w14:val="none"/>
              </w:rPr>
              <w:t>日均值</w:t>
            </w:r>
          </w:p>
        </w:tc>
        <w:tc>
          <w:tcPr>
            <w:tcW w:w="1134" w:type="dxa"/>
            <w:noWrap/>
            <w:vAlign w:val="center"/>
          </w:tcPr>
          <w:p w14:paraId="70E8853E">
            <w:pPr>
              <w:wordWrap w:val="0"/>
              <w:spacing w:line="240" w:lineRule="auto"/>
              <w:jc w:val="center"/>
              <w:rPr>
                <w:rFonts w:cs="Times New Roman"/>
                <w:sz w:val="21"/>
                <w:szCs w:val="21"/>
              </w:rPr>
            </w:pPr>
            <w:r>
              <w:rPr>
                <w:rFonts w:hint="eastAsia"/>
                <w:sz w:val="21"/>
                <w:szCs w:val="21"/>
              </w:rPr>
              <w:t>1.70E-01</w:t>
            </w:r>
          </w:p>
        </w:tc>
        <w:tc>
          <w:tcPr>
            <w:tcW w:w="1133" w:type="dxa"/>
            <w:noWrap/>
            <w:vAlign w:val="center"/>
          </w:tcPr>
          <w:p w14:paraId="234C8A6B">
            <w:pPr>
              <w:wordWrap w:val="0"/>
              <w:spacing w:line="240" w:lineRule="auto"/>
              <w:jc w:val="center"/>
              <w:rPr>
                <w:rFonts w:cs="Times New Roman"/>
                <w:sz w:val="21"/>
                <w:szCs w:val="21"/>
              </w:rPr>
            </w:pPr>
            <w:r>
              <w:rPr>
                <w:rFonts w:hint="eastAsia"/>
                <w:sz w:val="21"/>
                <w:szCs w:val="21"/>
              </w:rPr>
              <w:t>231205</w:t>
            </w:r>
          </w:p>
        </w:tc>
        <w:tc>
          <w:tcPr>
            <w:tcW w:w="1134" w:type="dxa"/>
            <w:noWrap/>
            <w:vAlign w:val="center"/>
          </w:tcPr>
          <w:p w14:paraId="4A66FE1E">
            <w:pPr>
              <w:wordWrap w:val="0"/>
              <w:spacing w:line="240" w:lineRule="auto"/>
              <w:jc w:val="center"/>
              <w:rPr>
                <w:rFonts w:cs="Times New Roman"/>
                <w:sz w:val="21"/>
                <w:szCs w:val="21"/>
              </w:rPr>
            </w:pPr>
            <w:r>
              <w:rPr>
                <w:rFonts w:hint="eastAsia"/>
                <w:sz w:val="21"/>
                <w:szCs w:val="21"/>
              </w:rPr>
              <w:t>0.00E+00</w:t>
            </w:r>
          </w:p>
        </w:tc>
        <w:tc>
          <w:tcPr>
            <w:tcW w:w="1134" w:type="dxa"/>
            <w:noWrap/>
            <w:vAlign w:val="center"/>
          </w:tcPr>
          <w:p w14:paraId="6C2F972B">
            <w:pPr>
              <w:wordWrap w:val="0"/>
              <w:spacing w:line="240" w:lineRule="auto"/>
              <w:jc w:val="center"/>
              <w:rPr>
                <w:rFonts w:cs="Times New Roman"/>
                <w:sz w:val="21"/>
                <w:szCs w:val="21"/>
              </w:rPr>
            </w:pPr>
            <w:r>
              <w:rPr>
                <w:rFonts w:hint="eastAsia"/>
                <w:sz w:val="21"/>
                <w:szCs w:val="21"/>
              </w:rPr>
              <w:t>1.70E-01</w:t>
            </w:r>
          </w:p>
        </w:tc>
        <w:tc>
          <w:tcPr>
            <w:tcW w:w="1134" w:type="dxa"/>
            <w:noWrap/>
            <w:vAlign w:val="center"/>
          </w:tcPr>
          <w:p w14:paraId="78C73764">
            <w:pPr>
              <w:wordWrap w:val="0"/>
              <w:spacing w:line="240" w:lineRule="auto"/>
              <w:jc w:val="center"/>
              <w:rPr>
                <w:rFonts w:cs="Times New Roman"/>
                <w:sz w:val="21"/>
                <w:szCs w:val="21"/>
              </w:rPr>
            </w:pPr>
            <w:r>
              <w:rPr>
                <w:rFonts w:hint="eastAsia"/>
                <w:sz w:val="21"/>
                <w:szCs w:val="21"/>
              </w:rPr>
              <w:t>1.00E+02</w:t>
            </w:r>
          </w:p>
        </w:tc>
        <w:tc>
          <w:tcPr>
            <w:tcW w:w="709" w:type="dxa"/>
            <w:noWrap/>
            <w:vAlign w:val="center"/>
          </w:tcPr>
          <w:p w14:paraId="0DA4F164">
            <w:pPr>
              <w:wordWrap w:val="0"/>
              <w:spacing w:line="240" w:lineRule="auto"/>
              <w:jc w:val="center"/>
              <w:rPr>
                <w:rFonts w:cs="Times New Roman"/>
                <w:sz w:val="21"/>
                <w:szCs w:val="21"/>
              </w:rPr>
            </w:pPr>
            <w:r>
              <w:rPr>
                <w:rFonts w:hint="eastAsia"/>
                <w:sz w:val="21"/>
                <w:szCs w:val="21"/>
              </w:rPr>
              <w:t>0.17</w:t>
            </w:r>
          </w:p>
        </w:tc>
        <w:tc>
          <w:tcPr>
            <w:tcW w:w="709" w:type="dxa"/>
            <w:noWrap/>
            <w:vAlign w:val="center"/>
          </w:tcPr>
          <w:p w14:paraId="0BCD38C3">
            <w:pPr>
              <w:wordWrap w:val="0"/>
              <w:spacing w:line="240" w:lineRule="auto"/>
              <w:jc w:val="center"/>
              <w:rPr>
                <w:rFonts w:cs="Times New Roman"/>
                <w:sz w:val="21"/>
                <w:szCs w:val="21"/>
              </w:rPr>
            </w:pPr>
            <w:r>
              <w:rPr>
                <w:rFonts w:hint="eastAsia"/>
                <w:sz w:val="21"/>
                <w:szCs w:val="21"/>
              </w:rPr>
              <w:t>达标</w:t>
            </w:r>
          </w:p>
        </w:tc>
      </w:tr>
      <w:tr w14:paraId="3F777E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26" w:type="dxa"/>
            <w:vMerge w:val="restart"/>
            <w:vAlign w:val="center"/>
          </w:tcPr>
          <w:p w14:paraId="40B50A85">
            <w:pPr>
              <w:wordWrap w:val="0"/>
              <w:spacing w:line="240" w:lineRule="auto"/>
              <w:jc w:val="center"/>
              <w:rPr>
                <w:rFonts w:cs="Times New Roman"/>
                <w:sz w:val="21"/>
                <w:szCs w:val="21"/>
              </w:rPr>
            </w:pPr>
            <w:r>
              <w:rPr>
                <w:rFonts w:hint="eastAsia" w:cs="Times New Roman"/>
                <w:sz w:val="21"/>
                <w:szCs w:val="21"/>
              </w:rPr>
              <w:t>5</w:t>
            </w:r>
          </w:p>
        </w:tc>
        <w:tc>
          <w:tcPr>
            <w:tcW w:w="846" w:type="dxa"/>
            <w:vMerge w:val="restart"/>
            <w:noWrap/>
            <w:vAlign w:val="center"/>
          </w:tcPr>
          <w:p w14:paraId="7C6170AC">
            <w:pPr>
              <w:wordWrap w:val="0"/>
              <w:spacing w:line="240" w:lineRule="auto"/>
              <w:jc w:val="center"/>
              <w:rPr>
                <w:rFonts w:cs="Times New Roman"/>
                <w:sz w:val="21"/>
                <w:szCs w:val="21"/>
              </w:rPr>
            </w:pPr>
            <w:r>
              <w:rPr>
                <w:rFonts w:hint="eastAsia" w:cs="Times New Roman"/>
                <w:kern w:val="0"/>
                <w:sz w:val="21"/>
                <w:szCs w:val="21"/>
                <w14:ligatures w14:val="none"/>
              </w:rPr>
              <w:t>大柏村</w:t>
            </w:r>
          </w:p>
        </w:tc>
        <w:tc>
          <w:tcPr>
            <w:tcW w:w="851" w:type="dxa"/>
            <w:noWrap/>
            <w:vAlign w:val="center"/>
          </w:tcPr>
          <w:p w14:paraId="412C66F4">
            <w:pPr>
              <w:wordWrap w:val="0"/>
              <w:spacing w:line="240" w:lineRule="auto"/>
              <w:jc w:val="center"/>
              <w:rPr>
                <w:rFonts w:cs="Times New Roman"/>
                <w:sz w:val="21"/>
                <w:szCs w:val="21"/>
              </w:rPr>
            </w:pPr>
            <w:r>
              <w:rPr>
                <w:rFonts w:cs="Times New Roman"/>
                <w:kern w:val="0"/>
                <w:sz w:val="21"/>
                <w:szCs w:val="21"/>
                <w14:ligatures w14:val="none"/>
              </w:rPr>
              <w:t>小时值</w:t>
            </w:r>
          </w:p>
        </w:tc>
        <w:tc>
          <w:tcPr>
            <w:tcW w:w="1134" w:type="dxa"/>
            <w:noWrap/>
            <w:vAlign w:val="center"/>
          </w:tcPr>
          <w:p w14:paraId="5F766AD7">
            <w:pPr>
              <w:wordWrap w:val="0"/>
              <w:spacing w:line="240" w:lineRule="auto"/>
              <w:jc w:val="center"/>
              <w:rPr>
                <w:rFonts w:cs="Times New Roman"/>
                <w:sz w:val="21"/>
                <w:szCs w:val="21"/>
              </w:rPr>
            </w:pPr>
            <w:r>
              <w:rPr>
                <w:rFonts w:hint="eastAsia"/>
                <w:sz w:val="21"/>
                <w:szCs w:val="21"/>
              </w:rPr>
              <w:t>1.27E+00</w:t>
            </w:r>
          </w:p>
        </w:tc>
        <w:tc>
          <w:tcPr>
            <w:tcW w:w="1133" w:type="dxa"/>
            <w:noWrap/>
            <w:vAlign w:val="center"/>
          </w:tcPr>
          <w:p w14:paraId="5CEDAFE4">
            <w:pPr>
              <w:wordWrap w:val="0"/>
              <w:spacing w:line="240" w:lineRule="auto"/>
              <w:jc w:val="center"/>
              <w:rPr>
                <w:rFonts w:cs="Times New Roman"/>
                <w:sz w:val="21"/>
                <w:szCs w:val="21"/>
              </w:rPr>
            </w:pPr>
            <w:r>
              <w:rPr>
                <w:rFonts w:hint="eastAsia"/>
                <w:sz w:val="21"/>
                <w:szCs w:val="21"/>
              </w:rPr>
              <w:t>23061401</w:t>
            </w:r>
          </w:p>
        </w:tc>
        <w:tc>
          <w:tcPr>
            <w:tcW w:w="1134" w:type="dxa"/>
            <w:noWrap/>
            <w:vAlign w:val="center"/>
          </w:tcPr>
          <w:p w14:paraId="2581AC59">
            <w:pPr>
              <w:wordWrap w:val="0"/>
              <w:spacing w:line="240" w:lineRule="auto"/>
              <w:jc w:val="center"/>
              <w:rPr>
                <w:rFonts w:cs="Times New Roman"/>
                <w:sz w:val="21"/>
                <w:szCs w:val="21"/>
              </w:rPr>
            </w:pPr>
            <w:r>
              <w:rPr>
                <w:rFonts w:hint="eastAsia"/>
                <w:sz w:val="21"/>
                <w:szCs w:val="21"/>
              </w:rPr>
              <w:t>0.00E+00</w:t>
            </w:r>
          </w:p>
        </w:tc>
        <w:tc>
          <w:tcPr>
            <w:tcW w:w="1134" w:type="dxa"/>
            <w:noWrap/>
            <w:vAlign w:val="center"/>
          </w:tcPr>
          <w:p w14:paraId="7ABDA919">
            <w:pPr>
              <w:wordWrap w:val="0"/>
              <w:spacing w:line="240" w:lineRule="auto"/>
              <w:jc w:val="center"/>
              <w:rPr>
                <w:rFonts w:cs="Times New Roman"/>
                <w:sz w:val="21"/>
                <w:szCs w:val="21"/>
              </w:rPr>
            </w:pPr>
            <w:r>
              <w:rPr>
                <w:rFonts w:hint="eastAsia"/>
                <w:sz w:val="21"/>
                <w:szCs w:val="21"/>
              </w:rPr>
              <w:t>1.27E+00</w:t>
            </w:r>
          </w:p>
        </w:tc>
        <w:tc>
          <w:tcPr>
            <w:tcW w:w="1134" w:type="dxa"/>
            <w:noWrap/>
            <w:vAlign w:val="center"/>
          </w:tcPr>
          <w:p w14:paraId="590D0AF5">
            <w:pPr>
              <w:wordWrap w:val="0"/>
              <w:spacing w:line="240" w:lineRule="auto"/>
              <w:jc w:val="center"/>
              <w:rPr>
                <w:rFonts w:cs="Times New Roman"/>
                <w:sz w:val="21"/>
                <w:szCs w:val="21"/>
              </w:rPr>
            </w:pPr>
            <w:r>
              <w:rPr>
                <w:rFonts w:hint="eastAsia"/>
                <w:sz w:val="21"/>
                <w:szCs w:val="21"/>
              </w:rPr>
              <w:t>3.00E+02</w:t>
            </w:r>
          </w:p>
        </w:tc>
        <w:tc>
          <w:tcPr>
            <w:tcW w:w="709" w:type="dxa"/>
            <w:noWrap/>
            <w:vAlign w:val="center"/>
          </w:tcPr>
          <w:p w14:paraId="646A41FA">
            <w:pPr>
              <w:wordWrap w:val="0"/>
              <w:spacing w:line="240" w:lineRule="auto"/>
              <w:jc w:val="center"/>
              <w:rPr>
                <w:rFonts w:cs="Times New Roman"/>
                <w:sz w:val="21"/>
                <w:szCs w:val="21"/>
              </w:rPr>
            </w:pPr>
            <w:r>
              <w:rPr>
                <w:rFonts w:hint="eastAsia"/>
                <w:sz w:val="21"/>
                <w:szCs w:val="21"/>
              </w:rPr>
              <w:t>0.42</w:t>
            </w:r>
          </w:p>
        </w:tc>
        <w:tc>
          <w:tcPr>
            <w:tcW w:w="709" w:type="dxa"/>
            <w:noWrap/>
            <w:vAlign w:val="center"/>
          </w:tcPr>
          <w:p w14:paraId="5B720004">
            <w:pPr>
              <w:wordWrap w:val="0"/>
              <w:spacing w:line="240" w:lineRule="auto"/>
              <w:jc w:val="center"/>
              <w:rPr>
                <w:rFonts w:cs="Times New Roman"/>
                <w:sz w:val="21"/>
                <w:szCs w:val="21"/>
              </w:rPr>
            </w:pPr>
            <w:r>
              <w:rPr>
                <w:rFonts w:hint="eastAsia"/>
                <w:sz w:val="21"/>
                <w:szCs w:val="21"/>
              </w:rPr>
              <w:t>达标</w:t>
            </w:r>
          </w:p>
        </w:tc>
      </w:tr>
      <w:tr w14:paraId="4D6950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26" w:type="dxa"/>
            <w:vMerge w:val="continue"/>
            <w:vAlign w:val="center"/>
          </w:tcPr>
          <w:p w14:paraId="663842C7">
            <w:pPr>
              <w:wordWrap w:val="0"/>
              <w:spacing w:line="240" w:lineRule="auto"/>
              <w:jc w:val="center"/>
              <w:rPr>
                <w:rFonts w:cs="Times New Roman"/>
                <w:sz w:val="21"/>
                <w:szCs w:val="21"/>
              </w:rPr>
            </w:pPr>
          </w:p>
        </w:tc>
        <w:tc>
          <w:tcPr>
            <w:tcW w:w="846" w:type="dxa"/>
            <w:vMerge w:val="continue"/>
            <w:noWrap/>
            <w:vAlign w:val="center"/>
          </w:tcPr>
          <w:p w14:paraId="1766A995">
            <w:pPr>
              <w:wordWrap w:val="0"/>
              <w:spacing w:line="240" w:lineRule="auto"/>
              <w:jc w:val="center"/>
              <w:rPr>
                <w:rFonts w:cs="Times New Roman"/>
                <w:sz w:val="21"/>
                <w:szCs w:val="21"/>
              </w:rPr>
            </w:pPr>
          </w:p>
        </w:tc>
        <w:tc>
          <w:tcPr>
            <w:tcW w:w="851" w:type="dxa"/>
            <w:noWrap/>
            <w:vAlign w:val="center"/>
          </w:tcPr>
          <w:p w14:paraId="58847213">
            <w:pPr>
              <w:wordWrap w:val="0"/>
              <w:spacing w:line="240" w:lineRule="auto"/>
              <w:jc w:val="center"/>
              <w:rPr>
                <w:rFonts w:cs="Times New Roman"/>
                <w:sz w:val="21"/>
                <w:szCs w:val="21"/>
              </w:rPr>
            </w:pPr>
            <w:r>
              <w:rPr>
                <w:rFonts w:cs="Times New Roman"/>
                <w:kern w:val="0"/>
                <w:sz w:val="21"/>
                <w:szCs w:val="21"/>
                <w14:ligatures w14:val="none"/>
              </w:rPr>
              <w:t>日均值</w:t>
            </w:r>
          </w:p>
        </w:tc>
        <w:tc>
          <w:tcPr>
            <w:tcW w:w="1134" w:type="dxa"/>
            <w:noWrap/>
            <w:vAlign w:val="center"/>
          </w:tcPr>
          <w:p w14:paraId="6C191E8A">
            <w:pPr>
              <w:wordWrap w:val="0"/>
              <w:spacing w:line="240" w:lineRule="auto"/>
              <w:jc w:val="center"/>
              <w:rPr>
                <w:rFonts w:cs="Times New Roman"/>
                <w:sz w:val="21"/>
                <w:szCs w:val="21"/>
              </w:rPr>
            </w:pPr>
            <w:r>
              <w:rPr>
                <w:rFonts w:hint="eastAsia"/>
                <w:sz w:val="21"/>
                <w:szCs w:val="21"/>
              </w:rPr>
              <w:t>9.57E-02</w:t>
            </w:r>
          </w:p>
        </w:tc>
        <w:tc>
          <w:tcPr>
            <w:tcW w:w="1133" w:type="dxa"/>
            <w:noWrap/>
            <w:vAlign w:val="center"/>
          </w:tcPr>
          <w:p w14:paraId="1AB57398">
            <w:pPr>
              <w:wordWrap w:val="0"/>
              <w:spacing w:line="240" w:lineRule="auto"/>
              <w:jc w:val="center"/>
              <w:rPr>
                <w:rFonts w:cs="Times New Roman"/>
                <w:sz w:val="21"/>
                <w:szCs w:val="21"/>
              </w:rPr>
            </w:pPr>
            <w:r>
              <w:rPr>
                <w:rFonts w:hint="eastAsia"/>
                <w:sz w:val="21"/>
                <w:szCs w:val="21"/>
              </w:rPr>
              <w:t>230308</w:t>
            </w:r>
          </w:p>
        </w:tc>
        <w:tc>
          <w:tcPr>
            <w:tcW w:w="1134" w:type="dxa"/>
            <w:noWrap/>
            <w:vAlign w:val="center"/>
          </w:tcPr>
          <w:p w14:paraId="3E205194">
            <w:pPr>
              <w:wordWrap w:val="0"/>
              <w:spacing w:line="240" w:lineRule="auto"/>
              <w:jc w:val="center"/>
              <w:rPr>
                <w:rFonts w:cs="Times New Roman"/>
                <w:sz w:val="21"/>
                <w:szCs w:val="21"/>
              </w:rPr>
            </w:pPr>
            <w:r>
              <w:rPr>
                <w:rFonts w:hint="eastAsia"/>
                <w:sz w:val="21"/>
                <w:szCs w:val="21"/>
              </w:rPr>
              <w:t>0.00E+00</w:t>
            </w:r>
          </w:p>
        </w:tc>
        <w:tc>
          <w:tcPr>
            <w:tcW w:w="1134" w:type="dxa"/>
            <w:noWrap/>
            <w:vAlign w:val="center"/>
          </w:tcPr>
          <w:p w14:paraId="78E67FEA">
            <w:pPr>
              <w:wordWrap w:val="0"/>
              <w:spacing w:line="240" w:lineRule="auto"/>
              <w:jc w:val="center"/>
              <w:rPr>
                <w:rFonts w:cs="Times New Roman"/>
                <w:sz w:val="21"/>
                <w:szCs w:val="21"/>
              </w:rPr>
            </w:pPr>
            <w:r>
              <w:rPr>
                <w:rFonts w:hint="eastAsia"/>
                <w:sz w:val="21"/>
                <w:szCs w:val="21"/>
              </w:rPr>
              <w:t>9.57E-02</w:t>
            </w:r>
          </w:p>
        </w:tc>
        <w:tc>
          <w:tcPr>
            <w:tcW w:w="1134" w:type="dxa"/>
            <w:noWrap/>
            <w:vAlign w:val="center"/>
          </w:tcPr>
          <w:p w14:paraId="3DC63C74">
            <w:pPr>
              <w:wordWrap w:val="0"/>
              <w:spacing w:line="240" w:lineRule="auto"/>
              <w:jc w:val="center"/>
              <w:rPr>
                <w:rFonts w:cs="Times New Roman"/>
                <w:sz w:val="21"/>
                <w:szCs w:val="21"/>
              </w:rPr>
            </w:pPr>
            <w:r>
              <w:rPr>
                <w:rFonts w:hint="eastAsia"/>
                <w:sz w:val="21"/>
                <w:szCs w:val="21"/>
              </w:rPr>
              <w:t>1.00E+02</w:t>
            </w:r>
          </w:p>
        </w:tc>
        <w:tc>
          <w:tcPr>
            <w:tcW w:w="709" w:type="dxa"/>
            <w:noWrap/>
            <w:vAlign w:val="center"/>
          </w:tcPr>
          <w:p w14:paraId="7909FF23">
            <w:pPr>
              <w:wordWrap w:val="0"/>
              <w:spacing w:line="240" w:lineRule="auto"/>
              <w:jc w:val="center"/>
              <w:rPr>
                <w:rFonts w:cs="Times New Roman"/>
                <w:sz w:val="21"/>
                <w:szCs w:val="21"/>
              </w:rPr>
            </w:pPr>
            <w:r>
              <w:rPr>
                <w:rFonts w:hint="eastAsia"/>
                <w:sz w:val="21"/>
                <w:szCs w:val="21"/>
              </w:rPr>
              <w:t>0.1</w:t>
            </w:r>
          </w:p>
        </w:tc>
        <w:tc>
          <w:tcPr>
            <w:tcW w:w="709" w:type="dxa"/>
            <w:noWrap/>
            <w:vAlign w:val="center"/>
          </w:tcPr>
          <w:p w14:paraId="0F8DC91F">
            <w:pPr>
              <w:wordWrap w:val="0"/>
              <w:spacing w:line="240" w:lineRule="auto"/>
              <w:jc w:val="center"/>
              <w:rPr>
                <w:rFonts w:cs="Times New Roman"/>
                <w:sz w:val="21"/>
                <w:szCs w:val="21"/>
              </w:rPr>
            </w:pPr>
            <w:r>
              <w:rPr>
                <w:rFonts w:hint="eastAsia"/>
                <w:sz w:val="21"/>
                <w:szCs w:val="21"/>
              </w:rPr>
              <w:t>达标</w:t>
            </w:r>
          </w:p>
        </w:tc>
      </w:tr>
      <w:tr w14:paraId="7A8E85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26" w:type="dxa"/>
            <w:vMerge w:val="restart"/>
            <w:vAlign w:val="center"/>
          </w:tcPr>
          <w:p w14:paraId="5C4F8393">
            <w:pPr>
              <w:wordWrap w:val="0"/>
              <w:spacing w:line="240" w:lineRule="auto"/>
              <w:jc w:val="center"/>
              <w:rPr>
                <w:rFonts w:cs="Times New Roman"/>
                <w:sz w:val="21"/>
                <w:szCs w:val="21"/>
              </w:rPr>
            </w:pPr>
            <w:r>
              <w:rPr>
                <w:rFonts w:hint="eastAsia" w:cs="Times New Roman"/>
                <w:sz w:val="21"/>
                <w:szCs w:val="21"/>
              </w:rPr>
              <w:t>6</w:t>
            </w:r>
          </w:p>
        </w:tc>
        <w:tc>
          <w:tcPr>
            <w:tcW w:w="846" w:type="dxa"/>
            <w:vMerge w:val="restart"/>
            <w:noWrap/>
            <w:vAlign w:val="center"/>
          </w:tcPr>
          <w:p w14:paraId="71778A12">
            <w:pPr>
              <w:wordWrap w:val="0"/>
              <w:spacing w:line="240" w:lineRule="auto"/>
              <w:jc w:val="center"/>
              <w:rPr>
                <w:rFonts w:cs="Times New Roman"/>
                <w:sz w:val="21"/>
                <w:szCs w:val="21"/>
              </w:rPr>
            </w:pPr>
            <w:r>
              <w:rPr>
                <w:rFonts w:hint="eastAsia" w:cs="Times New Roman"/>
                <w:kern w:val="0"/>
                <w:sz w:val="21"/>
                <w:szCs w:val="21"/>
                <w14:ligatures w14:val="none"/>
              </w:rPr>
              <w:t>曹杨家</w:t>
            </w:r>
          </w:p>
        </w:tc>
        <w:tc>
          <w:tcPr>
            <w:tcW w:w="851" w:type="dxa"/>
            <w:noWrap/>
            <w:vAlign w:val="center"/>
          </w:tcPr>
          <w:p w14:paraId="11F8D56B">
            <w:pPr>
              <w:wordWrap w:val="0"/>
              <w:spacing w:line="240" w:lineRule="auto"/>
              <w:jc w:val="center"/>
              <w:rPr>
                <w:rFonts w:cs="Times New Roman"/>
                <w:sz w:val="21"/>
                <w:szCs w:val="21"/>
              </w:rPr>
            </w:pPr>
            <w:r>
              <w:rPr>
                <w:rFonts w:cs="Times New Roman"/>
                <w:kern w:val="0"/>
                <w:sz w:val="21"/>
                <w:szCs w:val="21"/>
                <w14:ligatures w14:val="none"/>
              </w:rPr>
              <w:t>小时值</w:t>
            </w:r>
          </w:p>
        </w:tc>
        <w:tc>
          <w:tcPr>
            <w:tcW w:w="1134" w:type="dxa"/>
            <w:noWrap/>
            <w:vAlign w:val="center"/>
          </w:tcPr>
          <w:p w14:paraId="12202D89">
            <w:pPr>
              <w:wordWrap w:val="0"/>
              <w:spacing w:line="240" w:lineRule="auto"/>
              <w:jc w:val="center"/>
              <w:rPr>
                <w:rFonts w:cs="Times New Roman"/>
                <w:sz w:val="21"/>
                <w:szCs w:val="21"/>
              </w:rPr>
            </w:pPr>
            <w:r>
              <w:rPr>
                <w:rFonts w:hint="eastAsia"/>
                <w:sz w:val="21"/>
                <w:szCs w:val="21"/>
              </w:rPr>
              <w:t>9.40E-01</w:t>
            </w:r>
          </w:p>
        </w:tc>
        <w:tc>
          <w:tcPr>
            <w:tcW w:w="1133" w:type="dxa"/>
            <w:noWrap/>
            <w:vAlign w:val="center"/>
          </w:tcPr>
          <w:p w14:paraId="777F9511">
            <w:pPr>
              <w:wordWrap w:val="0"/>
              <w:spacing w:line="240" w:lineRule="auto"/>
              <w:jc w:val="center"/>
              <w:rPr>
                <w:rFonts w:cs="Times New Roman"/>
                <w:sz w:val="21"/>
                <w:szCs w:val="21"/>
              </w:rPr>
            </w:pPr>
            <w:r>
              <w:rPr>
                <w:rFonts w:hint="eastAsia"/>
                <w:sz w:val="21"/>
                <w:szCs w:val="21"/>
              </w:rPr>
              <w:t>23092702</w:t>
            </w:r>
          </w:p>
        </w:tc>
        <w:tc>
          <w:tcPr>
            <w:tcW w:w="1134" w:type="dxa"/>
            <w:noWrap/>
            <w:vAlign w:val="center"/>
          </w:tcPr>
          <w:p w14:paraId="7486A522">
            <w:pPr>
              <w:wordWrap w:val="0"/>
              <w:spacing w:line="240" w:lineRule="auto"/>
              <w:jc w:val="center"/>
              <w:rPr>
                <w:rFonts w:cs="Times New Roman"/>
                <w:sz w:val="21"/>
                <w:szCs w:val="21"/>
              </w:rPr>
            </w:pPr>
            <w:r>
              <w:rPr>
                <w:rFonts w:hint="eastAsia"/>
                <w:sz w:val="21"/>
                <w:szCs w:val="21"/>
              </w:rPr>
              <w:t>0.00E+00</w:t>
            </w:r>
          </w:p>
        </w:tc>
        <w:tc>
          <w:tcPr>
            <w:tcW w:w="1134" w:type="dxa"/>
            <w:noWrap/>
            <w:vAlign w:val="center"/>
          </w:tcPr>
          <w:p w14:paraId="6C7A0235">
            <w:pPr>
              <w:wordWrap w:val="0"/>
              <w:spacing w:line="240" w:lineRule="auto"/>
              <w:jc w:val="center"/>
              <w:rPr>
                <w:rFonts w:cs="Times New Roman"/>
                <w:sz w:val="21"/>
                <w:szCs w:val="21"/>
              </w:rPr>
            </w:pPr>
            <w:r>
              <w:rPr>
                <w:rFonts w:hint="eastAsia"/>
                <w:sz w:val="21"/>
                <w:szCs w:val="21"/>
              </w:rPr>
              <w:t>9.40E-01</w:t>
            </w:r>
          </w:p>
        </w:tc>
        <w:tc>
          <w:tcPr>
            <w:tcW w:w="1134" w:type="dxa"/>
            <w:noWrap/>
            <w:vAlign w:val="center"/>
          </w:tcPr>
          <w:p w14:paraId="1FB3AB02">
            <w:pPr>
              <w:wordWrap w:val="0"/>
              <w:spacing w:line="240" w:lineRule="auto"/>
              <w:jc w:val="center"/>
              <w:rPr>
                <w:rFonts w:cs="Times New Roman"/>
                <w:sz w:val="21"/>
                <w:szCs w:val="21"/>
              </w:rPr>
            </w:pPr>
            <w:r>
              <w:rPr>
                <w:rFonts w:hint="eastAsia"/>
                <w:sz w:val="21"/>
                <w:szCs w:val="21"/>
              </w:rPr>
              <w:t>3.00E+02</w:t>
            </w:r>
          </w:p>
        </w:tc>
        <w:tc>
          <w:tcPr>
            <w:tcW w:w="709" w:type="dxa"/>
            <w:noWrap/>
            <w:vAlign w:val="center"/>
          </w:tcPr>
          <w:p w14:paraId="4AB43A07">
            <w:pPr>
              <w:wordWrap w:val="0"/>
              <w:spacing w:line="240" w:lineRule="auto"/>
              <w:jc w:val="center"/>
              <w:rPr>
                <w:rFonts w:cs="Times New Roman"/>
                <w:sz w:val="21"/>
                <w:szCs w:val="21"/>
              </w:rPr>
            </w:pPr>
            <w:r>
              <w:rPr>
                <w:rFonts w:hint="eastAsia"/>
                <w:sz w:val="21"/>
                <w:szCs w:val="21"/>
              </w:rPr>
              <w:t>0.31</w:t>
            </w:r>
          </w:p>
        </w:tc>
        <w:tc>
          <w:tcPr>
            <w:tcW w:w="709" w:type="dxa"/>
            <w:noWrap/>
            <w:vAlign w:val="center"/>
          </w:tcPr>
          <w:p w14:paraId="7F22F143">
            <w:pPr>
              <w:wordWrap w:val="0"/>
              <w:spacing w:line="240" w:lineRule="auto"/>
              <w:jc w:val="center"/>
              <w:rPr>
                <w:rFonts w:cs="Times New Roman"/>
                <w:sz w:val="21"/>
                <w:szCs w:val="21"/>
              </w:rPr>
            </w:pPr>
            <w:r>
              <w:rPr>
                <w:rFonts w:hint="eastAsia"/>
                <w:sz w:val="21"/>
                <w:szCs w:val="21"/>
              </w:rPr>
              <w:t>达标</w:t>
            </w:r>
          </w:p>
        </w:tc>
      </w:tr>
      <w:tr w14:paraId="57166B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26" w:type="dxa"/>
            <w:vMerge w:val="continue"/>
            <w:vAlign w:val="center"/>
          </w:tcPr>
          <w:p w14:paraId="48A6A048">
            <w:pPr>
              <w:wordWrap w:val="0"/>
              <w:spacing w:line="240" w:lineRule="auto"/>
              <w:jc w:val="center"/>
              <w:rPr>
                <w:rFonts w:cs="Times New Roman"/>
                <w:sz w:val="21"/>
                <w:szCs w:val="21"/>
              </w:rPr>
            </w:pPr>
          </w:p>
        </w:tc>
        <w:tc>
          <w:tcPr>
            <w:tcW w:w="846" w:type="dxa"/>
            <w:vMerge w:val="continue"/>
            <w:noWrap/>
            <w:vAlign w:val="center"/>
          </w:tcPr>
          <w:p w14:paraId="3B5FC233">
            <w:pPr>
              <w:wordWrap w:val="0"/>
              <w:spacing w:line="240" w:lineRule="auto"/>
              <w:jc w:val="center"/>
              <w:rPr>
                <w:rFonts w:cs="Times New Roman"/>
                <w:sz w:val="21"/>
                <w:szCs w:val="21"/>
              </w:rPr>
            </w:pPr>
          </w:p>
        </w:tc>
        <w:tc>
          <w:tcPr>
            <w:tcW w:w="851" w:type="dxa"/>
            <w:noWrap/>
            <w:vAlign w:val="center"/>
          </w:tcPr>
          <w:p w14:paraId="63A9E269">
            <w:pPr>
              <w:wordWrap w:val="0"/>
              <w:spacing w:line="240" w:lineRule="auto"/>
              <w:jc w:val="center"/>
              <w:rPr>
                <w:rFonts w:cs="Times New Roman"/>
                <w:sz w:val="21"/>
                <w:szCs w:val="21"/>
              </w:rPr>
            </w:pPr>
            <w:r>
              <w:rPr>
                <w:rFonts w:cs="Times New Roman"/>
                <w:kern w:val="0"/>
                <w:sz w:val="21"/>
                <w:szCs w:val="21"/>
                <w14:ligatures w14:val="none"/>
              </w:rPr>
              <w:t>日均值</w:t>
            </w:r>
          </w:p>
        </w:tc>
        <w:tc>
          <w:tcPr>
            <w:tcW w:w="1134" w:type="dxa"/>
            <w:noWrap/>
            <w:vAlign w:val="center"/>
          </w:tcPr>
          <w:p w14:paraId="075FC5B7">
            <w:pPr>
              <w:wordWrap w:val="0"/>
              <w:spacing w:line="240" w:lineRule="auto"/>
              <w:jc w:val="center"/>
              <w:rPr>
                <w:rFonts w:cs="Times New Roman"/>
                <w:sz w:val="21"/>
                <w:szCs w:val="21"/>
              </w:rPr>
            </w:pPr>
            <w:r>
              <w:rPr>
                <w:rFonts w:hint="eastAsia"/>
                <w:sz w:val="21"/>
                <w:szCs w:val="21"/>
              </w:rPr>
              <w:t>7.34E-02</w:t>
            </w:r>
          </w:p>
        </w:tc>
        <w:tc>
          <w:tcPr>
            <w:tcW w:w="1133" w:type="dxa"/>
            <w:noWrap/>
            <w:vAlign w:val="center"/>
          </w:tcPr>
          <w:p w14:paraId="0030C2B8">
            <w:pPr>
              <w:wordWrap w:val="0"/>
              <w:spacing w:line="240" w:lineRule="auto"/>
              <w:jc w:val="center"/>
              <w:rPr>
                <w:rFonts w:cs="Times New Roman"/>
                <w:sz w:val="21"/>
                <w:szCs w:val="21"/>
              </w:rPr>
            </w:pPr>
            <w:r>
              <w:rPr>
                <w:rFonts w:hint="eastAsia"/>
                <w:sz w:val="21"/>
                <w:szCs w:val="21"/>
              </w:rPr>
              <w:t>231013</w:t>
            </w:r>
          </w:p>
        </w:tc>
        <w:tc>
          <w:tcPr>
            <w:tcW w:w="1134" w:type="dxa"/>
            <w:noWrap/>
            <w:vAlign w:val="center"/>
          </w:tcPr>
          <w:p w14:paraId="69AABA06">
            <w:pPr>
              <w:wordWrap w:val="0"/>
              <w:spacing w:line="240" w:lineRule="auto"/>
              <w:jc w:val="center"/>
              <w:rPr>
                <w:rFonts w:cs="Times New Roman"/>
                <w:sz w:val="21"/>
                <w:szCs w:val="21"/>
              </w:rPr>
            </w:pPr>
            <w:r>
              <w:rPr>
                <w:rFonts w:hint="eastAsia"/>
                <w:sz w:val="21"/>
                <w:szCs w:val="21"/>
              </w:rPr>
              <w:t>0.00E+00</w:t>
            </w:r>
          </w:p>
        </w:tc>
        <w:tc>
          <w:tcPr>
            <w:tcW w:w="1134" w:type="dxa"/>
            <w:noWrap/>
            <w:vAlign w:val="center"/>
          </w:tcPr>
          <w:p w14:paraId="55AF6653">
            <w:pPr>
              <w:wordWrap w:val="0"/>
              <w:spacing w:line="240" w:lineRule="auto"/>
              <w:jc w:val="center"/>
              <w:rPr>
                <w:rFonts w:cs="Times New Roman"/>
                <w:sz w:val="21"/>
                <w:szCs w:val="21"/>
              </w:rPr>
            </w:pPr>
            <w:r>
              <w:rPr>
                <w:rFonts w:hint="eastAsia"/>
                <w:sz w:val="21"/>
                <w:szCs w:val="21"/>
              </w:rPr>
              <w:t>7.34E-02</w:t>
            </w:r>
          </w:p>
        </w:tc>
        <w:tc>
          <w:tcPr>
            <w:tcW w:w="1134" w:type="dxa"/>
            <w:noWrap/>
            <w:vAlign w:val="center"/>
          </w:tcPr>
          <w:p w14:paraId="44F566D4">
            <w:pPr>
              <w:wordWrap w:val="0"/>
              <w:spacing w:line="240" w:lineRule="auto"/>
              <w:jc w:val="center"/>
              <w:rPr>
                <w:rFonts w:cs="Times New Roman"/>
                <w:sz w:val="21"/>
                <w:szCs w:val="21"/>
              </w:rPr>
            </w:pPr>
            <w:r>
              <w:rPr>
                <w:rFonts w:hint="eastAsia"/>
                <w:sz w:val="21"/>
                <w:szCs w:val="21"/>
              </w:rPr>
              <w:t>1.00E+02</w:t>
            </w:r>
          </w:p>
        </w:tc>
        <w:tc>
          <w:tcPr>
            <w:tcW w:w="709" w:type="dxa"/>
            <w:noWrap/>
            <w:vAlign w:val="center"/>
          </w:tcPr>
          <w:p w14:paraId="1576A357">
            <w:pPr>
              <w:wordWrap w:val="0"/>
              <w:spacing w:line="240" w:lineRule="auto"/>
              <w:jc w:val="center"/>
              <w:rPr>
                <w:rFonts w:cs="Times New Roman"/>
                <w:sz w:val="21"/>
                <w:szCs w:val="21"/>
              </w:rPr>
            </w:pPr>
            <w:r>
              <w:rPr>
                <w:rFonts w:hint="eastAsia"/>
                <w:sz w:val="21"/>
                <w:szCs w:val="21"/>
              </w:rPr>
              <w:t>0.07</w:t>
            </w:r>
          </w:p>
        </w:tc>
        <w:tc>
          <w:tcPr>
            <w:tcW w:w="709" w:type="dxa"/>
            <w:noWrap/>
            <w:vAlign w:val="center"/>
          </w:tcPr>
          <w:p w14:paraId="03650FA9">
            <w:pPr>
              <w:wordWrap w:val="0"/>
              <w:spacing w:line="240" w:lineRule="auto"/>
              <w:jc w:val="center"/>
              <w:rPr>
                <w:rFonts w:cs="Times New Roman"/>
                <w:sz w:val="21"/>
                <w:szCs w:val="21"/>
              </w:rPr>
            </w:pPr>
            <w:r>
              <w:rPr>
                <w:rFonts w:hint="eastAsia"/>
                <w:sz w:val="21"/>
                <w:szCs w:val="21"/>
              </w:rPr>
              <w:t>达标</w:t>
            </w:r>
          </w:p>
        </w:tc>
      </w:tr>
      <w:tr w14:paraId="2FABBE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26" w:type="dxa"/>
            <w:vMerge w:val="restart"/>
            <w:vAlign w:val="center"/>
          </w:tcPr>
          <w:p w14:paraId="122EEA21">
            <w:pPr>
              <w:wordWrap w:val="0"/>
              <w:spacing w:line="240" w:lineRule="auto"/>
              <w:jc w:val="center"/>
              <w:rPr>
                <w:rFonts w:cs="Times New Roman"/>
                <w:sz w:val="21"/>
                <w:szCs w:val="21"/>
              </w:rPr>
            </w:pPr>
            <w:r>
              <w:rPr>
                <w:rFonts w:hint="eastAsia" w:cs="Times New Roman"/>
                <w:sz w:val="21"/>
                <w:szCs w:val="21"/>
              </w:rPr>
              <w:t>7</w:t>
            </w:r>
          </w:p>
        </w:tc>
        <w:tc>
          <w:tcPr>
            <w:tcW w:w="846" w:type="dxa"/>
            <w:vMerge w:val="restart"/>
            <w:noWrap/>
            <w:vAlign w:val="center"/>
          </w:tcPr>
          <w:p w14:paraId="2CD8B2A1">
            <w:pPr>
              <w:wordWrap w:val="0"/>
              <w:spacing w:line="240" w:lineRule="auto"/>
              <w:jc w:val="center"/>
              <w:rPr>
                <w:rFonts w:cs="Times New Roman"/>
                <w:sz w:val="21"/>
                <w:szCs w:val="21"/>
              </w:rPr>
            </w:pPr>
            <w:r>
              <w:rPr>
                <w:rFonts w:hint="eastAsia" w:cs="Times New Roman"/>
                <w:kern w:val="0"/>
                <w:sz w:val="21"/>
                <w:szCs w:val="21"/>
                <w14:ligatures w14:val="none"/>
              </w:rPr>
              <w:t>夏家湖</w:t>
            </w:r>
          </w:p>
        </w:tc>
        <w:tc>
          <w:tcPr>
            <w:tcW w:w="851" w:type="dxa"/>
            <w:noWrap/>
            <w:vAlign w:val="center"/>
          </w:tcPr>
          <w:p w14:paraId="10499EA3">
            <w:pPr>
              <w:wordWrap w:val="0"/>
              <w:spacing w:line="240" w:lineRule="auto"/>
              <w:jc w:val="center"/>
              <w:rPr>
                <w:rFonts w:cs="Times New Roman"/>
                <w:sz w:val="21"/>
                <w:szCs w:val="21"/>
              </w:rPr>
            </w:pPr>
            <w:r>
              <w:rPr>
                <w:rFonts w:cs="Times New Roman"/>
                <w:kern w:val="0"/>
                <w:sz w:val="21"/>
                <w:szCs w:val="21"/>
                <w14:ligatures w14:val="none"/>
              </w:rPr>
              <w:t>小时值</w:t>
            </w:r>
          </w:p>
        </w:tc>
        <w:tc>
          <w:tcPr>
            <w:tcW w:w="1134" w:type="dxa"/>
            <w:noWrap/>
            <w:vAlign w:val="center"/>
          </w:tcPr>
          <w:p w14:paraId="73578603">
            <w:pPr>
              <w:wordWrap w:val="0"/>
              <w:spacing w:line="240" w:lineRule="auto"/>
              <w:jc w:val="center"/>
              <w:rPr>
                <w:rFonts w:cs="Times New Roman"/>
                <w:sz w:val="21"/>
                <w:szCs w:val="21"/>
              </w:rPr>
            </w:pPr>
            <w:r>
              <w:rPr>
                <w:rFonts w:hint="eastAsia"/>
                <w:sz w:val="21"/>
                <w:szCs w:val="21"/>
              </w:rPr>
              <w:t>8.91E-01</w:t>
            </w:r>
          </w:p>
        </w:tc>
        <w:tc>
          <w:tcPr>
            <w:tcW w:w="1133" w:type="dxa"/>
            <w:noWrap/>
            <w:vAlign w:val="center"/>
          </w:tcPr>
          <w:p w14:paraId="7FBD2722">
            <w:pPr>
              <w:wordWrap w:val="0"/>
              <w:spacing w:line="240" w:lineRule="auto"/>
              <w:jc w:val="center"/>
              <w:rPr>
                <w:rFonts w:cs="Times New Roman"/>
                <w:sz w:val="21"/>
                <w:szCs w:val="21"/>
              </w:rPr>
            </w:pPr>
            <w:r>
              <w:rPr>
                <w:rFonts w:hint="eastAsia"/>
                <w:sz w:val="21"/>
                <w:szCs w:val="21"/>
              </w:rPr>
              <w:t>23092720</w:t>
            </w:r>
          </w:p>
        </w:tc>
        <w:tc>
          <w:tcPr>
            <w:tcW w:w="1134" w:type="dxa"/>
            <w:noWrap/>
            <w:vAlign w:val="center"/>
          </w:tcPr>
          <w:p w14:paraId="169341E9">
            <w:pPr>
              <w:wordWrap w:val="0"/>
              <w:spacing w:line="240" w:lineRule="auto"/>
              <w:jc w:val="center"/>
              <w:rPr>
                <w:rFonts w:cs="Times New Roman"/>
                <w:sz w:val="21"/>
                <w:szCs w:val="21"/>
              </w:rPr>
            </w:pPr>
            <w:r>
              <w:rPr>
                <w:rFonts w:hint="eastAsia"/>
                <w:sz w:val="21"/>
                <w:szCs w:val="21"/>
              </w:rPr>
              <w:t>0.00E+00</w:t>
            </w:r>
          </w:p>
        </w:tc>
        <w:tc>
          <w:tcPr>
            <w:tcW w:w="1134" w:type="dxa"/>
            <w:noWrap/>
            <w:vAlign w:val="center"/>
          </w:tcPr>
          <w:p w14:paraId="2A54332E">
            <w:pPr>
              <w:wordWrap w:val="0"/>
              <w:spacing w:line="240" w:lineRule="auto"/>
              <w:jc w:val="center"/>
              <w:rPr>
                <w:rFonts w:cs="Times New Roman"/>
                <w:sz w:val="21"/>
                <w:szCs w:val="21"/>
              </w:rPr>
            </w:pPr>
            <w:r>
              <w:rPr>
                <w:rFonts w:hint="eastAsia"/>
                <w:sz w:val="21"/>
                <w:szCs w:val="21"/>
              </w:rPr>
              <w:t>8.91E-01</w:t>
            </w:r>
          </w:p>
        </w:tc>
        <w:tc>
          <w:tcPr>
            <w:tcW w:w="1134" w:type="dxa"/>
            <w:noWrap/>
            <w:vAlign w:val="center"/>
          </w:tcPr>
          <w:p w14:paraId="7B3C33A4">
            <w:pPr>
              <w:wordWrap w:val="0"/>
              <w:spacing w:line="240" w:lineRule="auto"/>
              <w:jc w:val="center"/>
              <w:rPr>
                <w:rFonts w:cs="Times New Roman"/>
                <w:sz w:val="21"/>
                <w:szCs w:val="21"/>
              </w:rPr>
            </w:pPr>
            <w:r>
              <w:rPr>
                <w:rFonts w:hint="eastAsia"/>
                <w:sz w:val="21"/>
                <w:szCs w:val="21"/>
              </w:rPr>
              <w:t>3.00E+02</w:t>
            </w:r>
          </w:p>
        </w:tc>
        <w:tc>
          <w:tcPr>
            <w:tcW w:w="709" w:type="dxa"/>
            <w:noWrap/>
            <w:vAlign w:val="center"/>
          </w:tcPr>
          <w:p w14:paraId="4F9602CE">
            <w:pPr>
              <w:wordWrap w:val="0"/>
              <w:spacing w:line="240" w:lineRule="auto"/>
              <w:jc w:val="center"/>
              <w:rPr>
                <w:rFonts w:cs="Times New Roman"/>
                <w:sz w:val="21"/>
                <w:szCs w:val="21"/>
              </w:rPr>
            </w:pPr>
            <w:r>
              <w:rPr>
                <w:rFonts w:hint="eastAsia"/>
                <w:sz w:val="21"/>
                <w:szCs w:val="21"/>
              </w:rPr>
              <w:t>0.3</w:t>
            </w:r>
          </w:p>
        </w:tc>
        <w:tc>
          <w:tcPr>
            <w:tcW w:w="709" w:type="dxa"/>
            <w:noWrap/>
            <w:vAlign w:val="center"/>
          </w:tcPr>
          <w:p w14:paraId="48F665C9">
            <w:pPr>
              <w:wordWrap w:val="0"/>
              <w:spacing w:line="240" w:lineRule="auto"/>
              <w:jc w:val="center"/>
              <w:rPr>
                <w:rFonts w:cs="Times New Roman"/>
                <w:sz w:val="21"/>
                <w:szCs w:val="21"/>
              </w:rPr>
            </w:pPr>
            <w:r>
              <w:rPr>
                <w:rFonts w:hint="eastAsia"/>
                <w:sz w:val="21"/>
                <w:szCs w:val="21"/>
              </w:rPr>
              <w:t>达标</w:t>
            </w:r>
          </w:p>
        </w:tc>
      </w:tr>
      <w:tr w14:paraId="7DF621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26" w:type="dxa"/>
            <w:vMerge w:val="continue"/>
            <w:vAlign w:val="center"/>
          </w:tcPr>
          <w:p w14:paraId="6AC22A82">
            <w:pPr>
              <w:wordWrap w:val="0"/>
              <w:spacing w:line="240" w:lineRule="auto"/>
              <w:jc w:val="center"/>
              <w:rPr>
                <w:rFonts w:cs="Times New Roman"/>
                <w:sz w:val="21"/>
                <w:szCs w:val="21"/>
              </w:rPr>
            </w:pPr>
          </w:p>
        </w:tc>
        <w:tc>
          <w:tcPr>
            <w:tcW w:w="846" w:type="dxa"/>
            <w:vMerge w:val="continue"/>
            <w:noWrap/>
            <w:vAlign w:val="center"/>
          </w:tcPr>
          <w:p w14:paraId="35E5BE1B">
            <w:pPr>
              <w:wordWrap w:val="0"/>
              <w:spacing w:line="240" w:lineRule="auto"/>
              <w:jc w:val="center"/>
              <w:rPr>
                <w:rFonts w:cs="Times New Roman"/>
                <w:sz w:val="21"/>
                <w:szCs w:val="21"/>
              </w:rPr>
            </w:pPr>
          </w:p>
        </w:tc>
        <w:tc>
          <w:tcPr>
            <w:tcW w:w="851" w:type="dxa"/>
            <w:noWrap/>
            <w:vAlign w:val="center"/>
          </w:tcPr>
          <w:p w14:paraId="49BAD578">
            <w:pPr>
              <w:wordWrap w:val="0"/>
              <w:spacing w:line="240" w:lineRule="auto"/>
              <w:jc w:val="center"/>
              <w:rPr>
                <w:rFonts w:cs="Times New Roman"/>
                <w:sz w:val="21"/>
                <w:szCs w:val="21"/>
              </w:rPr>
            </w:pPr>
            <w:r>
              <w:rPr>
                <w:rFonts w:cs="Times New Roman"/>
                <w:kern w:val="0"/>
                <w:sz w:val="21"/>
                <w:szCs w:val="21"/>
                <w14:ligatures w14:val="none"/>
              </w:rPr>
              <w:t>日均值</w:t>
            </w:r>
          </w:p>
        </w:tc>
        <w:tc>
          <w:tcPr>
            <w:tcW w:w="1134" w:type="dxa"/>
            <w:noWrap/>
            <w:vAlign w:val="center"/>
          </w:tcPr>
          <w:p w14:paraId="1F9C3742">
            <w:pPr>
              <w:wordWrap w:val="0"/>
              <w:spacing w:line="240" w:lineRule="auto"/>
              <w:jc w:val="center"/>
              <w:rPr>
                <w:rFonts w:cs="Times New Roman"/>
                <w:sz w:val="21"/>
                <w:szCs w:val="21"/>
              </w:rPr>
            </w:pPr>
            <w:r>
              <w:rPr>
                <w:rFonts w:hint="eastAsia"/>
                <w:sz w:val="21"/>
                <w:szCs w:val="21"/>
              </w:rPr>
              <w:t>8.57E-02</w:t>
            </w:r>
          </w:p>
        </w:tc>
        <w:tc>
          <w:tcPr>
            <w:tcW w:w="1133" w:type="dxa"/>
            <w:noWrap/>
            <w:vAlign w:val="center"/>
          </w:tcPr>
          <w:p w14:paraId="4700B093">
            <w:pPr>
              <w:wordWrap w:val="0"/>
              <w:spacing w:line="240" w:lineRule="auto"/>
              <w:jc w:val="center"/>
              <w:rPr>
                <w:rFonts w:cs="Times New Roman"/>
                <w:sz w:val="21"/>
                <w:szCs w:val="21"/>
              </w:rPr>
            </w:pPr>
            <w:r>
              <w:rPr>
                <w:rFonts w:hint="eastAsia"/>
                <w:sz w:val="21"/>
                <w:szCs w:val="21"/>
              </w:rPr>
              <w:t>230927</w:t>
            </w:r>
          </w:p>
        </w:tc>
        <w:tc>
          <w:tcPr>
            <w:tcW w:w="1134" w:type="dxa"/>
            <w:noWrap/>
            <w:vAlign w:val="center"/>
          </w:tcPr>
          <w:p w14:paraId="0082C9D4">
            <w:pPr>
              <w:wordWrap w:val="0"/>
              <w:spacing w:line="240" w:lineRule="auto"/>
              <w:jc w:val="center"/>
              <w:rPr>
                <w:rFonts w:cs="Times New Roman"/>
                <w:sz w:val="21"/>
                <w:szCs w:val="21"/>
              </w:rPr>
            </w:pPr>
            <w:r>
              <w:rPr>
                <w:rFonts w:hint="eastAsia"/>
                <w:sz w:val="21"/>
                <w:szCs w:val="21"/>
              </w:rPr>
              <w:t>0.00E+00</w:t>
            </w:r>
          </w:p>
        </w:tc>
        <w:tc>
          <w:tcPr>
            <w:tcW w:w="1134" w:type="dxa"/>
            <w:noWrap/>
            <w:vAlign w:val="center"/>
          </w:tcPr>
          <w:p w14:paraId="34857600">
            <w:pPr>
              <w:wordWrap w:val="0"/>
              <w:spacing w:line="240" w:lineRule="auto"/>
              <w:jc w:val="center"/>
              <w:rPr>
                <w:rFonts w:cs="Times New Roman"/>
                <w:sz w:val="21"/>
                <w:szCs w:val="21"/>
              </w:rPr>
            </w:pPr>
            <w:r>
              <w:rPr>
                <w:rFonts w:hint="eastAsia"/>
                <w:sz w:val="21"/>
                <w:szCs w:val="21"/>
              </w:rPr>
              <w:t>8.57E-02</w:t>
            </w:r>
          </w:p>
        </w:tc>
        <w:tc>
          <w:tcPr>
            <w:tcW w:w="1134" w:type="dxa"/>
            <w:noWrap/>
            <w:vAlign w:val="center"/>
          </w:tcPr>
          <w:p w14:paraId="7F0CA960">
            <w:pPr>
              <w:wordWrap w:val="0"/>
              <w:spacing w:line="240" w:lineRule="auto"/>
              <w:jc w:val="center"/>
              <w:rPr>
                <w:rFonts w:cs="Times New Roman"/>
                <w:sz w:val="21"/>
                <w:szCs w:val="21"/>
              </w:rPr>
            </w:pPr>
            <w:r>
              <w:rPr>
                <w:rFonts w:hint="eastAsia"/>
                <w:sz w:val="21"/>
                <w:szCs w:val="21"/>
              </w:rPr>
              <w:t>1.00E+02</w:t>
            </w:r>
          </w:p>
        </w:tc>
        <w:tc>
          <w:tcPr>
            <w:tcW w:w="709" w:type="dxa"/>
            <w:noWrap/>
            <w:vAlign w:val="center"/>
          </w:tcPr>
          <w:p w14:paraId="23CAC93E">
            <w:pPr>
              <w:wordWrap w:val="0"/>
              <w:spacing w:line="240" w:lineRule="auto"/>
              <w:jc w:val="center"/>
              <w:rPr>
                <w:rFonts w:cs="Times New Roman"/>
                <w:sz w:val="21"/>
                <w:szCs w:val="21"/>
              </w:rPr>
            </w:pPr>
            <w:r>
              <w:rPr>
                <w:rFonts w:hint="eastAsia"/>
                <w:sz w:val="21"/>
                <w:szCs w:val="21"/>
              </w:rPr>
              <w:t>0.09</w:t>
            </w:r>
          </w:p>
        </w:tc>
        <w:tc>
          <w:tcPr>
            <w:tcW w:w="709" w:type="dxa"/>
            <w:noWrap/>
            <w:vAlign w:val="center"/>
          </w:tcPr>
          <w:p w14:paraId="3597070C">
            <w:pPr>
              <w:wordWrap w:val="0"/>
              <w:spacing w:line="240" w:lineRule="auto"/>
              <w:jc w:val="center"/>
              <w:rPr>
                <w:rFonts w:cs="Times New Roman"/>
                <w:sz w:val="21"/>
                <w:szCs w:val="21"/>
              </w:rPr>
            </w:pPr>
            <w:r>
              <w:rPr>
                <w:rFonts w:hint="eastAsia"/>
                <w:sz w:val="21"/>
                <w:szCs w:val="21"/>
              </w:rPr>
              <w:t>达标</w:t>
            </w:r>
          </w:p>
        </w:tc>
      </w:tr>
      <w:tr w14:paraId="2ACCD4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26" w:type="dxa"/>
            <w:vMerge w:val="restart"/>
            <w:vAlign w:val="center"/>
          </w:tcPr>
          <w:p w14:paraId="66773DF8">
            <w:pPr>
              <w:wordWrap w:val="0"/>
              <w:spacing w:line="240" w:lineRule="auto"/>
              <w:jc w:val="center"/>
              <w:rPr>
                <w:rFonts w:cs="Times New Roman"/>
                <w:sz w:val="21"/>
                <w:szCs w:val="21"/>
              </w:rPr>
            </w:pPr>
            <w:r>
              <w:rPr>
                <w:rFonts w:hint="eastAsia" w:cs="Times New Roman"/>
                <w:sz w:val="21"/>
                <w:szCs w:val="21"/>
              </w:rPr>
              <w:t>8</w:t>
            </w:r>
          </w:p>
        </w:tc>
        <w:tc>
          <w:tcPr>
            <w:tcW w:w="846" w:type="dxa"/>
            <w:vMerge w:val="restart"/>
            <w:noWrap/>
            <w:vAlign w:val="center"/>
          </w:tcPr>
          <w:p w14:paraId="079135A1">
            <w:pPr>
              <w:wordWrap w:val="0"/>
              <w:spacing w:line="240" w:lineRule="auto"/>
              <w:jc w:val="center"/>
              <w:rPr>
                <w:rFonts w:cs="Times New Roman"/>
                <w:sz w:val="21"/>
                <w:szCs w:val="21"/>
              </w:rPr>
            </w:pPr>
            <w:r>
              <w:rPr>
                <w:rFonts w:hint="eastAsia" w:cs="Times New Roman"/>
                <w:kern w:val="0"/>
                <w:sz w:val="21"/>
                <w:szCs w:val="21"/>
                <w14:ligatures w14:val="none"/>
              </w:rPr>
              <w:t>二铺</w:t>
            </w:r>
          </w:p>
        </w:tc>
        <w:tc>
          <w:tcPr>
            <w:tcW w:w="851" w:type="dxa"/>
            <w:noWrap/>
            <w:vAlign w:val="center"/>
          </w:tcPr>
          <w:p w14:paraId="68C30F7E">
            <w:pPr>
              <w:wordWrap w:val="0"/>
              <w:spacing w:line="240" w:lineRule="auto"/>
              <w:jc w:val="center"/>
              <w:rPr>
                <w:rFonts w:cs="Times New Roman"/>
                <w:sz w:val="21"/>
                <w:szCs w:val="21"/>
              </w:rPr>
            </w:pPr>
            <w:r>
              <w:rPr>
                <w:rFonts w:cs="Times New Roman"/>
                <w:kern w:val="0"/>
                <w:sz w:val="21"/>
                <w:szCs w:val="21"/>
                <w14:ligatures w14:val="none"/>
              </w:rPr>
              <w:t>小时值</w:t>
            </w:r>
          </w:p>
        </w:tc>
        <w:tc>
          <w:tcPr>
            <w:tcW w:w="1134" w:type="dxa"/>
            <w:noWrap/>
            <w:vAlign w:val="center"/>
          </w:tcPr>
          <w:p w14:paraId="1E3642D8">
            <w:pPr>
              <w:wordWrap w:val="0"/>
              <w:spacing w:line="240" w:lineRule="auto"/>
              <w:jc w:val="center"/>
              <w:rPr>
                <w:rFonts w:cs="Times New Roman"/>
                <w:sz w:val="21"/>
                <w:szCs w:val="21"/>
              </w:rPr>
            </w:pPr>
            <w:r>
              <w:rPr>
                <w:rFonts w:hint="eastAsia"/>
                <w:sz w:val="21"/>
                <w:szCs w:val="21"/>
              </w:rPr>
              <w:t>9.72E-01</w:t>
            </w:r>
          </w:p>
        </w:tc>
        <w:tc>
          <w:tcPr>
            <w:tcW w:w="1133" w:type="dxa"/>
            <w:noWrap/>
            <w:vAlign w:val="center"/>
          </w:tcPr>
          <w:p w14:paraId="22AF2BCB">
            <w:pPr>
              <w:wordWrap w:val="0"/>
              <w:spacing w:line="240" w:lineRule="auto"/>
              <w:jc w:val="center"/>
              <w:rPr>
                <w:rFonts w:cs="Times New Roman"/>
                <w:sz w:val="21"/>
                <w:szCs w:val="21"/>
              </w:rPr>
            </w:pPr>
            <w:r>
              <w:rPr>
                <w:rFonts w:hint="eastAsia"/>
                <w:sz w:val="21"/>
                <w:szCs w:val="21"/>
              </w:rPr>
              <w:t>23052301</w:t>
            </w:r>
          </w:p>
        </w:tc>
        <w:tc>
          <w:tcPr>
            <w:tcW w:w="1134" w:type="dxa"/>
            <w:noWrap/>
            <w:vAlign w:val="center"/>
          </w:tcPr>
          <w:p w14:paraId="352FBDA0">
            <w:pPr>
              <w:wordWrap w:val="0"/>
              <w:spacing w:line="240" w:lineRule="auto"/>
              <w:jc w:val="center"/>
              <w:rPr>
                <w:rFonts w:cs="Times New Roman"/>
                <w:sz w:val="21"/>
                <w:szCs w:val="21"/>
              </w:rPr>
            </w:pPr>
            <w:r>
              <w:rPr>
                <w:rFonts w:hint="eastAsia"/>
                <w:sz w:val="21"/>
                <w:szCs w:val="21"/>
              </w:rPr>
              <w:t>0.00E+00</w:t>
            </w:r>
          </w:p>
        </w:tc>
        <w:tc>
          <w:tcPr>
            <w:tcW w:w="1134" w:type="dxa"/>
            <w:noWrap/>
            <w:vAlign w:val="center"/>
          </w:tcPr>
          <w:p w14:paraId="038A636B">
            <w:pPr>
              <w:wordWrap w:val="0"/>
              <w:spacing w:line="240" w:lineRule="auto"/>
              <w:jc w:val="center"/>
              <w:rPr>
                <w:rFonts w:cs="Times New Roman"/>
                <w:sz w:val="21"/>
                <w:szCs w:val="21"/>
              </w:rPr>
            </w:pPr>
            <w:r>
              <w:rPr>
                <w:rFonts w:hint="eastAsia"/>
                <w:sz w:val="21"/>
                <w:szCs w:val="21"/>
              </w:rPr>
              <w:t>9.72E-01</w:t>
            </w:r>
          </w:p>
        </w:tc>
        <w:tc>
          <w:tcPr>
            <w:tcW w:w="1134" w:type="dxa"/>
            <w:noWrap/>
            <w:vAlign w:val="center"/>
          </w:tcPr>
          <w:p w14:paraId="6F14AD80">
            <w:pPr>
              <w:wordWrap w:val="0"/>
              <w:spacing w:line="240" w:lineRule="auto"/>
              <w:jc w:val="center"/>
              <w:rPr>
                <w:rFonts w:cs="Times New Roman"/>
                <w:sz w:val="21"/>
                <w:szCs w:val="21"/>
              </w:rPr>
            </w:pPr>
            <w:r>
              <w:rPr>
                <w:rFonts w:hint="eastAsia"/>
                <w:sz w:val="21"/>
                <w:szCs w:val="21"/>
              </w:rPr>
              <w:t>3.00E+02</w:t>
            </w:r>
          </w:p>
        </w:tc>
        <w:tc>
          <w:tcPr>
            <w:tcW w:w="709" w:type="dxa"/>
            <w:noWrap/>
            <w:vAlign w:val="center"/>
          </w:tcPr>
          <w:p w14:paraId="0750F918">
            <w:pPr>
              <w:wordWrap w:val="0"/>
              <w:spacing w:line="240" w:lineRule="auto"/>
              <w:jc w:val="center"/>
              <w:rPr>
                <w:rFonts w:cs="Times New Roman"/>
                <w:sz w:val="21"/>
                <w:szCs w:val="21"/>
              </w:rPr>
            </w:pPr>
            <w:r>
              <w:rPr>
                <w:rFonts w:hint="eastAsia"/>
                <w:sz w:val="21"/>
                <w:szCs w:val="21"/>
              </w:rPr>
              <w:t>0.32</w:t>
            </w:r>
          </w:p>
        </w:tc>
        <w:tc>
          <w:tcPr>
            <w:tcW w:w="709" w:type="dxa"/>
            <w:noWrap/>
            <w:vAlign w:val="center"/>
          </w:tcPr>
          <w:p w14:paraId="4870CF48">
            <w:pPr>
              <w:wordWrap w:val="0"/>
              <w:spacing w:line="240" w:lineRule="auto"/>
              <w:jc w:val="center"/>
              <w:rPr>
                <w:rFonts w:cs="Times New Roman"/>
                <w:sz w:val="21"/>
                <w:szCs w:val="21"/>
              </w:rPr>
            </w:pPr>
            <w:r>
              <w:rPr>
                <w:rFonts w:hint="eastAsia"/>
                <w:sz w:val="21"/>
                <w:szCs w:val="21"/>
              </w:rPr>
              <w:t>达标</w:t>
            </w:r>
          </w:p>
        </w:tc>
      </w:tr>
      <w:tr w14:paraId="37C456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26" w:type="dxa"/>
            <w:vMerge w:val="continue"/>
            <w:vAlign w:val="center"/>
          </w:tcPr>
          <w:p w14:paraId="0F01EA94">
            <w:pPr>
              <w:wordWrap w:val="0"/>
              <w:spacing w:line="240" w:lineRule="auto"/>
              <w:jc w:val="center"/>
              <w:rPr>
                <w:rFonts w:cs="Times New Roman"/>
                <w:sz w:val="21"/>
                <w:szCs w:val="21"/>
              </w:rPr>
            </w:pPr>
          </w:p>
        </w:tc>
        <w:tc>
          <w:tcPr>
            <w:tcW w:w="846" w:type="dxa"/>
            <w:vMerge w:val="continue"/>
            <w:noWrap/>
            <w:vAlign w:val="center"/>
          </w:tcPr>
          <w:p w14:paraId="5790F7B2">
            <w:pPr>
              <w:wordWrap w:val="0"/>
              <w:spacing w:line="240" w:lineRule="auto"/>
              <w:jc w:val="center"/>
              <w:rPr>
                <w:rFonts w:cs="Times New Roman"/>
                <w:sz w:val="21"/>
                <w:szCs w:val="21"/>
              </w:rPr>
            </w:pPr>
          </w:p>
        </w:tc>
        <w:tc>
          <w:tcPr>
            <w:tcW w:w="851" w:type="dxa"/>
            <w:noWrap/>
            <w:vAlign w:val="center"/>
          </w:tcPr>
          <w:p w14:paraId="6F7B4FE3">
            <w:pPr>
              <w:wordWrap w:val="0"/>
              <w:spacing w:line="240" w:lineRule="auto"/>
              <w:jc w:val="center"/>
              <w:rPr>
                <w:rFonts w:cs="Times New Roman"/>
                <w:sz w:val="21"/>
                <w:szCs w:val="21"/>
              </w:rPr>
            </w:pPr>
            <w:r>
              <w:rPr>
                <w:rFonts w:cs="Times New Roman"/>
                <w:kern w:val="0"/>
                <w:sz w:val="21"/>
                <w:szCs w:val="21"/>
                <w14:ligatures w14:val="none"/>
              </w:rPr>
              <w:t>日均值</w:t>
            </w:r>
          </w:p>
        </w:tc>
        <w:tc>
          <w:tcPr>
            <w:tcW w:w="1134" w:type="dxa"/>
            <w:noWrap/>
            <w:vAlign w:val="center"/>
          </w:tcPr>
          <w:p w14:paraId="68B4AAB4">
            <w:pPr>
              <w:wordWrap w:val="0"/>
              <w:spacing w:line="240" w:lineRule="auto"/>
              <w:jc w:val="center"/>
              <w:rPr>
                <w:rFonts w:cs="Times New Roman"/>
                <w:sz w:val="21"/>
                <w:szCs w:val="21"/>
              </w:rPr>
            </w:pPr>
            <w:r>
              <w:rPr>
                <w:rFonts w:hint="eastAsia"/>
                <w:sz w:val="21"/>
                <w:szCs w:val="21"/>
              </w:rPr>
              <w:t>5.26E-02</w:t>
            </w:r>
          </w:p>
        </w:tc>
        <w:tc>
          <w:tcPr>
            <w:tcW w:w="1133" w:type="dxa"/>
            <w:noWrap/>
            <w:vAlign w:val="center"/>
          </w:tcPr>
          <w:p w14:paraId="7605A350">
            <w:pPr>
              <w:wordWrap w:val="0"/>
              <w:spacing w:line="240" w:lineRule="auto"/>
              <w:jc w:val="center"/>
              <w:rPr>
                <w:rFonts w:cs="Times New Roman"/>
                <w:sz w:val="21"/>
                <w:szCs w:val="21"/>
              </w:rPr>
            </w:pPr>
            <w:r>
              <w:rPr>
                <w:rFonts w:hint="eastAsia"/>
                <w:sz w:val="21"/>
                <w:szCs w:val="21"/>
              </w:rPr>
              <w:t>231224</w:t>
            </w:r>
          </w:p>
        </w:tc>
        <w:tc>
          <w:tcPr>
            <w:tcW w:w="1134" w:type="dxa"/>
            <w:noWrap/>
            <w:vAlign w:val="center"/>
          </w:tcPr>
          <w:p w14:paraId="515731CB">
            <w:pPr>
              <w:wordWrap w:val="0"/>
              <w:spacing w:line="240" w:lineRule="auto"/>
              <w:jc w:val="center"/>
              <w:rPr>
                <w:rFonts w:cs="Times New Roman"/>
                <w:sz w:val="21"/>
                <w:szCs w:val="21"/>
              </w:rPr>
            </w:pPr>
            <w:r>
              <w:rPr>
                <w:rFonts w:hint="eastAsia"/>
                <w:sz w:val="21"/>
                <w:szCs w:val="21"/>
              </w:rPr>
              <w:t>0.00E+00</w:t>
            </w:r>
          </w:p>
        </w:tc>
        <w:tc>
          <w:tcPr>
            <w:tcW w:w="1134" w:type="dxa"/>
            <w:noWrap/>
            <w:vAlign w:val="center"/>
          </w:tcPr>
          <w:p w14:paraId="191E0ACC">
            <w:pPr>
              <w:wordWrap w:val="0"/>
              <w:spacing w:line="240" w:lineRule="auto"/>
              <w:jc w:val="center"/>
              <w:rPr>
                <w:rFonts w:cs="Times New Roman"/>
                <w:sz w:val="21"/>
                <w:szCs w:val="21"/>
              </w:rPr>
            </w:pPr>
            <w:r>
              <w:rPr>
                <w:rFonts w:hint="eastAsia"/>
                <w:sz w:val="21"/>
                <w:szCs w:val="21"/>
              </w:rPr>
              <w:t>5.26E-02</w:t>
            </w:r>
          </w:p>
        </w:tc>
        <w:tc>
          <w:tcPr>
            <w:tcW w:w="1134" w:type="dxa"/>
            <w:noWrap/>
            <w:vAlign w:val="center"/>
          </w:tcPr>
          <w:p w14:paraId="3090E39D">
            <w:pPr>
              <w:wordWrap w:val="0"/>
              <w:spacing w:line="240" w:lineRule="auto"/>
              <w:jc w:val="center"/>
              <w:rPr>
                <w:rFonts w:cs="Times New Roman"/>
                <w:sz w:val="21"/>
                <w:szCs w:val="21"/>
              </w:rPr>
            </w:pPr>
            <w:r>
              <w:rPr>
                <w:rFonts w:hint="eastAsia"/>
                <w:sz w:val="21"/>
                <w:szCs w:val="21"/>
              </w:rPr>
              <w:t>1.00E+02</w:t>
            </w:r>
          </w:p>
        </w:tc>
        <w:tc>
          <w:tcPr>
            <w:tcW w:w="709" w:type="dxa"/>
            <w:noWrap/>
            <w:vAlign w:val="center"/>
          </w:tcPr>
          <w:p w14:paraId="4178DE05">
            <w:pPr>
              <w:wordWrap w:val="0"/>
              <w:spacing w:line="240" w:lineRule="auto"/>
              <w:jc w:val="center"/>
              <w:rPr>
                <w:rFonts w:cs="Times New Roman"/>
                <w:sz w:val="21"/>
                <w:szCs w:val="21"/>
              </w:rPr>
            </w:pPr>
            <w:r>
              <w:rPr>
                <w:rFonts w:hint="eastAsia"/>
                <w:sz w:val="21"/>
                <w:szCs w:val="21"/>
              </w:rPr>
              <w:t>0.05</w:t>
            </w:r>
          </w:p>
        </w:tc>
        <w:tc>
          <w:tcPr>
            <w:tcW w:w="709" w:type="dxa"/>
            <w:noWrap/>
            <w:vAlign w:val="center"/>
          </w:tcPr>
          <w:p w14:paraId="54EA3371">
            <w:pPr>
              <w:wordWrap w:val="0"/>
              <w:spacing w:line="240" w:lineRule="auto"/>
              <w:jc w:val="center"/>
              <w:rPr>
                <w:rFonts w:cs="Times New Roman"/>
                <w:sz w:val="21"/>
                <w:szCs w:val="21"/>
              </w:rPr>
            </w:pPr>
            <w:r>
              <w:rPr>
                <w:rFonts w:hint="eastAsia"/>
                <w:sz w:val="21"/>
                <w:szCs w:val="21"/>
              </w:rPr>
              <w:t>达标</w:t>
            </w:r>
          </w:p>
        </w:tc>
      </w:tr>
      <w:tr w14:paraId="23BEA3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26" w:type="dxa"/>
            <w:vMerge w:val="restart"/>
            <w:vAlign w:val="center"/>
          </w:tcPr>
          <w:p w14:paraId="0242239B">
            <w:pPr>
              <w:wordWrap w:val="0"/>
              <w:spacing w:line="240" w:lineRule="auto"/>
              <w:jc w:val="center"/>
              <w:rPr>
                <w:rFonts w:cs="Times New Roman"/>
                <w:sz w:val="21"/>
                <w:szCs w:val="21"/>
              </w:rPr>
            </w:pPr>
            <w:r>
              <w:rPr>
                <w:rFonts w:hint="eastAsia" w:cs="Times New Roman"/>
                <w:sz w:val="21"/>
                <w:szCs w:val="21"/>
              </w:rPr>
              <w:t>9</w:t>
            </w:r>
          </w:p>
        </w:tc>
        <w:tc>
          <w:tcPr>
            <w:tcW w:w="846" w:type="dxa"/>
            <w:vMerge w:val="restart"/>
            <w:noWrap/>
            <w:vAlign w:val="center"/>
          </w:tcPr>
          <w:p w14:paraId="3E5CA8D5">
            <w:pPr>
              <w:wordWrap w:val="0"/>
              <w:spacing w:line="240" w:lineRule="auto"/>
              <w:jc w:val="center"/>
              <w:rPr>
                <w:rFonts w:cs="Times New Roman"/>
                <w:sz w:val="21"/>
                <w:szCs w:val="21"/>
              </w:rPr>
            </w:pPr>
            <w:r>
              <w:rPr>
                <w:rFonts w:hint="eastAsia" w:cs="Times New Roman"/>
                <w:kern w:val="0"/>
                <w:sz w:val="21"/>
                <w:szCs w:val="21"/>
                <w14:ligatures w14:val="none"/>
              </w:rPr>
              <w:t>于家村</w:t>
            </w:r>
          </w:p>
        </w:tc>
        <w:tc>
          <w:tcPr>
            <w:tcW w:w="851" w:type="dxa"/>
            <w:noWrap/>
            <w:vAlign w:val="center"/>
          </w:tcPr>
          <w:p w14:paraId="03C5BDB7">
            <w:pPr>
              <w:wordWrap w:val="0"/>
              <w:spacing w:line="240" w:lineRule="auto"/>
              <w:jc w:val="center"/>
              <w:rPr>
                <w:rFonts w:cs="Times New Roman"/>
                <w:sz w:val="21"/>
                <w:szCs w:val="21"/>
              </w:rPr>
            </w:pPr>
            <w:r>
              <w:rPr>
                <w:rFonts w:cs="Times New Roman"/>
                <w:kern w:val="0"/>
                <w:sz w:val="21"/>
                <w:szCs w:val="21"/>
                <w14:ligatures w14:val="none"/>
              </w:rPr>
              <w:t>小时值</w:t>
            </w:r>
          </w:p>
        </w:tc>
        <w:tc>
          <w:tcPr>
            <w:tcW w:w="1134" w:type="dxa"/>
            <w:noWrap/>
            <w:vAlign w:val="center"/>
          </w:tcPr>
          <w:p w14:paraId="540BC0CA">
            <w:pPr>
              <w:wordWrap w:val="0"/>
              <w:spacing w:line="240" w:lineRule="auto"/>
              <w:jc w:val="center"/>
              <w:rPr>
                <w:rFonts w:cs="Times New Roman"/>
                <w:sz w:val="21"/>
                <w:szCs w:val="21"/>
              </w:rPr>
            </w:pPr>
            <w:r>
              <w:rPr>
                <w:rFonts w:hint="eastAsia"/>
                <w:sz w:val="21"/>
                <w:szCs w:val="21"/>
              </w:rPr>
              <w:t>1.28E+00</w:t>
            </w:r>
          </w:p>
        </w:tc>
        <w:tc>
          <w:tcPr>
            <w:tcW w:w="1133" w:type="dxa"/>
            <w:noWrap/>
            <w:vAlign w:val="center"/>
          </w:tcPr>
          <w:p w14:paraId="61EFDEC5">
            <w:pPr>
              <w:wordWrap w:val="0"/>
              <w:spacing w:line="240" w:lineRule="auto"/>
              <w:jc w:val="center"/>
              <w:rPr>
                <w:rFonts w:cs="Times New Roman"/>
                <w:sz w:val="21"/>
                <w:szCs w:val="21"/>
              </w:rPr>
            </w:pPr>
            <w:r>
              <w:rPr>
                <w:rFonts w:hint="eastAsia"/>
                <w:sz w:val="21"/>
                <w:szCs w:val="21"/>
              </w:rPr>
              <w:t>23123101</w:t>
            </w:r>
          </w:p>
        </w:tc>
        <w:tc>
          <w:tcPr>
            <w:tcW w:w="1134" w:type="dxa"/>
            <w:noWrap/>
            <w:vAlign w:val="center"/>
          </w:tcPr>
          <w:p w14:paraId="4A422028">
            <w:pPr>
              <w:wordWrap w:val="0"/>
              <w:spacing w:line="240" w:lineRule="auto"/>
              <w:jc w:val="center"/>
              <w:rPr>
                <w:rFonts w:cs="Times New Roman"/>
                <w:sz w:val="21"/>
                <w:szCs w:val="21"/>
              </w:rPr>
            </w:pPr>
            <w:r>
              <w:rPr>
                <w:rFonts w:hint="eastAsia"/>
                <w:sz w:val="21"/>
                <w:szCs w:val="21"/>
              </w:rPr>
              <w:t>0.00E+00</w:t>
            </w:r>
          </w:p>
        </w:tc>
        <w:tc>
          <w:tcPr>
            <w:tcW w:w="1134" w:type="dxa"/>
            <w:noWrap/>
            <w:vAlign w:val="center"/>
          </w:tcPr>
          <w:p w14:paraId="65D86A48">
            <w:pPr>
              <w:wordWrap w:val="0"/>
              <w:spacing w:line="240" w:lineRule="auto"/>
              <w:jc w:val="center"/>
              <w:rPr>
                <w:rFonts w:cs="Times New Roman"/>
                <w:sz w:val="21"/>
                <w:szCs w:val="21"/>
              </w:rPr>
            </w:pPr>
            <w:r>
              <w:rPr>
                <w:rFonts w:hint="eastAsia"/>
                <w:sz w:val="21"/>
                <w:szCs w:val="21"/>
              </w:rPr>
              <w:t>1.28E+00</w:t>
            </w:r>
          </w:p>
        </w:tc>
        <w:tc>
          <w:tcPr>
            <w:tcW w:w="1134" w:type="dxa"/>
            <w:noWrap/>
            <w:vAlign w:val="center"/>
          </w:tcPr>
          <w:p w14:paraId="3A723E7F">
            <w:pPr>
              <w:wordWrap w:val="0"/>
              <w:spacing w:line="240" w:lineRule="auto"/>
              <w:jc w:val="center"/>
              <w:rPr>
                <w:rFonts w:cs="Times New Roman"/>
                <w:sz w:val="21"/>
                <w:szCs w:val="21"/>
              </w:rPr>
            </w:pPr>
            <w:r>
              <w:rPr>
                <w:rFonts w:hint="eastAsia"/>
                <w:sz w:val="21"/>
                <w:szCs w:val="21"/>
              </w:rPr>
              <w:t>3.00E+02</w:t>
            </w:r>
          </w:p>
        </w:tc>
        <w:tc>
          <w:tcPr>
            <w:tcW w:w="709" w:type="dxa"/>
            <w:noWrap/>
            <w:vAlign w:val="center"/>
          </w:tcPr>
          <w:p w14:paraId="4BD46F05">
            <w:pPr>
              <w:wordWrap w:val="0"/>
              <w:spacing w:line="240" w:lineRule="auto"/>
              <w:jc w:val="center"/>
              <w:rPr>
                <w:rFonts w:cs="Times New Roman"/>
                <w:sz w:val="21"/>
                <w:szCs w:val="21"/>
              </w:rPr>
            </w:pPr>
            <w:r>
              <w:rPr>
                <w:rFonts w:hint="eastAsia"/>
                <w:sz w:val="21"/>
                <w:szCs w:val="21"/>
              </w:rPr>
              <w:t>0.43</w:t>
            </w:r>
          </w:p>
        </w:tc>
        <w:tc>
          <w:tcPr>
            <w:tcW w:w="709" w:type="dxa"/>
            <w:noWrap/>
            <w:vAlign w:val="center"/>
          </w:tcPr>
          <w:p w14:paraId="2FB3E756">
            <w:pPr>
              <w:wordWrap w:val="0"/>
              <w:spacing w:line="240" w:lineRule="auto"/>
              <w:jc w:val="center"/>
              <w:rPr>
                <w:rFonts w:cs="Times New Roman"/>
                <w:sz w:val="21"/>
                <w:szCs w:val="21"/>
              </w:rPr>
            </w:pPr>
            <w:r>
              <w:rPr>
                <w:rFonts w:hint="eastAsia"/>
                <w:sz w:val="21"/>
                <w:szCs w:val="21"/>
              </w:rPr>
              <w:t>达标</w:t>
            </w:r>
          </w:p>
        </w:tc>
      </w:tr>
      <w:tr w14:paraId="522953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26" w:type="dxa"/>
            <w:vMerge w:val="continue"/>
            <w:vAlign w:val="center"/>
          </w:tcPr>
          <w:p w14:paraId="63A2068B">
            <w:pPr>
              <w:wordWrap w:val="0"/>
              <w:spacing w:line="240" w:lineRule="auto"/>
              <w:jc w:val="center"/>
              <w:rPr>
                <w:rFonts w:cs="Times New Roman"/>
                <w:sz w:val="21"/>
                <w:szCs w:val="21"/>
              </w:rPr>
            </w:pPr>
          </w:p>
        </w:tc>
        <w:tc>
          <w:tcPr>
            <w:tcW w:w="846" w:type="dxa"/>
            <w:vMerge w:val="continue"/>
            <w:noWrap/>
            <w:vAlign w:val="center"/>
          </w:tcPr>
          <w:p w14:paraId="59E1DC7C">
            <w:pPr>
              <w:wordWrap w:val="0"/>
              <w:spacing w:line="240" w:lineRule="auto"/>
              <w:jc w:val="center"/>
              <w:rPr>
                <w:rFonts w:cs="Times New Roman"/>
                <w:sz w:val="21"/>
                <w:szCs w:val="21"/>
              </w:rPr>
            </w:pPr>
          </w:p>
        </w:tc>
        <w:tc>
          <w:tcPr>
            <w:tcW w:w="851" w:type="dxa"/>
            <w:noWrap/>
            <w:vAlign w:val="center"/>
          </w:tcPr>
          <w:p w14:paraId="48D460A8">
            <w:pPr>
              <w:wordWrap w:val="0"/>
              <w:spacing w:line="240" w:lineRule="auto"/>
              <w:jc w:val="center"/>
              <w:rPr>
                <w:rFonts w:cs="Times New Roman"/>
                <w:sz w:val="21"/>
                <w:szCs w:val="21"/>
              </w:rPr>
            </w:pPr>
            <w:r>
              <w:rPr>
                <w:rFonts w:cs="Times New Roman"/>
                <w:kern w:val="0"/>
                <w:sz w:val="21"/>
                <w:szCs w:val="21"/>
                <w14:ligatures w14:val="none"/>
              </w:rPr>
              <w:t>日均值</w:t>
            </w:r>
          </w:p>
        </w:tc>
        <w:tc>
          <w:tcPr>
            <w:tcW w:w="1134" w:type="dxa"/>
            <w:noWrap/>
            <w:vAlign w:val="center"/>
          </w:tcPr>
          <w:p w14:paraId="168CDE2E">
            <w:pPr>
              <w:wordWrap w:val="0"/>
              <w:spacing w:line="240" w:lineRule="auto"/>
              <w:jc w:val="center"/>
              <w:rPr>
                <w:rFonts w:cs="Times New Roman"/>
                <w:sz w:val="21"/>
                <w:szCs w:val="21"/>
              </w:rPr>
            </w:pPr>
            <w:r>
              <w:rPr>
                <w:rFonts w:hint="eastAsia"/>
                <w:sz w:val="21"/>
                <w:szCs w:val="21"/>
              </w:rPr>
              <w:t>1.46E-01</w:t>
            </w:r>
          </w:p>
        </w:tc>
        <w:tc>
          <w:tcPr>
            <w:tcW w:w="1133" w:type="dxa"/>
            <w:noWrap/>
            <w:vAlign w:val="center"/>
          </w:tcPr>
          <w:p w14:paraId="353459B0">
            <w:pPr>
              <w:wordWrap w:val="0"/>
              <w:spacing w:line="240" w:lineRule="auto"/>
              <w:jc w:val="center"/>
              <w:rPr>
                <w:rFonts w:cs="Times New Roman"/>
                <w:sz w:val="21"/>
                <w:szCs w:val="21"/>
              </w:rPr>
            </w:pPr>
            <w:r>
              <w:rPr>
                <w:rFonts w:hint="eastAsia"/>
                <w:sz w:val="21"/>
                <w:szCs w:val="21"/>
              </w:rPr>
              <w:t>230924</w:t>
            </w:r>
          </w:p>
        </w:tc>
        <w:tc>
          <w:tcPr>
            <w:tcW w:w="1134" w:type="dxa"/>
            <w:noWrap/>
            <w:vAlign w:val="center"/>
          </w:tcPr>
          <w:p w14:paraId="346179A6">
            <w:pPr>
              <w:wordWrap w:val="0"/>
              <w:spacing w:line="240" w:lineRule="auto"/>
              <w:jc w:val="center"/>
              <w:rPr>
                <w:rFonts w:cs="Times New Roman"/>
                <w:sz w:val="21"/>
                <w:szCs w:val="21"/>
              </w:rPr>
            </w:pPr>
            <w:r>
              <w:rPr>
                <w:rFonts w:hint="eastAsia"/>
                <w:sz w:val="21"/>
                <w:szCs w:val="21"/>
              </w:rPr>
              <w:t>0.00E+00</w:t>
            </w:r>
          </w:p>
        </w:tc>
        <w:tc>
          <w:tcPr>
            <w:tcW w:w="1134" w:type="dxa"/>
            <w:noWrap/>
            <w:vAlign w:val="center"/>
          </w:tcPr>
          <w:p w14:paraId="1A849E70">
            <w:pPr>
              <w:wordWrap w:val="0"/>
              <w:spacing w:line="240" w:lineRule="auto"/>
              <w:jc w:val="center"/>
              <w:rPr>
                <w:rFonts w:cs="Times New Roman"/>
                <w:sz w:val="21"/>
                <w:szCs w:val="21"/>
              </w:rPr>
            </w:pPr>
            <w:r>
              <w:rPr>
                <w:rFonts w:hint="eastAsia"/>
                <w:sz w:val="21"/>
                <w:szCs w:val="21"/>
              </w:rPr>
              <w:t>1.46E-01</w:t>
            </w:r>
          </w:p>
        </w:tc>
        <w:tc>
          <w:tcPr>
            <w:tcW w:w="1134" w:type="dxa"/>
            <w:noWrap/>
            <w:vAlign w:val="center"/>
          </w:tcPr>
          <w:p w14:paraId="6CBEECF3">
            <w:pPr>
              <w:wordWrap w:val="0"/>
              <w:spacing w:line="240" w:lineRule="auto"/>
              <w:jc w:val="center"/>
              <w:rPr>
                <w:rFonts w:cs="Times New Roman"/>
                <w:sz w:val="21"/>
                <w:szCs w:val="21"/>
              </w:rPr>
            </w:pPr>
            <w:r>
              <w:rPr>
                <w:rFonts w:hint="eastAsia"/>
                <w:sz w:val="21"/>
                <w:szCs w:val="21"/>
              </w:rPr>
              <w:t>1.00E+02</w:t>
            </w:r>
          </w:p>
        </w:tc>
        <w:tc>
          <w:tcPr>
            <w:tcW w:w="709" w:type="dxa"/>
            <w:noWrap/>
            <w:vAlign w:val="center"/>
          </w:tcPr>
          <w:p w14:paraId="7395244E">
            <w:pPr>
              <w:wordWrap w:val="0"/>
              <w:spacing w:line="240" w:lineRule="auto"/>
              <w:jc w:val="center"/>
              <w:rPr>
                <w:rFonts w:cs="Times New Roman"/>
                <w:sz w:val="21"/>
                <w:szCs w:val="21"/>
              </w:rPr>
            </w:pPr>
            <w:r>
              <w:rPr>
                <w:rFonts w:hint="eastAsia"/>
                <w:sz w:val="21"/>
                <w:szCs w:val="21"/>
              </w:rPr>
              <w:t>0.15</w:t>
            </w:r>
          </w:p>
        </w:tc>
        <w:tc>
          <w:tcPr>
            <w:tcW w:w="709" w:type="dxa"/>
            <w:noWrap/>
            <w:vAlign w:val="center"/>
          </w:tcPr>
          <w:p w14:paraId="3B9EB242">
            <w:pPr>
              <w:wordWrap w:val="0"/>
              <w:spacing w:line="240" w:lineRule="auto"/>
              <w:jc w:val="center"/>
              <w:rPr>
                <w:rFonts w:cs="Times New Roman"/>
                <w:sz w:val="21"/>
                <w:szCs w:val="21"/>
              </w:rPr>
            </w:pPr>
            <w:r>
              <w:rPr>
                <w:rFonts w:hint="eastAsia"/>
                <w:sz w:val="21"/>
                <w:szCs w:val="21"/>
              </w:rPr>
              <w:t>达标</w:t>
            </w:r>
          </w:p>
        </w:tc>
      </w:tr>
      <w:tr w14:paraId="13DC4B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26" w:type="dxa"/>
            <w:vMerge w:val="restart"/>
            <w:vAlign w:val="center"/>
          </w:tcPr>
          <w:p w14:paraId="1672B1C7">
            <w:pPr>
              <w:wordWrap w:val="0"/>
              <w:spacing w:line="240" w:lineRule="auto"/>
              <w:jc w:val="center"/>
              <w:rPr>
                <w:rFonts w:cs="Times New Roman"/>
                <w:sz w:val="21"/>
                <w:szCs w:val="21"/>
              </w:rPr>
            </w:pPr>
            <w:r>
              <w:rPr>
                <w:rFonts w:hint="eastAsia" w:cs="Times New Roman"/>
                <w:sz w:val="21"/>
                <w:szCs w:val="21"/>
              </w:rPr>
              <w:t>10</w:t>
            </w:r>
          </w:p>
        </w:tc>
        <w:tc>
          <w:tcPr>
            <w:tcW w:w="846" w:type="dxa"/>
            <w:vMerge w:val="restart"/>
            <w:noWrap/>
            <w:vAlign w:val="center"/>
          </w:tcPr>
          <w:p w14:paraId="491ADAB6">
            <w:pPr>
              <w:wordWrap w:val="0"/>
              <w:spacing w:line="240" w:lineRule="auto"/>
              <w:jc w:val="center"/>
              <w:rPr>
                <w:rFonts w:cs="Times New Roman"/>
                <w:sz w:val="21"/>
                <w:szCs w:val="21"/>
              </w:rPr>
            </w:pPr>
            <w:r>
              <w:rPr>
                <w:rFonts w:hint="eastAsia" w:cs="Times New Roman"/>
                <w:kern w:val="0"/>
                <w:sz w:val="21"/>
                <w:szCs w:val="21"/>
                <w14:ligatures w14:val="none"/>
              </w:rPr>
              <w:t>陈巷</w:t>
            </w:r>
          </w:p>
        </w:tc>
        <w:tc>
          <w:tcPr>
            <w:tcW w:w="851" w:type="dxa"/>
            <w:noWrap/>
            <w:vAlign w:val="center"/>
          </w:tcPr>
          <w:p w14:paraId="26455388">
            <w:pPr>
              <w:wordWrap w:val="0"/>
              <w:spacing w:line="240" w:lineRule="auto"/>
              <w:jc w:val="center"/>
              <w:rPr>
                <w:rFonts w:cs="Times New Roman"/>
                <w:sz w:val="21"/>
                <w:szCs w:val="21"/>
              </w:rPr>
            </w:pPr>
            <w:r>
              <w:rPr>
                <w:rFonts w:cs="Times New Roman"/>
                <w:kern w:val="0"/>
                <w:sz w:val="21"/>
                <w:szCs w:val="21"/>
                <w14:ligatures w14:val="none"/>
              </w:rPr>
              <w:t>小时值</w:t>
            </w:r>
          </w:p>
        </w:tc>
        <w:tc>
          <w:tcPr>
            <w:tcW w:w="1134" w:type="dxa"/>
            <w:noWrap/>
            <w:vAlign w:val="center"/>
          </w:tcPr>
          <w:p w14:paraId="4CA252F6">
            <w:pPr>
              <w:wordWrap w:val="0"/>
              <w:spacing w:line="240" w:lineRule="auto"/>
              <w:jc w:val="center"/>
              <w:rPr>
                <w:rFonts w:cs="Times New Roman"/>
                <w:sz w:val="21"/>
                <w:szCs w:val="21"/>
              </w:rPr>
            </w:pPr>
            <w:r>
              <w:rPr>
                <w:rFonts w:hint="eastAsia"/>
                <w:sz w:val="21"/>
                <w:szCs w:val="21"/>
              </w:rPr>
              <w:t>1.40E+00</w:t>
            </w:r>
          </w:p>
        </w:tc>
        <w:tc>
          <w:tcPr>
            <w:tcW w:w="1133" w:type="dxa"/>
            <w:noWrap/>
            <w:vAlign w:val="center"/>
          </w:tcPr>
          <w:p w14:paraId="0A5576F2">
            <w:pPr>
              <w:wordWrap w:val="0"/>
              <w:spacing w:line="240" w:lineRule="auto"/>
              <w:jc w:val="center"/>
              <w:rPr>
                <w:rFonts w:cs="Times New Roman"/>
                <w:sz w:val="21"/>
                <w:szCs w:val="21"/>
              </w:rPr>
            </w:pPr>
            <w:r>
              <w:rPr>
                <w:rFonts w:hint="eastAsia"/>
                <w:sz w:val="21"/>
                <w:szCs w:val="21"/>
              </w:rPr>
              <w:t>23022405</w:t>
            </w:r>
          </w:p>
        </w:tc>
        <w:tc>
          <w:tcPr>
            <w:tcW w:w="1134" w:type="dxa"/>
            <w:noWrap/>
            <w:vAlign w:val="center"/>
          </w:tcPr>
          <w:p w14:paraId="0BC0D1A6">
            <w:pPr>
              <w:wordWrap w:val="0"/>
              <w:spacing w:line="240" w:lineRule="auto"/>
              <w:jc w:val="center"/>
              <w:rPr>
                <w:rFonts w:cs="Times New Roman"/>
                <w:sz w:val="21"/>
                <w:szCs w:val="21"/>
              </w:rPr>
            </w:pPr>
            <w:r>
              <w:rPr>
                <w:rFonts w:hint="eastAsia"/>
                <w:sz w:val="21"/>
                <w:szCs w:val="21"/>
              </w:rPr>
              <w:t>0.00E+00</w:t>
            </w:r>
          </w:p>
        </w:tc>
        <w:tc>
          <w:tcPr>
            <w:tcW w:w="1134" w:type="dxa"/>
            <w:noWrap/>
            <w:vAlign w:val="center"/>
          </w:tcPr>
          <w:p w14:paraId="7F377576">
            <w:pPr>
              <w:wordWrap w:val="0"/>
              <w:spacing w:line="240" w:lineRule="auto"/>
              <w:jc w:val="center"/>
              <w:rPr>
                <w:rFonts w:cs="Times New Roman"/>
                <w:sz w:val="21"/>
                <w:szCs w:val="21"/>
              </w:rPr>
            </w:pPr>
            <w:r>
              <w:rPr>
                <w:rFonts w:hint="eastAsia"/>
                <w:sz w:val="21"/>
                <w:szCs w:val="21"/>
              </w:rPr>
              <w:t>1.40E+00</w:t>
            </w:r>
          </w:p>
        </w:tc>
        <w:tc>
          <w:tcPr>
            <w:tcW w:w="1134" w:type="dxa"/>
            <w:noWrap/>
            <w:vAlign w:val="center"/>
          </w:tcPr>
          <w:p w14:paraId="0DA23DDC">
            <w:pPr>
              <w:wordWrap w:val="0"/>
              <w:spacing w:line="240" w:lineRule="auto"/>
              <w:jc w:val="center"/>
              <w:rPr>
                <w:rFonts w:cs="Times New Roman"/>
                <w:sz w:val="21"/>
                <w:szCs w:val="21"/>
              </w:rPr>
            </w:pPr>
            <w:r>
              <w:rPr>
                <w:rFonts w:hint="eastAsia"/>
                <w:sz w:val="21"/>
                <w:szCs w:val="21"/>
              </w:rPr>
              <w:t>3.00E+02</w:t>
            </w:r>
          </w:p>
        </w:tc>
        <w:tc>
          <w:tcPr>
            <w:tcW w:w="709" w:type="dxa"/>
            <w:noWrap/>
            <w:vAlign w:val="center"/>
          </w:tcPr>
          <w:p w14:paraId="242BDC7E">
            <w:pPr>
              <w:wordWrap w:val="0"/>
              <w:spacing w:line="240" w:lineRule="auto"/>
              <w:jc w:val="center"/>
              <w:rPr>
                <w:rFonts w:cs="Times New Roman"/>
                <w:sz w:val="21"/>
                <w:szCs w:val="21"/>
              </w:rPr>
            </w:pPr>
            <w:r>
              <w:rPr>
                <w:rFonts w:hint="eastAsia"/>
                <w:sz w:val="21"/>
                <w:szCs w:val="21"/>
              </w:rPr>
              <w:t>0.47</w:t>
            </w:r>
          </w:p>
        </w:tc>
        <w:tc>
          <w:tcPr>
            <w:tcW w:w="709" w:type="dxa"/>
            <w:noWrap/>
            <w:vAlign w:val="center"/>
          </w:tcPr>
          <w:p w14:paraId="41B690C2">
            <w:pPr>
              <w:wordWrap w:val="0"/>
              <w:spacing w:line="240" w:lineRule="auto"/>
              <w:jc w:val="center"/>
              <w:rPr>
                <w:rFonts w:cs="Times New Roman"/>
                <w:sz w:val="21"/>
                <w:szCs w:val="21"/>
              </w:rPr>
            </w:pPr>
            <w:r>
              <w:rPr>
                <w:rFonts w:hint="eastAsia"/>
                <w:sz w:val="21"/>
                <w:szCs w:val="21"/>
              </w:rPr>
              <w:t>达标</w:t>
            </w:r>
          </w:p>
        </w:tc>
      </w:tr>
      <w:tr w14:paraId="7CB4E2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26" w:type="dxa"/>
            <w:vMerge w:val="continue"/>
            <w:vAlign w:val="center"/>
          </w:tcPr>
          <w:p w14:paraId="053BE77F">
            <w:pPr>
              <w:wordWrap w:val="0"/>
              <w:spacing w:line="240" w:lineRule="auto"/>
              <w:jc w:val="center"/>
              <w:rPr>
                <w:rFonts w:cs="Times New Roman"/>
                <w:sz w:val="21"/>
                <w:szCs w:val="21"/>
              </w:rPr>
            </w:pPr>
          </w:p>
        </w:tc>
        <w:tc>
          <w:tcPr>
            <w:tcW w:w="846" w:type="dxa"/>
            <w:vMerge w:val="continue"/>
            <w:noWrap/>
            <w:vAlign w:val="center"/>
          </w:tcPr>
          <w:p w14:paraId="662C9BD2">
            <w:pPr>
              <w:wordWrap w:val="0"/>
              <w:spacing w:line="240" w:lineRule="auto"/>
              <w:jc w:val="center"/>
              <w:rPr>
                <w:rFonts w:cs="Times New Roman"/>
                <w:sz w:val="21"/>
                <w:szCs w:val="21"/>
              </w:rPr>
            </w:pPr>
          </w:p>
        </w:tc>
        <w:tc>
          <w:tcPr>
            <w:tcW w:w="851" w:type="dxa"/>
            <w:noWrap/>
            <w:vAlign w:val="center"/>
          </w:tcPr>
          <w:p w14:paraId="5862B954">
            <w:pPr>
              <w:wordWrap w:val="0"/>
              <w:spacing w:line="240" w:lineRule="auto"/>
              <w:jc w:val="center"/>
              <w:rPr>
                <w:rFonts w:cs="Times New Roman"/>
                <w:sz w:val="21"/>
                <w:szCs w:val="21"/>
              </w:rPr>
            </w:pPr>
            <w:r>
              <w:rPr>
                <w:rFonts w:cs="Times New Roman"/>
                <w:kern w:val="0"/>
                <w:sz w:val="21"/>
                <w:szCs w:val="21"/>
                <w14:ligatures w14:val="none"/>
              </w:rPr>
              <w:t>日均值</w:t>
            </w:r>
          </w:p>
        </w:tc>
        <w:tc>
          <w:tcPr>
            <w:tcW w:w="1134" w:type="dxa"/>
            <w:noWrap/>
            <w:vAlign w:val="center"/>
          </w:tcPr>
          <w:p w14:paraId="5E6CB6E3">
            <w:pPr>
              <w:wordWrap w:val="0"/>
              <w:spacing w:line="240" w:lineRule="auto"/>
              <w:jc w:val="center"/>
              <w:rPr>
                <w:rFonts w:cs="Times New Roman"/>
                <w:sz w:val="21"/>
                <w:szCs w:val="21"/>
              </w:rPr>
            </w:pPr>
            <w:r>
              <w:rPr>
                <w:rFonts w:hint="eastAsia"/>
                <w:sz w:val="21"/>
                <w:szCs w:val="21"/>
              </w:rPr>
              <w:t>1.15E-01</w:t>
            </w:r>
          </w:p>
        </w:tc>
        <w:tc>
          <w:tcPr>
            <w:tcW w:w="1133" w:type="dxa"/>
            <w:noWrap/>
            <w:vAlign w:val="center"/>
          </w:tcPr>
          <w:p w14:paraId="0BB10779">
            <w:pPr>
              <w:wordWrap w:val="0"/>
              <w:spacing w:line="240" w:lineRule="auto"/>
              <w:jc w:val="center"/>
              <w:rPr>
                <w:rFonts w:cs="Times New Roman"/>
                <w:sz w:val="21"/>
                <w:szCs w:val="21"/>
              </w:rPr>
            </w:pPr>
            <w:r>
              <w:rPr>
                <w:rFonts w:hint="eastAsia"/>
                <w:sz w:val="21"/>
                <w:szCs w:val="21"/>
              </w:rPr>
              <w:t>230901</w:t>
            </w:r>
          </w:p>
        </w:tc>
        <w:tc>
          <w:tcPr>
            <w:tcW w:w="1134" w:type="dxa"/>
            <w:noWrap/>
            <w:vAlign w:val="center"/>
          </w:tcPr>
          <w:p w14:paraId="21785ABE">
            <w:pPr>
              <w:wordWrap w:val="0"/>
              <w:spacing w:line="240" w:lineRule="auto"/>
              <w:jc w:val="center"/>
              <w:rPr>
                <w:rFonts w:cs="Times New Roman"/>
                <w:sz w:val="21"/>
                <w:szCs w:val="21"/>
              </w:rPr>
            </w:pPr>
            <w:r>
              <w:rPr>
                <w:rFonts w:hint="eastAsia"/>
                <w:sz w:val="21"/>
                <w:szCs w:val="21"/>
              </w:rPr>
              <w:t>0.00E+00</w:t>
            </w:r>
          </w:p>
        </w:tc>
        <w:tc>
          <w:tcPr>
            <w:tcW w:w="1134" w:type="dxa"/>
            <w:noWrap/>
            <w:vAlign w:val="center"/>
          </w:tcPr>
          <w:p w14:paraId="213DDDD4">
            <w:pPr>
              <w:wordWrap w:val="0"/>
              <w:spacing w:line="240" w:lineRule="auto"/>
              <w:jc w:val="center"/>
              <w:rPr>
                <w:rFonts w:cs="Times New Roman"/>
                <w:sz w:val="21"/>
                <w:szCs w:val="21"/>
              </w:rPr>
            </w:pPr>
            <w:r>
              <w:rPr>
                <w:rFonts w:hint="eastAsia"/>
                <w:sz w:val="21"/>
                <w:szCs w:val="21"/>
              </w:rPr>
              <w:t>1.15E-01</w:t>
            </w:r>
          </w:p>
        </w:tc>
        <w:tc>
          <w:tcPr>
            <w:tcW w:w="1134" w:type="dxa"/>
            <w:noWrap/>
            <w:vAlign w:val="center"/>
          </w:tcPr>
          <w:p w14:paraId="5D73C756">
            <w:pPr>
              <w:wordWrap w:val="0"/>
              <w:spacing w:line="240" w:lineRule="auto"/>
              <w:jc w:val="center"/>
              <w:rPr>
                <w:rFonts w:cs="Times New Roman"/>
                <w:sz w:val="21"/>
                <w:szCs w:val="21"/>
              </w:rPr>
            </w:pPr>
            <w:r>
              <w:rPr>
                <w:rFonts w:hint="eastAsia"/>
                <w:sz w:val="21"/>
                <w:szCs w:val="21"/>
              </w:rPr>
              <w:t>1.00E+02</w:t>
            </w:r>
          </w:p>
        </w:tc>
        <w:tc>
          <w:tcPr>
            <w:tcW w:w="709" w:type="dxa"/>
            <w:noWrap/>
            <w:vAlign w:val="center"/>
          </w:tcPr>
          <w:p w14:paraId="3DB3065C">
            <w:pPr>
              <w:wordWrap w:val="0"/>
              <w:spacing w:line="240" w:lineRule="auto"/>
              <w:jc w:val="center"/>
              <w:rPr>
                <w:rFonts w:cs="Times New Roman"/>
                <w:sz w:val="21"/>
                <w:szCs w:val="21"/>
              </w:rPr>
            </w:pPr>
            <w:r>
              <w:rPr>
                <w:rFonts w:hint="eastAsia"/>
                <w:sz w:val="21"/>
                <w:szCs w:val="21"/>
              </w:rPr>
              <w:t>0.12</w:t>
            </w:r>
          </w:p>
        </w:tc>
        <w:tc>
          <w:tcPr>
            <w:tcW w:w="709" w:type="dxa"/>
            <w:noWrap/>
            <w:vAlign w:val="center"/>
          </w:tcPr>
          <w:p w14:paraId="1807C247">
            <w:pPr>
              <w:wordWrap w:val="0"/>
              <w:spacing w:line="240" w:lineRule="auto"/>
              <w:jc w:val="center"/>
              <w:rPr>
                <w:rFonts w:cs="Times New Roman"/>
                <w:sz w:val="21"/>
                <w:szCs w:val="21"/>
              </w:rPr>
            </w:pPr>
            <w:r>
              <w:rPr>
                <w:rFonts w:hint="eastAsia"/>
                <w:sz w:val="21"/>
                <w:szCs w:val="21"/>
              </w:rPr>
              <w:t>达标</w:t>
            </w:r>
          </w:p>
        </w:tc>
      </w:tr>
      <w:tr w14:paraId="1EB039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26" w:type="dxa"/>
            <w:vMerge w:val="restart"/>
            <w:vAlign w:val="center"/>
          </w:tcPr>
          <w:p w14:paraId="42709759">
            <w:pPr>
              <w:wordWrap w:val="0"/>
              <w:spacing w:line="240" w:lineRule="auto"/>
              <w:jc w:val="center"/>
              <w:rPr>
                <w:rFonts w:cs="Times New Roman"/>
                <w:sz w:val="21"/>
                <w:szCs w:val="21"/>
              </w:rPr>
            </w:pPr>
            <w:r>
              <w:rPr>
                <w:rFonts w:hint="eastAsia" w:cs="Times New Roman"/>
                <w:sz w:val="21"/>
                <w:szCs w:val="21"/>
              </w:rPr>
              <w:t>11</w:t>
            </w:r>
          </w:p>
        </w:tc>
        <w:tc>
          <w:tcPr>
            <w:tcW w:w="846" w:type="dxa"/>
            <w:vMerge w:val="restart"/>
            <w:noWrap/>
            <w:vAlign w:val="center"/>
          </w:tcPr>
          <w:p w14:paraId="746B016D">
            <w:pPr>
              <w:wordWrap w:val="0"/>
              <w:spacing w:line="240" w:lineRule="auto"/>
              <w:jc w:val="center"/>
              <w:rPr>
                <w:rFonts w:cs="Times New Roman"/>
                <w:sz w:val="21"/>
                <w:szCs w:val="21"/>
              </w:rPr>
            </w:pPr>
            <w:r>
              <w:rPr>
                <w:rFonts w:cs="Times New Roman"/>
                <w:kern w:val="0"/>
                <w:sz w:val="21"/>
                <w:szCs w:val="21"/>
                <w14:ligatures w14:val="none"/>
              </w:rPr>
              <w:t>网格</w:t>
            </w:r>
          </w:p>
        </w:tc>
        <w:tc>
          <w:tcPr>
            <w:tcW w:w="851" w:type="dxa"/>
            <w:noWrap/>
            <w:vAlign w:val="center"/>
          </w:tcPr>
          <w:p w14:paraId="4822B978">
            <w:pPr>
              <w:wordWrap w:val="0"/>
              <w:spacing w:line="240" w:lineRule="auto"/>
              <w:jc w:val="center"/>
              <w:rPr>
                <w:rFonts w:cs="Times New Roman"/>
                <w:sz w:val="21"/>
                <w:szCs w:val="21"/>
              </w:rPr>
            </w:pPr>
            <w:r>
              <w:rPr>
                <w:rFonts w:cs="Times New Roman"/>
                <w:kern w:val="0"/>
                <w:sz w:val="21"/>
                <w:szCs w:val="21"/>
                <w14:ligatures w14:val="none"/>
              </w:rPr>
              <w:t>小时值</w:t>
            </w:r>
          </w:p>
        </w:tc>
        <w:tc>
          <w:tcPr>
            <w:tcW w:w="1134" w:type="dxa"/>
            <w:noWrap/>
            <w:vAlign w:val="center"/>
          </w:tcPr>
          <w:p w14:paraId="773208A2">
            <w:pPr>
              <w:wordWrap w:val="0"/>
              <w:spacing w:line="240" w:lineRule="auto"/>
              <w:jc w:val="center"/>
              <w:rPr>
                <w:rFonts w:cs="Times New Roman"/>
                <w:sz w:val="21"/>
                <w:szCs w:val="21"/>
              </w:rPr>
            </w:pPr>
            <w:r>
              <w:rPr>
                <w:rFonts w:hint="eastAsia"/>
                <w:sz w:val="21"/>
                <w:szCs w:val="21"/>
              </w:rPr>
              <w:t>5.59E+00</w:t>
            </w:r>
          </w:p>
        </w:tc>
        <w:tc>
          <w:tcPr>
            <w:tcW w:w="1133" w:type="dxa"/>
            <w:noWrap/>
            <w:vAlign w:val="center"/>
          </w:tcPr>
          <w:p w14:paraId="55821919">
            <w:pPr>
              <w:wordWrap w:val="0"/>
              <w:spacing w:line="240" w:lineRule="auto"/>
              <w:jc w:val="center"/>
              <w:rPr>
                <w:rFonts w:cs="Times New Roman"/>
                <w:sz w:val="21"/>
                <w:szCs w:val="21"/>
              </w:rPr>
            </w:pPr>
            <w:r>
              <w:rPr>
                <w:rFonts w:hint="eastAsia"/>
                <w:sz w:val="21"/>
                <w:szCs w:val="21"/>
              </w:rPr>
              <w:t>23071601</w:t>
            </w:r>
          </w:p>
        </w:tc>
        <w:tc>
          <w:tcPr>
            <w:tcW w:w="1134" w:type="dxa"/>
            <w:noWrap/>
            <w:vAlign w:val="center"/>
          </w:tcPr>
          <w:p w14:paraId="7B09C3CC">
            <w:pPr>
              <w:wordWrap w:val="0"/>
              <w:spacing w:line="240" w:lineRule="auto"/>
              <w:jc w:val="center"/>
              <w:rPr>
                <w:rFonts w:cs="Times New Roman"/>
                <w:sz w:val="21"/>
                <w:szCs w:val="21"/>
              </w:rPr>
            </w:pPr>
            <w:r>
              <w:rPr>
                <w:rFonts w:hint="eastAsia"/>
                <w:sz w:val="21"/>
                <w:szCs w:val="21"/>
              </w:rPr>
              <w:t>0.00E+00</w:t>
            </w:r>
          </w:p>
        </w:tc>
        <w:tc>
          <w:tcPr>
            <w:tcW w:w="1134" w:type="dxa"/>
            <w:noWrap/>
            <w:vAlign w:val="center"/>
          </w:tcPr>
          <w:p w14:paraId="40A962A5">
            <w:pPr>
              <w:wordWrap w:val="0"/>
              <w:spacing w:line="240" w:lineRule="auto"/>
              <w:jc w:val="center"/>
              <w:rPr>
                <w:rFonts w:cs="Times New Roman"/>
                <w:sz w:val="21"/>
                <w:szCs w:val="21"/>
              </w:rPr>
            </w:pPr>
            <w:r>
              <w:rPr>
                <w:rFonts w:hint="eastAsia"/>
                <w:sz w:val="21"/>
                <w:szCs w:val="21"/>
              </w:rPr>
              <w:t>5.59E+00</w:t>
            </w:r>
          </w:p>
        </w:tc>
        <w:tc>
          <w:tcPr>
            <w:tcW w:w="1134" w:type="dxa"/>
            <w:noWrap/>
            <w:vAlign w:val="center"/>
          </w:tcPr>
          <w:p w14:paraId="3D3A1F65">
            <w:pPr>
              <w:wordWrap w:val="0"/>
              <w:spacing w:line="240" w:lineRule="auto"/>
              <w:jc w:val="center"/>
              <w:rPr>
                <w:rFonts w:cs="Times New Roman"/>
                <w:sz w:val="21"/>
                <w:szCs w:val="21"/>
              </w:rPr>
            </w:pPr>
            <w:r>
              <w:rPr>
                <w:rFonts w:hint="eastAsia"/>
                <w:sz w:val="21"/>
                <w:szCs w:val="21"/>
              </w:rPr>
              <w:t>3.00E+02</w:t>
            </w:r>
          </w:p>
        </w:tc>
        <w:tc>
          <w:tcPr>
            <w:tcW w:w="709" w:type="dxa"/>
            <w:noWrap/>
            <w:vAlign w:val="center"/>
          </w:tcPr>
          <w:p w14:paraId="79D33C28">
            <w:pPr>
              <w:wordWrap w:val="0"/>
              <w:spacing w:line="240" w:lineRule="auto"/>
              <w:jc w:val="center"/>
              <w:rPr>
                <w:rFonts w:cs="Times New Roman"/>
                <w:sz w:val="21"/>
                <w:szCs w:val="21"/>
              </w:rPr>
            </w:pPr>
            <w:r>
              <w:rPr>
                <w:rFonts w:hint="eastAsia"/>
                <w:sz w:val="21"/>
                <w:szCs w:val="21"/>
              </w:rPr>
              <w:t>1.86</w:t>
            </w:r>
          </w:p>
        </w:tc>
        <w:tc>
          <w:tcPr>
            <w:tcW w:w="709" w:type="dxa"/>
            <w:noWrap/>
            <w:vAlign w:val="center"/>
          </w:tcPr>
          <w:p w14:paraId="37B7BBE6">
            <w:pPr>
              <w:wordWrap w:val="0"/>
              <w:spacing w:line="240" w:lineRule="auto"/>
              <w:jc w:val="center"/>
              <w:rPr>
                <w:rFonts w:cs="Times New Roman"/>
                <w:sz w:val="21"/>
                <w:szCs w:val="21"/>
              </w:rPr>
            </w:pPr>
            <w:r>
              <w:rPr>
                <w:rFonts w:hint="eastAsia"/>
                <w:sz w:val="21"/>
                <w:szCs w:val="21"/>
              </w:rPr>
              <w:t>达标</w:t>
            </w:r>
          </w:p>
        </w:tc>
      </w:tr>
      <w:tr w14:paraId="5E0A3A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26" w:type="dxa"/>
            <w:vMerge w:val="continue"/>
            <w:vAlign w:val="center"/>
          </w:tcPr>
          <w:p w14:paraId="69A08000">
            <w:pPr>
              <w:wordWrap w:val="0"/>
              <w:spacing w:line="240" w:lineRule="auto"/>
              <w:jc w:val="center"/>
              <w:rPr>
                <w:rFonts w:cs="Times New Roman"/>
                <w:sz w:val="21"/>
                <w:szCs w:val="21"/>
              </w:rPr>
            </w:pPr>
          </w:p>
        </w:tc>
        <w:tc>
          <w:tcPr>
            <w:tcW w:w="846" w:type="dxa"/>
            <w:vMerge w:val="continue"/>
            <w:noWrap/>
            <w:vAlign w:val="center"/>
          </w:tcPr>
          <w:p w14:paraId="4D5B7304">
            <w:pPr>
              <w:wordWrap w:val="0"/>
              <w:spacing w:line="240" w:lineRule="auto"/>
              <w:jc w:val="center"/>
              <w:rPr>
                <w:rFonts w:cs="Times New Roman"/>
                <w:sz w:val="21"/>
                <w:szCs w:val="21"/>
              </w:rPr>
            </w:pPr>
          </w:p>
        </w:tc>
        <w:tc>
          <w:tcPr>
            <w:tcW w:w="851" w:type="dxa"/>
            <w:noWrap/>
            <w:vAlign w:val="center"/>
          </w:tcPr>
          <w:p w14:paraId="48583353">
            <w:pPr>
              <w:wordWrap w:val="0"/>
              <w:spacing w:line="240" w:lineRule="auto"/>
              <w:jc w:val="center"/>
              <w:rPr>
                <w:rFonts w:cs="Times New Roman"/>
                <w:sz w:val="21"/>
                <w:szCs w:val="21"/>
              </w:rPr>
            </w:pPr>
            <w:r>
              <w:rPr>
                <w:rFonts w:cs="Times New Roman"/>
                <w:kern w:val="0"/>
                <w:sz w:val="21"/>
                <w:szCs w:val="21"/>
                <w14:ligatures w14:val="none"/>
              </w:rPr>
              <w:t>日均值</w:t>
            </w:r>
          </w:p>
        </w:tc>
        <w:tc>
          <w:tcPr>
            <w:tcW w:w="1134" w:type="dxa"/>
            <w:noWrap/>
            <w:vAlign w:val="center"/>
          </w:tcPr>
          <w:p w14:paraId="7AB5CCF1">
            <w:pPr>
              <w:wordWrap w:val="0"/>
              <w:spacing w:line="240" w:lineRule="auto"/>
              <w:jc w:val="center"/>
              <w:rPr>
                <w:rFonts w:cs="Times New Roman"/>
                <w:sz w:val="21"/>
                <w:szCs w:val="21"/>
              </w:rPr>
            </w:pPr>
            <w:r>
              <w:rPr>
                <w:rFonts w:hint="eastAsia"/>
                <w:sz w:val="21"/>
                <w:szCs w:val="21"/>
              </w:rPr>
              <w:t>8.85E-01</w:t>
            </w:r>
          </w:p>
        </w:tc>
        <w:tc>
          <w:tcPr>
            <w:tcW w:w="1133" w:type="dxa"/>
            <w:noWrap/>
            <w:vAlign w:val="center"/>
          </w:tcPr>
          <w:p w14:paraId="2B8438EE">
            <w:pPr>
              <w:wordWrap w:val="0"/>
              <w:spacing w:line="240" w:lineRule="auto"/>
              <w:jc w:val="center"/>
              <w:rPr>
                <w:rFonts w:cs="Times New Roman"/>
                <w:sz w:val="21"/>
                <w:szCs w:val="21"/>
              </w:rPr>
            </w:pPr>
            <w:r>
              <w:rPr>
                <w:rFonts w:hint="eastAsia"/>
                <w:sz w:val="21"/>
                <w:szCs w:val="21"/>
              </w:rPr>
              <w:t>230809</w:t>
            </w:r>
          </w:p>
        </w:tc>
        <w:tc>
          <w:tcPr>
            <w:tcW w:w="1134" w:type="dxa"/>
            <w:noWrap/>
            <w:vAlign w:val="center"/>
          </w:tcPr>
          <w:p w14:paraId="0A88D436">
            <w:pPr>
              <w:wordWrap w:val="0"/>
              <w:spacing w:line="240" w:lineRule="auto"/>
              <w:jc w:val="center"/>
              <w:rPr>
                <w:rFonts w:cs="Times New Roman"/>
                <w:sz w:val="21"/>
                <w:szCs w:val="21"/>
              </w:rPr>
            </w:pPr>
            <w:r>
              <w:rPr>
                <w:rFonts w:hint="eastAsia"/>
                <w:sz w:val="21"/>
                <w:szCs w:val="21"/>
              </w:rPr>
              <w:t>0.00E+00</w:t>
            </w:r>
          </w:p>
        </w:tc>
        <w:tc>
          <w:tcPr>
            <w:tcW w:w="1134" w:type="dxa"/>
            <w:noWrap/>
            <w:vAlign w:val="center"/>
          </w:tcPr>
          <w:p w14:paraId="3E41D59D">
            <w:pPr>
              <w:wordWrap w:val="0"/>
              <w:spacing w:line="240" w:lineRule="auto"/>
              <w:jc w:val="center"/>
              <w:rPr>
                <w:rFonts w:cs="Times New Roman"/>
                <w:sz w:val="21"/>
                <w:szCs w:val="21"/>
              </w:rPr>
            </w:pPr>
            <w:r>
              <w:rPr>
                <w:rFonts w:hint="eastAsia"/>
                <w:sz w:val="21"/>
                <w:szCs w:val="21"/>
              </w:rPr>
              <w:t>8.85E-01</w:t>
            </w:r>
          </w:p>
        </w:tc>
        <w:tc>
          <w:tcPr>
            <w:tcW w:w="1134" w:type="dxa"/>
            <w:noWrap/>
            <w:vAlign w:val="center"/>
          </w:tcPr>
          <w:p w14:paraId="7EACB223">
            <w:pPr>
              <w:wordWrap w:val="0"/>
              <w:spacing w:line="240" w:lineRule="auto"/>
              <w:jc w:val="center"/>
              <w:rPr>
                <w:rFonts w:cs="Times New Roman"/>
                <w:sz w:val="21"/>
                <w:szCs w:val="21"/>
              </w:rPr>
            </w:pPr>
            <w:r>
              <w:rPr>
                <w:rFonts w:hint="eastAsia"/>
                <w:sz w:val="21"/>
                <w:szCs w:val="21"/>
              </w:rPr>
              <w:t>1.00E+02</w:t>
            </w:r>
          </w:p>
        </w:tc>
        <w:tc>
          <w:tcPr>
            <w:tcW w:w="709" w:type="dxa"/>
            <w:noWrap/>
            <w:vAlign w:val="center"/>
          </w:tcPr>
          <w:p w14:paraId="423ADB35">
            <w:pPr>
              <w:wordWrap w:val="0"/>
              <w:spacing w:line="240" w:lineRule="auto"/>
              <w:jc w:val="center"/>
              <w:rPr>
                <w:rFonts w:cs="Times New Roman"/>
                <w:sz w:val="21"/>
                <w:szCs w:val="21"/>
              </w:rPr>
            </w:pPr>
            <w:r>
              <w:rPr>
                <w:rFonts w:hint="eastAsia"/>
                <w:sz w:val="21"/>
                <w:szCs w:val="21"/>
              </w:rPr>
              <w:t>0.89</w:t>
            </w:r>
          </w:p>
        </w:tc>
        <w:tc>
          <w:tcPr>
            <w:tcW w:w="709" w:type="dxa"/>
            <w:noWrap/>
            <w:vAlign w:val="center"/>
          </w:tcPr>
          <w:p w14:paraId="66F848B5">
            <w:pPr>
              <w:wordWrap w:val="0"/>
              <w:spacing w:line="240" w:lineRule="auto"/>
              <w:jc w:val="center"/>
              <w:rPr>
                <w:rFonts w:cs="Times New Roman"/>
                <w:sz w:val="21"/>
                <w:szCs w:val="21"/>
              </w:rPr>
            </w:pPr>
            <w:r>
              <w:rPr>
                <w:rFonts w:hint="eastAsia"/>
                <w:sz w:val="21"/>
                <w:szCs w:val="21"/>
              </w:rPr>
              <w:t>达标</w:t>
            </w:r>
          </w:p>
        </w:tc>
      </w:tr>
    </w:tbl>
    <w:p w14:paraId="496F0B15">
      <w:pPr>
        <w:ind w:firstLine="468" w:firstLineChars="200"/>
        <w:rPr>
          <w:rFonts w:cs="Times New Roman"/>
          <w:spacing w:val="-3"/>
        </w:rPr>
      </w:pPr>
    </w:p>
    <w:p w14:paraId="44090F07">
      <w:pPr>
        <w:ind w:firstLine="480" w:firstLineChars="200"/>
      </w:pPr>
      <w:r>
        <w:rPr>
          <w:rFonts w:hint="eastAsia"/>
        </w:rPr>
        <w:t>2、非正常工况大气预测结果</w:t>
      </w:r>
    </w:p>
    <w:p w14:paraId="2A9256B0">
      <w:pPr>
        <w:ind w:firstLine="480" w:firstLineChars="200"/>
      </w:pPr>
      <w:r>
        <w:rPr>
          <w:rFonts w:hint="eastAsia"/>
        </w:rPr>
        <w:t>(1)非甲烷总烃</w:t>
      </w:r>
    </w:p>
    <w:p w14:paraId="4B145AEE">
      <w:pPr>
        <w:ind w:firstLine="480" w:firstLineChars="200"/>
        <w:rPr>
          <w:rFonts w:cs="Times New Roman"/>
          <w:spacing w:val="-3"/>
        </w:rPr>
      </w:pPr>
      <w:r>
        <w:rPr>
          <w:rFonts w:hint="eastAsia"/>
        </w:rPr>
        <w:t>非正常工况下非甲烷总烃贡献质量浓度预测结果如表6.2-21所示。</w:t>
      </w:r>
    </w:p>
    <w:p w14:paraId="66F130C1">
      <w:pPr>
        <w:pStyle w:val="28"/>
        <w:rPr>
          <w:rFonts w:hint="eastAsia"/>
          <w:szCs w:val="22"/>
        </w:rPr>
      </w:pPr>
      <w:r>
        <w:rPr>
          <w:szCs w:val="22"/>
        </w:rPr>
        <w:t>表</w:t>
      </w:r>
      <w:r>
        <w:rPr>
          <w:rFonts w:hint="eastAsia"/>
          <w:szCs w:val="22"/>
        </w:rPr>
        <w:t xml:space="preserve">6.2-21 </w:t>
      </w:r>
      <w:r>
        <w:rPr>
          <w:szCs w:val="22"/>
        </w:rPr>
        <w:t xml:space="preserve"> </w:t>
      </w:r>
      <w:r>
        <w:rPr>
          <w:rFonts w:hint="eastAsia"/>
          <w:szCs w:val="22"/>
        </w:rPr>
        <w:t>非正常工况下</w:t>
      </w:r>
      <w:r>
        <w:rPr>
          <w:rFonts w:hint="eastAsia"/>
        </w:rPr>
        <w:t>非甲烷总烃贡献质量浓度预测结果</w:t>
      </w:r>
    </w:p>
    <w:tbl>
      <w:tblPr>
        <w:tblStyle w:val="3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62"/>
        <w:gridCol w:w="1276"/>
        <w:gridCol w:w="1134"/>
        <w:gridCol w:w="1141"/>
        <w:gridCol w:w="1407"/>
        <w:gridCol w:w="1392"/>
        <w:gridCol w:w="1074"/>
        <w:gridCol w:w="1074"/>
      </w:tblGrid>
      <w:tr w14:paraId="00A975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62" w:type="dxa"/>
            <w:vAlign w:val="center"/>
          </w:tcPr>
          <w:p w14:paraId="4DE84337">
            <w:pPr>
              <w:wordWrap w:val="0"/>
              <w:spacing w:line="240" w:lineRule="auto"/>
              <w:jc w:val="center"/>
              <w:rPr>
                <w:rFonts w:cs="Times New Roman"/>
                <w:kern w:val="0"/>
                <w:sz w:val="21"/>
                <w:szCs w:val="21"/>
                <w14:ligatures w14:val="none"/>
              </w:rPr>
            </w:pPr>
            <w:r>
              <w:rPr>
                <w:rFonts w:hint="eastAsia" w:cs="Times New Roman"/>
                <w:kern w:val="0"/>
                <w:sz w:val="21"/>
                <w:szCs w:val="21"/>
                <w14:ligatures w14:val="none"/>
              </w:rPr>
              <w:t>序号</w:t>
            </w:r>
          </w:p>
        </w:tc>
        <w:tc>
          <w:tcPr>
            <w:tcW w:w="1276" w:type="dxa"/>
            <w:noWrap/>
            <w:vAlign w:val="center"/>
          </w:tcPr>
          <w:p w14:paraId="62676C6C">
            <w:pPr>
              <w:wordWrap w:val="0"/>
              <w:spacing w:line="240" w:lineRule="auto"/>
              <w:jc w:val="center"/>
              <w:rPr>
                <w:rFonts w:cs="Times New Roman"/>
                <w:kern w:val="0"/>
                <w:sz w:val="21"/>
                <w:szCs w:val="21"/>
                <w14:ligatures w14:val="none"/>
              </w:rPr>
            </w:pPr>
            <w:r>
              <w:rPr>
                <w:rFonts w:hint="eastAsia" w:cs="Times New Roman"/>
                <w:kern w:val="0"/>
                <w:sz w:val="21"/>
                <w:szCs w:val="21"/>
                <w14:ligatures w14:val="none"/>
              </w:rPr>
              <w:t>点名称</w:t>
            </w:r>
          </w:p>
        </w:tc>
        <w:tc>
          <w:tcPr>
            <w:tcW w:w="1134" w:type="dxa"/>
            <w:noWrap/>
            <w:vAlign w:val="center"/>
          </w:tcPr>
          <w:p w14:paraId="34B7441A">
            <w:pPr>
              <w:wordWrap w:val="0"/>
              <w:spacing w:line="240" w:lineRule="auto"/>
              <w:jc w:val="center"/>
              <w:rPr>
                <w:rFonts w:cs="Times New Roman"/>
                <w:kern w:val="0"/>
                <w:sz w:val="21"/>
                <w:szCs w:val="21"/>
                <w14:ligatures w14:val="none"/>
              </w:rPr>
            </w:pPr>
            <w:r>
              <w:rPr>
                <w:rFonts w:cs="Times New Roman"/>
                <w:kern w:val="0"/>
                <w:sz w:val="21"/>
                <w:szCs w:val="21"/>
                <w14:ligatures w14:val="none"/>
              </w:rPr>
              <w:t>浓度类型</w:t>
            </w:r>
          </w:p>
        </w:tc>
        <w:tc>
          <w:tcPr>
            <w:tcW w:w="1141" w:type="dxa"/>
            <w:noWrap/>
            <w:vAlign w:val="center"/>
          </w:tcPr>
          <w:p w14:paraId="75BC5D41">
            <w:pPr>
              <w:wordWrap w:val="0"/>
              <w:spacing w:line="240" w:lineRule="auto"/>
              <w:jc w:val="center"/>
              <w:rPr>
                <w:rFonts w:cs="Times New Roman"/>
                <w:kern w:val="0"/>
                <w:sz w:val="21"/>
                <w:szCs w:val="21"/>
                <w14:ligatures w14:val="none"/>
              </w:rPr>
            </w:pPr>
            <w:r>
              <w:rPr>
                <w:rFonts w:cs="Times New Roman"/>
                <w:kern w:val="0"/>
                <w:sz w:val="21"/>
                <w:szCs w:val="21"/>
                <w14:ligatures w14:val="none"/>
              </w:rPr>
              <w:t>浓度增量(μg/m</w:t>
            </w:r>
            <w:r>
              <w:rPr>
                <w:rFonts w:cs="Times New Roman"/>
                <w:kern w:val="0"/>
                <w:sz w:val="21"/>
                <w:szCs w:val="21"/>
                <w:vertAlign w:val="superscript"/>
                <w14:ligatures w14:val="none"/>
              </w:rPr>
              <w:t>3</w:t>
            </w:r>
            <w:r>
              <w:rPr>
                <w:rFonts w:cs="Times New Roman"/>
                <w:kern w:val="0"/>
                <w:sz w:val="21"/>
                <w:szCs w:val="21"/>
                <w14:ligatures w14:val="none"/>
              </w:rPr>
              <w:t>)</w:t>
            </w:r>
          </w:p>
        </w:tc>
        <w:tc>
          <w:tcPr>
            <w:tcW w:w="1407" w:type="dxa"/>
            <w:noWrap/>
            <w:vAlign w:val="center"/>
          </w:tcPr>
          <w:p w14:paraId="56526F36">
            <w:pPr>
              <w:wordWrap w:val="0"/>
              <w:spacing w:line="240" w:lineRule="auto"/>
              <w:jc w:val="center"/>
              <w:rPr>
                <w:rFonts w:cs="Times New Roman"/>
                <w:kern w:val="0"/>
                <w:sz w:val="21"/>
                <w:szCs w:val="21"/>
                <w14:ligatures w14:val="none"/>
              </w:rPr>
            </w:pPr>
            <w:r>
              <w:rPr>
                <w:rFonts w:cs="Times New Roman"/>
                <w:kern w:val="0"/>
                <w:sz w:val="21"/>
                <w:szCs w:val="21"/>
                <w14:ligatures w14:val="none"/>
              </w:rPr>
              <w:t>出现时间</w:t>
            </w:r>
          </w:p>
        </w:tc>
        <w:tc>
          <w:tcPr>
            <w:tcW w:w="1392" w:type="dxa"/>
            <w:noWrap/>
            <w:vAlign w:val="center"/>
          </w:tcPr>
          <w:p w14:paraId="33815A56">
            <w:pPr>
              <w:wordWrap w:val="0"/>
              <w:spacing w:line="240" w:lineRule="auto"/>
              <w:jc w:val="center"/>
              <w:rPr>
                <w:rFonts w:cs="Times New Roman"/>
                <w:kern w:val="0"/>
                <w:sz w:val="21"/>
                <w:szCs w:val="21"/>
                <w14:ligatures w14:val="none"/>
              </w:rPr>
            </w:pPr>
            <w:r>
              <w:rPr>
                <w:rFonts w:cs="Times New Roman"/>
                <w:kern w:val="0"/>
                <w:sz w:val="21"/>
                <w:szCs w:val="21"/>
                <w14:ligatures w14:val="none"/>
              </w:rPr>
              <w:t>评价标准(μg/m</w:t>
            </w:r>
            <w:r>
              <w:rPr>
                <w:rFonts w:cs="Times New Roman"/>
                <w:kern w:val="0"/>
                <w:sz w:val="21"/>
                <w:szCs w:val="21"/>
                <w:vertAlign w:val="superscript"/>
                <w14:ligatures w14:val="none"/>
              </w:rPr>
              <w:t>3</w:t>
            </w:r>
            <w:r>
              <w:rPr>
                <w:rFonts w:cs="Times New Roman"/>
                <w:kern w:val="0"/>
                <w:sz w:val="21"/>
                <w:szCs w:val="21"/>
                <w14:ligatures w14:val="none"/>
              </w:rPr>
              <w:t>)</w:t>
            </w:r>
          </w:p>
        </w:tc>
        <w:tc>
          <w:tcPr>
            <w:tcW w:w="1074" w:type="dxa"/>
            <w:noWrap/>
            <w:vAlign w:val="center"/>
          </w:tcPr>
          <w:p w14:paraId="0473686B">
            <w:pPr>
              <w:wordWrap w:val="0"/>
              <w:spacing w:line="240" w:lineRule="auto"/>
              <w:jc w:val="center"/>
              <w:rPr>
                <w:rFonts w:cs="Times New Roman"/>
                <w:kern w:val="0"/>
                <w:sz w:val="21"/>
                <w:szCs w:val="21"/>
                <w14:ligatures w14:val="none"/>
              </w:rPr>
            </w:pPr>
            <w:r>
              <w:rPr>
                <w:rFonts w:cs="Times New Roman"/>
                <w:kern w:val="0"/>
                <w:sz w:val="21"/>
                <w:szCs w:val="21"/>
                <w14:ligatures w14:val="none"/>
              </w:rPr>
              <w:t>占标率%</w:t>
            </w:r>
          </w:p>
        </w:tc>
        <w:tc>
          <w:tcPr>
            <w:tcW w:w="1074" w:type="dxa"/>
            <w:noWrap/>
            <w:vAlign w:val="center"/>
          </w:tcPr>
          <w:p w14:paraId="5A7975CF">
            <w:pPr>
              <w:wordWrap w:val="0"/>
              <w:spacing w:line="240" w:lineRule="auto"/>
              <w:jc w:val="center"/>
              <w:rPr>
                <w:rFonts w:cs="Times New Roman"/>
                <w:kern w:val="0"/>
                <w:sz w:val="21"/>
                <w:szCs w:val="21"/>
                <w14:ligatures w14:val="none"/>
              </w:rPr>
            </w:pPr>
            <w:r>
              <w:rPr>
                <w:rFonts w:cs="Times New Roman"/>
                <w:kern w:val="0"/>
                <w:sz w:val="21"/>
                <w:szCs w:val="21"/>
                <w14:ligatures w14:val="none"/>
              </w:rPr>
              <w:t>达标情况</w:t>
            </w:r>
          </w:p>
        </w:tc>
      </w:tr>
      <w:tr w14:paraId="4453B5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62" w:type="dxa"/>
            <w:vAlign w:val="center"/>
          </w:tcPr>
          <w:p w14:paraId="7FFDECF6">
            <w:pPr>
              <w:wordWrap w:val="0"/>
              <w:spacing w:line="240" w:lineRule="auto"/>
              <w:jc w:val="center"/>
              <w:rPr>
                <w:rFonts w:cs="Times New Roman"/>
                <w:kern w:val="0"/>
                <w:sz w:val="21"/>
                <w:szCs w:val="21"/>
                <w14:ligatures w14:val="none"/>
              </w:rPr>
            </w:pPr>
            <w:r>
              <w:rPr>
                <w:rFonts w:hint="eastAsia"/>
                <w:kern w:val="0"/>
                <w:sz w:val="21"/>
                <w:szCs w:val="21"/>
                <w14:ligatures w14:val="none"/>
              </w:rPr>
              <w:t>1</w:t>
            </w:r>
          </w:p>
        </w:tc>
        <w:tc>
          <w:tcPr>
            <w:tcW w:w="1276" w:type="dxa"/>
            <w:noWrap/>
            <w:vAlign w:val="center"/>
          </w:tcPr>
          <w:p w14:paraId="4B789201">
            <w:pPr>
              <w:wordWrap w:val="0"/>
              <w:spacing w:line="240" w:lineRule="auto"/>
              <w:jc w:val="center"/>
              <w:rPr>
                <w:rFonts w:cs="Times New Roman"/>
                <w:kern w:val="0"/>
                <w:sz w:val="21"/>
                <w:szCs w:val="21"/>
                <w14:ligatures w14:val="none"/>
              </w:rPr>
            </w:pPr>
            <w:r>
              <w:rPr>
                <w:rFonts w:hint="eastAsia"/>
                <w:sz w:val="21"/>
                <w:szCs w:val="21"/>
              </w:rPr>
              <w:t>三铺村</w:t>
            </w:r>
          </w:p>
        </w:tc>
        <w:tc>
          <w:tcPr>
            <w:tcW w:w="1134" w:type="dxa"/>
            <w:noWrap/>
            <w:vAlign w:val="center"/>
          </w:tcPr>
          <w:p w14:paraId="6B86004F">
            <w:pPr>
              <w:wordWrap w:val="0"/>
              <w:spacing w:line="240" w:lineRule="auto"/>
              <w:jc w:val="center"/>
              <w:rPr>
                <w:rFonts w:cs="Times New Roman"/>
                <w:kern w:val="0"/>
                <w:sz w:val="21"/>
                <w:szCs w:val="21"/>
                <w14:ligatures w14:val="none"/>
              </w:rPr>
            </w:pPr>
            <w:r>
              <w:rPr>
                <w:rFonts w:hint="eastAsia"/>
                <w:sz w:val="21"/>
                <w:szCs w:val="21"/>
              </w:rPr>
              <w:t>小时值</w:t>
            </w:r>
          </w:p>
        </w:tc>
        <w:tc>
          <w:tcPr>
            <w:tcW w:w="1141" w:type="dxa"/>
            <w:noWrap/>
            <w:vAlign w:val="center"/>
          </w:tcPr>
          <w:p w14:paraId="0EC6CFA3">
            <w:pPr>
              <w:wordWrap w:val="0"/>
              <w:spacing w:line="240" w:lineRule="auto"/>
              <w:jc w:val="center"/>
              <w:rPr>
                <w:rFonts w:cs="Times New Roman"/>
                <w:kern w:val="0"/>
                <w:sz w:val="21"/>
                <w:szCs w:val="21"/>
                <w14:ligatures w14:val="none"/>
              </w:rPr>
            </w:pPr>
            <w:r>
              <w:rPr>
                <w:rFonts w:hint="eastAsia"/>
                <w:sz w:val="21"/>
                <w:szCs w:val="21"/>
              </w:rPr>
              <w:t>3.49E+00</w:t>
            </w:r>
          </w:p>
        </w:tc>
        <w:tc>
          <w:tcPr>
            <w:tcW w:w="1407" w:type="dxa"/>
            <w:noWrap/>
            <w:vAlign w:val="center"/>
          </w:tcPr>
          <w:p w14:paraId="7C185A48">
            <w:pPr>
              <w:wordWrap w:val="0"/>
              <w:spacing w:line="240" w:lineRule="auto"/>
              <w:jc w:val="center"/>
              <w:rPr>
                <w:rFonts w:cs="Times New Roman"/>
                <w:kern w:val="0"/>
                <w:sz w:val="21"/>
                <w:szCs w:val="21"/>
                <w14:ligatures w14:val="none"/>
              </w:rPr>
            </w:pPr>
            <w:r>
              <w:rPr>
                <w:rFonts w:hint="eastAsia"/>
                <w:sz w:val="21"/>
                <w:szCs w:val="21"/>
              </w:rPr>
              <w:t>23110124</w:t>
            </w:r>
          </w:p>
        </w:tc>
        <w:tc>
          <w:tcPr>
            <w:tcW w:w="1392" w:type="dxa"/>
            <w:noWrap/>
            <w:vAlign w:val="center"/>
          </w:tcPr>
          <w:p w14:paraId="4D4C7397">
            <w:pPr>
              <w:wordWrap w:val="0"/>
              <w:spacing w:line="240" w:lineRule="auto"/>
              <w:jc w:val="center"/>
              <w:rPr>
                <w:rFonts w:cs="Times New Roman"/>
                <w:kern w:val="0"/>
                <w:sz w:val="21"/>
                <w:szCs w:val="21"/>
                <w14:ligatures w14:val="none"/>
              </w:rPr>
            </w:pPr>
            <w:r>
              <w:rPr>
                <w:rFonts w:hint="eastAsia"/>
                <w:sz w:val="21"/>
                <w:szCs w:val="21"/>
              </w:rPr>
              <w:t>2.00E+03</w:t>
            </w:r>
          </w:p>
        </w:tc>
        <w:tc>
          <w:tcPr>
            <w:tcW w:w="1074" w:type="dxa"/>
            <w:noWrap/>
            <w:vAlign w:val="center"/>
          </w:tcPr>
          <w:p w14:paraId="08FB5661">
            <w:pPr>
              <w:wordWrap w:val="0"/>
              <w:spacing w:line="240" w:lineRule="auto"/>
              <w:jc w:val="center"/>
              <w:rPr>
                <w:rFonts w:cs="Times New Roman"/>
                <w:kern w:val="0"/>
                <w:sz w:val="21"/>
                <w:szCs w:val="21"/>
                <w14:ligatures w14:val="none"/>
              </w:rPr>
            </w:pPr>
            <w:r>
              <w:rPr>
                <w:rFonts w:hint="eastAsia"/>
                <w:sz w:val="21"/>
                <w:szCs w:val="21"/>
              </w:rPr>
              <w:t>0.17</w:t>
            </w:r>
          </w:p>
        </w:tc>
        <w:tc>
          <w:tcPr>
            <w:tcW w:w="1074" w:type="dxa"/>
            <w:noWrap/>
            <w:vAlign w:val="center"/>
          </w:tcPr>
          <w:p w14:paraId="2D2D77A5">
            <w:pPr>
              <w:wordWrap w:val="0"/>
              <w:spacing w:line="240" w:lineRule="auto"/>
              <w:jc w:val="center"/>
              <w:rPr>
                <w:rFonts w:cs="Times New Roman"/>
                <w:kern w:val="0"/>
                <w:sz w:val="21"/>
                <w:szCs w:val="21"/>
                <w14:ligatures w14:val="none"/>
              </w:rPr>
            </w:pPr>
            <w:r>
              <w:rPr>
                <w:rFonts w:hint="eastAsia"/>
                <w:sz w:val="21"/>
                <w:szCs w:val="21"/>
              </w:rPr>
              <w:t>达标</w:t>
            </w:r>
          </w:p>
        </w:tc>
      </w:tr>
      <w:tr w14:paraId="070199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62" w:type="dxa"/>
            <w:vAlign w:val="center"/>
          </w:tcPr>
          <w:p w14:paraId="5A650C0A">
            <w:pPr>
              <w:wordWrap w:val="0"/>
              <w:spacing w:line="240" w:lineRule="auto"/>
              <w:jc w:val="center"/>
              <w:rPr>
                <w:rFonts w:cs="Times New Roman"/>
                <w:kern w:val="0"/>
                <w:sz w:val="21"/>
                <w:szCs w:val="21"/>
                <w14:ligatures w14:val="none"/>
              </w:rPr>
            </w:pPr>
            <w:r>
              <w:rPr>
                <w:rFonts w:hint="eastAsia"/>
                <w:kern w:val="0"/>
                <w:sz w:val="21"/>
                <w:szCs w:val="21"/>
                <w14:ligatures w14:val="none"/>
              </w:rPr>
              <w:t>2</w:t>
            </w:r>
          </w:p>
        </w:tc>
        <w:tc>
          <w:tcPr>
            <w:tcW w:w="1276" w:type="dxa"/>
            <w:noWrap/>
            <w:vAlign w:val="center"/>
          </w:tcPr>
          <w:p w14:paraId="718BC0DC">
            <w:pPr>
              <w:wordWrap w:val="0"/>
              <w:spacing w:line="240" w:lineRule="auto"/>
              <w:jc w:val="center"/>
              <w:rPr>
                <w:rFonts w:cs="Times New Roman"/>
                <w:kern w:val="0"/>
                <w:sz w:val="21"/>
                <w:szCs w:val="21"/>
                <w14:ligatures w14:val="none"/>
              </w:rPr>
            </w:pPr>
            <w:r>
              <w:rPr>
                <w:rFonts w:hint="eastAsia"/>
                <w:sz w:val="21"/>
                <w:szCs w:val="21"/>
              </w:rPr>
              <w:t>三铺小学</w:t>
            </w:r>
          </w:p>
        </w:tc>
        <w:tc>
          <w:tcPr>
            <w:tcW w:w="1134" w:type="dxa"/>
            <w:noWrap/>
            <w:vAlign w:val="center"/>
          </w:tcPr>
          <w:p w14:paraId="1972A0F9">
            <w:pPr>
              <w:wordWrap w:val="0"/>
              <w:spacing w:line="240" w:lineRule="auto"/>
              <w:jc w:val="center"/>
              <w:rPr>
                <w:rFonts w:cs="Times New Roman"/>
                <w:kern w:val="0"/>
                <w:sz w:val="21"/>
                <w:szCs w:val="21"/>
                <w14:ligatures w14:val="none"/>
              </w:rPr>
            </w:pPr>
            <w:r>
              <w:rPr>
                <w:rFonts w:hint="eastAsia"/>
                <w:sz w:val="21"/>
                <w:szCs w:val="21"/>
              </w:rPr>
              <w:t>小时值</w:t>
            </w:r>
          </w:p>
        </w:tc>
        <w:tc>
          <w:tcPr>
            <w:tcW w:w="1141" w:type="dxa"/>
            <w:noWrap/>
            <w:vAlign w:val="center"/>
          </w:tcPr>
          <w:p w14:paraId="5D963D68">
            <w:pPr>
              <w:wordWrap w:val="0"/>
              <w:spacing w:line="240" w:lineRule="auto"/>
              <w:jc w:val="center"/>
              <w:rPr>
                <w:rFonts w:cs="Times New Roman"/>
                <w:kern w:val="0"/>
                <w:sz w:val="21"/>
                <w:szCs w:val="21"/>
                <w14:ligatures w14:val="none"/>
              </w:rPr>
            </w:pPr>
            <w:r>
              <w:rPr>
                <w:rFonts w:hint="eastAsia"/>
                <w:sz w:val="21"/>
                <w:szCs w:val="21"/>
              </w:rPr>
              <w:t>3.18E+00</w:t>
            </w:r>
          </w:p>
        </w:tc>
        <w:tc>
          <w:tcPr>
            <w:tcW w:w="1407" w:type="dxa"/>
            <w:noWrap/>
            <w:vAlign w:val="center"/>
          </w:tcPr>
          <w:p w14:paraId="67BEAD86">
            <w:pPr>
              <w:wordWrap w:val="0"/>
              <w:spacing w:line="240" w:lineRule="auto"/>
              <w:jc w:val="center"/>
              <w:rPr>
                <w:rFonts w:cs="Times New Roman"/>
                <w:kern w:val="0"/>
                <w:sz w:val="21"/>
                <w:szCs w:val="21"/>
                <w14:ligatures w14:val="none"/>
              </w:rPr>
            </w:pPr>
            <w:r>
              <w:rPr>
                <w:rFonts w:hint="eastAsia"/>
                <w:sz w:val="21"/>
                <w:szCs w:val="21"/>
              </w:rPr>
              <w:t>23060120</w:t>
            </w:r>
          </w:p>
        </w:tc>
        <w:tc>
          <w:tcPr>
            <w:tcW w:w="1392" w:type="dxa"/>
            <w:noWrap/>
            <w:vAlign w:val="center"/>
          </w:tcPr>
          <w:p w14:paraId="1913D95B">
            <w:pPr>
              <w:wordWrap w:val="0"/>
              <w:spacing w:line="240" w:lineRule="auto"/>
              <w:jc w:val="center"/>
              <w:rPr>
                <w:rFonts w:cs="Times New Roman"/>
                <w:kern w:val="0"/>
                <w:sz w:val="21"/>
                <w:szCs w:val="21"/>
                <w14:ligatures w14:val="none"/>
              </w:rPr>
            </w:pPr>
            <w:r>
              <w:rPr>
                <w:rFonts w:hint="eastAsia"/>
                <w:sz w:val="21"/>
                <w:szCs w:val="21"/>
              </w:rPr>
              <w:t>2.00E+03</w:t>
            </w:r>
          </w:p>
        </w:tc>
        <w:tc>
          <w:tcPr>
            <w:tcW w:w="1074" w:type="dxa"/>
            <w:noWrap/>
            <w:vAlign w:val="center"/>
          </w:tcPr>
          <w:p w14:paraId="29862C36">
            <w:pPr>
              <w:wordWrap w:val="0"/>
              <w:spacing w:line="240" w:lineRule="auto"/>
              <w:jc w:val="center"/>
              <w:rPr>
                <w:rFonts w:cs="Times New Roman"/>
                <w:kern w:val="0"/>
                <w:sz w:val="21"/>
                <w:szCs w:val="21"/>
                <w14:ligatures w14:val="none"/>
              </w:rPr>
            </w:pPr>
            <w:r>
              <w:rPr>
                <w:rFonts w:hint="eastAsia"/>
                <w:sz w:val="21"/>
                <w:szCs w:val="21"/>
              </w:rPr>
              <w:t>0.16</w:t>
            </w:r>
          </w:p>
        </w:tc>
        <w:tc>
          <w:tcPr>
            <w:tcW w:w="1074" w:type="dxa"/>
            <w:noWrap/>
            <w:vAlign w:val="center"/>
          </w:tcPr>
          <w:p w14:paraId="1B5AD748">
            <w:pPr>
              <w:wordWrap w:val="0"/>
              <w:spacing w:line="240" w:lineRule="auto"/>
              <w:jc w:val="center"/>
              <w:rPr>
                <w:rFonts w:cs="Times New Roman"/>
                <w:kern w:val="0"/>
                <w:sz w:val="21"/>
                <w:szCs w:val="21"/>
                <w14:ligatures w14:val="none"/>
              </w:rPr>
            </w:pPr>
            <w:r>
              <w:rPr>
                <w:rFonts w:hint="eastAsia"/>
                <w:sz w:val="21"/>
                <w:szCs w:val="21"/>
              </w:rPr>
              <w:t>达标</w:t>
            </w:r>
          </w:p>
        </w:tc>
      </w:tr>
      <w:tr w14:paraId="34E04D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62" w:type="dxa"/>
            <w:vAlign w:val="center"/>
          </w:tcPr>
          <w:p w14:paraId="6368EF19">
            <w:pPr>
              <w:wordWrap w:val="0"/>
              <w:spacing w:line="240" w:lineRule="auto"/>
              <w:jc w:val="center"/>
              <w:rPr>
                <w:rFonts w:cs="Times New Roman"/>
                <w:kern w:val="0"/>
                <w:sz w:val="21"/>
                <w:szCs w:val="21"/>
                <w14:ligatures w14:val="none"/>
              </w:rPr>
            </w:pPr>
            <w:r>
              <w:rPr>
                <w:rFonts w:hint="eastAsia"/>
                <w:kern w:val="0"/>
                <w:sz w:val="21"/>
                <w:szCs w:val="21"/>
                <w14:ligatures w14:val="none"/>
              </w:rPr>
              <w:t>3</w:t>
            </w:r>
          </w:p>
        </w:tc>
        <w:tc>
          <w:tcPr>
            <w:tcW w:w="1276" w:type="dxa"/>
            <w:noWrap/>
            <w:vAlign w:val="center"/>
          </w:tcPr>
          <w:p w14:paraId="4BA98ADE">
            <w:pPr>
              <w:wordWrap w:val="0"/>
              <w:spacing w:line="240" w:lineRule="auto"/>
              <w:jc w:val="center"/>
              <w:rPr>
                <w:rFonts w:cs="Times New Roman"/>
                <w:kern w:val="0"/>
                <w:sz w:val="21"/>
                <w:szCs w:val="21"/>
                <w14:ligatures w14:val="none"/>
              </w:rPr>
            </w:pPr>
            <w:r>
              <w:rPr>
                <w:rFonts w:hint="eastAsia"/>
                <w:sz w:val="21"/>
                <w:szCs w:val="21"/>
              </w:rPr>
              <w:t>三铺中学</w:t>
            </w:r>
          </w:p>
        </w:tc>
        <w:tc>
          <w:tcPr>
            <w:tcW w:w="1134" w:type="dxa"/>
            <w:noWrap/>
            <w:vAlign w:val="center"/>
          </w:tcPr>
          <w:p w14:paraId="424138FF">
            <w:pPr>
              <w:wordWrap w:val="0"/>
              <w:spacing w:line="240" w:lineRule="auto"/>
              <w:jc w:val="center"/>
              <w:rPr>
                <w:rFonts w:cs="Times New Roman"/>
                <w:kern w:val="0"/>
                <w:sz w:val="21"/>
                <w:szCs w:val="21"/>
                <w14:ligatures w14:val="none"/>
              </w:rPr>
            </w:pPr>
            <w:r>
              <w:rPr>
                <w:rFonts w:hint="eastAsia"/>
                <w:sz w:val="21"/>
                <w:szCs w:val="21"/>
              </w:rPr>
              <w:t>小时值</w:t>
            </w:r>
          </w:p>
        </w:tc>
        <w:tc>
          <w:tcPr>
            <w:tcW w:w="1141" w:type="dxa"/>
            <w:noWrap/>
            <w:vAlign w:val="center"/>
          </w:tcPr>
          <w:p w14:paraId="5B345A03">
            <w:pPr>
              <w:wordWrap w:val="0"/>
              <w:spacing w:line="240" w:lineRule="auto"/>
              <w:jc w:val="center"/>
              <w:rPr>
                <w:rFonts w:cs="Times New Roman"/>
                <w:kern w:val="0"/>
                <w:sz w:val="21"/>
                <w:szCs w:val="21"/>
                <w14:ligatures w14:val="none"/>
              </w:rPr>
            </w:pPr>
            <w:r>
              <w:rPr>
                <w:rFonts w:hint="eastAsia"/>
                <w:sz w:val="21"/>
                <w:szCs w:val="21"/>
              </w:rPr>
              <w:t>3.43E+00</w:t>
            </w:r>
          </w:p>
        </w:tc>
        <w:tc>
          <w:tcPr>
            <w:tcW w:w="1407" w:type="dxa"/>
            <w:noWrap/>
            <w:vAlign w:val="center"/>
          </w:tcPr>
          <w:p w14:paraId="026E1AF5">
            <w:pPr>
              <w:wordWrap w:val="0"/>
              <w:spacing w:line="240" w:lineRule="auto"/>
              <w:jc w:val="center"/>
              <w:rPr>
                <w:rFonts w:cs="Times New Roman"/>
                <w:kern w:val="0"/>
                <w:sz w:val="21"/>
                <w:szCs w:val="21"/>
                <w14:ligatures w14:val="none"/>
              </w:rPr>
            </w:pPr>
            <w:r>
              <w:rPr>
                <w:rFonts w:hint="eastAsia"/>
                <w:sz w:val="21"/>
                <w:szCs w:val="21"/>
              </w:rPr>
              <w:t>23081121</w:t>
            </w:r>
          </w:p>
        </w:tc>
        <w:tc>
          <w:tcPr>
            <w:tcW w:w="1392" w:type="dxa"/>
            <w:noWrap/>
            <w:vAlign w:val="center"/>
          </w:tcPr>
          <w:p w14:paraId="550CD1C4">
            <w:pPr>
              <w:wordWrap w:val="0"/>
              <w:spacing w:line="240" w:lineRule="auto"/>
              <w:jc w:val="center"/>
              <w:rPr>
                <w:rFonts w:cs="Times New Roman"/>
                <w:kern w:val="0"/>
                <w:sz w:val="21"/>
                <w:szCs w:val="21"/>
                <w14:ligatures w14:val="none"/>
              </w:rPr>
            </w:pPr>
            <w:r>
              <w:rPr>
                <w:rFonts w:hint="eastAsia"/>
                <w:sz w:val="21"/>
                <w:szCs w:val="21"/>
              </w:rPr>
              <w:t>2.00E+03</w:t>
            </w:r>
          </w:p>
        </w:tc>
        <w:tc>
          <w:tcPr>
            <w:tcW w:w="1074" w:type="dxa"/>
            <w:noWrap/>
            <w:vAlign w:val="center"/>
          </w:tcPr>
          <w:p w14:paraId="67D81ED9">
            <w:pPr>
              <w:wordWrap w:val="0"/>
              <w:spacing w:line="240" w:lineRule="auto"/>
              <w:jc w:val="center"/>
              <w:rPr>
                <w:rFonts w:cs="Times New Roman"/>
                <w:kern w:val="0"/>
                <w:sz w:val="21"/>
                <w:szCs w:val="21"/>
                <w14:ligatures w14:val="none"/>
              </w:rPr>
            </w:pPr>
            <w:r>
              <w:rPr>
                <w:rFonts w:hint="eastAsia"/>
                <w:sz w:val="21"/>
                <w:szCs w:val="21"/>
              </w:rPr>
              <w:t>0.17</w:t>
            </w:r>
          </w:p>
        </w:tc>
        <w:tc>
          <w:tcPr>
            <w:tcW w:w="1074" w:type="dxa"/>
            <w:noWrap/>
            <w:vAlign w:val="center"/>
          </w:tcPr>
          <w:p w14:paraId="69246916">
            <w:pPr>
              <w:wordWrap w:val="0"/>
              <w:spacing w:line="240" w:lineRule="auto"/>
              <w:jc w:val="center"/>
              <w:rPr>
                <w:rFonts w:cs="Times New Roman"/>
                <w:kern w:val="0"/>
                <w:sz w:val="21"/>
                <w:szCs w:val="21"/>
                <w14:ligatures w14:val="none"/>
              </w:rPr>
            </w:pPr>
            <w:r>
              <w:rPr>
                <w:rFonts w:hint="eastAsia"/>
                <w:sz w:val="21"/>
                <w:szCs w:val="21"/>
              </w:rPr>
              <w:t>达标</w:t>
            </w:r>
          </w:p>
        </w:tc>
      </w:tr>
      <w:tr w14:paraId="0F4DB2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62" w:type="dxa"/>
            <w:vAlign w:val="center"/>
          </w:tcPr>
          <w:p w14:paraId="1C027AC9">
            <w:pPr>
              <w:wordWrap w:val="0"/>
              <w:spacing w:line="240" w:lineRule="auto"/>
              <w:jc w:val="center"/>
              <w:rPr>
                <w:rFonts w:cs="Times New Roman"/>
                <w:kern w:val="0"/>
                <w:sz w:val="21"/>
                <w:szCs w:val="21"/>
                <w14:ligatures w14:val="none"/>
              </w:rPr>
            </w:pPr>
            <w:r>
              <w:rPr>
                <w:rFonts w:hint="eastAsia"/>
                <w:kern w:val="0"/>
                <w:sz w:val="21"/>
                <w:szCs w:val="21"/>
                <w14:ligatures w14:val="none"/>
              </w:rPr>
              <w:t>4</w:t>
            </w:r>
          </w:p>
        </w:tc>
        <w:tc>
          <w:tcPr>
            <w:tcW w:w="1276" w:type="dxa"/>
            <w:noWrap/>
            <w:vAlign w:val="center"/>
          </w:tcPr>
          <w:p w14:paraId="262D3582">
            <w:pPr>
              <w:wordWrap w:val="0"/>
              <w:spacing w:line="240" w:lineRule="auto"/>
              <w:jc w:val="center"/>
              <w:rPr>
                <w:rFonts w:cs="Times New Roman"/>
                <w:kern w:val="0"/>
                <w:sz w:val="21"/>
                <w:szCs w:val="21"/>
                <w14:ligatures w14:val="none"/>
              </w:rPr>
            </w:pPr>
            <w:r>
              <w:rPr>
                <w:rFonts w:hint="eastAsia"/>
                <w:sz w:val="21"/>
                <w:szCs w:val="21"/>
              </w:rPr>
              <w:t>高王家</w:t>
            </w:r>
          </w:p>
        </w:tc>
        <w:tc>
          <w:tcPr>
            <w:tcW w:w="1134" w:type="dxa"/>
            <w:noWrap/>
            <w:vAlign w:val="center"/>
          </w:tcPr>
          <w:p w14:paraId="2F6A7074">
            <w:pPr>
              <w:wordWrap w:val="0"/>
              <w:spacing w:line="240" w:lineRule="auto"/>
              <w:jc w:val="center"/>
              <w:rPr>
                <w:rFonts w:cs="Times New Roman"/>
                <w:kern w:val="0"/>
                <w:sz w:val="21"/>
                <w:szCs w:val="21"/>
                <w14:ligatures w14:val="none"/>
              </w:rPr>
            </w:pPr>
            <w:r>
              <w:rPr>
                <w:rFonts w:hint="eastAsia"/>
                <w:sz w:val="21"/>
                <w:szCs w:val="21"/>
              </w:rPr>
              <w:t>小时值</w:t>
            </w:r>
          </w:p>
        </w:tc>
        <w:tc>
          <w:tcPr>
            <w:tcW w:w="1141" w:type="dxa"/>
            <w:noWrap/>
            <w:vAlign w:val="center"/>
          </w:tcPr>
          <w:p w14:paraId="2168DCC5">
            <w:pPr>
              <w:wordWrap w:val="0"/>
              <w:spacing w:line="240" w:lineRule="auto"/>
              <w:jc w:val="center"/>
              <w:rPr>
                <w:rFonts w:cs="Times New Roman"/>
                <w:kern w:val="0"/>
                <w:sz w:val="21"/>
                <w:szCs w:val="21"/>
                <w14:ligatures w14:val="none"/>
              </w:rPr>
            </w:pPr>
            <w:r>
              <w:rPr>
                <w:rFonts w:hint="eastAsia"/>
                <w:sz w:val="21"/>
                <w:szCs w:val="21"/>
              </w:rPr>
              <w:t>3.04E+00</w:t>
            </w:r>
          </w:p>
        </w:tc>
        <w:tc>
          <w:tcPr>
            <w:tcW w:w="1407" w:type="dxa"/>
            <w:noWrap/>
            <w:vAlign w:val="center"/>
          </w:tcPr>
          <w:p w14:paraId="4EEA481C">
            <w:pPr>
              <w:wordWrap w:val="0"/>
              <w:spacing w:line="240" w:lineRule="auto"/>
              <w:jc w:val="center"/>
              <w:rPr>
                <w:rFonts w:cs="Times New Roman"/>
                <w:kern w:val="0"/>
                <w:sz w:val="21"/>
                <w:szCs w:val="21"/>
                <w14:ligatures w14:val="none"/>
              </w:rPr>
            </w:pPr>
            <w:r>
              <w:rPr>
                <w:rFonts w:hint="eastAsia"/>
                <w:sz w:val="21"/>
                <w:szCs w:val="21"/>
              </w:rPr>
              <w:t>23060822</w:t>
            </w:r>
          </w:p>
        </w:tc>
        <w:tc>
          <w:tcPr>
            <w:tcW w:w="1392" w:type="dxa"/>
            <w:noWrap/>
            <w:vAlign w:val="center"/>
          </w:tcPr>
          <w:p w14:paraId="0CDD2C26">
            <w:pPr>
              <w:wordWrap w:val="0"/>
              <w:spacing w:line="240" w:lineRule="auto"/>
              <w:jc w:val="center"/>
              <w:rPr>
                <w:rFonts w:cs="Times New Roman"/>
                <w:kern w:val="0"/>
                <w:sz w:val="21"/>
                <w:szCs w:val="21"/>
                <w14:ligatures w14:val="none"/>
              </w:rPr>
            </w:pPr>
            <w:r>
              <w:rPr>
                <w:rFonts w:hint="eastAsia"/>
                <w:sz w:val="21"/>
                <w:szCs w:val="21"/>
              </w:rPr>
              <w:t>2.00E+03</w:t>
            </w:r>
          </w:p>
        </w:tc>
        <w:tc>
          <w:tcPr>
            <w:tcW w:w="1074" w:type="dxa"/>
            <w:noWrap/>
            <w:vAlign w:val="center"/>
          </w:tcPr>
          <w:p w14:paraId="1BF35658">
            <w:pPr>
              <w:wordWrap w:val="0"/>
              <w:spacing w:line="240" w:lineRule="auto"/>
              <w:jc w:val="center"/>
              <w:rPr>
                <w:rFonts w:cs="Times New Roman"/>
                <w:kern w:val="0"/>
                <w:sz w:val="21"/>
                <w:szCs w:val="21"/>
                <w14:ligatures w14:val="none"/>
              </w:rPr>
            </w:pPr>
            <w:r>
              <w:rPr>
                <w:rFonts w:hint="eastAsia"/>
                <w:sz w:val="21"/>
                <w:szCs w:val="21"/>
              </w:rPr>
              <w:t>0.15</w:t>
            </w:r>
          </w:p>
        </w:tc>
        <w:tc>
          <w:tcPr>
            <w:tcW w:w="1074" w:type="dxa"/>
            <w:noWrap/>
            <w:vAlign w:val="center"/>
          </w:tcPr>
          <w:p w14:paraId="61442BB5">
            <w:pPr>
              <w:wordWrap w:val="0"/>
              <w:spacing w:line="240" w:lineRule="auto"/>
              <w:jc w:val="center"/>
              <w:rPr>
                <w:rFonts w:cs="Times New Roman"/>
                <w:kern w:val="0"/>
                <w:sz w:val="21"/>
                <w:szCs w:val="21"/>
                <w14:ligatures w14:val="none"/>
              </w:rPr>
            </w:pPr>
            <w:r>
              <w:rPr>
                <w:rFonts w:hint="eastAsia"/>
                <w:sz w:val="21"/>
                <w:szCs w:val="21"/>
              </w:rPr>
              <w:t>达标</w:t>
            </w:r>
          </w:p>
        </w:tc>
      </w:tr>
      <w:tr w14:paraId="417EE5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62" w:type="dxa"/>
            <w:vAlign w:val="center"/>
          </w:tcPr>
          <w:p w14:paraId="32C0A467">
            <w:pPr>
              <w:wordWrap w:val="0"/>
              <w:spacing w:line="240" w:lineRule="auto"/>
              <w:jc w:val="center"/>
              <w:rPr>
                <w:rFonts w:cs="Times New Roman"/>
                <w:kern w:val="0"/>
                <w:sz w:val="21"/>
                <w:szCs w:val="21"/>
                <w14:ligatures w14:val="none"/>
              </w:rPr>
            </w:pPr>
            <w:r>
              <w:rPr>
                <w:rFonts w:hint="eastAsia"/>
                <w:kern w:val="0"/>
                <w:sz w:val="21"/>
                <w:szCs w:val="21"/>
                <w14:ligatures w14:val="none"/>
              </w:rPr>
              <w:t>5</w:t>
            </w:r>
          </w:p>
        </w:tc>
        <w:tc>
          <w:tcPr>
            <w:tcW w:w="1276" w:type="dxa"/>
            <w:noWrap/>
            <w:vAlign w:val="center"/>
          </w:tcPr>
          <w:p w14:paraId="236FDE9C">
            <w:pPr>
              <w:wordWrap w:val="0"/>
              <w:spacing w:line="240" w:lineRule="auto"/>
              <w:jc w:val="center"/>
              <w:rPr>
                <w:rFonts w:cs="Times New Roman"/>
                <w:kern w:val="0"/>
                <w:sz w:val="21"/>
                <w:szCs w:val="21"/>
                <w14:ligatures w14:val="none"/>
              </w:rPr>
            </w:pPr>
            <w:r>
              <w:rPr>
                <w:rFonts w:hint="eastAsia"/>
                <w:sz w:val="21"/>
                <w:szCs w:val="21"/>
              </w:rPr>
              <w:t>大柏村</w:t>
            </w:r>
          </w:p>
        </w:tc>
        <w:tc>
          <w:tcPr>
            <w:tcW w:w="1134" w:type="dxa"/>
            <w:noWrap/>
            <w:vAlign w:val="center"/>
          </w:tcPr>
          <w:p w14:paraId="15BBBC53">
            <w:pPr>
              <w:wordWrap w:val="0"/>
              <w:spacing w:line="240" w:lineRule="auto"/>
              <w:jc w:val="center"/>
              <w:rPr>
                <w:rFonts w:cs="Times New Roman"/>
                <w:kern w:val="0"/>
                <w:sz w:val="21"/>
                <w:szCs w:val="21"/>
                <w14:ligatures w14:val="none"/>
              </w:rPr>
            </w:pPr>
            <w:r>
              <w:rPr>
                <w:rFonts w:hint="eastAsia"/>
                <w:sz w:val="21"/>
                <w:szCs w:val="21"/>
              </w:rPr>
              <w:t>小时值</w:t>
            </w:r>
          </w:p>
        </w:tc>
        <w:tc>
          <w:tcPr>
            <w:tcW w:w="1141" w:type="dxa"/>
            <w:noWrap/>
            <w:vAlign w:val="center"/>
          </w:tcPr>
          <w:p w14:paraId="5E3471B9">
            <w:pPr>
              <w:wordWrap w:val="0"/>
              <w:spacing w:line="240" w:lineRule="auto"/>
              <w:jc w:val="center"/>
              <w:rPr>
                <w:rFonts w:cs="Times New Roman"/>
                <w:kern w:val="0"/>
                <w:sz w:val="21"/>
                <w:szCs w:val="21"/>
                <w14:ligatures w14:val="none"/>
              </w:rPr>
            </w:pPr>
            <w:r>
              <w:rPr>
                <w:rFonts w:hint="eastAsia"/>
                <w:sz w:val="21"/>
                <w:szCs w:val="21"/>
              </w:rPr>
              <w:t>3.05E+00</w:t>
            </w:r>
          </w:p>
        </w:tc>
        <w:tc>
          <w:tcPr>
            <w:tcW w:w="1407" w:type="dxa"/>
            <w:noWrap/>
            <w:vAlign w:val="center"/>
          </w:tcPr>
          <w:p w14:paraId="1CFBC18B">
            <w:pPr>
              <w:wordWrap w:val="0"/>
              <w:spacing w:line="240" w:lineRule="auto"/>
              <w:jc w:val="center"/>
              <w:rPr>
                <w:rFonts w:cs="Times New Roman"/>
                <w:kern w:val="0"/>
                <w:sz w:val="21"/>
                <w:szCs w:val="21"/>
                <w14:ligatures w14:val="none"/>
              </w:rPr>
            </w:pPr>
            <w:r>
              <w:rPr>
                <w:rFonts w:hint="eastAsia"/>
                <w:sz w:val="21"/>
                <w:szCs w:val="21"/>
              </w:rPr>
              <w:t>23071424</w:t>
            </w:r>
          </w:p>
        </w:tc>
        <w:tc>
          <w:tcPr>
            <w:tcW w:w="1392" w:type="dxa"/>
            <w:noWrap/>
            <w:vAlign w:val="center"/>
          </w:tcPr>
          <w:p w14:paraId="013CA43A">
            <w:pPr>
              <w:wordWrap w:val="0"/>
              <w:spacing w:line="240" w:lineRule="auto"/>
              <w:jc w:val="center"/>
              <w:rPr>
                <w:rFonts w:cs="Times New Roman"/>
                <w:kern w:val="0"/>
                <w:sz w:val="21"/>
                <w:szCs w:val="21"/>
                <w14:ligatures w14:val="none"/>
              </w:rPr>
            </w:pPr>
            <w:r>
              <w:rPr>
                <w:rFonts w:hint="eastAsia"/>
                <w:sz w:val="21"/>
                <w:szCs w:val="21"/>
              </w:rPr>
              <w:t>2.00E+03</w:t>
            </w:r>
          </w:p>
        </w:tc>
        <w:tc>
          <w:tcPr>
            <w:tcW w:w="1074" w:type="dxa"/>
            <w:noWrap/>
            <w:vAlign w:val="center"/>
          </w:tcPr>
          <w:p w14:paraId="0E74F76D">
            <w:pPr>
              <w:wordWrap w:val="0"/>
              <w:spacing w:line="240" w:lineRule="auto"/>
              <w:jc w:val="center"/>
              <w:rPr>
                <w:rFonts w:cs="Times New Roman"/>
                <w:kern w:val="0"/>
                <w:sz w:val="21"/>
                <w:szCs w:val="21"/>
                <w14:ligatures w14:val="none"/>
              </w:rPr>
            </w:pPr>
            <w:r>
              <w:rPr>
                <w:rFonts w:hint="eastAsia"/>
                <w:sz w:val="21"/>
                <w:szCs w:val="21"/>
              </w:rPr>
              <w:t>0.15</w:t>
            </w:r>
          </w:p>
        </w:tc>
        <w:tc>
          <w:tcPr>
            <w:tcW w:w="1074" w:type="dxa"/>
            <w:noWrap/>
            <w:vAlign w:val="center"/>
          </w:tcPr>
          <w:p w14:paraId="3844C679">
            <w:pPr>
              <w:wordWrap w:val="0"/>
              <w:spacing w:line="240" w:lineRule="auto"/>
              <w:jc w:val="center"/>
              <w:rPr>
                <w:rFonts w:cs="Times New Roman"/>
                <w:kern w:val="0"/>
                <w:sz w:val="21"/>
                <w:szCs w:val="21"/>
                <w14:ligatures w14:val="none"/>
              </w:rPr>
            </w:pPr>
            <w:r>
              <w:rPr>
                <w:rFonts w:hint="eastAsia"/>
                <w:sz w:val="21"/>
                <w:szCs w:val="21"/>
              </w:rPr>
              <w:t>达标</w:t>
            </w:r>
          </w:p>
        </w:tc>
      </w:tr>
      <w:tr w14:paraId="51C587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62" w:type="dxa"/>
            <w:vAlign w:val="center"/>
          </w:tcPr>
          <w:p w14:paraId="3C47FF68">
            <w:pPr>
              <w:wordWrap w:val="0"/>
              <w:spacing w:line="240" w:lineRule="auto"/>
              <w:jc w:val="center"/>
              <w:rPr>
                <w:rFonts w:cs="Times New Roman"/>
                <w:kern w:val="0"/>
                <w:sz w:val="21"/>
                <w:szCs w:val="21"/>
                <w14:ligatures w14:val="none"/>
              </w:rPr>
            </w:pPr>
            <w:r>
              <w:rPr>
                <w:rFonts w:hint="eastAsia"/>
                <w:kern w:val="0"/>
                <w:sz w:val="21"/>
                <w:szCs w:val="21"/>
                <w14:ligatures w14:val="none"/>
              </w:rPr>
              <w:t>6</w:t>
            </w:r>
          </w:p>
        </w:tc>
        <w:tc>
          <w:tcPr>
            <w:tcW w:w="1276" w:type="dxa"/>
            <w:noWrap/>
            <w:vAlign w:val="center"/>
          </w:tcPr>
          <w:p w14:paraId="311DFCBE">
            <w:pPr>
              <w:wordWrap w:val="0"/>
              <w:spacing w:line="240" w:lineRule="auto"/>
              <w:jc w:val="center"/>
              <w:rPr>
                <w:rFonts w:cs="Times New Roman"/>
                <w:kern w:val="0"/>
                <w:sz w:val="21"/>
                <w:szCs w:val="21"/>
                <w14:ligatures w14:val="none"/>
              </w:rPr>
            </w:pPr>
            <w:r>
              <w:rPr>
                <w:rFonts w:hint="eastAsia"/>
                <w:sz w:val="21"/>
                <w:szCs w:val="21"/>
              </w:rPr>
              <w:t>曹杨家</w:t>
            </w:r>
          </w:p>
        </w:tc>
        <w:tc>
          <w:tcPr>
            <w:tcW w:w="1134" w:type="dxa"/>
            <w:noWrap/>
            <w:vAlign w:val="center"/>
          </w:tcPr>
          <w:p w14:paraId="6675D532">
            <w:pPr>
              <w:wordWrap w:val="0"/>
              <w:spacing w:line="240" w:lineRule="auto"/>
              <w:jc w:val="center"/>
              <w:rPr>
                <w:rFonts w:cs="Times New Roman"/>
                <w:kern w:val="0"/>
                <w:sz w:val="21"/>
                <w:szCs w:val="21"/>
                <w14:ligatures w14:val="none"/>
              </w:rPr>
            </w:pPr>
            <w:r>
              <w:rPr>
                <w:rFonts w:hint="eastAsia"/>
                <w:sz w:val="21"/>
                <w:szCs w:val="21"/>
              </w:rPr>
              <w:t>小时值</w:t>
            </w:r>
          </w:p>
        </w:tc>
        <w:tc>
          <w:tcPr>
            <w:tcW w:w="1141" w:type="dxa"/>
            <w:noWrap/>
            <w:vAlign w:val="center"/>
          </w:tcPr>
          <w:p w14:paraId="5180C6A4">
            <w:pPr>
              <w:wordWrap w:val="0"/>
              <w:spacing w:line="240" w:lineRule="auto"/>
              <w:jc w:val="center"/>
              <w:rPr>
                <w:rFonts w:cs="Times New Roman"/>
                <w:kern w:val="0"/>
                <w:sz w:val="21"/>
                <w:szCs w:val="21"/>
                <w14:ligatures w14:val="none"/>
              </w:rPr>
            </w:pPr>
            <w:r>
              <w:rPr>
                <w:rFonts w:hint="eastAsia"/>
                <w:sz w:val="21"/>
                <w:szCs w:val="21"/>
              </w:rPr>
              <w:t>3.18E+00</w:t>
            </w:r>
          </w:p>
        </w:tc>
        <w:tc>
          <w:tcPr>
            <w:tcW w:w="1407" w:type="dxa"/>
            <w:noWrap/>
            <w:vAlign w:val="center"/>
          </w:tcPr>
          <w:p w14:paraId="5451557F">
            <w:pPr>
              <w:wordWrap w:val="0"/>
              <w:spacing w:line="240" w:lineRule="auto"/>
              <w:jc w:val="center"/>
              <w:rPr>
                <w:rFonts w:cs="Times New Roman"/>
                <w:kern w:val="0"/>
                <w:sz w:val="21"/>
                <w:szCs w:val="21"/>
                <w14:ligatures w14:val="none"/>
              </w:rPr>
            </w:pPr>
            <w:r>
              <w:rPr>
                <w:rFonts w:hint="eastAsia"/>
                <w:sz w:val="21"/>
                <w:szCs w:val="21"/>
              </w:rPr>
              <w:t>23070504</w:t>
            </w:r>
          </w:p>
        </w:tc>
        <w:tc>
          <w:tcPr>
            <w:tcW w:w="1392" w:type="dxa"/>
            <w:noWrap/>
            <w:vAlign w:val="center"/>
          </w:tcPr>
          <w:p w14:paraId="4F49D3C2">
            <w:pPr>
              <w:wordWrap w:val="0"/>
              <w:spacing w:line="240" w:lineRule="auto"/>
              <w:jc w:val="center"/>
              <w:rPr>
                <w:rFonts w:cs="Times New Roman"/>
                <w:kern w:val="0"/>
                <w:sz w:val="21"/>
                <w:szCs w:val="21"/>
                <w14:ligatures w14:val="none"/>
              </w:rPr>
            </w:pPr>
            <w:r>
              <w:rPr>
                <w:rFonts w:hint="eastAsia"/>
                <w:sz w:val="21"/>
                <w:szCs w:val="21"/>
              </w:rPr>
              <w:t>2.00E+03</w:t>
            </w:r>
          </w:p>
        </w:tc>
        <w:tc>
          <w:tcPr>
            <w:tcW w:w="1074" w:type="dxa"/>
            <w:noWrap/>
            <w:vAlign w:val="center"/>
          </w:tcPr>
          <w:p w14:paraId="5E4DA586">
            <w:pPr>
              <w:wordWrap w:val="0"/>
              <w:spacing w:line="240" w:lineRule="auto"/>
              <w:jc w:val="center"/>
              <w:rPr>
                <w:rFonts w:cs="Times New Roman"/>
                <w:kern w:val="0"/>
                <w:sz w:val="21"/>
                <w:szCs w:val="21"/>
                <w14:ligatures w14:val="none"/>
              </w:rPr>
            </w:pPr>
            <w:r>
              <w:rPr>
                <w:rFonts w:hint="eastAsia"/>
                <w:sz w:val="21"/>
                <w:szCs w:val="21"/>
              </w:rPr>
              <w:t>0.16</w:t>
            </w:r>
          </w:p>
        </w:tc>
        <w:tc>
          <w:tcPr>
            <w:tcW w:w="1074" w:type="dxa"/>
            <w:noWrap/>
            <w:vAlign w:val="center"/>
          </w:tcPr>
          <w:p w14:paraId="63D3DCAB">
            <w:pPr>
              <w:wordWrap w:val="0"/>
              <w:spacing w:line="240" w:lineRule="auto"/>
              <w:jc w:val="center"/>
              <w:rPr>
                <w:rFonts w:cs="Times New Roman"/>
                <w:kern w:val="0"/>
                <w:sz w:val="21"/>
                <w:szCs w:val="21"/>
                <w14:ligatures w14:val="none"/>
              </w:rPr>
            </w:pPr>
            <w:r>
              <w:rPr>
                <w:rFonts w:hint="eastAsia"/>
                <w:sz w:val="21"/>
                <w:szCs w:val="21"/>
              </w:rPr>
              <w:t>达标</w:t>
            </w:r>
          </w:p>
        </w:tc>
      </w:tr>
      <w:tr w14:paraId="640E01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62" w:type="dxa"/>
            <w:vAlign w:val="center"/>
          </w:tcPr>
          <w:p w14:paraId="21FB8575">
            <w:pPr>
              <w:wordWrap w:val="0"/>
              <w:spacing w:line="240" w:lineRule="auto"/>
              <w:jc w:val="center"/>
              <w:rPr>
                <w:rFonts w:cs="Times New Roman"/>
                <w:kern w:val="0"/>
                <w:sz w:val="21"/>
                <w:szCs w:val="21"/>
                <w14:ligatures w14:val="none"/>
              </w:rPr>
            </w:pPr>
            <w:r>
              <w:rPr>
                <w:rFonts w:hint="eastAsia"/>
                <w:kern w:val="0"/>
                <w:sz w:val="21"/>
                <w:szCs w:val="21"/>
                <w14:ligatures w14:val="none"/>
              </w:rPr>
              <w:t>7</w:t>
            </w:r>
          </w:p>
        </w:tc>
        <w:tc>
          <w:tcPr>
            <w:tcW w:w="1276" w:type="dxa"/>
            <w:noWrap/>
            <w:vAlign w:val="center"/>
          </w:tcPr>
          <w:p w14:paraId="493B997E">
            <w:pPr>
              <w:wordWrap w:val="0"/>
              <w:spacing w:line="240" w:lineRule="auto"/>
              <w:jc w:val="center"/>
              <w:rPr>
                <w:rFonts w:cs="Times New Roman"/>
                <w:kern w:val="0"/>
                <w:sz w:val="21"/>
                <w:szCs w:val="21"/>
                <w14:ligatures w14:val="none"/>
              </w:rPr>
            </w:pPr>
            <w:r>
              <w:rPr>
                <w:rFonts w:hint="eastAsia"/>
                <w:sz w:val="21"/>
                <w:szCs w:val="21"/>
              </w:rPr>
              <w:t>夏家湖</w:t>
            </w:r>
          </w:p>
        </w:tc>
        <w:tc>
          <w:tcPr>
            <w:tcW w:w="1134" w:type="dxa"/>
            <w:noWrap/>
            <w:vAlign w:val="center"/>
          </w:tcPr>
          <w:p w14:paraId="0E7C5543">
            <w:pPr>
              <w:wordWrap w:val="0"/>
              <w:spacing w:line="240" w:lineRule="auto"/>
              <w:jc w:val="center"/>
              <w:rPr>
                <w:rFonts w:cs="Times New Roman"/>
                <w:kern w:val="0"/>
                <w:sz w:val="21"/>
                <w:szCs w:val="21"/>
                <w14:ligatures w14:val="none"/>
              </w:rPr>
            </w:pPr>
            <w:r>
              <w:rPr>
                <w:rFonts w:hint="eastAsia"/>
                <w:sz w:val="21"/>
                <w:szCs w:val="21"/>
              </w:rPr>
              <w:t>小时值</w:t>
            </w:r>
          </w:p>
        </w:tc>
        <w:tc>
          <w:tcPr>
            <w:tcW w:w="1141" w:type="dxa"/>
            <w:noWrap/>
            <w:vAlign w:val="center"/>
          </w:tcPr>
          <w:p w14:paraId="52DFA0B0">
            <w:pPr>
              <w:wordWrap w:val="0"/>
              <w:spacing w:line="240" w:lineRule="auto"/>
              <w:jc w:val="center"/>
              <w:rPr>
                <w:rFonts w:cs="Times New Roman"/>
                <w:kern w:val="0"/>
                <w:sz w:val="21"/>
                <w:szCs w:val="21"/>
                <w14:ligatures w14:val="none"/>
              </w:rPr>
            </w:pPr>
            <w:r>
              <w:rPr>
                <w:rFonts w:hint="eastAsia"/>
                <w:sz w:val="21"/>
                <w:szCs w:val="21"/>
              </w:rPr>
              <w:t>3.35E+00</w:t>
            </w:r>
          </w:p>
        </w:tc>
        <w:tc>
          <w:tcPr>
            <w:tcW w:w="1407" w:type="dxa"/>
            <w:noWrap/>
            <w:vAlign w:val="center"/>
          </w:tcPr>
          <w:p w14:paraId="6824665D">
            <w:pPr>
              <w:wordWrap w:val="0"/>
              <w:spacing w:line="240" w:lineRule="auto"/>
              <w:jc w:val="center"/>
              <w:rPr>
                <w:rFonts w:cs="Times New Roman"/>
                <w:kern w:val="0"/>
                <w:sz w:val="21"/>
                <w:szCs w:val="21"/>
                <w14:ligatures w14:val="none"/>
              </w:rPr>
            </w:pPr>
            <w:r>
              <w:rPr>
                <w:rFonts w:hint="eastAsia"/>
                <w:sz w:val="21"/>
                <w:szCs w:val="21"/>
              </w:rPr>
              <w:t>23063024</w:t>
            </w:r>
          </w:p>
        </w:tc>
        <w:tc>
          <w:tcPr>
            <w:tcW w:w="1392" w:type="dxa"/>
            <w:noWrap/>
            <w:vAlign w:val="center"/>
          </w:tcPr>
          <w:p w14:paraId="5777E33D">
            <w:pPr>
              <w:wordWrap w:val="0"/>
              <w:spacing w:line="240" w:lineRule="auto"/>
              <w:jc w:val="center"/>
              <w:rPr>
                <w:rFonts w:cs="Times New Roman"/>
                <w:kern w:val="0"/>
                <w:sz w:val="21"/>
                <w:szCs w:val="21"/>
                <w14:ligatures w14:val="none"/>
              </w:rPr>
            </w:pPr>
            <w:r>
              <w:rPr>
                <w:rFonts w:hint="eastAsia"/>
                <w:sz w:val="21"/>
                <w:szCs w:val="21"/>
              </w:rPr>
              <w:t>2.00E+03</w:t>
            </w:r>
          </w:p>
        </w:tc>
        <w:tc>
          <w:tcPr>
            <w:tcW w:w="1074" w:type="dxa"/>
            <w:noWrap/>
            <w:vAlign w:val="center"/>
          </w:tcPr>
          <w:p w14:paraId="2D5572C1">
            <w:pPr>
              <w:wordWrap w:val="0"/>
              <w:spacing w:line="240" w:lineRule="auto"/>
              <w:jc w:val="center"/>
              <w:rPr>
                <w:rFonts w:cs="Times New Roman"/>
                <w:kern w:val="0"/>
                <w:sz w:val="21"/>
                <w:szCs w:val="21"/>
                <w14:ligatures w14:val="none"/>
              </w:rPr>
            </w:pPr>
            <w:r>
              <w:rPr>
                <w:rFonts w:hint="eastAsia"/>
                <w:sz w:val="21"/>
                <w:szCs w:val="21"/>
              </w:rPr>
              <w:t>0.17</w:t>
            </w:r>
          </w:p>
        </w:tc>
        <w:tc>
          <w:tcPr>
            <w:tcW w:w="1074" w:type="dxa"/>
            <w:noWrap/>
            <w:vAlign w:val="center"/>
          </w:tcPr>
          <w:p w14:paraId="4220168D">
            <w:pPr>
              <w:wordWrap w:val="0"/>
              <w:spacing w:line="240" w:lineRule="auto"/>
              <w:jc w:val="center"/>
              <w:rPr>
                <w:rFonts w:cs="Times New Roman"/>
                <w:kern w:val="0"/>
                <w:sz w:val="21"/>
                <w:szCs w:val="21"/>
                <w14:ligatures w14:val="none"/>
              </w:rPr>
            </w:pPr>
            <w:r>
              <w:rPr>
                <w:rFonts w:hint="eastAsia"/>
                <w:sz w:val="21"/>
                <w:szCs w:val="21"/>
              </w:rPr>
              <w:t>达标</w:t>
            </w:r>
          </w:p>
        </w:tc>
      </w:tr>
      <w:tr w14:paraId="053CB4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62" w:type="dxa"/>
            <w:vAlign w:val="center"/>
          </w:tcPr>
          <w:p w14:paraId="084F1E85">
            <w:pPr>
              <w:wordWrap w:val="0"/>
              <w:spacing w:line="240" w:lineRule="auto"/>
              <w:jc w:val="center"/>
              <w:rPr>
                <w:rFonts w:cs="Times New Roman"/>
                <w:kern w:val="0"/>
                <w:sz w:val="21"/>
                <w:szCs w:val="21"/>
                <w14:ligatures w14:val="none"/>
              </w:rPr>
            </w:pPr>
            <w:r>
              <w:rPr>
                <w:rFonts w:hint="eastAsia"/>
                <w:kern w:val="0"/>
                <w:sz w:val="21"/>
                <w:szCs w:val="21"/>
                <w14:ligatures w14:val="none"/>
              </w:rPr>
              <w:t>8</w:t>
            </w:r>
          </w:p>
        </w:tc>
        <w:tc>
          <w:tcPr>
            <w:tcW w:w="1276" w:type="dxa"/>
            <w:noWrap/>
            <w:vAlign w:val="center"/>
          </w:tcPr>
          <w:p w14:paraId="5E5296A0">
            <w:pPr>
              <w:wordWrap w:val="0"/>
              <w:spacing w:line="240" w:lineRule="auto"/>
              <w:jc w:val="center"/>
              <w:rPr>
                <w:rFonts w:cs="Times New Roman"/>
                <w:kern w:val="0"/>
                <w:sz w:val="21"/>
                <w:szCs w:val="21"/>
                <w14:ligatures w14:val="none"/>
              </w:rPr>
            </w:pPr>
            <w:r>
              <w:rPr>
                <w:rFonts w:hint="eastAsia"/>
                <w:sz w:val="21"/>
                <w:szCs w:val="21"/>
              </w:rPr>
              <w:t>二铺</w:t>
            </w:r>
          </w:p>
        </w:tc>
        <w:tc>
          <w:tcPr>
            <w:tcW w:w="1134" w:type="dxa"/>
            <w:noWrap/>
            <w:vAlign w:val="center"/>
          </w:tcPr>
          <w:p w14:paraId="21696ED0">
            <w:pPr>
              <w:wordWrap w:val="0"/>
              <w:spacing w:line="240" w:lineRule="auto"/>
              <w:jc w:val="center"/>
              <w:rPr>
                <w:rFonts w:cs="Times New Roman"/>
                <w:kern w:val="0"/>
                <w:sz w:val="21"/>
                <w:szCs w:val="21"/>
                <w14:ligatures w14:val="none"/>
              </w:rPr>
            </w:pPr>
            <w:r>
              <w:rPr>
                <w:rFonts w:hint="eastAsia"/>
                <w:sz w:val="21"/>
                <w:szCs w:val="21"/>
              </w:rPr>
              <w:t>小时值</w:t>
            </w:r>
          </w:p>
        </w:tc>
        <w:tc>
          <w:tcPr>
            <w:tcW w:w="1141" w:type="dxa"/>
            <w:noWrap/>
            <w:vAlign w:val="center"/>
          </w:tcPr>
          <w:p w14:paraId="64CCF09C">
            <w:pPr>
              <w:wordWrap w:val="0"/>
              <w:spacing w:line="240" w:lineRule="auto"/>
              <w:jc w:val="center"/>
              <w:rPr>
                <w:rFonts w:cs="Times New Roman"/>
                <w:kern w:val="0"/>
                <w:sz w:val="21"/>
                <w:szCs w:val="21"/>
                <w14:ligatures w14:val="none"/>
              </w:rPr>
            </w:pPr>
            <w:r>
              <w:rPr>
                <w:rFonts w:hint="eastAsia"/>
                <w:sz w:val="21"/>
                <w:szCs w:val="21"/>
              </w:rPr>
              <w:t>2.95E+00</w:t>
            </w:r>
          </w:p>
        </w:tc>
        <w:tc>
          <w:tcPr>
            <w:tcW w:w="1407" w:type="dxa"/>
            <w:noWrap/>
            <w:vAlign w:val="center"/>
          </w:tcPr>
          <w:p w14:paraId="253782B7">
            <w:pPr>
              <w:wordWrap w:val="0"/>
              <w:spacing w:line="240" w:lineRule="auto"/>
              <w:jc w:val="center"/>
              <w:rPr>
                <w:rFonts w:cs="Times New Roman"/>
                <w:kern w:val="0"/>
                <w:sz w:val="21"/>
                <w:szCs w:val="21"/>
                <w14:ligatures w14:val="none"/>
              </w:rPr>
            </w:pPr>
            <w:r>
              <w:rPr>
                <w:rFonts w:hint="eastAsia"/>
                <w:sz w:val="21"/>
                <w:szCs w:val="21"/>
              </w:rPr>
              <w:t>23092523</w:t>
            </w:r>
          </w:p>
        </w:tc>
        <w:tc>
          <w:tcPr>
            <w:tcW w:w="1392" w:type="dxa"/>
            <w:noWrap/>
            <w:vAlign w:val="center"/>
          </w:tcPr>
          <w:p w14:paraId="5D9E6B7D">
            <w:pPr>
              <w:wordWrap w:val="0"/>
              <w:spacing w:line="240" w:lineRule="auto"/>
              <w:jc w:val="center"/>
              <w:rPr>
                <w:rFonts w:cs="Times New Roman"/>
                <w:kern w:val="0"/>
                <w:sz w:val="21"/>
                <w:szCs w:val="21"/>
                <w14:ligatures w14:val="none"/>
              </w:rPr>
            </w:pPr>
            <w:r>
              <w:rPr>
                <w:rFonts w:hint="eastAsia"/>
                <w:sz w:val="21"/>
                <w:szCs w:val="21"/>
              </w:rPr>
              <w:t>2.00E+03</w:t>
            </w:r>
          </w:p>
        </w:tc>
        <w:tc>
          <w:tcPr>
            <w:tcW w:w="1074" w:type="dxa"/>
            <w:noWrap/>
            <w:vAlign w:val="center"/>
          </w:tcPr>
          <w:p w14:paraId="218E7F6A">
            <w:pPr>
              <w:wordWrap w:val="0"/>
              <w:spacing w:line="240" w:lineRule="auto"/>
              <w:jc w:val="center"/>
              <w:rPr>
                <w:rFonts w:cs="Times New Roman"/>
                <w:kern w:val="0"/>
                <w:sz w:val="21"/>
                <w:szCs w:val="21"/>
                <w14:ligatures w14:val="none"/>
              </w:rPr>
            </w:pPr>
            <w:r>
              <w:rPr>
                <w:rFonts w:hint="eastAsia"/>
                <w:sz w:val="21"/>
                <w:szCs w:val="21"/>
              </w:rPr>
              <w:t>0.15</w:t>
            </w:r>
          </w:p>
        </w:tc>
        <w:tc>
          <w:tcPr>
            <w:tcW w:w="1074" w:type="dxa"/>
            <w:noWrap/>
            <w:vAlign w:val="center"/>
          </w:tcPr>
          <w:p w14:paraId="72BAD9A6">
            <w:pPr>
              <w:wordWrap w:val="0"/>
              <w:spacing w:line="240" w:lineRule="auto"/>
              <w:jc w:val="center"/>
              <w:rPr>
                <w:rFonts w:cs="Times New Roman"/>
                <w:kern w:val="0"/>
                <w:sz w:val="21"/>
                <w:szCs w:val="21"/>
                <w14:ligatures w14:val="none"/>
              </w:rPr>
            </w:pPr>
            <w:r>
              <w:rPr>
                <w:rFonts w:hint="eastAsia"/>
                <w:sz w:val="21"/>
                <w:szCs w:val="21"/>
              </w:rPr>
              <w:t>达标</w:t>
            </w:r>
          </w:p>
        </w:tc>
      </w:tr>
      <w:tr w14:paraId="169DC0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62" w:type="dxa"/>
            <w:vAlign w:val="center"/>
          </w:tcPr>
          <w:p w14:paraId="04F22F37">
            <w:pPr>
              <w:wordWrap w:val="0"/>
              <w:spacing w:line="240" w:lineRule="auto"/>
              <w:jc w:val="center"/>
              <w:rPr>
                <w:rFonts w:cs="Times New Roman"/>
                <w:kern w:val="0"/>
                <w:sz w:val="21"/>
                <w:szCs w:val="21"/>
                <w14:ligatures w14:val="none"/>
              </w:rPr>
            </w:pPr>
            <w:r>
              <w:rPr>
                <w:rFonts w:hint="eastAsia"/>
                <w:kern w:val="0"/>
                <w:sz w:val="21"/>
                <w:szCs w:val="21"/>
                <w14:ligatures w14:val="none"/>
              </w:rPr>
              <w:t>9</w:t>
            </w:r>
          </w:p>
        </w:tc>
        <w:tc>
          <w:tcPr>
            <w:tcW w:w="1276" w:type="dxa"/>
            <w:noWrap/>
            <w:vAlign w:val="center"/>
          </w:tcPr>
          <w:p w14:paraId="5A0A10AB">
            <w:pPr>
              <w:wordWrap w:val="0"/>
              <w:spacing w:line="240" w:lineRule="auto"/>
              <w:jc w:val="center"/>
              <w:rPr>
                <w:rFonts w:cs="Times New Roman"/>
                <w:kern w:val="0"/>
                <w:sz w:val="21"/>
                <w:szCs w:val="21"/>
                <w14:ligatures w14:val="none"/>
              </w:rPr>
            </w:pPr>
            <w:r>
              <w:rPr>
                <w:rFonts w:hint="eastAsia"/>
                <w:sz w:val="21"/>
                <w:szCs w:val="21"/>
              </w:rPr>
              <w:t>于家村</w:t>
            </w:r>
          </w:p>
        </w:tc>
        <w:tc>
          <w:tcPr>
            <w:tcW w:w="1134" w:type="dxa"/>
            <w:noWrap/>
            <w:vAlign w:val="center"/>
          </w:tcPr>
          <w:p w14:paraId="4F2E5918">
            <w:pPr>
              <w:wordWrap w:val="0"/>
              <w:spacing w:line="240" w:lineRule="auto"/>
              <w:jc w:val="center"/>
              <w:rPr>
                <w:rFonts w:cs="Times New Roman"/>
                <w:kern w:val="0"/>
                <w:sz w:val="21"/>
                <w:szCs w:val="21"/>
                <w14:ligatures w14:val="none"/>
              </w:rPr>
            </w:pPr>
            <w:r>
              <w:rPr>
                <w:rFonts w:hint="eastAsia"/>
                <w:sz w:val="21"/>
                <w:szCs w:val="21"/>
              </w:rPr>
              <w:t>小时值</w:t>
            </w:r>
          </w:p>
        </w:tc>
        <w:tc>
          <w:tcPr>
            <w:tcW w:w="1141" w:type="dxa"/>
            <w:noWrap/>
            <w:vAlign w:val="center"/>
          </w:tcPr>
          <w:p w14:paraId="401CD9EA">
            <w:pPr>
              <w:wordWrap w:val="0"/>
              <w:spacing w:line="240" w:lineRule="auto"/>
              <w:jc w:val="center"/>
              <w:rPr>
                <w:rFonts w:cs="Times New Roman"/>
                <w:kern w:val="0"/>
                <w:sz w:val="21"/>
                <w:szCs w:val="21"/>
                <w14:ligatures w14:val="none"/>
              </w:rPr>
            </w:pPr>
            <w:r>
              <w:rPr>
                <w:rFonts w:hint="eastAsia"/>
                <w:sz w:val="21"/>
                <w:szCs w:val="21"/>
              </w:rPr>
              <w:t>2.58E+00</w:t>
            </w:r>
          </w:p>
        </w:tc>
        <w:tc>
          <w:tcPr>
            <w:tcW w:w="1407" w:type="dxa"/>
            <w:noWrap/>
            <w:vAlign w:val="center"/>
          </w:tcPr>
          <w:p w14:paraId="2DE0CAF0">
            <w:pPr>
              <w:wordWrap w:val="0"/>
              <w:spacing w:line="240" w:lineRule="auto"/>
              <w:jc w:val="center"/>
              <w:rPr>
                <w:rFonts w:cs="Times New Roman"/>
                <w:kern w:val="0"/>
                <w:sz w:val="21"/>
                <w:szCs w:val="21"/>
                <w14:ligatures w14:val="none"/>
              </w:rPr>
            </w:pPr>
            <w:r>
              <w:rPr>
                <w:rFonts w:hint="eastAsia"/>
                <w:sz w:val="21"/>
                <w:szCs w:val="21"/>
              </w:rPr>
              <w:t>23092220</w:t>
            </w:r>
          </w:p>
        </w:tc>
        <w:tc>
          <w:tcPr>
            <w:tcW w:w="1392" w:type="dxa"/>
            <w:noWrap/>
            <w:vAlign w:val="center"/>
          </w:tcPr>
          <w:p w14:paraId="23D6265E">
            <w:pPr>
              <w:wordWrap w:val="0"/>
              <w:spacing w:line="240" w:lineRule="auto"/>
              <w:jc w:val="center"/>
              <w:rPr>
                <w:rFonts w:cs="Times New Roman"/>
                <w:kern w:val="0"/>
                <w:sz w:val="21"/>
                <w:szCs w:val="21"/>
                <w14:ligatures w14:val="none"/>
              </w:rPr>
            </w:pPr>
            <w:r>
              <w:rPr>
                <w:rFonts w:hint="eastAsia"/>
                <w:sz w:val="21"/>
                <w:szCs w:val="21"/>
              </w:rPr>
              <w:t>2.00E+03</w:t>
            </w:r>
          </w:p>
        </w:tc>
        <w:tc>
          <w:tcPr>
            <w:tcW w:w="1074" w:type="dxa"/>
            <w:noWrap/>
            <w:vAlign w:val="center"/>
          </w:tcPr>
          <w:p w14:paraId="698A9B12">
            <w:pPr>
              <w:wordWrap w:val="0"/>
              <w:spacing w:line="240" w:lineRule="auto"/>
              <w:jc w:val="center"/>
              <w:rPr>
                <w:rFonts w:cs="Times New Roman"/>
                <w:kern w:val="0"/>
                <w:sz w:val="21"/>
                <w:szCs w:val="21"/>
                <w14:ligatures w14:val="none"/>
              </w:rPr>
            </w:pPr>
            <w:r>
              <w:rPr>
                <w:rFonts w:hint="eastAsia"/>
                <w:sz w:val="21"/>
                <w:szCs w:val="21"/>
              </w:rPr>
              <w:t>0.13</w:t>
            </w:r>
          </w:p>
        </w:tc>
        <w:tc>
          <w:tcPr>
            <w:tcW w:w="1074" w:type="dxa"/>
            <w:noWrap/>
            <w:vAlign w:val="center"/>
          </w:tcPr>
          <w:p w14:paraId="056BE0DA">
            <w:pPr>
              <w:wordWrap w:val="0"/>
              <w:spacing w:line="240" w:lineRule="auto"/>
              <w:jc w:val="center"/>
              <w:rPr>
                <w:rFonts w:cs="Times New Roman"/>
                <w:kern w:val="0"/>
                <w:sz w:val="21"/>
                <w:szCs w:val="21"/>
                <w14:ligatures w14:val="none"/>
              </w:rPr>
            </w:pPr>
            <w:r>
              <w:rPr>
                <w:rFonts w:hint="eastAsia"/>
                <w:sz w:val="21"/>
                <w:szCs w:val="21"/>
              </w:rPr>
              <w:t>达标</w:t>
            </w:r>
          </w:p>
        </w:tc>
      </w:tr>
      <w:tr w14:paraId="617797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62" w:type="dxa"/>
            <w:vAlign w:val="center"/>
          </w:tcPr>
          <w:p w14:paraId="3CED9B0E">
            <w:pPr>
              <w:wordWrap w:val="0"/>
              <w:spacing w:line="240" w:lineRule="auto"/>
              <w:jc w:val="center"/>
              <w:rPr>
                <w:rFonts w:cs="Times New Roman"/>
                <w:kern w:val="0"/>
                <w:sz w:val="21"/>
                <w:szCs w:val="21"/>
                <w14:ligatures w14:val="none"/>
              </w:rPr>
            </w:pPr>
            <w:r>
              <w:rPr>
                <w:rFonts w:hint="eastAsia"/>
                <w:kern w:val="0"/>
                <w:sz w:val="21"/>
                <w:szCs w:val="21"/>
                <w14:ligatures w14:val="none"/>
              </w:rPr>
              <w:t>10</w:t>
            </w:r>
          </w:p>
        </w:tc>
        <w:tc>
          <w:tcPr>
            <w:tcW w:w="1276" w:type="dxa"/>
            <w:noWrap/>
            <w:vAlign w:val="center"/>
          </w:tcPr>
          <w:p w14:paraId="02622B4D">
            <w:pPr>
              <w:wordWrap w:val="0"/>
              <w:spacing w:line="240" w:lineRule="auto"/>
              <w:jc w:val="center"/>
              <w:rPr>
                <w:rFonts w:cs="Times New Roman"/>
                <w:kern w:val="0"/>
                <w:sz w:val="21"/>
                <w:szCs w:val="21"/>
                <w14:ligatures w14:val="none"/>
              </w:rPr>
            </w:pPr>
            <w:r>
              <w:rPr>
                <w:rFonts w:hint="eastAsia"/>
                <w:sz w:val="21"/>
                <w:szCs w:val="21"/>
              </w:rPr>
              <w:t>陈巷</w:t>
            </w:r>
          </w:p>
        </w:tc>
        <w:tc>
          <w:tcPr>
            <w:tcW w:w="1134" w:type="dxa"/>
            <w:noWrap/>
            <w:vAlign w:val="center"/>
          </w:tcPr>
          <w:p w14:paraId="0B23D9D4">
            <w:pPr>
              <w:wordWrap w:val="0"/>
              <w:spacing w:line="240" w:lineRule="auto"/>
              <w:jc w:val="center"/>
              <w:rPr>
                <w:rFonts w:cs="Times New Roman"/>
                <w:kern w:val="0"/>
                <w:sz w:val="21"/>
                <w:szCs w:val="21"/>
                <w14:ligatures w14:val="none"/>
              </w:rPr>
            </w:pPr>
            <w:r>
              <w:rPr>
                <w:rFonts w:hint="eastAsia"/>
                <w:sz w:val="21"/>
                <w:szCs w:val="21"/>
              </w:rPr>
              <w:t>小时值</w:t>
            </w:r>
          </w:p>
        </w:tc>
        <w:tc>
          <w:tcPr>
            <w:tcW w:w="1141" w:type="dxa"/>
            <w:noWrap/>
            <w:vAlign w:val="center"/>
          </w:tcPr>
          <w:p w14:paraId="79685DFA">
            <w:pPr>
              <w:wordWrap w:val="0"/>
              <w:spacing w:line="240" w:lineRule="auto"/>
              <w:jc w:val="center"/>
              <w:rPr>
                <w:rFonts w:cs="Times New Roman"/>
                <w:kern w:val="0"/>
                <w:sz w:val="21"/>
                <w:szCs w:val="21"/>
                <w14:ligatures w14:val="none"/>
              </w:rPr>
            </w:pPr>
            <w:r>
              <w:rPr>
                <w:rFonts w:hint="eastAsia"/>
                <w:sz w:val="21"/>
                <w:szCs w:val="21"/>
              </w:rPr>
              <w:t>2.74E+00</w:t>
            </w:r>
          </w:p>
        </w:tc>
        <w:tc>
          <w:tcPr>
            <w:tcW w:w="1407" w:type="dxa"/>
            <w:noWrap/>
            <w:vAlign w:val="center"/>
          </w:tcPr>
          <w:p w14:paraId="33EA26FD">
            <w:pPr>
              <w:wordWrap w:val="0"/>
              <w:spacing w:line="240" w:lineRule="auto"/>
              <w:jc w:val="center"/>
              <w:rPr>
                <w:rFonts w:cs="Times New Roman"/>
                <w:kern w:val="0"/>
                <w:sz w:val="21"/>
                <w:szCs w:val="21"/>
                <w14:ligatures w14:val="none"/>
              </w:rPr>
            </w:pPr>
            <w:r>
              <w:rPr>
                <w:rFonts w:hint="eastAsia"/>
                <w:sz w:val="21"/>
                <w:szCs w:val="21"/>
              </w:rPr>
              <w:t>23080406</w:t>
            </w:r>
          </w:p>
        </w:tc>
        <w:tc>
          <w:tcPr>
            <w:tcW w:w="1392" w:type="dxa"/>
            <w:noWrap/>
            <w:vAlign w:val="center"/>
          </w:tcPr>
          <w:p w14:paraId="38E6871C">
            <w:pPr>
              <w:wordWrap w:val="0"/>
              <w:spacing w:line="240" w:lineRule="auto"/>
              <w:jc w:val="center"/>
              <w:rPr>
                <w:rFonts w:cs="Times New Roman"/>
                <w:kern w:val="0"/>
                <w:sz w:val="21"/>
                <w:szCs w:val="21"/>
                <w14:ligatures w14:val="none"/>
              </w:rPr>
            </w:pPr>
            <w:r>
              <w:rPr>
                <w:rFonts w:hint="eastAsia"/>
                <w:sz w:val="21"/>
                <w:szCs w:val="21"/>
              </w:rPr>
              <w:t>2.00E+03</w:t>
            </w:r>
          </w:p>
        </w:tc>
        <w:tc>
          <w:tcPr>
            <w:tcW w:w="1074" w:type="dxa"/>
            <w:noWrap/>
            <w:vAlign w:val="center"/>
          </w:tcPr>
          <w:p w14:paraId="7EDA16C8">
            <w:pPr>
              <w:wordWrap w:val="0"/>
              <w:spacing w:line="240" w:lineRule="auto"/>
              <w:jc w:val="center"/>
              <w:rPr>
                <w:rFonts w:cs="Times New Roman"/>
                <w:kern w:val="0"/>
                <w:sz w:val="21"/>
                <w:szCs w:val="21"/>
                <w14:ligatures w14:val="none"/>
              </w:rPr>
            </w:pPr>
            <w:r>
              <w:rPr>
                <w:rFonts w:hint="eastAsia"/>
                <w:sz w:val="21"/>
                <w:szCs w:val="21"/>
              </w:rPr>
              <w:t>0.14</w:t>
            </w:r>
          </w:p>
        </w:tc>
        <w:tc>
          <w:tcPr>
            <w:tcW w:w="1074" w:type="dxa"/>
            <w:noWrap/>
            <w:vAlign w:val="center"/>
          </w:tcPr>
          <w:p w14:paraId="0FA90027">
            <w:pPr>
              <w:wordWrap w:val="0"/>
              <w:spacing w:line="240" w:lineRule="auto"/>
              <w:jc w:val="center"/>
              <w:rPr>
                <w:rFonts w:cs="Times New Roman"/>
                <w:kern w:val="0"/>
                <w:sz w:val="21"/>
                <w:szCs w:val="21"/>
                <w14:ligatures w14:val="none"/>
              </w:rPr>
            </w:pPr>
            <w:r>
              <w:rPr>
                <w:rFonts w:hint="eastAsia"/>
                <w:sz w:val="21"/>
                <w:szCs w:val="21"/>
              </w:rPr>
              <w:t>达标</w:t>
            </w:r>
          </w:p>
        </w:tc>
      </w:tr>
      <w:tr w14:paraId="10E4B2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62" w:type="dxa"/>
            <w:vAlign w:val="center"/>
          </w:tcPr>
          <w:p w14:paraId="4400F5EC">
            <w:pPr>
              <w:wordWrap w:val="0"/>
              <w:spacing w:line="240" w:lineRule="auto"/>
              <w:jc w:val="center"/>
              <w:rPr>
                <w:rFonts w:cs="Times New Roman"/>
                <w:kern w:val="0"/>
                <w:sz w:val="21"/>
                <w:szCs w:val="21"/>
                <w14:ligatures w14:val="none"/>
              </w:rPr>
            </w:pPr>
            <w:r>
              <w:rPr>
                <w:rFonts w:hint="eastAsia"/>
                <w:kern w:val="0"/>
                <w:sz w:val="21"/>
                <w:szCs w:val="21"/>
                <w14:ligatures w14:val="none"/>
              </w:rPr>
              <w:t>11</w:t>
            </w:r>
          </w:p>
        </w:tc>
        <w:tc>
          <w:tcPr>
            <w:tcW w:w="1276" w:type="dxa"/>
            <w:noWrap/>
            <w:vAlign w:val="center"/>
          </w:tcPr>
          <w:p w14:paraId="73E730EE">
            <w:pPr>
              <w:wordWrap w:val="0"/>
              <w:spacing w:line="240" w:lineRule="auto"/>
              <w:jc w:val="center"/>
              <w:rPr>
                <w:rFonts w:cs="Times New Roman"/>
                <w:kern w:val="0"/>
                <w:sz w:val="21"/>
                <w:szCs w:val="21"/>
                <w14:ligatures w14:val="none"/>
              </w:rPr>
            </w:pPr>
            <w:r>
              <w:rPr>
                <w:rFonts w:hint="eastAsia"/>
                <w:sz w:val="21"/>
                <w:szCs w:val="21"/>
              </w:rPr>
              <w:t>网格</w:t>
            </w:r>
          </w:p>
        </w:tc>
        <w:tc>
          <w:tcPr>
            <w:tcW w:w="1134" w:type="dxa"/>
            <w:noWrap/>
            <w:vAlign w:val="center"/>
          </w:tcPr>
          <w:p w14:paraId="074CFE45">
            <w:pPr>
              <w:wordWrap w:val="0"/>
              <w:spacing w:line="240" w:lineRule="auto"/>
              <w:jc w:val="center"/>
              <w:rPr>
                <w:rFonts w:cs="Times New Roman"/>
                <w:kern w:val="0"/>
                <w:sz w:val="21"/>
                <w:szCs w:val="21"/>
                <w14:ligatures w14:val="none"/>
              </w:rPr>
            </w:pPr>
            <w:r>
              <w:rPr>
                <w:rFonts w:hint="eastAsia"/>
                <w:sz w:val="21"/>
                <w:szCs w:val="21"/>
              </w:rPr>
              <w:t>小时值</w:t>
            </w:r>
          </w:p>
        </w:tc>
        <w:tc>
          <w:tcPr>
            <w:tcW w:w="1141" w:type="dxa"/>
            <w:noWrap/>
            <w:vAlign w:val="center"/>
          </w:tcPr>
          <w:p w14:paraId="2FC34E72">
            <w:pPr>
              <w:wordWrap w:val="0"/>
              <w:spacing w:line="240" w:lineRule="auto"/>
              <w:jc w:val="center"/>
              <w:rPr>
                <w:rFonts w:cs="Times New Roman"/>
                <w:kern w:val="0"/>
                <w:sz w:val="21"/>
                <w:szCs w:val="21"/>
                <w14:ligatures w14:val="none"/>
              </w:rPr>
            </w:pPr>
            <w:r>
              <w:rPr>
                <w:rFonts w:hint="eastAsia"/>
                <w:sz w:val="21"/>
                <w:szCs w:val="21"/>
              </w:rPr>
              <w:t>1.02E+01</w:t>
            </w:r>
          </w:p>
        </w:tc>
        <w:tc>
          <w:tcPr>
            <w:tcW w:w="1407" w:type="dxa"/>
            <w:noWrap/>
            <w:vAlign w:val="center"/>
          </w:tcPr>
          <w:p w14:paraId="72A539C9">
            <w:pPr>
              <w:wordWrap w:val="0"/>
              <w:spacing w:line="240" w:lineRule="auto"/>
              <w:jc w:val="center"/>
              <w:rPr>
                <w:rFonts w:cs="Times New Roman"/>
                <w:kern w:val="0"/>
                <w:sz w:val="21"/>
                <w:szCs w:val="21"/>
                <w14:ligatures w14:val="none"/>
              </w:rPr>
            </w:pPr>
            <w:r>
              <w:rPr>
                <w:rFonts w:hint="eastAsia"/>
                <w:sz w:val="21"/>
                <w:szCs w:val="21"/>
              </w:rPr>
              <w:t>23110217</w:t>
            </w:r>
          </w:p>
        </w:tc>
        <w:tc>
          <w:tcPr>
            <w:tcW w:w="1392" w:type="dxa"/>
            <w:noWrap/>
            <w:vAlign w:val="center"/>
          </w:tcPr>
          <w:p w14:paraId="47A6D412">
            <w:pPr>
              <w:wordWrap w:val="0"/>
              <w:spacing w:line="240" w:lineRule="auto"/>
              <w:jc w:val="center"/>
              <w:rPr>
                <w:rFonts w:cs="Times New Roman"/>
                <w:kern w:val="0"/>
                <w:sz w:val="21"/>
                <w:szCs w:val="21"/>
                <w14:ligatures w14:val="none"/>
              </w:rPr>
            </w:pPr>
            <w:r>
              <w:rPr>
                <w:rFonts w:hint="eastAsia"/>
                <w:sz w:val="21"/>
                <w:szCs w:val="21"/>
              </w:rPr>
              <w:t>2.00E+03</w:t>
            </w:r>
          </w:p>
        </w:tc>
        <w:tc>
          <w:tcPr>
            <w:tcW w:w="1074" w:type="dxa"/>
            <w:noWrap/>
            <w:vAlign w:val="center"/>
          </w:tcPr>
          <w:p w14:paraId="6622A0B6">
            <w:pPr>
              <w:wordWrap w:val="0"/>
              <w:spacing w:line="240" w:lineRule="auto"/>
              <w:jc w:val="center"/>
              <w:rPr>
                <w:rFonts w:cs="Times New Roman"/>
                <w:kern w:val="0"/>
                <w:sz w:val="21"/>
                <w:szCs w:val="21"/>
                <w14:ligatures w14:val="none"/>
              </w:rPr>
            </w:pPr>
            <w:r>
              <w:rPr>
                <w:rFonts w:hint="eastAsia"/>
                <w:sz w:val="21"/>
                <w:szCs w:val="21"/>
              </w:rPr>
              <w:t>0.51</w:t>
            </w:r>
          </w:p>
        </w:tc>
        <w:tc>
          <w:tcPr>
            <w:tcW w:w="1074" w:type="dxa"/>
            <w:noWrap/>
            <w:vAlign w:val="center"/>
          </w:tcPr>
          <w:p w14:paraId="597C4EB7">
            <w:pPr>
              <w:wordWrap w:val="0"/>
              <w:spacing w:line="240" w:lineRule="auto"/>
              <w:jc w:val="center"/>
              <w:rPr>
                <w:rFonts w:cs="Times New Roman"/>
                <w:kern w:val="0"/>
                <w:sz w:val="21"/>
                <w:szCs w:val="21"/>
                <w14:ligatures w14:val="none"/>
              </w:rPr>
            </w:pPr>
            <w:r>
              <w:rPr>
                <w:rFonts w:hint="eastAsia"/>
                <w:sz w:val="21"/>
                <w:szCs w:val="21"/>
              </w:rPr>
              <w:t>达标</w:t>
            </w:r>
          </w:p>
        </w:tc>
      </w:tr>
    </w:tbl>
    <w:p w14:paraId="309521B3">
      <w:pPr>
        <w:ind w:firstLine="468" w:firstLineChars="200"/>
        <w:rPr>
          <w:rFonts w:cs="Times New Roman"/>
          <w:spacing w:val="-3"/>
        </w:rPr>
      </w:pPr>
    </w:p>
    <w:p w14:paraId="643A9B54">
      <w:pPr>
        <w:pStyle w:val="82"/>
        <w:ind w:firstLine="480"/>
        <w:jc w:val="both"/>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(2)酚类</w:t>
      </w:r>
    </w:p>
    <w:p w14:paraId="3765D469">
      <w:pPr>
        <w:ind w:firstLine="480" w:firstLineChars="200"/>
        <w:rPr>
          <w:rFonts w:cs="Times New Roman"/>
          <w:spacing w:val="-3"/>
        </w:rPr>
      </w:pPr>
      <w:r>
        <w:rPr>
          <w:rFonts w:hint="eastAsia"/>
        </w:rPr>
        <w:t>非正常工况下酚类贡献质量浓度预测结果如表6.2-22所示。</w:t>
      </w:r>
    </w:p>
    <w:p w14:paraId="58929364">
      <w:pPr>
        <w:pStyle w:val="28"/>
        <w:rPr>
          <w:rFonts w:hint="eastAsia"/>
          <w:szCs w:val="22"/>
        </w:rPr>
      </w:pPr>
      <w:r>
        <w:rPr>
          <w:szCs w:val="22"/>
        </w:rPr>
        <w:t>表</w:t>
      </w:r>
      <w:r>
        <w:rPr>
          <w:rFonts w:hint="eastAsia"/>
          <w:szCs w:val="22"/>
        </w:rPr>
        <w:t xml:space="preserve">6.2-22 </w:t>
      </w:r>
      <w:r>
        <w:rPr>
          <w:szCs w:val="22"/>
        </w:rPr>
        <w:t xml:space="preserve"> </w:t>
      </w:r>
      <w:r>
        <w:rPr>
          <w:rFonts w:hint="eastAsia"/>
          <w:szCs w:val="22"/>
        </w:rPr>
        <w:t>非正常工况下</w:t>
      </w:r>
      <w:r>
        <w:rPr>
          <w:rFonts w:hint="eastAsia"/>
        </w:rPr>
        <w:t>酚类贡献质量浓度预测结果</w:t>
      </w:r>
    </w:p>
    <w:tbl>
      <w:tblPr>
        <w:tblStyle w:val="3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62"/>
        <w:gridCol w:w="1276"/>
        <w:gridCol w:w="1134"/>
        <w:gridCol w:w="1141"/>
        <w:gridCol w:w="1407"/>
        <w:gridCol w:w="1392"/>
        <w:gridCol w:w="1074"/>
        <w:gridCol w:w="1074"/>
      </w:tblGrid>
      <w:tr w14:paraId="1ADAB7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62" w:type="dxa"/>
            <w:vAlign w:val="center"/>
          </w:tcPr>
          <w:p w14:paraId="0A2D359A">
            <w:pPr>
              <w:wordWrap w:val="0"/>
              <w:spacing w:line="240" w:lineRule="auto"/>
              <w:jc w:val="center"/>
              <w:rPr>
                <w:rFonts w:cs="Times New Roman"/>
                <w:kern w:val="0"/>
                <w:sz w:val="21"/>
                <w:szCs w:val="21"/>
                <w14:ligatures w14:val="none"/>
              </w:rPr>
            </w:pPr>
            <w:r>
              <w:rPr>
                <w:rFonts w:hint="eastAsia" w:cs="Times New Roman"/>
                <w:kern w:val="0"/>
                <w:sz w:val="21"/>
                <w:szCs w:val="21"/>
                <w14:ligatures w14:val="none"/>
              </w:rPr>
              <w:t>序号</w:t>
            </w:r>
          </w:p>
        </w:tc>
        <w:tc>
          <w:tcPr>
            <w:tcW w:w="1276" w:type="dxa"/>
            <w:noWrap/>
            <w:vAlign w:val="center"/>
          </w:tcPr>
          <w:p w14:paraId="036E195C">
            <w:pPr>
              <w:wordWrap w:val="0"/>
              <w:spacing w:line="240" w:lineRule="auto"/>
              <w:jc w:val="center"/>
              <w:rPr>
                <w:rFonts w:cs="Times New Roman"/>
                <w:kern w:val="0"/>
                <w:sz w:val="21"/>
                <w:szCs w:val="21"/>
                <w14:ligatures w14:val="none"/>
              </w:rPr>
            </w:pPr>
            <w:r>
              <w:rPr>
                <w:rFonts w:hint="eastAsia" w:cs="Times New Roman"/>
                <w:kern w:val="0"/>
                <w:sz w:val="21"/>
                <w:szCs w:val="21"/>
                <w14:ligatures w14:val="none"/>
              </w:rPr>
              <w:t>点名称</w:t>
            </w:r>
          </w:p>
        </w:tc>
        <w:tc>
          <w:tcPr>
            <w:tcW w:w="1134" w:type="dxa"/>
            <w:noWrap/>
            <w:vAlign w:val="center"/>
          </w:tcPr>
          <w:p w14:paraId="31CF8BAE">
            <w:pPr>
              <w:wordWrap w:val="0"/>
              <w:spacing w:line="240" w:lineRule="auto"/>
              <w:jc w:val="center"/>
              <w:rPr>
                <w:rFonts w:cs="Times New Roman"/>
                <w:kern w:val="0"/>
                <w:sz w:val="21"/>
                <w:szCs w:val="21"/>
                <w14:ligatures w14:val="none"/>
              </w:rPr>
            </w:pPr>
            <w:r>
              <w:rPr>
                <w:rFonts w:cs="Times New Roman"/>
                <w:kern w:val="0"/>
                <w:sz w:val="21"/>
                <w:szCs w:val="21"/>
                <w14:ligatures w14:val="none"/>
              </w:rPr>
              <w:t>浓度类型</w:t>
            </w:r>
          </w:p>
        </w:tc>
        <w:tc>
          <w:tcPr>
            <w:tcW w:w="1141" w:type="dxa"/>
            <w:noWrap/>
            <w:vAlign w:val="center"/>
          </w:tcPr>
          <w:p w14:paraId="022E60F7">
            <w:pPr>
              <w:wordWrap w:val="0"/>
              <w:spacing w:line="240" w:lineRule="auto"/>
              <w:jc w:val="center"/>
              <w:rPr>
                <w:rFonts w:cs="Times New Roman"/>
                <w:kern w:val="0"/>
                <w:sz w:val="21"/>
                <w:szCs w:val="21"/>
                <w14:ligatures w14:val="none"/>
              </w:rPr>
            </w:pPr>
            <w:r>
              <w:rPr>
                <w:rFonts w:cs="Times New Roman"/>
                <w:kern w:val="0"/>
                <w:sz w:val="21"/>
                <w:szCs w:val="21"/>
                <w14:ligatures w14:val="none"/>
              </w:rPr>
              <w:t>浓度增量(μg/m</w:t>
            </w:r>
            <w:r>
              <w:rPr>
                <w:rFonts w:cs="Times New Roman"/>
                <w:kern w:val="0"/>
                <w:sz w:val="21"/>
                <w:szCs w:val="21"/>
                <w:vertAlign w:val="superscript"/>
                <w14:ligatures w14:val="none"/>
              </w:rPr>
              <w:t>3</w:t>
            </w:r>
            <w:r>
              <w:rPr>
                <w:rFonts w:cs="Times New Roman"/>
                <w:kern w:val="0"/>
                <w:sz w:val="21"/>
                <w:szCs w:val="21"/>
                <w14:ligatures w14:val="none"/>
              </w:rPr>
              <w:t>)</w:t>
            </w:r>
          </w:p>
        </w:tc>
        <w:tc>
          <w:tcPr>
            <w:tcW w:w="1407" w:type="dxa"/>
            <w:noWrap/>
            <w:vAlign w:val="center"/>
          </w:tcPr>
          <w:p w14:paraId="484A9389">
            <w:pPr>
              <w:wordWrap w:val="0"/>
              <w:spacing w:line="240" w:lineRule="auto"/>
              <w:jc w:val="center"/>
              <w:rPr>
                <w:rFonts w:cs="Times New Roman"/>
                <w:kern w:val="0"/>
                <w:sz w:val="21"/>
                <w:szCs w:val="21"/>
                <w14:ligatures w14:val="none"/>
              </w:rPr>
            </w:pPr>
            <w:r>
              <w:rPr>
                <w:rFonts w:cs="Times New Roman"/>
                <w:kern w:val="0"/>
                <w:sz w:val="21"/>
                <w:szCs w:val="21"/>
                <w14:ligatures w14:val="none"/>
              </w:rPr>
              <w:t>出现时间</w:t>
            </w:r>
          </w:p>
        </w:tc>
        <w:tc>
          <w:tcPr>
            <w:tcW w:w="1392" w:type="dxa"/>
            <w:noWrap/>
            <w:vAlign w:val="center"/>
          </w:tcPr>
          <w:p w14:paraId="700AC443">
            <w:pPr>
              <w:wordWrap w:val="0"/>
              <w:spacing w:line="240" w:lineRule="auto"/>
              <w:jc w:val="center"/>
              <w:rPr>
                <w:rFonts w:cs="Times New Roman"/>
                <w:kern w:val="0"/>
                <w:sz w:val="21"/>
                <w:szCs w:val="21"/>
                <w14:ligatures w14:val="none"/>
              </w:rPr>
            </w:pPr>
            <w:r>
              <w:rPr>
                <w:rFonts w:cs="Times New Roman"/>
                <w:kern w:val="0"/>
                <w:sz w:val="21"/>
                <w:szCs w:val="21"/>
                <w14:ligatures w14:val="none"/>
              </w:rPr>
              <w:t>评价标准(μg/m</w:t>
            </w:r>
            <w:r>
              <w:rPr>
                <w:rFonts w:cs="Times New Roman"/>
                <w:kern w:val="0"/>
                <w:sz w:val="21"/>
                <w:szCs w:val="21"/>
                <w:vertAlign w:val="superscript"/>
                <w14:ligatures w14:val="none"/>
              </w:rPr>
              <w:t>3</w:t>
            </w:r>
            <w:r>
              <w:rPr>
                <w:rFonts w:cs="Times New Roman"/>
                <w:kern w:val="0"/>
                <w:sz w:val="21"/>
                <w:szCs w:val="21"/>
                <w14:ligatures w14:val="none"/>
              </w:rPr>
              <w:t>)</w:t>
            </w:r>
          </w:p>
        </w:tc>
        <w:tc>
          <w:tcPr>
            <w:tcW w:w="1074" w:type="dxa"/>
            <w:noWrap/>
            <w:vAlign w:val="center"/>
          </w:tcPr>
          <w:p w14:paraId="681838D8">
            <w:pPr>
              <w:wordWrap w:val="0"/>
              <w:spacing w:line="240" w:lineRule="auto"/>
              <w:jc w:val="center"/>
              <w:rPr>
                <w:rFonts w:cs="Times New Roman"/>
                <w:kern w:val="0"/>
                <w:sz w:val="21"/>
                <w:szCs w:val="21"/>
                <w14:ligatures w14:val="none"/>
              </w:rPr>
            </w:pPr>
            <w:r>
              <w:rPr>
                <w:rFonts w:cs="Times New Roman"/>
                <w:kern w:val="0"/>
                <w:sz w:val="21"/>
                <w:szCs w:val="21"/>
                <w14:ligatures w14:val="none"/>
              </w:rPr>
              <w:t>占标率%</w:t>
            </w:r>
          </w:p>
        </w:tc>
        <w:tc>
          <w:tcPr>
            <w:tcW w:w="1074" w:type="dxa"/>
            <w:noWrap/>
            <w:vAlign w:val="center"/>
          </w:tcPr>
          <w:p w14:paraId="0449B613">
            <w:pPr>
              <w:wordWrap w:val="0"/>
              <w:spacing w:line="240" w:lineRule="auto"/>
              <w:jc w:val="center"/>
              <w:rPr>
                <w:rFonts w:cs="Times New Roman"/>
                <w:kern w:val="0"/>
                <w:sz w:val="21"/>
                <w:szCs w:val="21"/>
                <w14:ligatures w14:val="none"/>
              </w:rPr>
            </w:pPr>
            <w:r>
              <w:rPr>
                <w:rFonts w:cs="Times New Roman"/>
                <w:kern w:val="0"/>
                <w:sz w:val="21"/>
                <w:szCs w:val="21"/>
                <w14:ligatures w14:val="none"/>
              </w:rPr>
              <w:t>达标情况</w:t>
            </w:r>
          </w:p>
        </w:tc>
      </w:tr>
      <w:tr w14:paraId="47CC93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62" w:type="dxa"/>
            <w:vAlign w:val="center"/>
          </w:tcPr>
          <w:p w14:paraId="53B2A6CB">
            <w:pPr>
              <w:wordWrap w:val="0"/>
              <w:spacing w:line="240" w:lineRule="auto"/>
              <w:jc w:val="center"/>
              <w:rPr>
                <w:rFonts w:cs="Times New Roman"/>
                <w:kern w:val="0"/>
                <w:sz w:val="21"/>
                <w:szCs w:val="21"/>
                <w14:ligatures w14:val="none"/>
              </w:rPr>
            </w:pPr>
            <w:r>
              <w:rPr>
                <w:rFonts w:hint="eastAsia"/>
                <w:kern w:val="0"/>
                <w:sz w:val="21"/>
                <w:szCs w:val="21"/>
                <w14:ligatures w14:val="none"/>
              </w:rPr>
              <w:t>1</w:t>
            </w:r>
          </w:p>
        </w:tc>
        <w:tc>
          <w:tcPr>
            <w:tcW w:w="1276" w:type="dxa"/>
            <w:noWrap/>
            <w:vAlign w:val="center"/>
          </w:tcPr>
          <w:p w14:paraId="07B5AB57">
            <w:pPr>
              <w:wordWrap w:val="0"/>
              <w:spacing w:line="240" w:lineRule="auto"/>
              <w:jc w:val="center"/>
              <w:rPr>
                <w:rFonts w:cs="Times New Roman"/>
                <w:kern w:val="0"/>
                <w:sz w:val="21"/>
                <w:szCs w:val="21"/>
                <w14:ligatures w14:val="none"/>
              </w:rPr>
            </w:pPr>
            <w:r>
              <w:rPr>
                <w:rFonts w:hint="eastAsia"/>
                <w:sz w:val="21"/>
                <w:szCs w:val="21"/>
              </w:rPr>
              <w:t>三铺村</w:t>
            </w:r>
          </w:p>
        </w:tc>
        <w:tc>
          <w:tcPr>
            <w:tcW w:w="1134" w:type="dxa"/>
            <w:noWrap/>
            <w:vAlign w:val="center"/>
          </w:tcPr>
          <w:p w14:paraId="5F7AEA2B">
            <w:pPr>
              <w:wordWrap w:val="0"/>
              <w:spacing w:line="240" w:lineRule="auto"/>
              <w:jc w:val="center"/>
              <w:rPr>
                <w:rFonts w:cs="Times New Roman"/>
                <w:kern w:val="0"/>
                <w:sz w:val="21"/>
                <w:szCs w:val="21"/>
                <w14:ligatures w14:val="none"/>
              </w:rPr>
            </w:pPr>
            <w:r>
              <w:rPr>
                <w:rFonts w:hint="eastAsia"/>
                <w:sz w:val="21"/>
                <w:szCs w:val="21"/>
              </w:rPr>
              <w:t>小时值</w:t>
            </w:r>
          </w:p>
        </w:tc>
        <w:tc>
          <w:tcPr>
            <w:tcW w:w="1141" w:type="dxa"/>
            <w:noWrap/>
            <w:vAlign w:val="center"/>
          </w:tcPr>
          <w:p w14:paraId="09764AFE">
            <w:pPr>
              <w:wordWrap w:val="0"/>
              <w:spacing w:line="240" w:lineRule="auto"/>
              <w:jc w:val="center"/>
              <w:rPr>
                <w:rFonts w:cs="Times New Roman"/>
                <w:kern w:val="0"/>
                <w:sz w:val="21"/>
                <w:szCs w:val="21"/>
                <w14:ligatures w14:val="none"/>
              </w:rPr>
            </w:pPr>
            <w:r>
              <w:rPr>
                <w:rFonts w:hint="eastAsia"/>
                <w:sz w:val="21"/>
                <w:szCs w:val="21"/>
              </w:rPr>
              <w:t>3.86E+00</w:t>
            </w:r>
          </w:p>
        </w:tc>
        <w:tc>
          <w:tcPr>
            <w:tcW w:w="1407" w:type="dxa"/>
            <w:noWrap/>
            <w:vAlign w:val="center"/>
          </w:tcPr>
          <w:p w14:paraId="1A279DCF">
            <w:pPr>
              <w:wordWrap w:val="0"/>
              <w:spacing w:line="240" w:lineRule="auto"/>
              <w:jc w:val="center"/>
              <w:rPr>
                <w:rFonts w:cs="Times New Roman"/>
                <w:kern w:val="0"/>
                <w:sz w:val="21"/>
                <w:szCs w:val="21"/>
                <w14:ligatures w14:val="none"/>
              </w:rPr>
            </w:pPr>
            <w:r>
              <w:rPr>
                <w:rFonts w:hint="eastAsia"/>
                <w:sz w:val="21"/>
                <w:szCs w:val="21"/>
              </w:rPr>
              <w:t>23110124</w:t>
            </w:r>
          </w:p>
        </w:tc>
        <w:tc>
          <w:tcPr>
            <w:tcW w:w="1392" w:type="dxa"/>
            <w:noWrap/>
            <w:vAlign w:val="center"/>
          </w:tcPr>
          <w:p w14:paraId="7CDDD621">
            <w:pPr>
              <w:wordWrap w:val="0"/>
              <w:spacing w:line="240" w:lineRule="auto"/>
              <w:jc w:val="center"/>
              <w:rPr>
                <w:rFonts w:cs="Times New Roman"/>
                <w:kern w:val="0"/>
                <w:sz w:val="21"/>
                <w:szCs w:val="21"/>
                <w14:ligatures w14:val="none"/>
              </w:rPr>
            </w:pPr>
            <w:r>
              <w:rPr>
                <w:rFonts w:hint="eastAsia"/>
                <w:sz w:val="21"/>
                <w:szCs w:val="21"/>
              </w:rPr>
              <w:t>2.00E+01</w:t>
            </w:r>
          </w:p>
        </w:tc>
        <w:tc>
          <w:tcPr>
            <w:tcW w:w="1074" w:type="dxa"/>
            <w:noWrap/>
            <w:vAlign w:val="center"/>
          </w:tcPr>
          <w:p w14:paraId="656C9836">
            <w:pPr>
              <w:wordWrap w:val="0"/>
              <w:spacing w:line="240" w:lineRule="auto"/>
              <w:jc w:val="center"/>
              <w:rPr>
                <w:rFonts w:cs="Times New Roman"/>
                <w:kern w:val="0"/>
                <w:sz w:val="21"/>
                <w:szCs w:val="21"/>
                <w14:ligatures w14:val="none"/>
              </w:rPr>
            </w:pPr>
            <w:r>
              <w:rPr>
                <w:rFonts w:hint="eastAsia"/>
                <w:sz w:val="21"/>
                <w:szCs w:val="21"/>
              </w:rPr>
              <w:t>19.32</w:t>
            </w:r>
          </w:p>
        </w:tc>
        <w:tc>
          <w:tcPr>
            <w:tcW w:w="1074" w:type="dxa"/>
            <w:noWrap/>
            <w:vAlign w:val="center"/>
          </w:tcPr>
          <w:p w14:paraId="121842EF">
            <w:pPr>
              <w:wordWrap w:val="0"/>
              <w:spacing w:line="240" w:lineRule="auto"/>
              <w:jc w:val="center"/>
              <w:rPr>
                <w:rFonts w:cs="Times New Roman"/>
                <w:kern w:val="0"/>
                <w:sz w:val="21"/>
                <w:szCs w:val="21"/>
                <w14:ligatures w14:val="none"/>
              </w:rPr>
            </w:pPr>
            <w:r>
              <w:rPr>
                <w:rFonts w:hint="eastAsia"/>
                <w:sz w:val="21"/>
                <w:szCs w:val="21"/>
              </w:rPr>
              <w:t>达标</w:t>
            </w:r>
          </w:p>
        </w:tc>
      </w:tr>
      <w:tr w14:paraId="089370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62" w:type="dxa"/>
            <w:vAlign w:val="center"/>
          </w:tcPr>
          <w:p w14:paraId="0E381D91">
            <w:pPr>
              <w:wordWrap w:val="0"/>
              <w:spacing w:line="240" w:lineRule="auto"/>
              <w:jc w:val="center"/>
              <w:rPr>
                <w:rFonts w:cs="Times New Roman"/>
                <w:kern w:val="0"/>
                <w:sz w:val="21"/>
                <w:szCs w:val="21"/>
                <w14:ligatures w14:val="none"/>
              </w:rPr>
            </w:pPr>
            <w:r>
              <w:rPr>
                <w:rFonts w:hint="eastAsia"/>
                <w:kern w:val="0"/>
                <w:sz w:val="21"/>
                <w:szCs w:val="21"/>
                <w14:ligatures w14:val="none"/>
              </w:rPr>
              <w:t>2</w:t>
            </w:r>
          </w:p>
        </w:tc>
        <w:tc>
          <w:tcPr>
            <w:tcW w:w="1276" w:type="dxa"/>
            <w:noWrap/>
            <w:vAlign w:val="center"/>
          </w:tcPr>
          <w:p w14:paraId="19D2F7D4">
            <w:pPr>
              <w:wordWrap w:val="0"/>
              <w:spacing w:line="240" w:lineRule="auto"/>
              <w:jc w:val="center"/>
              <w:rPr>
                <w:rFonts w:cs="Times New Roman"/>
                <w:kern w:val="0"/>
                <w:sz w:val="21"/>
                <w:szCs w:val="21"/>
                <w14:ligatures w14:val="none"/>
              </w:rPr>
            </w:pPr>
            <w:r>
              <w:rPr>
                <w:rFonts w:hint="eastAsia"/>
                <w:sz w:val="21"/>
                <w:szCs w:val="21"/>
              </w:rPr>
              <w:t>三铺小学</w:t>
            </w:r>
          </w:p>
        </w:tc>
        <w:tc>
          <w:tcPr>
            <w:tcW w:w="1134" w:type="dxa"/>
            <w:noWrap/>
            <w:vAlign w:val="center"/>
          </w:tcPr>
          <w:p w14:paraId="4D7A43AD">
            <w:pPr>
              <w:wordWrap w:val="0"/>
              <w:spacing w:line="240" w:lineRule="auto"/>
              <w:jc w:val="center"/>
              <w:rPr>
                <w:rFonts w:cs="Times New Roman"/>
                <w:kern w:val="0"/>
                <w:sz w:val="21"/>
                <w:szCs w:val="21"/>
                <w14:ligatures w14:val="none"/>
              </w:rPr>
            </w:pPr>
            <w:r>
              <w:rPr>
                <w:rFonts w:hint="eastAsia"/>
                <w:sz w:val="21"/>
                <w:szCs w:val="21"/>
              </w:rPr>
              <w:t>小时值</w:t>
            </w:r>
          </w:p>
        </w:tc>
        <w:tc>
          <w:tcPr>
            <w:tcW w:w="1141" w:type="dxa"/>
            <w:noWrap/>
            <w:vAlign w:val="center"/>
          </w:tcPr>
          <w:p w14:paraId="66831E82">
            <w:pPr>
              <w:wordWrap w:val="0"/>
              <w:spacing w:line="240" w:lineRule="auto"/>
              <w:jc w:val="center"/>
              <w:rPr>
                <w:rFonts w:cs="Times New Roman"/>
                <w:kern w:val="0"/>
                <w:sz w:val="21"/>
                <w:szCs w:val="21"/>
                <w14:ligatures w14:val="none"/>
              </w:rPr>
            </w:pPr>
            <w:r>
              <w:rPr>
                <w:rFonts w:hint="eastAsia"/>
                <w:sz w:val="21"/>
                <w:szCs w:val="21"/>
              </w:rPr>
              <w:t>3.52E+00</w:t>
            </w:r>
          </w:p>
        </w:tc>
        <w:tc>
          <w:tcPr>
            <w:tcW w:w="1407" w:type="dxa"/>
            <w:noWrap/>
            <w:vAlign w:val="center"/>
          </w:tcPr>
          <w:p w14:paraId="4F365930">
            <w:pPr>
              <w:wordWrap w:val="0"/>
              <w:spacing w:line="240" w:lineRule="auto"/>
              <w:jc w:val="center"/>
              <w:rPr>
                <w:rFonts w:cs="Times New Roman"/>
                <w:kern w:val="0"/>
                <w:sz w:val="21"/>
                <w:szCs w:val="21"/>
                <w14:ligatures w14:val="none"/>
              </w:rPr>
            </w:pPr>
            <w:r>
              <w:rPr>
                <w:rFonts w:hint="eastAsia"/>
                <w:sz w:val="21"/>
                <w:szCs w:val="21"/>
              </w:rPr>
              <w:t>23060120</w:t>
            </w:r>
          </w:p>
        </w:tc>
        <w:tc>
          <w:tcPr>
            <w:tcW w:w="1392" w:type="dxa"/>
            <w:noWrap/>
            <w:vAlign w:val="center"/>
          </w:tcPr>
          <w:p w14:paraId="730858DB">
            <w:pPr>
              <w:wordWrap w:val="0"/>
              <w:spacing w:line="240" w:lineRule="auto"/>
              <w:jc w:val="center"/>
              <w:rPr>
                <w:rFonts w:cs="Times New Roman"/>
                <w:kern w:val="0"/>
                <w:sz w:val="21"/>
                <w:szCs w:val="21"/>
                <w14:ligatures w14:val="none"/>
              </w:rPr>
            </w:pPr>
            <w:r>
              <w:rPr>
                <w:rFonts w:hint="eastAsia"/>
                <w:sz w:val="21"/>
                <w:szCs w:val="21"/>
              </w:rPr>
              <w:t>2.00E+01</w:t>
            </w:r>
          </w:p>
        </w:tc>
        <w:tc>
          <w:tcPr>
            <w:tcW w:w="1074" w:type="dxa"/>
            <w:noWrap/>
            <w:vAlign w:val="center"/>
          </w:tcPr>
          <w:p w14:paraId="2245C245">
            <w:pPr>
              <w:wordWrap w:val="0"/>
              <w:spacing w:line="240" w:lineRule="auto"/>
              <w:jc w:val="center"/>
              <w:rPr>
                <w:rFonts w:cs="Times New Roman"/>
                <w:kern w:val="0"/>
                <w:sz w:val="21"/>
                <w:szCs w:val="21"/>
                <w14:ligatures w14:val="none"/>
              </w:rPr>
            </w:pPr>
            <w:r>
              <w:rPr>
                <w:rFonts w:hint="eastAsia"/>
                <w:sz w:val="21"/>
                <w:szCs w:val="21"/>
              </w:rPr>
              <w:t>17.6</w:t>
            </w:r>
          </w:p>
        </w:tc>
        <w:tc>
          <w:tcPr>
            <w:tcW w:w="1074" w:type="dxa"/>
            <w:noWrap/>
            <w:vAlign w:val="center"/>
          </w:tcPr>
          <w:p w14:paraId="693A9C84">
            <w:pPr>
              <w:wordWrap w:val="0"/>
              <w:spacing w:line="240" w:lineRule="auto"/>
              <w:jc w:val="center"/>
              <w:rPr>
                <w:rFonts w:cs="Times New Roman"/>
                <w:kern w:val="0"/>
                <w:sz w:val="21"/>
                <w:szCs w:val="21"/>
                <w14:ligatures w14:val="none"/>
              </w:rPr>
            </w:pPr>
            <w:r>
              <w:rPr>
                <w:rFonts w:hint="eastAsia"/>
                <w:sz w:val="21"/>
                <w:szCs w:val="21"/>
              </w:rPr>
              <w:t>达标</w:t>
            </w:r>
          </w:p>
        </w:tc>
      </w:tr>
      <w:tr w14:paraId="57D787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62" w:type="dxa"/>
            <w:vAlign w:val="center"/>
          </w:tcPr>
          <w:p w14:paraId="1B5A9A06">
            <w:pPr>
              <w:wordWrap w:val="0"/>
              <w:spacing w:line="240" w:lineRule="auto"/>
              <w:jc w:val="center"/>
              <w:rPr>
                <w:rFonts w:cs="Times New Roman"/>
                <w:kern w:val="0"/>
                <w:sz w:val="21"/>
                <w:szCs w:val="21"/>
                <w14:ligatures w14:val="none"/>
              </w:rPr>
            </w:pPr>
            <w:r>
              <w:rPr>
                <w:rFonts w:hint="eastAsia"/>
                <w:kern w:val="0"/>
                <w:sz w:val="21"/>
                <w:szCs w:val="21"/>
                <w14:ligatures w14:val="none"/>
              </w:rPr>
              <w:t>3</w:t>
            </w:r>
          </w:p>
        </w:tc>
        <w:tc>
          <w:tcPr>
            <w:tcW w:w="1276" w:type="dxa"/>
            <w:noWrap/>
            <w:vAlign w:val="center"/>
          </w:tcPr>
          <w:p w14:paraId="7DD3AB32">
            <w:pPr>
              <w:wordWrap w:val="0"/>
              <w:spacing w:line="240" w:lineRule="auto"/>
              <w:jc w:val="center"/>
              <w:rPr>
                <w:rFonts w:cs="Times New Roman"/>
                <w:kern w:val="0"/>
                <w:sz w:val="21"/>
                <w:szCs w:val="21"/>
                <w14:ligatures w14:val="none"/>
              </w:rPr>
            </w:pPr>
            <w:r>
              <w:rPr>
                <w:rFonts w:hint="eastAsia"/>
                <w:sz w:val="21"/>
                <w:szCs w:val="21"/>
              </w:rPr>
              <w:t>三铺中学</w:t>
            </w:r>
          </w:p>
        </w:tc>
        <w:tc>
          <w:tcPr>
            <w:tcW w:w="1134" w:type="dxa"/>
            <w:noWrap/>
            <w:vAlign w:val="center"/>
          </w:tcPr>
          <w:p w14:paraId="3C5BA742">
            <w:pPr>
              <w:wordWrap w:val="0"/>
              <w:spacing w:line="240" w:lineRule="auto"/>
              <w:jc w:val="center"/>
              <w:rPr>
                <w:rFonts w:cs="Times New Roman"/>
                <w:kern w:val="0"/>
                <w:sz w:val="21"/>
                <w:szCs w:val="21"/>
                <w14:ligatures w14:val="none"/>
              </w:rPr>
            </w:pPr>
            <w:r>
              <w:rPr>
                <w:rFonts w:hint="eastAsia"/>
                <w:sz w:val="21"/>
                <w:szCs w:val="21"/>
              </w:rPr>
              <w:t>小时值</w:t>
            </w:r>
          </w:p>
        </w:tc>
        <w:tc>
          <w:tcPr>
            <w:tcW w:w="1141" w:type="dxa"/>
            <w:noWrap/>
            <w:vAlign w:val="center"/>
          </w:tcPr>
          <w:p w14:paraId="232C5FD4">
            <w:pPr>
              <w:wordWrap w:val="0"/>
              <w:spacing w:line="240" w:lineRule="auto"/>
              <w:jc w:val="center"/>
              <w:rPr>
                <w:rFonts w:cs="Times New Roman"/>
                <w:kern w:val="0"/>
                <w:sz w:val="21"/>
                <w:szCs w:val="21"/>
                <w14:ligatures w14:val="none"/>
              </w:rPr>
            </w:pPr>
            <w:r>
              <w:rPr>
                <w:rFonts w:hint="eastAsia"/>
                <w:sz w:val="21"/>
                <w:szCs w:val="21"/>
              </w:rPr>
              <w:t>3.80E+00</w:t>
            </w:r>
          </w:p>
        </w:tc>
        <w:tc>
          <w:tcPr>
            <w:tcW w:w="1407" w:type="dxa"/>
            <w:noWrap/>
            <w:vAlign w:val="center"/>
          </w:tcPr>
          <w:p w14:paraId="7864FB1D">
            <w:pPr>
              <w:wordWrap w:val="0"/>
              <w:spacing w:line="240" w:lineRule="auto"/>
              <w:jc w:val="center"/>
              <w:rPr>
                <w:rFonts w:cs="Times New Roman"/>
                <w:kern w:val="0"/>
                <w:sz w:val="21"/>
                <w:szCs w:val="21"/>
                <w14:ligatures w14:val="none"/>
              </w:rPr>
            </w:pPr>
            <w:r>
              <w:rPr>
                <w:rFonts w:hint="eastAsia"/>
                <w:sz w:val="21"/>
                <w:szCs w:val="21"/>
              </w:rPr>
              <w:t>23081121</w:t>
            </w:r>
          </w:p>
        </w:tc>
        <w:tc>
          <w:tcPr>
            <w:tcW w:w="1392" w:type="dxa"/>
            <w:noWrap/>
            <w:vAlign w:val="center"/>
          </w:tcPr>
          <w:p w14:paraId="55028317">
            <w:pPr>
              <w:wordWrap w:val="0"/>
              <w:spacing w:line="240" w:lineRule="auto"/>
              <w:jc w:val="center"/>
              <w:rPr>
                <w:rFonts w:cs="Times New Roman"/>
                <w:kern w:val="0"/>
                <w:sz w:val="21"/>
                <w:szCs w:val="21"/>
                <w14:ligatures w14:val="none"/>
              </w:rPr>
            </w:pPr>
            <w:r>
              <w:rPr>
                <w:rFonts w:hint="eastAsia"/>
                <w:sz w:val="21"/>
                <w:szCs w:val="21"/>
              </w:rPr>
              <w:t>2.00E+01</w:t>
            </w:r>
          </w:p>
        </w:tc>
        <w:tc>
          <w:tcPr>
            <w:tcW w:w="1074" w:type="dxa"/>
            <w:noWrap/>
            <w:vAlign w:val="center"/>
          </w:tcPr>
          <w:p w14:paraId="5C6BF76C">
            <w:pPr>
              <w:wordWrap w:val="0"/>
              <w:spacing w:line="240" w:lineRule="auto"/>
              <w:jc w:val="center"/>
              <w:rPr>
                <w:rFonts w:cs="Times New Roman"/>
                <w:kern w:val="0"/>
                <w:sz w:val="21"/>
                <w:szCs w:val="21"/>
                <w14:ligatures w14:val="none"/>
              </w:rPr>
            </w:pPr>
            <w:r>
              <w:rPr>
                <w:rFonts w:hint="eastAsia"/>
                <w:sz w:val="21"/>
                <w:szCs w:val="21"/>
              </w:rPr>
              <w:t>19.01</w:t>
            </w:r>
          </w:p>
        </w:tc>
        <w:tc>
          <w:tcPr>
            <w:tcW w:w="1074" w:type="dxa"/>
            <w:noWrap/>
            <w:vAlign w:val="center"/>
          </w:tcPr>
          <w:p w14:paraId="34FFE3EB">
            <w:pPr>
              <w:wordWrap w:val="0"/>
              <w:spacing w:line="240" w:lineRule="auto"/>
              <w:jc w:val="center"/>
              <w:rPr>
                <w:rFonts w:cs="Times New Roman"/>
                <w:kern w:val="0"/>
                <w:sz w:val="21"/>
                <w:szCs w:val="21"/>
                <w14:ligatures w14:val="none"/>
              </w:rPr>
            </w:pPr>
            <w:r>
              <w:rPr>
                <w:rFonts w:hint="eastAsia"/>
                <w:sz w:val="21"/>
                <w:szCs w:val="21"/>
              </w:rPr>
              <w:t>达标</w:t>
            </w:r>
          </w:p>
        </w:tc>
      </w:tr>
      <w:tr w14:paraId="4B4437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62" w:type="dxa"/>
            <w:vAlign w:val="center"/>
          </w:tcPr>
          <w:p w14:paraId="027A5254">
            <w:pPr>
              <w:wordWrap w:val="0"/>
              <w:spacing w:line="240" w:lineRule="auto"/>
              <w:jc w:val="center"/>
              <w:rPr>
                <w:rFonts w:cs="Times New Roman"/>
                <w:kern w:val="0"/>
                <w:sz w:val="21"/>
                <w:szCs w:val="21"/>
                <w14:ligatures w14:val="none"/>
              </w:rPr>
            </w:pPr>
            <w:r>
              <w:rPr>
                <w:rFonts w:hint="eastAsia"/>
                <w:kern w:val="0"/>
                <w:sz w:val="21"/>
                <w:szCs w:val="21"/>
                <w14:ligatures w14:val="none"/>
              </w:rPr>
              <w:t>4</w:t>
            </w:r>
          </w:p>
        </w:tc>
        <w:tc>
          <w:tcPr>
            <w:tcW w:w="1276" w:type="dxa"/>
            <w:noWrap/>
            <w:vAlign w:val="center"/>
          </w:tcPr>
          <w:p w14:paraId="29B50E26">
            <w:pPr>
              <w:wordWrap w:val="0"/>
              <w:spacing w:line="240" w:lineRule="auto"/>
              <w:jc w:val="center"/>
              <w:rPr>
                <w:rFonts w:cs="Times New Roman"/>
                <w:kern w:val="0"/>
                <w:sz w:val="21"/>
                <w:szCs w:val="21"/>
                <w14:ligatures w14:val="none"/>
              </w:rPr>
            </w:pPr>
            <w:r>
              <w:rPr>
                <w:rFonts w:hint="eastAsia"/>
                <w:sz w:val="21"/>
                <w:szCs w:val="21"/>
              </w:rPr>
              <w:t>高王家</w:t>
            </w:r>
          </w:p>
        </w:tc>
        <w:tc>
          <w:tcPr>
            <w:tcW w:w="1134" w:type="dxa"/>
            <w:noWrap/>
            <w:vAlign w:val="center"/>
          </w:tcPr>
          <w:p w14:paraId="21EC930A">
            <w:pPr>
              <w:wordWrap w:val="0"/>
              <w:spacing w:line="240" w:lineRule="auto"/>
              <w:jc w:val="center"/>
              <w:rPr>
                <w:rFonts w:cs="Times New Roman"/>
                <w:kern w:val="0"/>
                <w:sz w:val="21"/>
                <w:szCs w:val="21"/>
                <w14:ligatures w14:val="none"/>
              </w:rPr>
            </w:pPr>
            <w:r>
              <w:rPr>
                <w:rFonts w:hint="eastAsia"/>
                <w:sz w:val="21"/>
                <w:szCs w:val="21"/>
              </w:rPr>
              <w:t>小时值</w:t>
            </w:r>
          </w:p>
        </w:tc>
        <w:tc>
          <w:tcPr>
            <w:tcW w:w="1141" w:type="dxa"/>
            <w:noWrap/>
            <w:vAlign w:val="center"/>
          </w:tcPr>
          <w:p w14:paraId="0BD198D7">
            <w:pPr>
              <w:wordWrap w:val="0"/>
              <w:spacing w:line="240" w:lineRule="auto"/>
              <w:jc w:val="center"/>
              <w:rPr>
                <w:rFonts w:cs="Times New Roman"/>
                <w:kern w:val="0"/>
                <w:sz w:val="21"/>
                <w:szCs w:val="21"/>
                <w14:ligatures w14:val="none"/>
              </w:rPr>
            </w:pPr>
            <w:r>
              <w:rPr>
                <w:rFonts w:hint="eastAsia"/>
                <w:sz w:val="21"/>
                <w:szCs w:val="21"/>
              </w:rPr>
              <w:t>3.36E+00</w:t>
            </w:r>
          </w:p>
        </w:tc>
        <w:tc>
          <w:tcPr>
            <w:tcW w:w="1407" w:type="dxa"/>
            <w:noWrap/>
            <w:vAlign w:val="center"/>
          </w:tcPr>
          <w:p w14:paraId="02E1180C">
            <w:pPr>
              <w:wordWrap w:val="0"/>
              <w:spacing w:line="240" w:lineRule="auto"/>
              <w:jc w:val="center"/>
              <w:rPr>
                <w:rFonts w:cs="Times New Roman"/>
                <w:kern w:val="0"/>
                <w:sz w:val="21"/>
                <w:szCs w:val="21"/>
                <w14:ligatures w14:val="none"/>
              </w:rPr>
            </w:pPr>
            <w:r>
              <w:rPr>
                <w:rFonts w:hint="eastAsia"/>
                <w:sz w:val="21"/>
                <w:szCs w:val="21"/>
              </w:rPr>
              <w:t>23060822</w:t>
            </w:r>
          </w:p>
        </w:tc>
        <w:tc>
          <w:tcPr>
            <w:tcW w:w="1392" w:type="dxa"/>
            <w:noWrap/>
            <w:vAlign w:val="center"/>
          </w:tcPr>
          <w:p w14:paraId="106430B8">
            <w:pPr>
              <w:wordWrap w:val="0"/>
              <w:spacing w:line="240" w:lineRule="auto"/>
              <w:jc w:val="center"/>
              <w:rPr>
                <w:rFonts w:cs="Times New Roman"/>
                <w:kern w:val="0"/>
                <w:sz w:val="21"/>
                <w:szCs w:val="21"/>
                <w14:ligatures w14:val="none"/>
              </w:rPr>
            </w:pPr>
            <w:r>
              <w:rPr>
                <w:rFonts w:hint="eastAsia"/>
                <w:sz w:val="21"/>
                <w:szCs w:val="21"/>
              </w:rPr>
              <w:t>2.00E+01</w:t>
            </w:r>
          </w:p>
        </w:tc>
        <w:tc>
          <w:tcPr>
            <w:tcW w:w="1074" w:type="dxa"/>
            <w:noWrap/>
            <w:vAlign w:val="center"/>
          </w:tcPr>
          <w:p w14:paraId="6EADCAB3">
            <w:pPr>
              <w:wordWrap w:val="0"/>
              <w:spacing w:line="240" w:lineRule="auto"/>
              <w:jc w:val="center"/>
              <w:rPr>
                <w:rFonts w:cs="Times New Roman"/>
                <w:kern w:val="0"/>
                <w:sz w:val="21"/>
                <w:szCs w:val="21"/>
                <w14:ligatures w14:val="none"/>
              </w:rPr>
            </w:pPr>
            <w:r>
              <w:rPr>
                <w:rFonts w:hint="eastAsia"/>
                <w:sz w:val="21"/>
                <w:szCs w:val="21"/>
              </w:rPr>
              <w:t>16.81</w:t>
            </w:r>
          </w:p>
        </w:tc>
        <w:tc>
          <w:tcPr>
            <w:tcW w:w="1074" w:type="dxa"/>
            <w:noWrap/>
            <w:vAlign w:val="center"/>
          </w:tcPr>
          <w:p w14:paraId="1C462D4A">
            <w:pPr>
              <w:wordWrap w:val="0"/>
              <w:spacing w:line="240" w:lineRule="auto"/>
              <w:jc w:val="center"/>
              <w:rPr>
                <w:rFonts w:cs="Times New Roman"/>
                <w:kern w:val="0"/>
                <w:sz w:val="21"/>
                <w:szCs w:val="21"/>
                <w14:ligatures w14:val="none"/>
              </w:rPr>
            </w:pPr>
            <w:r>
              <w:rPr>
                <w:rFonts w:hint="eastAsia"/>
                <w:sz w:val="21"/>
                <w:szCs w:val="21"/>
              </w:rPr>
              <w:t>达标</w:t>
            </w:r>
          </w:p>
        </w:tc>
      </w:tr>
      <w:tr w14:paraId="49AA02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62" w:type="dxa"/>
            <w:vAlign w:val="center"/>
          </w:tcPr>
          <w:p w14:paraId="1320EEA9">
            <w:pPr>
              <w:wordWrap w:val="0"/>
              <w:spacing w:line="240" w:lineRule="auto"/>
              <w:jc w:val="center"/>
              <w:rPr>
                <w:rFonts w:cs="Times New Roman"/>
                <w:kern w:val="0"/>
                <w:sz w:val="21"/>
                <w:szCs w:val="21"/>
                <w14:ligatures w14:val="none"/>
              </w:rPr>
            </w:pPr>
            <w:r>
              <w:rPr>
                <w:rFonts w:hint="eastAsia"/>
                <w:kern w:val="0"/>
                <w:sz w:val="21"/>
                <w:szCs w:val="21"/>
                <w14:ligatures w14:val="none"/>
              </w:rPr>
              <w:t>5</w:t>
            </w:r>
          </w:p>
        </w:tc>
        <w:tc>
          <w:tcPr>
            <w:tcW w:w="1276" w:type="dxa"/>
            <w:noWrap/>
            <w:vAlign w:val="center"/>
          </w:tcPr>
          <w:p w14:paraId="71709226">
            <w:pPr>
              <w:wordWrap w:val="0"/>
              <w:spacing w:line="240" w:lineRule="auto"/>
              <w:jc w:val="center"/>
              <w:rPr>
                <w:rFonts w:cs="Times New Roman"/>
                <w:kern w:val="0"/>
                <w:sz w:val="21"/>
                <w:szCs w:val="21"/>
                <w14:ligatures w14:val="none"/>
              </w:rPr>
            </w:pPr>
            <w:r>
              <w:rPr>
                <w:rFonts w:hint="eastAsia"/>
                <w:sz w:val="21"/>
                <w:szCs w:val="21"/>
              </w:rPr>
              <w:t>大柏村</w:t>
            </w:r>
          </w:p>
        </w:tc>
        <w:tc>
          <w:tcPr>
            <w:tcW w:w="1134" w:type="dxa"/>
            <w:noWrap/>
            <w:vAlign w:val="center"/>
          </w:tcPr>
          <w:p w14:paraId="06A3A3F5">
            <w:pPr>
              <w:wordWrap w:val="0"/>
              <w:spacing w:line="240" w:lineRule="auto"/>
              <w:jc w:val="center"/>
              <w:rPr>
                <w:rFonts w:cs="Times New Roman"/>
                <w:kern w:val="0"/>
                <w:sz w:val="21"/>
                <w:szCs w:val="21"/>
                <w14:ligatures w14:val="none"/>
              </w:rPr>
            </w:pPr>
            <w:r>
              <w:rPr>
                <w:rFonts w:hint="eastAsia"/>
                <w:sz w:val="21"/>
                <w:szCs w:val="21"/>
              </w:rPr>
              <w:t>小时值</w:t>
            </w:r>
          </w:p>
        </w:tc>
        <w:tc>
          <w:tcPr>
            <w:tcW w:w="1141" w:type="dxa"/>
            <w:noWrap/>
            <w:vAlign w:val="center"/>
          </w:tcPr>
          <w:p w14:paraId="4ED5B410">
            <w:pPr>
              <w:wordWrap w:val="0"/>
              <w:spacing w:line="240" w:lineRule="auto"/>
              <w:jc w:val="center"/>
              <w:rPr>
                <w:rFonts w:cs="Times New Roman"/>
                <w:kern w:val="0"/>
                <w:sz w:val="21"/>
                <w:szCs w:val="21"/>
                <w14:ligatures w14:val="none"/>
              </w:rPr>
            </w:pPr>
            <w:r>
              <w:rPr>
                <w:rFonts w:hint="eastAsia"/>
                <w:sz w:val="21"/>
                <w:szCs w:val="21"/>
              </w:rPr>
              <w:t>3.38E+00</w:t>
            </w:r>
          </w:p>
        </w:tc>
        <w:tc>
          <w:tcPr>
            <w:tcW w:w="1407" w:type="dxa"/>
            <w:noWrap/>
            <w:vAlign w:val="center"/>
          </w:tcPr>
          <w:p w14:paraId="77699D48">
            <w:pPr>
              <w:wordWrap w:val="0"/>
              <w:spacing w:line="240" w:lineRule="auto"/>
              <w:jc w:val="center"/>
              <w:rPr>
                <w:rFonts w:cs="Times New Roman"/>
                <w:kern w:val="0"/>
                <w:sz w:val="21"/>
                <w:szCs w:val="21"/>
                <w14:ligatures w14:val="none"/>
              </w:rPr>
            </w:pPr>
            <w:r>
              <w:rPr>
                <w:rFonts w:hint="eastAsia"/>
                <w:sz w:val="21"/>
                <w:szCs w:val="21"/>
              </w:rPr>
              <w:t>23071424</w:t>
            </w:r>
          </w:p>
        </w:tc>
        <w:tc>
          <w:tcPr>
            <w:tcW w:w="1392" w:type="dxa"/>
            <w:noWrap/>
            <w:vAlign w:val="center"/>
          </w:tcPr>
          <w:p w14:paraId="29C3BA56">
            <w:pPr>
              <w:wordWrap w:val="0"/>
              <w:spacing w:line="240" w:lineRule="auto"/>
              <w:jc w:val="center"/>
              <w:rPr>
                <w:rFonts w:cs="Times New Roman"/>
                <w:kern w:val="0"/>
                <w:sz w:val="21"/>
                <w:szCs w:val="21"/>
                <w14:ligatures w14:val="none"/>
              </w:rPr>
            </w:pPr>
            <w:r>
              <w:rPr>
                <w:rFonts w:hint="eastAsia"/>
                <w:sz w:val="21"/>
                <w:szCs w:val="21"/>
              </w:rPr>
              <w:t>2.00E+01</w:t>
            </w:r>
          </w:p>
        </w:tc>
        <w:tc>
          <w:tcPr>
            <w:tcW w:w="1074" w:type="dxa"/>
            <w:noWrap/>
            <w:vAlign w:val="center"/>
          </w:tcPr>
          <w:p w14:paraId="54D02D5D">
            <w:pPr>
              <w:wordWrap w:val="0"/>
              <w:spacing w:line="240" w:lineRule="auto"/>
              <w:jc w:val="center"/>
              <w:rPr>
                <w:rFonts w:cs="Times New Roman"/>
                <w:kern w:val="0"/>
                <w:sz w:val="21"/>
                <w:szCs w:val="21"/>
                <w14:ligatures w14:val="none"/>
              </w:rPr>
            </w:pPr>
            <w:r>
              <w:rPr>
                <w:rFonts w:hint="eastAsia"/>
                <w:sz w:val="21"/>
                <w:szCs w:val="21"/>
              </w:rPr>
              <w:t>16.89</w:t>
            </w:r>
          </w:p>
        </w:tc>
        <w:tc>
          <w:tcPr>
            <w:tcW w:w="1074" w:type="dxa"/>
            <w:noWrap/>
            <w:vAlign w:val="center"/>
          </w:tcPr>
          <w:p w14:paraId="5169247F">
            <w:pPr>
              <w:wordWrap w:val="0"/>
              <w:spacing w:line="240" w:lineRule="auto"/>
              <w:jc w:val="center"/>
              <w:rPr>
                <w:rFonts w:cs="Times New Roman"/>
                <w:kern w:val="0"/>
                <w:sz w:val="21"/>
                <w:szCs w:val="21"/>
                <w14:ligatures w14:val="none"/>
              </w:rPr>
            </w:pPr>
            <w:r>
              <w:rPr>
                <w:rFonts w:hint="eastAsia"/>
                <w:sz w:val="21"/>
                <w:szCs w:val="21"/>
              </w:rPr>
              <w:t>达标</w:t>
            </w:r>
          </w:p>
        </w:tc>
      </w:tr>
      <w:tr w14:paraId="4FA40F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62" w:type="dxa"/>
            <w:vAlign w:val="center"/>
          </w:tcPr>
          <w:p w14:paraId="1A3133C5">
            <w:pPr>
              <w:wordWrap w:val="0"/>
              <w:spacing w:line="240" w:lineRule="auto"/>
              <w:jc w:val="center"/>
              <w:rPr>
                <w:rFonts w:cs="Times New Roman"/>
                <w:kern w:val="0"/>
                <w:sz w:val="21"/>
                <w:szCs w:val="21"/>
                <w14:ligatures w14:val="none"/>
              </w:rPr>
            </w:pPr>
            <w:r>
              <w:rPr>
                <w:rFonts w:hint="eastAsia"/>
                <w:kern w:val="0"/>
                <w:sz w:val="21"/>
                <w:szCs w:val="21"/>
                <w14:ligatures w14:val="none"/>
              </w:rPr>
              <w:t>6</w:t>
            </w:r>
          </w:p>
        </w:tc>
        <w:tc>
          <w:tcPr>
            <w:tcW w:w="1276" w:type="dxa"/>
            <w:noWrap/>
            <w:vAlign w:val="center"/>
          </w:tcPr>
          <w:p w14:paraId="6C9BBDCB">
            <w:pPr>
              <w:wordWrap w:val="0"/>
              <w:spacing w:line="240" w:lineRule="auto"/>
              <w:jc w:val="center"/>
              <w:rPr>
                <w:rFonts w:cs="Times New Roman"/>
                <w:kern w:val="0"/>
                <w:sz w:val="21"/>
                <w:szCs w:val="21"/>
                <w14:ligatures w14:val="none"/>
              </w:rPr>
            </w:pPr>
            <w:r>
              <w:rPr>
                <w:rFonts w:hint="eastAsia"/>
                <w:sz w:val="21"/>
                <w:szCs w:val="21"/>
              </w:rPr>
              <w:t>曹杨家</w:t>
            </w:r>
          </w:p>
        </w:tc>
        <w:tc>
          <w:tcPr>
            <w:tcW w:w="1134" w:type="dxa"/>
            <w:noWrap/>
            <w:vAlign w:val="center"/>
          </w:tcPr>
          <w:p w14:paraId="2DCCFB8D">
            <w:pPr>
              <w:wordWrap w:val="0"/>
              <w:spacing w:line="240" w:lineRule="auto"/>
              <w:jc w:val="center"/>
              <w:rPr>
                <w:rFonts w:cs="Times New Roman"/>
                <w:kern w:val="0"/>
                <w:sz w:val="21"/>
                <w:szCs w:val="21"/>
                <w14:ligatures w14:val="none"/>
              </w:rPr>
            </w:pPr>
            <w:r>
              <w:rPr>
                <w:rFonts w:hint="eastAsia"/>
                <w:sz w:val="21"/>
                <w:szCs w:val="21"/>
              </w:rPr>
              <w:t>小时值</w:t>
            </w:r>
          </w:p>
        </w:tc>
        <w:tc>
          <w:tcPr>
            <w:tcW w:w="1141" w:type="dxa"/>
            <w:noWrap/>
            <w:vAlign w:val="center"/>
          </w:tcPr>
          <w:p w14:paraId="2BDB0BCB">
            <w:pPr>
              <w:wordWrap w:val="0"/>
              <w:spacing w:line="240" w:lineRule="auto"/>
              <w:jc w:val="center"/>
              <w:rPr>
                <w:rFonts w:cs="Times New Roman"/>
                <w:kern w:val="0"/>
                <w:sz w:val="21"/>
                <w:szCs w:val="21"/>
                <w14:ligatures w14:val="none"/>
              </w:rPr>
            </w:pPr>
            <w:r>
              <w:rPr>
                <w:rFonts w:hint="eastAsia"/>
                <w:sz w:val="21"/>
                <w:szCs w:val="21"/>
              </w:rPr>
              <w:t>3.53E+00</w:t>
            </w:r>
          </w:p>
        </w:tc>
        <w:tc>
          <w:tcPr>
            <w:tcW w:w="1407" w:type="dxa"/>
            <w:noWrap/>
            <w:vAlign w:val="center"/>
          </w:tcPr>
          <w:p w14:paraId="0D602DBC">
            <w:pPr>
              <w:wordWrap w:val="0"/>
              <w:spacing w:line="240" w:lineRule="auto"/>
              <w:jc w:val="center"/>
              <w:rPr>
                <w:rFonts w:cs="Times New Roman"/>
                <w:kern w:val="0"/>
                <w:sz w:val="21"/>
                <w:szCs w:val="21"/>
                <w14:ligatures w14:val="none"/>
              </w:rPr>
            </w:pPr>
            <w:r>
              <w:rPr>
                <w:rFonts w:hint="eastAsia"/>
                <w:sz w:val="21"/>
                <w:szCs w:val="21"/>
              </w:rPr>
              <w:t>23070504</w:t>
            </w:r>
          </w:p>
        </w:tc>
        <w:tc>
          <w:tcPr>
            <w:tcW w:w="1392" w:type="dxa"/>
            <w:noWrap/>
            <w:vAlign w:val="center"/>
          </w:tcPr>
          <w:p w14:paraId="3DC7479C">
            <w:pPr>
              <w:wordWrap w:val="0"/>
              <w:spacing w:line="240" w:lineRule="auto"/>
              <w:jc w:val="center"/>
              <w:rPr>
                <w:rFonts w:cs="Times New Roman"/>
                <w:kern w:val="0"/>
                <w:sz w:val="21"/>
                <w:szCs w:val="21"/>
                <w14:ligatures w14:val="none"/>
              </w:rPr>
            </w:pPr>
            <w:r>
              <w:rPr>
                <w:rFonts w:hint="eastAsia"/>
                <w:sz w:val="21"/>
                <w:szCs w:val="21"/>
              </w:rPr>
              <w:t>2.00E+01</w:t>
            </w:r>
          </w:p>
        </w:tc>
        <w:tc>
          <w:tcPr>
            <w:tcW w:w="1074" w:type="dxa"/>
            <w:noWrap/>
            <w:vAlign w:val="center"/>
          </w:tcPr>
          <w:p w14:paraId="2112FBFF">
            <w:pPr>
              <w:wordWrap w:val="0"/>
              <w:spacing w:line="240" w:lineRule="auto"/>
              <w:jc w:val="center"/>
              <w:rPr>
                <w:rFonts w:cs="Times New Roman"/>
                <w:kern w:val="0"/>
                <w:sz w:val="21"/>
                <w:szCs w:val="21"/>
                <w14:ligatures w14:val="none"/>
              </w:rPr>
            </w:pPr>
            <w:r>
              <w:rPr>
                <w:rFonts w:hint="eastAsia"/>
                <w:sz w:val="21"/>
                <w:szCs w:val="21"/>
              </w:rPr>
              <w:t>17.63</w:t>
            </w:r>
          </w:p>
        </w:tc>
        <w:tc>
          <w:tcPr>
            <w:tcW w:w="1074" w:type="dxa"/>
            <w:noWrap/>
            <w:vAlign w:val="center"/>
          </w:tcPr>
          <w:p w14:paraId="705A34AF">
            <w:pPr>
              <w:wordWrap w:val="0"/>
              <w:spacing w:line="240" w:lineRule="auto"/>
              <w:jc w:val="center"/>
              <w:rPr>
                <w:rFonts w:cs="Times New Roman"/>
                <w:kern w:val="0"/>
                <w:sz w:val="21"/>
                <w:szCs w:val="21"/>
                <w14:ligatures w14:val="none"/>
              </w:rPr>
            </w:pPr>
            <w:r>
              <w:rPr>
                <w:rFonts w:hint="eastAsia"/>
                <w:sz w:val="21"/>
                <w:szCs w:val="21"/>
              </w:rPr>
              <w:t>达标</w:t>
            </w:r>
          </w:p>
        </w:tc>
      </w:tr>
      <w:tr w14:paraId="02BCB0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62" w:type="dxa"/>
            <w:vAlign w:val="center"/>
          </w:tcPr>
          <w:p w14:paraId="63F7E58E">
            <w:pPr>
              <w:wordWrap w:val="0"/>
              <w:spacing w:line="240" w:lineRule="auto"/>
              <w:jc w:val="center"/>
              <w:rPr>
                <w:rFonts w:cs="Times New Roman"/>
                <w:kern w:val="0"/>
                <w:sz w:val="21"/>
                <w:szCs w:val="21"/>
                <w14:ligatures w14:val="none"/>
              </w:rPr>
            </w:pPr>
            <w:r>
              <w:rPr>
                <w:rFonts w:hint="eastAsia"/>
                <w:kern w:val="0"/>
                <w:sz w:val="21"/>
                <w:szCs w:val="21"/>
                <w14:ligatures w14:val="none"/>
              </w:rPr>
              <w:t>7</w:t>
            </w:r>
          </w:p>
        </w:tc>
        <w:tc>
          <w:tcPr>
            <w:tcW w:w="1276" w:type="dxa"/>
            <w:noWrap/>
            <w:vAlign w:val="center"/>
          </w:tcPr>
          <w:p w14:paraId="382E6B87">
            <w:pPr>
              <w:wordWrap w:val="0"/>
              <w:spacing w:line="240" w:lineRule="auto"/>
              <w:jc w:val="center"/>
              <w:rPr>
                <w:rFonts w:cs="Times New Roman"/>
                <w:kern w:val="0"/>
                <w:sz w:val="21"/>
                <w:szCs w:val="21"/>
                <w14:ligatures w14:val="none"/>
              </w:rPr>
            </w:pPr>
            <w:r>
              <w:rPr>
                <w:rFonts w:hint="eastAsia"/>
                <w:sz w:val="21"/>
                <w:szCs w:val="21"/>
              </w:rPr>
              <w:t>夏家湖</w:t>
            </w:r>
          </w:p>
        </w:tc>
        <w:tc>
          <w:tcPr>
            <w:tcW w:w="1134" w:type="dxa"/>
            <w:noWrap/>
            <w:vAlign w:val="center"/>
          </w:tcPr>
          <w:p w14:paraId="67DFE5F1">
            <w:pPr>
              <w:wordWrap w:val="0"/>
              <w:spacing w:line="240" w:lineRule="auto"/>
              <w:jc w:val="center"/>
              <w:rPr>
                <w:rFonts w:cs="Times New Roman"/>
                <w:kern w:val="0"/>
                <w:sz w:val="21"/>
                <w:szCs w:val="21"/>
                <w14:ligatures w14:val="none"/>
              </w:rPr>
            </w:pPr>
            <w:r>
              <w:rPr>
                <w:rFonts w:hint="eastAsia"/>
                <w:sz w:val="21"/>
                <w:szCs w:val="21"/>
              </w:rPr>
              <w:t>小时值</w:t>
            </w:r>
          </w:p>
        </w:tc>
        <w:tc>
          <w:tcPr>
            <w:tcW w:w="1141" w:type="dxa"/>
            <w:noWrap/>
            <w:vAlign w:val="center"/>
          </w:tcPr>
          <w:p w14:paraId="13854ED5">
            <w:pPr>
              <w:wordWrap w:val="0"/>
              <w:spacing w:line="240" w:lineRule="auto"/>
              <w:jc w:val="center"/>
              <w:rPr>
                <w:rFonts w:cs="Times New Roman"/>
                <w:kern w:val="0"/>
                <w:sz w:val="21"/>
                <w:szCs w:val="21"/>
                <w14:ligatures w14:val="none"/>
              </w:rPr>
            </w:pPr>
            <w:r>
              <w:rPr>
                <w:rFonts w:hint="eastAsia"/>
                <w:sz w:val="21"/>
                <w:szCs w:val="21"/>
              </w:rPr>
              <w:t>3.71E+00</w:t>
            </w:r>
          </w:p>
        </w:tc>
        <w:tc>
          <w:tcPr>
            <w:tcW w:w="1407" w:type="dxa"/>
            <w:noWrap/>
            <w:vAlign w:val="center"/>
          </w:tcPr>
          <w:p w14:paraId="7C2DF3A7">
            <w:pPr>
              <w:wordWrap w:val="0"/>
              <w:spacing w:line="240" w:lineRule="auto"/>
              <w:jc w:val="center"/>
              <w:rPr>
                <w:rFonts w:cs="Times New Roman"/>
                <w:kern w:val="0"/>
                <w:sz w:val="21"/>
                <w:szCs w:val="21"/>
                <w14:ligatures w14:val="none"/>
              </w:rPr>
            </w:pPr>
            <w:r>
              <w:rPr>
                <w:rFonts w:hint="eastAsia"/>
                <w:sz w:val="21"/>
                <w:szCs w:val="21"/>
              </w:rPr>
              <w:t>23063024</w:t>
            </w:r>
          </w:p>
        </w:tc>
        <w:tc>
          <w:tcPr>
            <w:tcW w:w="1392" w:type="dxa"/>
            <w:noWrap/>
            <w:vAlign w:val="center"/>
          </w:tcPr>
          <w:p w14:paraId="09E9494E">
            <w:pPr>
              <w:wordWrap w:val="0"/>
              <w:spacing w:line="240" w:lineRule="auto"/>
              <w:jc w:val="center"/>
              <w:rPr>
                <w:rFonts w:cs="Times New Roman"/>
                <w:kern w:val="0"/>
                <w:sz w:val="21"/>
                <w:szCs w:val="21"/>
                <w14:ligatures w14:val="none"/>
              </w:rPr>
            </w:pPr>
            <w:r>
              <w:rPr>
                <w:rFonts w:hint="eastAsia"/>
                <w:sz w:val="21"/>
                <w:szCs w:val="21"/>
              </w:rPr>
              <w:t>2.00E+01</w:t>
            </w:r>
          </w:p>
        </w:tc>
        <w:tc>
          <w:tcPr>
            <w:tcW w:w="1074" w:type="dxa"/>
            <w:noWrap/>
            <w:vAlign w:val="center"/>
          </w:tcPr>
          <w:p w14:paraId="55ADDDB9">
            <w:pPr>
              <w:wordWrap w:val="0"/>
              <w:spacing w:line="240" w:lineRule="auto"/>
              <w:jc w:val="center"/>
              <w:rPr>
                <w:rFonts w:cs="Times New Roman"/>
                <w:kern w:val="0"/>
                <w:sz w:val="21"/>
                <w:szCs w:val="21"/>
                <w14:ligatures w14:val="none"/>
              </w:rPr>
            </w:pPr>
            <w:r>
              <w:rPr>
                <w:rFonts w:hint="eastAsia"/>
                <w:sz w:val="21"/>
                <w:szCs w:val="21"/>
              </w:rPr>
              <w:t>18.55</w:t>
            </w:r>
          </w:p>
        </w:tc>
        <w:tc>
          <w:tcPr>
            <w:tcW w:w="1074" w:type="dxa"/>
            <w:noWrap/>
            <w:vAlign w:val="center"/>
          </w:tcPr>
          <w:p w14:paraId="0A1FD861">
            <w:pPr>
              <w:wordWrap w:val="0"/>
              <w:spacing w:line="240" w:lineRule="auto"/>
              <w:jc w:val="center"/>
              <w:rPr>
                <w:rFonts w:cs="Times New Roman"/>
                <w:kern w:val="0"/>
                <w:sz w:val="21"/>
                <w:szCs w:val="21"/>
                <w14:ligatures w14:val="none"/>
              </w:rPr>
            </w:pPr>
            <w:r>
              <w:rPr>
                <w:rFonts w:hint="eastAsia"/>
                <w:sz w:val="21"/>
                <w:szCs w:val="21"/>
              </w:rPr>
              <w:t>达标</w:t>
            </w:r>
          </w:p>
        </w:tc>
      </w:tr>
      <w:tr w14:paraId="15C255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62" w:type="dxa"/>
            <w:vAlign w:val="center"/>
          </w:tcPr>
          <w:p w14:paraId="1BC6E9A8">
            <w:pPr>
              <w:wordWrap w:val="0"/>
              <w:spacing w:line="240" w:lineRule="auto"/>
              <w:jc w:val="center"/>
              <w:rPr>
                <w:rFonts w:cs="Times New Roman"/>
                <w:kern w:val="0"/>
                <w:sz w:val="21"/>
                <w:szCs w:val="21"/>
                <w14:ligatures w14:val="none"/>
              </w:rPr>
            </w:pPr>
            <w:r>
              <w:rPr>
                <w:rFonts w:hint="eastAsia"/>
                <w:kern w:val="0"/>
                <w:sz w:val="21"/>
                <w:szCs w:val="21"/>
                <w14:ligatures w14:val="none"/>
              </w:rPr>
              <w:t>8</w:t>
            </w:r>
          </w:p>
        </w:tc>
        <w:tc>
          <w:tcPr>
            <w:tcW w:w="1276" w:type="dxa"/>
            <w:noWrap/>
            <w:vAlign w:val="center"/>
          </w:tcPr>
          <w:p w14:paraId="38FE8DE7">
            <w:pPr>
              <w:wordWrap w:val="0"/>
              <w:spacing w:line="240" w:lineRule="auto"/>
              <w:jc w:val="center"/>
              <w:rPr>
                <w:rFonts w:cs="Times New Roman"/>
                <w:kern w:val="0"/>
                <w:sz w:val="21"/>
                <w:szCs w:val="21"/>
                <w14:ligatures w14:val="none"/>
              </w:rPr>
            </w:pPr>
            <w:r>
              <w:rPr>
                <w:rFonts w:hint="eastAsia"/>
                <w:sz w:val="21"/>
                <w:szCs w:val="21"/>
              </w:rPr>
              <w:t>二铺</w:t>
            </w:r>
          </w:p>
        </w:tc>
        <w:tc>
          <w:tcPr>
            <w:tcW w:w="1134" w:type="dxa"/>
            <w:noWrap/>
            <w:vAlign w:val="center"/>
          </w:tcPr>
          <w:p w14:paraId="1896A66B">
            <w:pPr>
              <w:wordWrap w:val="0"/>
              <w:spacing w:line="240" w:lineRule="auto"/>
              <w:jc w:val="center"/>
              <w:rPr>
                <w:rFonts w:cs="Times New Roman"/>
                <w:kern w:val="0"/>
                <w:sz w:val="21"/>
                <w:szCs w:val="21"/>
                <w14:ligatures w14:val="none"/>
              </w:rPr>
            </w:pPr>
            <w:r>
              <w:rPr>
                <w:rFonts w:hint="eastAsia"/>
                <w:sz w:val="21"/>
                <w:szCs w:val="21"/>
              </w:rPr>
              <w:t>小时值</w:t>
            </w:r>
          </w:p>
        </w:tc>
        <w:tc>
          <w:tcPr>
            <w:tcW w:w="1141" w:type="dxa"/>
            <w:noWrap/>
            <w:vAlign w:val="center"/>
          </w:tcPr>
          <w:p w14:paraId="667B25FE">
            <w:pPr>
              <w:wordWrap w:val="0"/>
              <w:spacing w:line="240" w:lineRule="auto"/>
              <w:jc w:val="center"/>
              <w:rPr>
                <w:rFonts w:cs="Times New Roman"/>
                <w:kern w:val="0"/>
                <w:sz w:val="21"/>
                <w:szCs w:val="21"/>
                <w14:ligatures w14:val="none"/>
              </w:rPr>
            </w:pPr>
            <w:r>
              <w:rPr>
                <w:rFonts w:hint="eastAsia"/>
                <w:sz w:val="21"/>
                <w:szCs w:val="21"/>
              </w:rPr>
              <w:t>3.27E+00</w:t>
            </w:r>
          </w:p>
        </w:tc>
        <w:tc>
          <w:tcPr>
            <w:tcW w:w="1407" w:type="dxa"/>
            <w:noWrap/>
            <w:vAlign w:val="center"/>
          </w:tcPr>
          <w:p w14:paraId="1D6D7A49">
            <w:pPr>
              <w:wordWrap w:val="0"/>
              <w:spacing w:line="240" w:lineRule="auto"/>
              <w:jc w:val="center"/>
              <w:rPr>
                <w:rFonts w:cs="Times New Roman"/>
                <w:kern w:val="0"/>
                <w:sz w:val="21"/>
                <w:szCs w:val="21"/>
                <w14:ligatures w14:val="none"/>
              </w:rPr>
            </w:pPr>
            <w:r>
              <w:rPr>
                <w:rFonts w:hint="eastAsia"/>
                <w:sz w:val="21"/>
                <w:szCs w:val="21"/>
              </w:rPr>
              <w:t>23092523</w:t>
            </w:r>
          </w:p>
        </w:tc>
        <w:tc>
          <w:tcPr>
            <w:tcW w:w="1392" w:type="dxa"/>
            <w:noWrap/>
            <w:vAlign w:val="center"/>
          </w:tcPr>
          <w:p w14:paraId="0BF90369">
            <w:pPr>
              <w:wordWrap w:val="0"/>
              <w:spacing w:line="240" w:lineRule="auto"/>
              <w:jc w:val="center"/>
              <w:rPr>
                <w:rFonts w:cs="Times New Roman"/>
                <w:kern w:val="0"/>
                <w:sz w:val="21"/>
                <w:szCs w:val="21"/>
                <w14:ligatures w14:val="none"/>
              </w:rPr>
            </w:pPr>
            <w:r>
              <w:rPr>
                <w:rFonts w:hint="eastAsia"/>
                <w:sz w:val="21"/>
                <w:szCs w:val="21"/>
              </w:rPr>
              <w:t>2.00E+01</w:t>
            </w:r>
          </w:p>
        </w:tc>
        <w:tc>
          <w:tcPr>
            <w:tcW w:w="1074" w:type="dxa"/>
            <w:noWrap/>
            <w:vAlign w:val="center"/>
          </w:tcPr>
          <w:p w14:paraId="6B049228">
            <w:pPr>
              <w:wordWrap w:val="0"/>
              <w:spacing w:line="240" w:lineRule="auto"/>
              <w:jc w:val="center"/>
              <w:rPr>
                <w:rFonts w:cs="Times New Roman"/>
                <w:kern w:val="0"/>
                <w:sz w:val="21"/>
                <w:szCs w:val="21"/>
                <w14:ligatures w14:val="none"/>
              </w:rPr>
            </w:pPr>
            <w:r>
              <w:rPr>
                <w:rFonts w:hint="eastAsia"/>
                <w:sz w:val="21"/>
                <w:szCs w:val="21"/>
              </w:rPr>
              <w:t>16.35</w:t>
            </w:r>
          </w:p>
        </w:tc>
        <w:tc>
          <w:tcPr>
            <w:tcW w:w="1074" w:type="dxa"/>
            <w:noWrap/>
            <w:vAlign w:val="center"/>
          </w:tcPr>
          <w:p w14:paraId="2967FF85">
            <w:pPr>
              <w:wordWrap w:val="0"/>
              <w:spacing w:line="240" w:lineRule="auto"/>
              <w:jc w:val="center"/>
              <w:rPr>
                <w:rFonts w:cs="Times New Roman"/>
                <w:kern w:val="0"/>
                <w:sz w:val="21"/>
                <w:szCs w:val="21"/>
                <w14:ligatures w14:val="none"/>
              </w:rPr>
            </w:pPr>
            <w:r>
              <w:rPr>
                <w:rFonts w:hint="eastAsia"/>
                <w:sz w:val="21"/>
                <w:szCs w:val="21"/>
              </w:rPr>
              <w:t>达标</w:t>
            </w:r>
          </w:p>
        </w:tc>
      </w:tr>
      <w:tr w14:paraId="4B6C9A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62" w:type="dxa"/>
            <w:vAlign w:val="center"/>
          </w:tcPr>
          <w:p w14:paraId="5B6553EE">
            <w:pPr>
              <w:wordWrap w:val="0"/>
              <w:spacing w:line="240" w:lineRule="auto"/>
              <w:jc w:val="center"/>
              <w:rPr>
                <w:rFonts w:cs="Times New Roman"/>
                <w:kern w:val="0"/>
                <w:sz w:val="21"/>
                <w:szCs w:val="21"/>
                <w14:ligatures w14:val="none"/>
              </w:rPr>
            </w:pPr>
            <w:r>
              <w:rPr>
                <w:rFonts w:hint="eastAsia"/>
                <w:kern w:val="0"/>
                <w:sz w:val="21"/>
                <w:szCs w:val="21"/>
                <w14:ligatures w14:val="none"/>
              </w:rPr>
              <w:t>9</w:t>
            </w:r>
          </w:p>
        </w:tc>
        <w:tc>
          <w:tcPr>
            <w:tcW w:w="1276" w:type="dxa"/>
            <w:noWrap/>
            <w:vAlign w:val="center"/>
          </w:tcPr>
          <w:p w14:paraId="5951BE55">
            <w:pPr>
              <w:wordWrap w:val="0"/>
              <w:spacing w:line="240" w:lineRule="auto"/>
              <w:jc w:val="center"/>
              <w:rPr>
                <w:rFonts w:cs="Times New Roman"/>
                <w:kern w:val="0"/>
                <w:sz w:val="21"/>
                <w:szCs w:val="21"/>
                <w14:ligatures w14:val="none"/>
              </w:rPr>
            </w:pPr>
            <w:r>
              <w:rPr>
                <w:rFonts w:hint="eastAsia"/>
                <w:sz w:val="21"/>
                <w:szCs w:val="21"/>
              </w:rPr>
              <w:t>于家村</w:t>
            </w:r>
          </w:p>
        </w:tc>
        <w:tc>
          <w:tcPr>
            <w:tcW w:w="1134" w:type="dxa"/>
            <w:noWrap/>
            <w:vAlign w:val="center"/>
          </w:tcPr>
          <w:p w14:paraId="2FFF99CC">
            <w:pPr>
              <w:wordWrap w:val="0"/>
              <w:spacing w:line="240" w:lineRule="auto"/>
              <w:jc w:val="center"/>
              <w:rPr>
                <w:rFonts w:cs="Times New Roman"/>
                <w:kern w:val="0"/>
                <w:sz w:val="21"/>
                <w:szCs w:val="21"/>
                <w14:ligatures w14:val="none"/>
              </w:rPr>
            </w:pPr>
            <w:r>
              <w:rPr>
                <w:rFonts w:hint="eastAsia"/>
                <w:sz w:val="21"/>
                <w:szCs w:val="21"/>
              </w:rPr>
              <w:t>小时值</w:t>
            </w:r>
          </w:p>
        </w:tc>
        <w:tc>
          <w:tcPr>
            <w:tcW w:w="1141" w:type="dxa"/>
            <w:noWrap/>
            <w:vAlign w:val="center"/>
          </w:tcPr>
          <w:p w14:paraId="7BBBF58E">
            <w:pPr>
              <w:wordWrap w:val="0"/>
              <w:spacing w:line="240" w:lineRule="auto"/>
              <w:jc w:val="center"/>
              <w:rPr>
                <w:rFonts w:cs="Times New Roman"/>
                <w:kern w:val="0"/>
                <w:sz w:val="21"/>
                <w:szCs w:val="21"/>
                <w14:ligatures w14:val="none"/>
              </w:rPr>
            </w:pPr>
            <w:r>
              <w:rPr>
                <w:rFonts w:hint="eastAsia"/>
                <w:sz w:val="21"/>
                <w:szCs w:val="21"/>
              </w:rPr>
              <w:t>2.86E+00</w:t>
            </w:r>
          </w:p>
        </w:tc>
        <w:tc>
          <w:tcPr>
            <w:tcW w:w="1407" w:type="dxa"/>
            <w:noWrap/>
            <w:vAlign w:val="center"/>
          </w:tcPr>
          <w:p w14:paraId="74C84F9B">
            <w:pPr>
              <w:wordWrap w:val="0"/>
              <w:spacing w:line="240" w:lineRule="auto"/>
              <w:jc w:val="center"/>
              <w:rPr>
                <w:rFonts w:cs="Times New Roman"/>
                <w:kern w:val="0"/>
                <w:sz w:val="21"/>
                <w:szCs w:val="21"/>
                <w14:ligatures w14:val="none"/>
              </w:rPr>
            </w:pPr>
            <w:r>
              <w:rPr>
                <w:rFonts w:hint="eastAsia"/>
                <w:sz w:val="21"/>
                <w:szCs w:val="21"/>
              </w:rPr>
              <w:t>23092220</w:t>
            </w:r>
          </w:p>
        </w:tc>
        <w:tc>
          <w:tcPr>
            <w:tcW w:w="1392" w:type="dxa"/>
            <w:noWrap/>
            <w:vAlign w:val="center"/>
          </w:tcPr>
          <w:p w14:paraId="43A2D370">
            <w:pPr>
              <w:wordWrap w:val="0"/>
              <w:spacing w:line="240" w:lineRule="auto"/>
              <w:jc w:val="center"/>
              <w:rPr>
                <w:rFonts w:cs="Times New Roman"/>
                <w:kern w:val="0"/>
                <w:sz w:val="21"/>
                <w:szCs w:val="21"/>
                <w14:ligatures w14:val="none"/>
              </w:rPr>
            </w:pPr>
            <w:r>
              <w:rPr>
                <w:rFonts w:hint="eastAsia"/>
                <w:sz w:val="21"/>
                <w:szCs w:val="21"/>
              </w:rPr>
              <w:t>2.00E+01</w:t>
            </w:r>
          </w:p>
        </w:tc>
        <w:tc>
          <w:tcPr>
            <w:tcW w:w="1074" w:type="dxa"/>
            <w:noWrap/>
            <w:vAlign w:val="center"/>
          </w:tcPr>
          <w:p w14:paraId="58963957">
            <w:pPr>
              <w:wordWrap w:val="0"/>
              <w:spacing w:line="240" w:lineRule="auto"/>
              <w:jc w:val="center"/>
              <w:rPr>
                <w:rFonts w:cs="Times New Roman"/>
                <w:kern w:val="0"/>
                <w:sz w:val="21"/>
                <w:szCs w:val="21"/>
                <w14:ligatures w14:val="none"/>
              </w:rPr>
            </w:pPr>
            <w:r>
              <w:rPr>
                <w:rFonts w:hint="eastAsia"/>
                <w:sz w:val="21"/>
                <w:szCs w:val="21"/>
              </w:rPr>
              <w:t>14.28</w:t>
            </w:r>
          </w:p>
        </w:tc>
        <w:tc>
          <w:tcPr>
            <w:tcW w:w="1074" w:type="dxa"/>
            <w:noWrap/>
            <w:vAlign w:val="center"/>
          </w:tcPr>
          <w:p w14:paraId="1622ADA7">
            <w:pPr>
              <w:wordWrap w:val="0"/>
              <w:spacing w:line="240" w:lineRule="auto"/>
              <w:jc w:val="center"/>
              <w:rPr>
                <w:rFonts w:cs="Times New Roman"/>
                <w:kern w:val="0"/>
                <w:sz w:val="21"/>
                <w:szCs w:val="21"/>
                <w14:ligatures w14:val="none"/>
              </w:rPr>
            </w:pPr>
            <w:r>
              <w:rPr>
                <w:rFonts w:hint="eastAsia"/>
                <w:sz w:val="21"/>
                <w:szCs w:val="21"/>
              </w:rPr>
              <w:t>达标</w:t>
            </w:r>
          </w:p>
        </w:tc>
      </w:tr>
      <w:tr w14:paraId="2FC7F2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62" w:type="dxa"/>
            <w:vAlign w:val="center"/>
          </w:tcPr>
          <w:p w14:paraId="206F7771">
            <w:pPr>
              <w:wordWrap w:val="0"/>
              <w:spacing w:line="240" w:lineRule="auto"/>
              <w:jc w:val="center"/>
              <w:rPr>
                <w:rFonts w:cs="Times New Roman"/>
                <w:kern w:val="0"/>
                <w:sz w:val="21"/>
                <w:szCs w:val="21"/>
                <w14:ligatures w14:val="none"/>
              </w:rPr>
            </w:pPr>
            <w:r>
              <w:rPr>
                <w:rFonts w:hint="eastAsia"/>
                <w:kern w:val="0"/>
                <w:sz w:val="21"/>
                <w:szCs w:val="21"/>
                <w14:ligatures w14:val="none"/>
              </w:rPr>
              <w:t>10</w:t>
            </w:r>
          </w:p>
        </w:tc>
        <w:tc>
          <w:tcPr>
            <w:tcW w:w="1276" w:type="dxa"/>
            <w:noWrap/>
            <w:vAlign w:val="center"/>
          </w:tcPr>
          <w:p w14:paraId="6F45EF35">
            <w:pPr>
              <w:wordWrap w:val="0"/>
              <w:spacing w:line="240" w:lineRule="auto"/>
              <w:jc w:val="center"/>
              <w:rPr>
                <w:rFonts w:cs="Times New Roman"/>
                <w:kern w:val="0"/>
                <w:sz w:val="21"/>
                <w:szCs w:val="21"/>
                <w14:ligatures w14:val="none"/>
              </w:rPr>
            </w:pPr>
            <w:r>
              <w:rPr>
                <w:rFonts w:hint="eastAsia"/>
                <w:sz w:val="21"/>
                <w:szCs w:val="21"/>
              </w:rPr>
              <w:t>陈巷</w:t>
            </w:r>
          </w:p>
        </w:tc>
        <w:tc>
          <w:tcPr>
            <w:tcW w:w="1134" w:type="dxa"/>
            <w:noWrap/>
            <w:vAlign w:val="center"/>
          </w:tcPr>
          <w:p w14:paraId="68F6B731">
            <w:pPr>
              <w:wordWrap w:val="0"/>
              <w:spacing w:line="240" w:lineRule="auto"/>
              <w:jc w:val="center"/>
              <w:rPr>
                <w:rFonts w:cs="Times New Roman"/>
                <w:kern w:val="0"/>
                <w:sz w:val="21"/>
                <w:szCs w:val="21"/>
                <w14:ligatures w14:val="none"/>
              </w:rPr>
            </w:pPr>
            <w:r>
              <w:rPr>
                <w:rFonts w:hint="eastAsia"/>
                <w:sz w:val="21"/>
                <w:szCs w:val="21"/>
              </w:rPr>
              <w:t>小时值</w:t>
            </w:r>
          </w:p>
        </w:tc>
        <w:tc>
          <w:tcPr>
            <w:tcW w:w="1141" w:type="dxa"/>
            <w:noWrap/>
            <w:vAlign w:val="center"/>
          </w:tcPr>
          <w:p w14:paraId="5BDEC537">
            <w:pPr>
              <w:wordWrap w:val="0"/>
              <w:spacing w:line="240" w:lineRule="auto"/>
              <w:jc w:val="center"/>
              <w:rPr>
                <w:rFonts w:cs="Times New Roman"/>
                <w:kern w:val="0"/>
                <w:sz w:val="21"/>
                <w:szCs w:val="21"/>
                <w14:ligatures w14:val="none"/>
              </w:rPr>
            </w:pPr>
            <w:r>
              <w:rPr>
                <w:rFonts w:hint="eastAsia"/>
                <w:sz w:val="21"/>
                <w:szCs w:val="21"/>
              </w:rPr>
              <w:t>3.03E+00</w:t>
            </w:r>
          </w:p>
        </w:tc>
        <w:tc>
          <w:tcPr>
            <w:tcW w:w="1407" w:type="dxa"/>
            <w:noWrap/>
            <w:vAlign w:val="center"/>
          </w:tcPr>
          <w:p w14:paraId="0C40B6D6">
            <w:pPr>
              <w:wordWrap w:val="0"/>
              <w:spacing w:line="240" w:lineRule="auto"/>
              <w:jc w:val="center"/>
              <w:rPr>
                <w:rFonts w:cs="Times New Roman"/>
                <w:kern w:val="0"/>
                <w:sz w:val="21"/>
                <w:szCs w:val="21"/>
                <w14:ligatures w14:val="none"/>
              </w:rPr>
            </w:pPr>
            <w:r>
              <w:rPr>
                <w:rFonts w:hint="eastAsia"/>
                <w:sz w:val="21"/>
                <w:szCs w:val="21"/>
              </w:rPr>
              <w:t>23080406</w:t>
            </w:r>
          </w:p>
        </w:tc>
        <w:tc>
          <w:tcPr>
            <w:tcW w:w="1392" w:type="dxa"/>
            <w:noWrap/>
            <w:vAlign w:val="center"/>
          </w:tcPr>
          <w:p w14:paraId="29B2D9C7">
            <w:pPr>
              <w:wordWrap w:val="0"/>
              <w:spacing w:line="240" w:lineRule="auto"/>
              <w:jc w:val="center"/>
              <w:rPr>
                <w:rFonts w:cs="Times New Roman"/>
                <w:kern w:val="0"/>
                <w:sz w:val="21"/>
                <w:szCs w:val="21"/>
                <w14:ligatures w14:val="none"/>
              </w:rPr>
            </w:pPr>
            <w:r>
              <w:rPr>
                <w:rFonts w:hint="eastAsia"/>
                <w:sz w:val="21"/>
                <w:szCs w:val="21"/>
              </w:rPr>
              <w:t>2.00E+01</w:t>
            </w:r>
          </w:p>
        </w:tc>
        <w:tc>
          <w:tcPr>
            <w:tcW w:w="1074" w:type="dxa"/>
            <w:noWrap/>
            <w:vAlign w:val="center"/>
          </w:tcPr>
          <w:p w14:paraId="4D597D4F">
            <w:pPr>
              <w:wordWrap w:val="0"/>
              <w:spacing w:line="240" w:lineRule="auto"/>
              <w:jc w:val="center"/>
              <w:rPr>
                <w:rFonts w:cs="Times New Roman"/>
                <w:kern w:val="0"/>
                <w:sz w:val="21"/>
                <w:szCs w:val="21"/>
                <w14:ligatures w14:val="none"/>
              </w:rPr>
            </w:pPr>
            <w:r>
              <w:rPr>
                <w:rFonts w:hint="eastAsia"/>
                <w:sz w:val="21"/>
                <w:szCs w:val="21"/>
              </w:rPr>
              <w:t>15.14</w:t>
            </w:r>
          </w:p>
        </w:tc>
        <w:tc>
          <w:tcPr>
            <w:tcW w:w="1074" w:type="dxa"/>
            <w:noWrap/>
            <w:vAlign w:val="center"/>
          </w:tcPr>
          <w:p w14:paraId="7D292D9E">
            <w:pPr>
              <w:wordWrap w:val="0"/>
              <w:spacing w:line="240" w:lineRule="auto"/>
              <w:jc w:val="center"/>
              <w:rPr>
                <w:rFonts w:cs="Times New Roman"/>
                <w:kern w:val="0"/>
                <w:sz w:val="21"/>
                <w:szCs w:val="21"/>
                <w14:ligatures w14:val="none"/>
              </w:rPr>
            </w:pPr>
            <w:r>
              <w:rPr>
                <w:rFonts w:hint="eastAsia"/>
                <w:sz w:val="21"/>
                <w:szCs w:val="21"/>
              </w:rPr>
              <w:t>达标</w:t>
            </w:r>
          </w:p>
        </w:tc>
      </w:tr>
      <w:tr w14:paraId="1CB48F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62" w:type="dxa"/>
            <w:vAlign w:val="center"/>
          </w:tcPr>
          <w:p w14:paraId="24A15713">
            <w:pPr>
              <w:wordWrap w:val="0"/>
              <w:spacing w:line="240" w:lineRule="auto"/>
              <w:jc w:val="center"/>
              <w:rPr>
                <w:rFonts w:cs="Times New Roman"/>
                <w:kern w:val="0"/>
                <w:sz w:val="21"/>
                <w:szCs w:val="21"/>
                <w14:ligatures w14:val="none"/>
              </w:rPr>
            </w:pPr>
            <w:r>
              <w:rPr>
                <w:rFonts w:hint="eastAsia"/>
                <w:kern w:val="0"/>
                <w:sz w:val="21"/>
                <w:szCs w:val="21"/>
                <w14:ligatures w14:val="none"/>
              </w:rPr>
              <w:t>11</w:t>
            </w:r>
          </w:p>
        </w:tc>
        <w:tc>
          <w:tcPr>
            <w:tcW w:w="1276" w:type="dxa"/>
            <w:noWrap/>
            <w:vAlign w:val="center"/>
          </w:tcPr>
          <w:p w14:paraId="5C964160">
            <w:pPr>
              <w:wordWrap w:val="0"/>
              <w:spacing w:line="240" w:lineRule="auto"/>
              <w:jc w:val="center"/>
              <w:rPr>
                <w:rFonts w:cs="Times New Roman"/>
                <w:kern w:val="0"/>
                <w:sz w:val="21"/>
                <w:szCs w:val="21"/>
                <w14:ligatures w14:val="none"/>
              </w:rPr>
            </w:pPr>
            <w:r>
              <w:rPr>
                <w:rFonts w:hint="eastAsia"/>
                <w:sz w:val="21"/>
                <w:szCs w:val="21"/>
              </w:rPr>
              <w:t>网格</w:t>
            </w:r>
          </w:p>
        </w:tc>
        <w:tc>
          <w:tcPr>
            <w:tcW w:w="1134" w:type="dxa"/>
            <w:noWrap/>
            <w:vAlign w:val="center"/>
          </w:tcPr>
          <w:p w14:paraId="0B56F90A">
            <w:pPr>
              <w:wordWrap w:val="0"/>
              <w:spacing w:line="240" w:lineRule="auto"/>
              <w:jc w:val="center"/>
              <w:rPr>
                <w:rFonts w:cs="Times New Roman"/>
                <w:kern w:val="0"/>
                <w:sz w:val="21"/>
                <w:szCs w:val="21"/>
                <w14:ligatures w14:val="none"/>
              </w:rPr>
            </w:pPr>
            <w:r>
              <w:rPr>
                <w:rFonts w:hint="eastAsia"/>
                <w:sz w:val="21"/>
                <w:szCs w:val="21"/>
              </w:rPr>
              <w:t>小时值</w:t>
            </w:r>
          </w:p>
        </w:tc>
        <w:tc>
          <w:tcPr>
            <w:tcW w:w="1141" w:type="dxa"/>
            <w:noWrap/>
            <w:vAlign w:val="center"/>
          </w:tcPr>
          <w:p w14:paraId="229C9D19">
            <w:pPr>
              <w:wordWrap w:val="0"/>
              <w:spacing w:line="240" w:lineRule="auto"/>
              <w:jc w:val="center"/>
              <w:rPr>
                <w:rFonts w:cs="Times New Roman"/>
                <w:kern w:val="0"/>
                <w:sz w:val="21"/>
                <w:szCs w:val="21"/>
                <w14:ligatures w14:val="none"/>
              </w:rPr>
            </w:pPr>
            <w:r>
              <w:rPr>
                <w:rFonts w:hint="eastAsia"/>
                <w:sz w:val="21"/>
                <w:szCs w:val="21"/>
              </w:rPr>
              <w:t>1.13E+01</w:t>
            </w:r>
          </w:p>
        </w:tc>
        <w:tc>
          <w:tcPr>
            <w:tcW w:w="1407" w:type="dxa"/>
            <w:noWrap/>
            <w:vAlign w:val="center"/>
          </w:tcPr>
          <w:p w14:paraId="6D437EDA">
            <w:pPr>
              <w:wordWrap w:val="0"/>
              <w:spacing w:line="240" w:lineRule="auto"/>
              <w:jc w:val="center"/>
              <w:rPr>
                <w:rFonts w:cs="Times New Roman"/>
                <w:kern w:val="0"/>
                <w:sz w:val="21"/>
                <w:szCs w:val="21"/>
                <w14:ligatures w14:val="none"/>
              </w:rPr>
            </w:pPr>
            <w:r>
              <w:rPr>
                <w:rFonts w:hint="eastAsia"/>
                <w:sz w:val="21"/>
                <w:szCs w:val="21"/>
              </w:rPr>
              <w:t>23110217</w:t>
            </w:r>
          </w:p>
        </w:tc>
        <w:tc>
          <w:tcPr>
            <w:tcW w:w="1392" w:type="dxa"/>
            <w:noWrap/>
            <w:vAlign w:val="center"/>
          </w:tcPr>
          <w:p w14:paraId="516668EE">
            <w:pPr>
              <w:wordWrap w:val="0"/>
              <w:spacing w:line="240" w:lineRule="auto"/>
              <w:jc w:val="center"/>
              <w:rPr>
                <w:rFonts w:cs="Times New Roman"/>
                <w:kern w:val="0"/>
                <w:sz w:val="21"/>
                <w:szCs w:val="21"/>
                <w14:ligatures w14:val="none"/>
              </w:rPr>
            </w:pPr>
            <w:r>
              <w:rPr>
                <w:rFonts w:hint="eastAsia"/>
                <w:sz w:val="21"/>
                <w:szCs w:val="21"/>
              </w:rPr>
              <w:t>2.00E+01</w:t>
            </w:r>
          </w:p>
        </w:tc>
        <w:tc>
          <w:tcPr>
            <w:tcW w:w="1074" w:type="dxa"/>
            <w:noWrap/>
            <w:vAlign w:val="center"/>
          </w:tcPr>
          <w:p w14:paraId="60D4567D">
            <w:pPr>
              <w:wordWrap w:val="0"/>
              <w:spacing w:line="240" w:lineRule="auto"/>
              <w:jc w:val="center"/>
              <w:rPr>
                <w:rFonts w:cs="Times New Roman"/>
                <w:kern w:val="0"/>
                <w:sz w:val="21"/>
                <w:szCs w:val="21"/>
                <w14:ligatures w14:val="none"/>
              </w:rPr>
            </w:pPr>
            <w:r>
              <w:rPr>
                <w:rFonts w:hint="eastAsia"/>
                <w:sz w:val="21"/>
                <w:szCs w:val="21"/>
              </w:rPr>
              <w:t>56.28</w:t>
            </w:r>
          </w:p>
        </w:tc>
        <w:tc>
          <w:tcPr>
            <w:tcW w:w="1074" w:type="dxa"/>
            <w:noWrap/>
            <w:vAlign w:val="center"/>
          </w:tcPr>
          <w:p w14:paraId="4D06E60E">
            <w:pPr>
              <w:wordWrap w:val="0"/>
              <w:spacing w:line="240" w:lineRule="auto"/>
              <w:jc w:val="center"/>
              <w:rPr>
                <w:rFonts w:cs="Times New Roman"/>
                <w:kern w:val="0"/>
                <w:sz w:val="21"/>
                <w:szCs w:val="21"/>
                <w14:ligatures w14:val="none"/>
              </w:rPr>
            </w:pPr>
            <w:r>
              <w:rPr>
                <w:rFonts w:hint="eastAsia"/>
                <w:sz w:val="21"/>
                <w:szCs w:val="21"/>
              </w:rPr>
              <w:t>达标</w:t>
            </w:r>
          </w:p>
        </w:tc>
      </w:tr>
    </w:tbl>
    <w:p w14:paraId="55F07CAE">
      <w:pPr>
        <w:ind w:firstLine="468" w:firstLineChars="200"/>
        <w:rPr>
          <w:rFonts w:cs="Times New Roman"/>
          <w:spacing w:val="-3"/>
        </w:rPr>
      </w:pPr>
    </w:p>
    <w:p w14:paraId="05EBFEC0">
      <w:pPr>
        <w:ind w:firstLine="480" w:firstLineChars="200"/>
      </w:pPr>
      <w:r>
        <w:rPr>
          <w:rFonts w:hint="eastAsia"/>
        </w:rPr>
        <w:t>根据上述非正常工况下预测结果，项目非正常工况下排放的大气环境污染物短期落地浓度占标率明显升高，对周边环境造成不利影响。但各污染物短期落地浓度未超出相应环境质量标准，建设单位应切实加强管理，采取措施，保证治理设施的正常运行，杜绝非正常排放、事故排放。</w:t>
      </w:r>
    </w:p>
    <w:p w14:paraId="4998AF91">
      <w:pPr>
        <w:ind w:firstLine="480" w:firstLineChars="200"/>
      </w:pPr>
      <w:r>
        <w:rPr>
          <w:rFonts w:hint="eastAsia"/>
        </w:rPr>
        <w:t>4、环境防护距离</w:t>
      </w:r>
    </w:p>
    <w:p w14:paraId="019420C7">
      <w:pPr>
        <w:pStyle w:val="82"/>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根据《环境影响评价技术导则 大气环境》(HJ2.2-2018)，项目厂界外各污染物的短期贡献浓度值未出现超标情况，本项目无需设置大气环境防护距离。</w:t>
      </w:r>
    </w:p>
    <w:p w14:paraId="2ABA1044">
      <w:pPr>
        <w:ind w:firstLine="468" w:firstLineChars="200"/>
        <w:rPr>
          <w:rFonts w:cs="Times New Roman"/>
          <w:spacing w:val="-3"/>
        </w:rPr>
      </w:pPr>
      <w:r>
        <w:rPr>
          <w:rFonts w:hint="eastAsia" w:cs="Times New Roman"/>
          <w:spacing w:val="-3"/>
        </w:rPr>
        <w:t>本项目沿用现有环境防护距离，即厂界东侧外延520m，南侧外延830m，西侧外延450m，北侧外延490m，组成的矩形区域，详见图6.2-6。根据实际踏勘情况，项目环境防护距离内无居民区、学校等环境敏感目标分布，满足环境防护距离设置要求。</w:t>
      </w:r>
    </w:p>
    <w:p w14:paraId="3F0ECD5B">
      <w:pPr>
        <w:ind w:firstLine="468" w:firstLineChars="200"/>
        <w:rPr>
          <w:rFonts w:cs="Times New Roman"/>
          <w:spacing w:val="-3"/>
        </w:rPr>
      </w:pPr>
    </w:p>
    <w:p w14:paraId="35E8FA6F">
      <w:pPr>
        <w:ind w:firstLine="468" w:firstLineChars="200"/>
        <w:rPr>
          <w:rFonts w:cs="Times New Roman"/>
          <w:spacing w:val="-3"/>
        </w:rPr>
        <w:sectPr>
          <w:pgSz w:w="11906" w:h="16838"/>
          <w:pgMar w:top="1418" w:right="1418" w:bottom="1418" w:left="1418" w:header="851" w:footer="992" w:gutter="0"/>
          <w:cols w:space="425" w:num="1"/>
          <w:docGrid w:type="lines" w:linePitch="326" w:charSpace="0"/>
        </w:sectPr>
      </w:pPr>
    </w:p>
    <w:p w14:paraId="45DC325D">
      <w:pPr>
        <w:spacing w:line="240" w:lineRule="auto"/>
        <w:jc w:val="center"/>
      </w:pPr>
      <w:r>
        <w:drawing>
          <wp:inline distT="0" distB="0" distL="0" distR="0">
            <wp:extent cx="8210550" cy="5374640"/>
            <wp:effectExtent l="0" t="0" r="0" b="0"/>
            <wp:docPr id="96960530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605300" name="图片 1"/>
                    <pic:cNvPicPr>
                      <a:picLocks noChangeAspect="1"/>
                    </pic:cNvPicPr>
                  </pic:nvPicPr>
                  <pic:blipFill>
                    <a:blip r:embed="rId34"/>
                    <a:stretch>
                      <a:fillRect/>
                    </a:stretch>
                  </pic:blipFill>
                  <pic:spPr>
                    <a:xfrm>
                      <a:off x="0" y="0"/>
                      <a:ext cx="8218599" cy="5380201"/>
                    </a:xfrm>
                    <a:prstGeom prst="rect">
                      <a:avLst/>
                    </a:prstGeom>
                  </pic:spPr>
                </pic:pic>
              </a:graphicData>
            </a:graphic>
          </wp:inline>
        </w:drawing>
      </w:r>
    </w:p>
    <w:p w14:paraId="2B8502E9">
      <w:pPr>
        <w:jc w:val="center"/>
      </w:pPr>
      <w:r>
        <w:rPr>
          <w:rFonts w:hint="eastAsia" w:eastAsia="黑体"/>
        </w:rPr>
        <w:t>图6.2-6</w:t>
      </w:r>
      <w:r>
        <w:rPr>
          <w:rFonts w:eastAsia="黑体"/>
        </w:rPr>
        <w:t xml:space="preserve"> </w:t>
      </w:r>
      <w:r>
        <w:rPr>
          <w:rFonts w:hint="eastAsia" w:eastAsia="黑体"/>
        </w:rPr>
        <w:t>海华科技环境防护距离图</w:t>
      </w:r>
    </w:p>
    <w:p w14:paraId="28CD786B">
      <w:pPr>
        <w:ind w:firstLine="468" w:firstLineChars="200"/>
        <w:rPr>
          <w:rFonts w:cs="Times New Roman"/>
          <w:spacing w:val="-3"/>
        </w:rPr>
        <w:sectPr>
          <w:pgSz w:w="16838" w:h="11906" w:orient="landscape"/>
          <w:pgMar w:top="1418" w:right="1418" w:bottom="1418" w:left="1418" w:header="851" w:footer="992" w:gutter="0"/>
          <w:cols w:space="425" w:num="1"/>
          <w:docGrid w:type="lines" w:linePitch="326" w:charSpace="0"/>
        </w:sectPr>
      </w:pPr>
    </w:p>
    <w:p w14:paraId="6D915731">
      <w:pPr>
        <w:pStyle w:val="4"/>
        <w:rPr>
          <w:rFonts w:hint="eastAsia"/>
        </w:rPr>
      </w:pPr>
      <w:bookmarkStart w:id="83" w:name="_Toc221056411"/>
      <w:r>
        <w:rPr>
          <w:rFonts w:hint="eastAsia"/>
        </w:rPr>
        <w:t>6.2.4大气污染物排放量核算</w:t>
      </w:r>
      <w:bookmarkEnd w:id="83"/>
    </w:p>
    <w:p w14:paraId="7BCAE716">
      <w:pPr>
        <w:pStyle w:val="82"/>
        <w:ind w:firstLine="480"/>
        <w:rPr>
          <w:rFonts w:hint="eastAsia"/>
          <w:color w:val="000000" w:themeColor="text1"/>
          <w14:textFill>
            <w14:solidFill>
              <w14:schemeClr w14:val="tx1"/>
            </w14:solidFill>
          </w14:textFill>
        </w:rPr>
      </w:pPr>
      <w:r>
        <w:rPr>
          <w:color w:val="000000" w:themeColor="text1"/>
          <w14:textFill>
            <w14:solidFill>
              <w14:schemeClr w14:val="tx1"/>
            </w14:solidFill>
          </w14:textFill>
        </w:rPr>
        <w:t>拟建项目污染物排放量核算</w:t>
      </w:r>
      <w:r>
        <w:rPr>
          <w:rFonts w:hint="eastAsia"/>
          <w:color w:val="000000" w:themeColor="text1"/>
          <w14:textFill>
            <w14:solidFill>
              <w14:schemeClr w14:val="tx1"/>
            </w14:solidFill>
          </w14:textFill>
        </w:rPr>
        <w:t>如下表所示</w:t>
      </w:r>
      <w:r>
        <w:rPr>
          <w:color w:val="000000" w:themeColor="text1"/>
          <w14:textFill>
            <w14:solidFill>
              <w14:schemeClr w14:val="tx1"/>
            </w14:solidFill>
          </w14:textFill>
        </w:rPr>
        <w:t>。</w:t>
      </w:r>
    </w:p>
    <w:p w14:paraId="32103399">
      <w:pPr>
        <w:pStyle w:val="28"/>
        <w:rPr>
          <w:rFonts w:hint="eastAsia"/>
        </w:rPr>
      </w:pPr>
      <w:r>
        <w:t>表6.2-</w:t>
      </w:r>
      <w:r>
        <w:rPr>
          <w:rFonts w:hint="eastAsia"/>
        </w:rPr>
        <w:t>23</w:t>
      </w:r>
      <w:r>
        <w:t xml:space="preserve">  大气污染物有组织排放量核算表</w:t>
      </w:r>
    </w:p>
    <w:tbl>
      <w:tblPr>
        <w:tblStyle w:val="36"/>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596"/>
        <w:gridCol w:w="1287"/>
        <w:gridCol w:w="2426"/>
        <w:gridCol w:w="1688"/>
        <w:gridCol w:w="1658"/>
        <w:gridCol w:w="1631"/>
      </w:tblGrid>
      <w:tr w14:paraId="7F1CAB8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20" w:hRule="atLeast"/>
          <w:jc w:val="center"/>
        </w:trPr>
        <w:tc>
          <w:tcPr>
            <w:tcW w:w="321" w:type="pct"/>
            <w:tcBorders>
              <w:top w:val="single" w:color="000000" w:sz="4" w:space="0"/>
              <w:left w:val="single" w:color="000000" w:sz="4" w:space="0"/>
              <w:bottom w:val="single" w:color="000000" w:sz="4" w:space="0"/>
              <w:right w:val="single" w:color="000000" w:sz="4" w:space="0"/>
            </w:tcBorders>
            <w:vAlign w:val="center"/>
          </w:tcPr>
          <w:p w14:paraId="3298511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序号</w:t>
            </w:r>
          </w:p>
        </w:tc>
        <w:tc>
          <w:tcPr>
            <w:tcW w:w="693" w:type="pct"/>
            <w:tcBorders>
              <w:top w:val="single" w:color="000000" w:sz="4" w:space="0"/>
              <w:left w:val="single" w:color="000000" w:sz="4" w:space="0"/>
              <w:bottom w:val="single" w:color="000000" w:sz="4" w:space="0"/>
              <w:right w:val="single" w:color="000000" w:sz="4" w:space="0"/>
            </w:tcBorders>
            <w:vAlign w:val="center"/>
          </w:tcPr>
          <w:p w14:paraId="186CD24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排放口编号</w:t>
            </w:r>
          </w:p>
        </w:tc>
        <w:tc>
          <w:tcPr>
            <w:tcW w:w="1306" w:type="pct"/>
            <w:tcBorders>
              <w:top w:val="single" w:color="000000" w:sz="4" w:space="0"/>
              <w:left w:val="single" w:color="000000" w:sz="4" w:space="0"/>
              <w:bottom w:val="single" w:color="000000" w:sz="4" w:space="0"/>
              <w:right w:val="single" w:color="000000" w:sz="4" w:space="0"/>
            </w:tcBorders>
            <w:vAlign w:val="center"/>
          </w:tcPr>
          <w:p w14:paraId="21CABFB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污染物</w:t>
            </w:r>
          </w:p>
        </w:tc>
        <w:tc>
          <w:tcPr>
            <w:tcW w:w="909" w:type="pct"/>
            <w:tcBorders>
              <w:top w:val="single" w:color="000000" w:sz="4" w:space="0"/>
              <w:left w:val="single" w:color="000000" w:sz="4" w:space="0"/>
              <w:bottom w:val="single" w:color="000000" w:sz="4" w:space="0"/>
              <w:right w:val="single" w:color="000000" w:sz="4" w:space="0"/>
            </w:tcBorders>
            <w:vAlign w:val="center"/>
          </w:tcPr>
          <w:p w14:paraId="7A2A6B0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核算排放速率/(kg/h)</w:t>
            </w:r>
          </w:p>
        </w:tc>
        <w:tc>
          <w:tcPr>
            <w:tcW w:w="893" w:type="pct"/>
            <w:tcBorders>
              <w:top w:val="single" w:color="000000" w:sz="4" w:space="0"/>
              <w:left w:val="single" w:color="000000" w:sz="4" w:space="0"/>
              <w:bottom w:val="single" w:color="000000" w:sz="4" w:space="0"/>
              <w:right w:val="single" w:color="000000" w:sz="4" w:space="0"/>
            </w:tcBorders>
            <w:vAlign w:val="center"/>
          </w:tcPr>
          <w:p w14:paraId="4858122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核算排放浓度/(mg/m</w:t>
            </w:r>
            <w:r>
              <w:rPr>
                <w:rFonts w:ascii="Times New Roman" w:hAnsi="Times New Roman" w:cs="Times New Roman"/>
                <w:color w:val="000000" w:themeColor="text1"/>
                <w:sz w:val="21"/>
                <w:szCs w:val="21"/>
                <w:vertAlign w:val="superscript"/>
                <w14:textFill>
                  <w14:solidFill>
                    <w14:schemeClr w14:val="tx1"/>
                  </w14:solidFill>
                </w14:textFill>
              </w:rPr>
              <w:t>3</w:t>
            </w:r>
            <w:r>
              <w:rPr>
                <w:rFonts w:ascii="Times New Roman" w:hAnsi="Times New Roman" w:cs="Times New Roman"/>
                <w:color w:val="000000" w:themeColor="text1"/>
                <w:sz w:val="21"/>
                <w:szCs w:val="21"/>
                <w14:textFill>
                  <w14:solidFill>
                    <w14:schemeClr w14:val="tx1"/>
                  </w14:solidFill>
                </w14:textFill>
              </w:rPr>
              <w:t>)</w:t>
            </w:r>
          </w:p>
        </w:tc>
        <w:tc>
          <w:tcPr>
            <w:tcW w:w="878" w:type="pct"/>
            <w:tcBorders>
              <w:top w:val="single" w:color="000000" w:sz="4" w:space="0"/>
              <w:left w:val="single" w:color="000000" w:sz="4" w:space="0"/>
              <w:bottom w:val="single" w:color="000000" w:sz="4" w:space="0"/>
              <w:right w:val="single" w:color="000000" w:sz="4" w:space="0"/>
            </w:tcBorders>
            <w:vAlign w:val="center"/>
          </w:tcPr>
          <w:p w14:paraId="75BD47B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核算年排放量</w:t>
            </w:r>
          </w:p>
          <w:p w14:paraId="7974563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/(t/a)</w:t>
            </w:r>
          </w:p>
        </w:tc>
      </w:tr>
      <w:tr w14:paraId="7ACA0B9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10" w:hRule="atLeast"/>
          <w:jc w:val="center"/>
        </w:trPr>
        <w:tc>
          <w:tcPr>
            <w:tcW w:w="5000" w:type="pct"/>
            <w:gridSpan w:val="6"/>
            <w:tcBorders>
              <w:top w:val="single" w:color="000000" w:sz="4" w:space="0"/>
              <w:left w:val="single" w:color="000000" w:sz="4" w:space="0"/>
              <w:bottom w:val="single" w:color="000000" w:sz="4" w:space="0"/>
              <w:right w:val="single" w:color="000000" w:sz="4" w:space="0"/>
            </w:tcBorders>
            <w:vAlign w:val="center"/>
          </w:tcPr>
          <w:p w14:paraId="09ED971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主要</w:t>
            </w:r>
            <w:r>
              <w:rPr>
                <w:rFonts w:ascii="Times New Roman" w:hAnsi="Times New Roman" w:cs="Times New Roman"/>
                <w:color w:val="000000" w:themeColor="text1"/>
                <w:sz w:val="21"/>
                <w:szCs w:val="21"/>
                <w14:textFill>
                  <w14:solidFill>
                    <w14:schemeClr w14:val="tx1"/>
                  </w14:solidFill>
                </w14:textFill>
              </w:rPr>
              <w:t>排放口</w:t>
            </w:r>
          </w:p>
        </w:tc>
      </w:tr>
      <w:tr w14:paraId="13E1C49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20" w:hRule="atLeast"/>
          <w:jc w:val="center"/>
        </w:trPr>
        <w:tc>
          <w:tcPr>
            <w:tcW w:w="321" w:type="pct"/>
            <w:vMerge w:val="restart"/>
            <w:tcBorders>
              <w:top w:val="single" w:color="000000" w:sz="4" w:space="0"/>
              <w:left w:val="single" w:color="000000" w:sz="4" w:space="0"/>
              <w:right w:val="single" w:color="000000" w:sz="4" w:space="0"/>
            </w:tcBorders>
            <w:vAlign w:val="center"/>
          </w:tcPr>
          <w:p w14:paraId="342CAA6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w:t>
            </w:r>
          </w:p>
        </w:tc>
        <w:tc>
          <w:tcPr>
            <w:tcW w:w="693" w:type="pct"/>
            <w:vMerge w:val="restart"/>
            <w:tcBorders>
              <w:top w:val="single" w:color="000000" w:sz="4" w:space="0"/>
              <w:left w:val="single" w:color="000000" w:sz="4" w:space="0"/>
              <w:right w:val="single" w:color="000000" w:sz="4" w:space="0"/>
            </w:tcBorders>
            <w:vAlign w:val="center"/>
          </w:tcPr>
          <w:p w14:paraId="3093058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DA0</w:t>
            </w:r>
            <w:r>
              <w:rPr>
                <w:rFonts w:hint="eastAsia" w:ascii="Times New Roman" w:hAnsi="Times New Roman" w:cs="Times New Roman"/>
                <w:color w:val="000000" w:themeColor="text1"/>
                <w:sz w:val="21"/>
                <w:szCs w:val="21"/>
                <w14:textFill>
                  <w14:solidFill>
                    <w14:schemeClr w14:val="tx1"/>
                  </w14:solidFill>
                </w14:textFill>
              </w:rPr>
              <w:t>23</w:t>
            </w:r>
          </w:p>
        </w:tc>
        <w:tc>
          <w:tcPr>
            <w:tcW w:w="1306" w:type="pct"/>
            <w:tcBorders>
              <w:top w:val="single" w:color="000000" w:sz="4" w:space="0"/>
              <w:left w:val="single" w:color="000000" w:sz="4" w:space="0"/>
              <w:bottom w:val="single" w:color="000000" w:sz="4" w:space="0"/>
              <w:right w:val="single" w:color="000000" w:sz="4" w:space="0"/>
            </w:tcBorders>
            <w:vAlign w:val="center"/>
          </w:tcPr>
          <w:p w14:paraId="134784B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非甲烷总烃</w:t>
            </w:r>
          </w:p>
        </w:tc>
        <w:tc>
          <w:tcPr>
            <w:tcW w:w="909" w:type="pct"/>
            <w:tcBorders>
              <w:top w:val="single" w:color="000000" w:sz="4" w:space="0"/>
              <w:left w:val="single" w:color="000000" w:sz="4" w:space="0"/>
              <w:bottom w:val="single" w:color="000000" w:sz="4" w:space="0"/>
              <w:right w:val="single" w:color="000000" w:sz="4" w:space="0"/>
            </w:tcBorders>
            <w:vAlign w:val="center"/>
          </w:tcPr>
          <w:p w14:paraId="39BAA88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0.019</w:t>
            </w:r>
          </w:p>
        </w:tc>
        <w:tc>
          <w:tcPr>
            <w:tcW w:w="893" w:type="pct"/>
            <w:tcBorders>
              <w:top w:val="single" w:color="000000" w:sz="4" w:space="0"/>
              <w:left w:val="single" w:color="000000" w:sz="4" w:space="0"/>
              <w:bottom w:val="single" w:color="000000" w:sz="4" w:space="0"/>
              <w:right w:val="single" w:color="000000" w:sz="4" w:space="0"/>
            </w:tcBorders>
            <w:vAlign w:val="center"/>
          </w:tcPr>
          <w:p w14:paraId="48DF692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9.53</w:t>
            </w:r>
          </w:p>
        </w:tc>
        <w:tc>
          <w:tcPr>
            <w:tcW w:w="878" w:type="pct"/>
            <w:tcBorders>
              <w:top w:val="single" w:color="000000" w:sz="4" w:space="0"/>
              <w:left w:val="single" w:color="000000" w:sz="4" w:space="0"/>
              <w:bottom w:val="single" w:color="000000" w:sz="4" w:space="0"/>
              <w:right w:val="single" w:color="000000" w:sz="4" w:space="0"/>
            </w:tcBorders>
            <w:vAlign w:val="center"/>
          </w:tcPr>
          <w:p w14:paraId="3DD0F20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0.137</w:t>
            </w:r>
          </w:p>
        </w:tc>
      </w:tr>
      <w:tr w14:paraId="76BA309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20" w:hRule="atLeast"/>
          <w:jc w:val="center"/>
        </w:trPr>
        <w:tc>
          <w:tcPr>
            <w:tcW w:w="321" w:type="pct"/>
            <w:vMerge w:val="continue"/>
            <w:tcBorders>
              <w:left w:val="single" w:color="000000" w:sz="4" w:space="0"/>
              <w:bottom w:val="single" w:color="000000" w:sz="4" w:space="0"/>
              <w:right w:val="single" w:color="000000" w:sz="4" w:space="0"/>
            </w:tcBorders>
            <w:vAlign w:val="center"/>
          </w:tcPr>
          <w:p w14:paraId="5740C59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c>
          <w:tcPr>
            <w:tcW w:w="693" w:type="pct"/>
            <w:vMerge w:val="continue"/>
            <w:tcBorders>
              <w:left w:val="single" w:color="000000" w:sz="4" w:space="0"/>
              <w:bottom w:val="single" w:color="000000" w:sz="4" w:space="0"/>
              <w:right w:val="single" w:color="000000" w:sz="4" w:space="0"/>
            </w:tcBorders>
            <w:vAlign w:val="center"/>
          </w:tcPr>
          <w:p w14:paraId="6AE892F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c>
          <w:tcPr>
            <w:tcW w:w="1306" w:type="pct"/>
            <w:tcBorders>
              <w:top w:val="single" w:color="000000" w:sz="4" w:space="0"/>
              <w:left w:val="single" w:color="000000" w:sz="4" w:space="0"/>
              <w:bottom w:val="single" w:color="000000" w:sz="4" w:space="0"/>
              <w:right w:val="single" w:color="000000" w:sz="4" w:space="0"/>
            </w:tcBorders>
            <w:vAlign w:val="center"/>
          </w:tcPr>
          <w:p w14:paraId="775BADA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酚类</w:t>
            </w:r>
          </w:p>
        </w:tc>
        <w:tc>
          <w:tcPr>
            <w:tcW w:w="909" w:type="pct"/>
            <w:tcBorders>
              <w:top w:val="single" w:color="000000" w:sz="4" w:space="0"/>
              <w:left w:val="single" w:color="000000" w:sz="4" w:space="0"/>
              <w:bottom w:val="single" w:color="000000" w:sz="4" w:space="0"/>
              <w:right w:val="single" w:color="000000" w:sz="4" w:space="0"/>
            </w:tcBorders>
            <w:vAlign w:val="center"/>
          </w:tcPr>
          <w:p w14:paraId="1322C7D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0.016</w:t>
            </w:r>
          </w:p>
        </w:tc>
        <w:tc>
          <w:tcPr>
            <w:tcW w:w="893" w:type="pct"/>
            <w:tcBorders>
              <w:top w:val="single" w:color="000000" w:sz="4" w:space="0"/>
              <w:left w:val="single" w:color="000000" w:sz="4" w:space="0"/>
              <w:bottom w:val="single" w:color="000000" w:sz="4" w:space="0"/>
              <w:right w:val="single" w:color="000000" w:sz="4" w:space="0"/>
            </w:tcBorders>
            <w:vAlign w:val="center"/>
          </w:tcPr>
          <w:p w14:paraId="3859AF5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8.13</w:t>
            </w:r>
          </w:p>
        </w:tc>
        <w:tc>
          <w:tcPr>
            <w:tcW w:w="878" w:type="pct"/>
            <w:tcBorders>
              <w:top w:val="single" w:color="000000" w:sz="4" w:space="0"/>
              <w:left w:val="single" w:color="000000" w:sz="4" w:space="0"/>
              <w:bottom w:val="single" w:color="000000" w:sz="4" w:space="0"/>
              <w:right w:val="single" w:color="000000" w:sz="4" w:space="0"/>
            </w:tcBorders>
            <w:vAlign w:val="center"/>
          </w:tcPr>
          <w:p w14:paraId="63A9735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0.117</w:t>
            </w:r>
          </w:p>
        </w:tc>
      </w:tr>
      <w:tr w14:paraId="46F565C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20" w:hRule="atLeast"/>
          <w:jc w:val="center"/>
        </w:trPr>
        <w:tc>
          <w:tcPr>
            <w:tcW w:w="1014" w:type="pct"/>
            <w:gridSpan w:val="2"/>
            <w:vMerge w:val="restart"/>
            <w:tcBorders>
              <w:top w:val="single" w:color="000000" w:sz="4" w:space="0"/>
              <w:left w:val="single" w:color="000000" w:sz="4" w:space="0"/>
              <w:right w:val="single" w:color="000000" w:sz="4" w:space="0"/>
            </w:tcBorders>
            <w:vAlign w:val="center"/>
          </w:tcPr>
          <w:p w14:paraId="5FE7BB5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有组织排放总计</w:t>
            </w:r>
          </w:p>
        </w:tc>
        <w:tc>
          <w:tcPr>
            <w:tcW w:w="3108" w:type="pct"/>
            <w:gridSpan w:val="3"/>
            <w:tcBorders>
              <w:top w:val="single" w:color="000000" w:sz="4" w:space="0"/>
              <w:left w:val="single" w:color="000000" w:sz="4" w:space="0"/>
              <w:bottom w:val="single" w:color="000000" w:sz="4" w:space="0"/>
              <w:right w:val="single" w:color="000000" w:sz="4" w:space="0"/>
            </w:tcBorders>
            <w:vAlign w:val="center"/>
          </w:tcPr>
          <w:p w14:paraId="580BF82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非甲烷总烃</w:t>
            </w:r>
          </w:p>
        </w:tc>
        <w:tc>
          <w:tcPr>
            <w:tcW w:w="878" w:type="pct"/>
            <w:tcBorders>
              <w:top w:val="single" w:color="000000" w:sz="4" w:space="0"/>
              <w:left w:val="single" w:color="000000" w:sz="4" w:space="0"/>
              <w:bottom w:val="single" w:color="000000" w:sz="4" w:space="0"/>
              <w:right w:val="single" w:color="000000" w:sz="4" w:space="0"/>
            </w:tcBorders>
            <w:vAlign w:val="center"/>
          </w:tcPr>
          <w:p w14:paraId="5E3C362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0.137</w:t>
            </w:r>
          </w:p>
        </w:tc>
      </w:tr>
      <w:tr w14:paraId="6AD692D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20" w:hRule="atLeast"/>
          <w:jc w:val="center"/>
        </w:trPr>
        <w:tc>
          <w:tcPr>
            <w:tcW w:w="1014" w:type="pct"/>
            <w:gridSpan w:val="2"/>
            <w:vMerge w:val="continue"/>
            <w:tcBorders>
              <w:left w:val="single" w:color="000000" w:sz="4" w:space="0"/>
              <w:right w:val="single" w:color="000000" w:sz="4" w:space="0"/>
            </w:tcBorders>
            <w:vAlign w:val="center"/>
          </w:tcPr>
          <w:p w14:paraId="4F4E82A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c>
          <w:tcPr>
            <w:tcW w:w="3108" w:type="pct"/>
            <w:gridSpan w:val="3"/>
            <w:tcBorders>
              <w:top w:val="single" w:color="000000" w:sz="4" w:space="0"/>
              <w:left w:val="single" w:color="000000" w:sz="4" w:space="0"/>
              <w:bottom w:val="single" w:color="000000" w:sz="4" w:space="0"/>
              <w:right w:val="single" w:color="000000" w:sz="4" w:space="0"/>
            </w:tcBorders>
            <w:vAlign w:val="center"/>
          </w:tcPr>
          <w:p w14:paraId="11F7D23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酚类</w:t>
            </w:r>
          </w:p>
        </w:tc>
        <w:tc>
          <w:tcPr>
            <w:tcW w:w="878" w:type="pct"/>
            <w:tcBorders>
              <w:top w:val="single" w:color="000000" w:sz="4" w:space="0"/>
              <w:left w:val="single" w:color="000000" w:sz="4" w:space="0"/>
              <w:bottom w:val="single" w:color="000000" w:sz="4" w:space="0"/>
              <w:right w:val="single" w:color="000000" w:sz="4" w:space="0"/>
            </w:tcBorders>
            <w:vAlign w:val="center"/>
          </w:tcPr>
          <w:p w14:paraId="6B4901C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0.117</w:t>
            </w:r>
          </w:p>
        </w:tc>
      </w:tr>
    </w:tbl>
    <w:p w14:paraId="44CC8166">
      <w:pPr>
        <w:pStyle w:val="82"/>
        <w:ind w:left="480" w:firstLine="0" w:firstLineChars="0"/>
        <w:rPr>
          <w:rFonts w:hint="eastAsia"/>
          <w:color w:val="000000" w:themeColor="text1"/>
          <w14:textFill>
            <w14:solidFill>
              <w14:schemeClr w14:val="tx1"/>
            </w14:solidFill>
          </w14:textFill>
        </w:rPr>
      </w:pPr>
    </w:p>
    <w:p w14:paraId="748CF58D">
      <w:pPr>
        <w:pStyle w:val="28"/>
        <w:rPr>
          <w:rFonts w:hint="eastAsia"/>
        </w:rPr>
      </w:pPr>
      <w:r>
        <w:t>表6.2-</w:t>
      </w:r>
      <w:r>
        <w:rPr>
          <w:rFonts w:hint="eastAsia"/>
        </w:rPr>
        <w:t>24</w:t>
      </w:r>
      <w:r>
        <w:t xml:space="preserve">  大气污染物</w:t>
      </w:r>
      <w:r>
        <w:rPr>
          <w:rFonts w:hint="eastAsia"/>
        </w:rPr>
        <w:t>无</w:t>
      </w:r>
      <w:r>
        <w:t>组织排放量核算表</w:t>
      </w:r>
    </w:p>
    <w:tbl>
      <w:tblPr>
        <w:tblStyle w:val="36"/>
        <w:tblW w:w="9025"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421"/>
        <w:gridCol w:w="1559"/>
        <w:gridCol w:w="1276"/>
        <w:gridCol w:w="1134"/>
        <w:gridCol w:w="1842"/>
        <w:gridCol w:w="1134"/>
        <w:gridCol w:w="1659"/>
      </w:tblGrid>
      <w:tr w14:paraId="620205E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jc w:val="center"/>
        </w:trPr>
        <w:tc>
          <w:tcPr>
            <w:tcW w:w="421" w:type="dxa"/>
            <w:tcBorders>
              <w:top w:val="single" w:color="000000" w:sz="4" w:space="0"/>
              <w:left w:val="single" w:color="000000" w:sz="4" w:space="0"/>
              <w:bottom w:val="single" w:color="000000" w:sz="4" w:space="0"/>
              <w:right w:val="single" w:color="000000" w:sz="4" w:space="0"/>
            </w:tcBorders>
            <w:vAlign w:val="center"/>
          </w:tcPr>
          <w:p w14:paraId="5EB517B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序号</w:t>
            </w:r>
          </w:p>
        </w:tc>
        <w:tc>
          <w:tcPr>
            <w:tcW w:w="1559" w:type="dxa"/>
            <w:tcBorders>
              <w:top w:val="single" w:color="000000" w:sz="4" w:space="0"/>
              <w:left w:val="single" w:color="000000" w:sz="4" w:space="0"/>
              <w:bottom w:val="single" w:color="000000" w:sz="4" w:space="0"/>
              <w:right w:val="single" w:color="000000" w:sz="4" w:space="0"/>
            </w:tcBorders>
            <w:vAlign w:val="center"/>
          </w:tcPr>
          <w:p w14:paraId="645B73C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产污环节</w:t>
            </w:r>
          </w:p>
        </w:tc>
        <w:tc>
          <w:tcPr>
            <w:tcW w:w="1276" w:type="dxa"/>
            <w:tcBorders>
              <w:top w:val="single" w:color="000000" w:sz="4" w:space="0"/>
              <w:left w:val="single" w:color="000000" w:sz="4" w:space="0"/>
              <w:bottom w:val="single" w:color="000000" w:sz="4" w:space="0"/>
              <w:right w:val="single" w:color="000000" w:sz="4" w:space="0"/>
            </w:tcBorders>
            <w:vAlign w:val="center"/>
          </w:tcPr>
          <w:p w14:paraId="2374E71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污染物</w:t>
            </w:r>
          </w:p>
        </w:tc>
        <w:tc>
          <w:tcPr>
            <w:tcW w:w="1134" w:type="dxa"/>
            <w:tcBorders>
              <w:top w:val="single" w:color="000000" w:sz="4" w:space="0"/>
              <w:left w:val="single" w:color="000000" w:sz="4" w:space="0"/>
              <w:bottom w:val="single" w:color="000000" w:sz="4" w:space="0"/>
              <w:right w:val="single" w:color="000000" w:sz="4" w:space="0"/>
            </w:tcBorders>
            <w:vAlign w:val="center"/>
          </w:tcPr>
          <w:p w14:paraId="56D242B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主要污染防治措施</w:t>
            </w:r>
          </w:p>
        </w:tc>
        <w:tc>
          <w:tcPr>
            <w:tcW w:w="1842" w:type="dxa"/>
            <w:tcBorders>
              <w:top w:val="single" w:color="000000" w:sz="4" w:space="0"/>
              <w:left w:val="single" w:color="000000" w:sz="4" w:space="0"/>
              <w:bottom w:val="single" w:color="000000" w:sz="4" w:space="0"/>
              <w:right w:val="single" w:color="000000" w:sz="4" w:space="0"/>
            </w:tcBorders>
            <w:vAlign w:val="center"/>
          </w:tcPr>
          <w:p w14:paraId="5B56F6E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国家或地方污染物排放标准名称</w:t>
            </w:r>
          </w:p>
        </w:tc>
        <w:tc>
          <w:tcPr>
            <w:tcW w:w="1134" w:type="dxa"/>
            <w:tcBorders>
              <w:top w:val="single" w:color="000000" w:sz="4" w:space="0"/>
              <w:left w:val="single" w:color="000000" w:sz="4" w:space="0"/>
              <w:bottom w:val="single" w:color="000000" w:sz="4" w:space="0"/>
              <w:right w:val="single" w:color="000000" w:sz="4" w:space="0"/>
            </w:tcBorders>
            <w:vAlign w:val="center"/>
          </w:tcPr>
          <w:p w14:paraId="324B804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浓度限值</w:t>
            </w:r>
          </w:p>
          <w:p w14:paraId="15859EC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/(mg/m</w:t>
            </w:r>
            <w:r>
              <w:rPr>
                <w:rFonts w:ascii="Times New Roman" w:hAnsi="Times New Roman" w:cs="Times New Roman"/>
                <w:color w:val="000000" w:themeColor="text1"/>
                <w:sz w:val="21"/>
                <w:szCs w:val="21"/>
                <w:vertAlign w:val="superscript"/>
                <w14:textFill>
                  <w14:solidFill>
                    <w14:schemeClr w14:val="tx1"/>
                  </w14:solidFill>
                </w14:textFill>
              </w:rPr>
              <w:t>3</w:t>
            </w:r>
            <w:r>
              <w:rPr>
                <w:rFonts w:ascii="Times New Roman" w:hAnsi="Times New Roman" w:cs="Times New Roman"/>
                <w:color w:val="000000" w:themeColor="text1"/>
                <w:sz w:val="21"/>
                <w:szCs w:val="21"/>
                <w14:textFill>
                  <w14:solidFill>
                    <w14:schemeClr w14:val="tx1"/>
                  </w14:solidFill>
                </w14:textFill>
              </w:rPr>
              <w:t>)</w:t>
            </w:r>
          </w:p>
        </w:tc>
        <w:tc>
          <w:tcPr>
            <w:tcW w:w="1659" w:type="dxa"/>
            <w:tcBorders>
              <w:top w:val="single" w:color="000000" w:sz="4" w:space="0"/>
              <w:left w:val="single" w:color="000000" w:sz="4" w:space="0"/>
              <w:bottom w:val="single" w:color="000000" w:sz="4" w:space="0"/>
              <w:right w:val="single" w:color="000000" w:sz="4" w:space="0"/>
            </w:tcBorders>
            <w:vAlign w:val="center"/>
          </w:tcPr>
          <w:p w14:paraId="422A0B5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核算年排放量/</w:t>
            </w:r>
            <w:r>
              <w:rPr>
                <w:rFonts w:hint="eastAsia" w:ascii="Times New Roman" w:hAnsi="Times New Roman" w:cs="Times New Roman"/>
                <w:color w:val="000000" w:themeColor="text1"/>
                <w:sz w:val="21"/>
                <w:szCs w:val="21"/>
                <w14:textFill>
                  <w14:solidFill>
                    <w14:schemeClr w14:val="tx1"/>
                  </w14:solidFill>
                </w14:textFill>
              </w:rPr>
              <w:t>(</w:t>
            </w:r>
            <w:r>
              <w:rPr>
                <w:rFonts w:ascii="Times New Roman" w:hAnsi="Times New Roman" w:cs="Times New Roman"/>
                <w:color w:val="000000" w:themeColor="text1"/>
                <w:sz w:val="21"/>
                <w:szCs w:val="21"/>
                <w14:textFill>
                  <w14:solidFill>
                    <w14:schemeClr w14:val="tx1"/>
                  </w14:solidFill>
                </w14:textFill>
              </w:rPr>
              <w:t>t/a</w:t>
            </w:r>
            <w:r>
              <w:rPr>
                <w:rFonts w:hint="eastAsia" w:ascii="Times New Roman" w:hAnsi="Times New Roman" w:cs="Times New Roman"/>
                <w:color w:val="000000" w:themeColor="text1"/>
                <w:sz w:val="21"/>
                <w:szCs w:val="21"/>
                <w14:textFill>
                  <w14:solidFill>
                    <w14:schemeClr w14:val="tx1"/>
                  </w14:solidFill>
                </w14:textFill>
              </w:rPr>
              <w:t>)</w:t>
            </w:r>
          </w:p>
        </w:tc>
      </w:tr>
      <w:tr w14:paraId="26733AC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43" w:hRule="atLeast"/>
          <w:jc w:val="center"/>
        </w:trPr>
        <w:tc>
          <w:tcPr>
            <w:tcW w:w="421" w:type="dxa"/>
            <w:vMerge w:val="restart"/>
            <w:tcBorders>
              <w:top w:val="single" w:color="000000" w:sz="4" w:space="0"/>
              <w:left w:val="single" w:color="000000" w:sz="4" w:space="0"/>
              <w:right w:val="single" w:color="000000" w:sz="4" w:space="0"/>
            </w:tcBorders>
            <w:vAlign w:val="center"/>
          </w:tcPr>
          <w:p w14:paraId="02A8A3E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w:t>
            </w:r>
          </w:p>
        </w:tc>
        <w:tc>
          <w:tcPr>
            <w:tcW w:w="1559" w:type="dxa"/>
            <w:vMerge w:val="restart"/>
            <w:tcBorders>
              <w:top w:val="single" w:color="000000" w:sz="4" w:space="0"/>
              <w:left w:val="single" w:color="000000" w:sz="4" w:space="0"/>
              <w:right w:val="single" w:color="000000" w:sz="4" w:space="0"/>
            </w:tcBorders>
            <w:vAlign w:val="center"/>
          </w:tcPr>
          <w:p w14:paraId="1AA528A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生产装置区</w:t>
            </w:r>
          </w:p>
        </w:tc>
        <w:tc>
          <w:tcPr>
            <w:tcW w:w="1276" w:type="dxa"/>
            <w:tcBorders>
              <w:top w:val="single" w:color="000000" w:sz="4" w:space="0"/>
              <w:left w:val="single" w:color="000000" w:sz="4" w:space="0"/>
              <w:bottom w:val="single" w:color="000000" w:sz="4" w:space="0"/>
              <w:right w:val="single" w:color="000000" w:sz="4" w:space="0"/>
            </w:tcBorders>
            <w:vAlign w:val="center"/>
          </w:tcPr>
          <w:p w14:paraId="4D15E7B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非甲烷总烃</w:t>
            </w:r>
          </w:p>
        </w:tc>
        <w:tc>
          <w:tcPr>
            <w:tcW w:w="1134" w:type="dxa"/>
            <w:vMerge w:val="restart"/>
            <w:tcBorders>
              <w:top w:val="single" w:color="000000" w:sz="4" w:space="0"/>
              <w:left w:val="single" w:color="000000" w:sz="4" w:space="0"/>
              <w:right w:val="single" w:color="000000" w:sz="4" w:space="0"/>
            </w:tcBorders>
            <w:vAlign w:val="center"/>
          </w:tcPr>
          <w:p w14:paraId="5C68104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加强车间管理、定期检查</w:t>
            </w:r>
          </w:p>
        </w:tc>
        <w:tc>
          <w:tcPr>
            <w:tcW w:w="1842" w:type="dxa"/>
            <w:vMerge w:val="restart"/>
            <w:tcBorders>
              <w:top w:val="single" w:color="000000" w:sz="4" w:space="0"/>
              <w:left w:val="single" w:color="000000" w:sz="4" w:space="0"/>
              <w:right w:val="single" w:color="000000" w:sz="4" w:space="0"/>
            </w:tcBorders>
            <w:vAlign w:val="center"/>
          </w:tcPr>
          <w:p w14:paraId="1F466797">
            <w:pPr>
              <w:pStyle w:val="82"/>
              <w:wordWrap w:val="0"/>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《固定源挥发性有机物综合排放标准第3部分：有机化学品制造工业》(DB34/4812.3-2024)</w:t>
            </w:r>
          </w:p>
        </w:tc>
        <w:tc>
          <w:tcPr>
            <w:tcW w:w="1134" w:type="dxa"/>
            <w:tcBorders>
              <w:top w:val="single" w:color="000000" w:sz="4" w:space="0"/>
              <w:left w:val="single" w:color="000000" w:sz="4" w:space="0"/>
              <w:bottom w:val="single" w:color="000000" w:sz="4" w:space="0"/>
              <w:right w:val="single" w:color="000000" w:sz="4" w:space="0"/>
            </w:tcBorders>
            <w:vAlign w:val="center"/>
          </w:tcPr>
          <w:p w14:paraId="6B00CAD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4.0</w:t>
            </w:r>
          </w:p>
        </w:tc>
        <w:tc>
          <w:tcPr>
            <w:tcW w:w="1659" w:type="dxa"/>
            <w:tcBorders>
              <w:top w:val="single" w:color="000000" w:sz="4" w:space="0"/>
              <w:left w:val="single" w:color="000000" w:sz="4" w:space="0"/>
              <w:bottom w:val="single" w:color="000000" w:sz="4" w:space="0"/>
              <w:right w:val="single" w:color="000000" w:sz="4" w:space="0"/>
            </w:tcBorders>
            <w:vAlign w:val="center"/>
          </w:tcPr>
          <w:p w14:paraId="18739DA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0.264</w:t>
            </w:r>
          </w:p>
        </w:tc>
      </w:tr>
      <w:tr w14:paraId="67EAFEA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jc w:val="center"/>
        </w:trPr>
        <w:tc>
          <w:tcPr>
            <w:tcW w:w="421" w:type="dxa"/>
            <w:vMerge w:val="continue"/>
            <w:tcBorders>
              <w:left w:val="single" w:color="000000" w:sz="4" w:space="0"/>
              <w:right w:val="single" w:color="000000" w:sz="4" w:space="0"/>
            </w:tcBorders>
            <w:vAlign w:val="center"/>
          </w:tcPr>
          <w:p w14:paraId="2DA29F7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c>
          <w:tcPr>
            <w:tcW w:w="1559" w:type="dxa"/>
            <w:vMerge w:val="continue"/>
            <w:tcBorders>
              <w:left w:val="single" w:color="000000" w:sz="4" w:space="0"/>
              <w:right w:val="single" w:color="000000" w:sz="4" w:space="0"/>
            </w:tcBorders>
            <w:vAlign w:val="center"/>
          </w:tcPr>
          <w:p w14:paraId="52CD44E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c>
          <w:tcPr>
            <w:tcW w:w="1276" w:type="dxa"/>
            <w:tcBorders>
              <w:top w:val="single" w:color="000000" w:sz="4" w:space="0"/>
              <w:left w:val="single" w:color="000000" w:sz="4" w:space="0"/>
              <w:bottom w:val="single" w:color="000000" w:sz="4" w:space="0"/>
              <w:right w:val="single" w:color="000000" w:sz="4" w:space="0"/>
            </w:tcBorders>
            <w:vAlign w:val="center"/>
          </w:tcPr>
          <w:p w14:paraId="27D9C24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酚类</w:t>
            </w:r>
          </w:p>
        </w:tc>
        <w:tc>
          <w:tcPr>
            <w:tcW w:w="1134" w:type="dxa"/>
            <w:vMerge w:val="continue"/>
            <w:tcBorders>
              <w:left w:val="single" w:color="000000" w:sz="4" w:space="0"/>
              <w:bottom w:val="single" w:color="000000" w:sz="4" w:space="0"/>
              <w:right w:val="single" w:color="000000" w:sz="4" w:space="0"/>
            </w:tcBorders>
            <w:vAlign w:val="center"/>
          </w:tcPr>
          <w:p w14:paraId="67FF5F5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c>
          <w:tcPr>
            <w:tcW w:w="1842" w:type="dxa"/>
            <w:vMerge w:val="continue"/>
            <w:tcBorders>
              <w:left w:val="single" w:color="000000" w:sz="4" w:space="0"/>
              <w:right w:val="single" w:color="000000" w:sz="4" w:space="0"/>
            </w:tcBorders>
            <w:vAlign w:val="center"/>
          </w:tcPr>
          <w:p w14:paraId="4AF92089">
            <w:pPr>
              <w:pStyle w:val="82"/>
              <w:wordWrap w:val="0"/>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c>
          <w:tcPr>
            <w:tcW w:w="1134" w:type="dxa"/>
            <w:tcBorders>
              <w:top w:val="single" w:color="000000" w:sz="4" w:space="0"/>
              <w:left w:val="single" w:color="000000" w:sz="4" w:space="0"/>
              <w:bottom w:val="single" w:color="000000" w:sz="4" w:space="0"/>
              <w:right w:val="single" w:color="000000" w:sz="4" w:space="0"/>
            </w:tcBorders>
            <w:vAlign w:val="center"/>
          </w:tcPr>
          <w:p w14:paraId="52620DB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0.02</w:t>
            </w:r>
          </w:p>
        </w:tc>
        <w:tc>
          <w:tcPr>
            <w:tcW w:w="1659" w:type="dxa"/>
            <w:tcBorders>
              <w:top w:val="single" w:color="000000" w:sz="4" w:space="0"/>
              <w:left w:val="single" w:color="000000" w:sz="4" w:space="0"/>
              <w:bottom w:val="single" w:color="000000" w:sz="4" w:space="0"/>
              <w:right w:val="single" w:color="000000" w:sz="4" w:space="0"/>
            </w:tcBorders>
            <w:vAlign w:val="center"/>
          </w:tcPr>
          <w:p w14:paraId="16B63A6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0.093</w:t>
            </w:r>
          </w:p>
        </w:tc>
      </w:tr>
      <w:tr w14:paraId="757B5AD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42" w:hRule="atLeast"/>
          <w:jc w:val="center"/>
        </w:trPr>
        <w:tc>
          <w:tcPr>
            <w:tcW w:w="421" w:type="dxa"/>
            <w:vMerge w:val="restart"/>
            <w:tcBorders>
              <w:top w:val="single" w:color="000000" w:sz="4" w:space="0"/>
              <w:left w:val="single" w:color="000000" w:sz="4" w:space="0"/>
              <w:right w:val="single" w:color="000000" w:sz="4" w:space="0"/>
            </w:tcBorders>
            <w:vAlign w:val="center"/>
          </w:tcPr>
          <w:p w14:paraId="3D37E47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2</w:t>
            </w:r>
          </w:p>
        </w:tc>
        <w:tc>
          <w:tcPr>
            <w:tcW w:w="1559" w:type="dxa"/>
            <w:vMerge w:val="restart"/>
            <w:tcBorders>
              <w:top w:val="single" w:color="000000" w:sz="4" w:space="0"/>
              <w:left w:val="single" w:color="000000" w:sz="4" w:space="0"/>
              <w:right w:val="single" w:color="000000" w:sz="4" w:space="0"/>
            </w:tcBorders>
            <w:vAlign w:val="center"/>
          </w:tcPr>
          <w:p w14:paraId="2445ACD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罐区</w:t>
            </w:r>
          </w:p>
        </w:tc>
        <w:tc>
          <w:tcPr>
            <w:tcW w:w="1276" w:type="dxa"/>
            <w:tcBorders>
              <w:top w:val="single" w:color="000000" w:sz="4" w:space="0"/>
              <w:left w:val="single" w:color="000000" w:sz="4" w:space="0"/>
              <w:bottom w:val="single" w:color="000000" w:sz="4" w:space="0"/>
              <w:right w:val="single" w:color="000000" w:sz="4" w:space="0"/>
            </w:tcBorders>
            <w:vAlign w:val="center"/>
          </w:tcPr>
          <w:p w14:paraId="2004594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非甲烷总烃</w:t>
            </w:r>
          </w:p>
        </w:tc>
        <w:tc>
          <w:tcPr>
            <w:tcW w:w="1134" w:type="dxa"/>
            <w:vMerge w:val="restart"/>
            <w:tcBorders>
              <w:top w:val="single" w:color="000000" w:sz="4" w:space="0"/>
              <w:left w:val="single" w:color="000000" w:sz="4" w:space="0"/>
              <w:right w:val="single" w:color="000000" w:sz="4" w:space="0"/>
            </w:tcBorders>
            <w:vAlign w:val="center"/>
          </w:tcPr>
          <w:p w14:paraId="61E1898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加强</w:t>
            </w:r>
            <w:r>
              <w:rPr>
                <w:rFonts w:hint="eastAsia" w:ascii="Times New Roman" w:hAnsi="Times New Roman"/>
                <w:color w:val="000000" w:themeColor="text1"/>
                <w:sz w:val="21"/>
                <w:szCs w:val="21"/>
                <w14:textFill>
                  <w14:solidFill>
                    <w14:schemeClr w14:val="tx1"/>
                  </w14:solidFill>
                </w14:textFill>
              </w:rPr>
              <w:t>罐区</w:t>
            </w:r>
            <w:r>
              <w:rPr>
                <w:rFonts w:ascii="Times New Roman" w:hAnsi="Times New Roman"/>
                <w:color w:val="000000" w:themeColor="text1"/>
                <w:sz w:val="21"/>
                <w:szCs w:val="21"/>
                <w14:textFill>
                  <w14:solidFill>
                    <w14:schemeClr w14:val="tx1"/>
                  </w14:solidFill>
                </w14:textFill>
              </w:rPr>
              <w:t>管理、定期检查</w:t>
            </w:r>
          </w:p>
        </w:tc>
        <w:tc>
          <w:tcPr>
            <w:tcW w:w="1842" w:type="dxa"/>
            <w:vMerge w:val="continue"/>
            <w:tcBorders>
              <w:left w:val="single" w:color="000000" w:sz="4" w:space="0"/>
              <w:right w:val="single" w:color="000000" w:sz="4" w:space="0"/>
            </w:tcBorders>
            <w:vAlign w:val="center"/>
          </w:tcPr>
          <w:p w14:paraId="2464E0BF">
            <w:pPr>
              <w:pStyle w:val="82"/>
              <w:wordWrap w:val="0"/>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c>
          <w:tcPr>
            <w:tcW w:w="1134" w:type="dxa"/>
            <w:tcBorders>
              <w:top w:val="single" w:color="000000" w:sz="4" w:space="0"/>
              <w:left w:val="single" w:color="000000" w:sz="4" w:space="0"/>
              <w:bottom w:val="single" w:color="000000" w:sz="4" w:space="0"/>
              <w:right w:val="single" w:color="000000" w:sz="4" w:space="0"/>
            </w:tcBorders>
            <w:vAlign w:val="center"/>
          </w:tcPr>
          <w:p w14:paraId="4D0ED2C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4.0</w:t>
            </w:r>
          </w:p>
        </w:tc>
        <w:tc>
          <w:tcPr>
            <w:tcW w:w="1659" w:type="dxa"/>
            <w:tcBorders>
              <w:top w:val="single" w:color="000000" w:sz="4" w:space="0"/>
              <w:left w:val="single" w:color="000000" w:sz="4" w:space="0"/>
              <w:bottom w:val="single" w:color="000000" w:sz="4" w:space="0"/>
              <w:right w:val="single" w:color="000000" w:sz="4" w:space="0"/>
            </w:tcBorders>
            <w:vAlign w:val="center"/>
          </w:tcPr>
          <w:p w14:paraId="4CB922D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0.014</w:t>
            </w:r>
          </w:p>
        </w:tc>
      </w:tr>
      <w:tr w14:paraId="588A9A0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421" w:type="dxa"/>
            <w:vMerge w:val="continue"/>
            <w:tcBorders>
              <w:left w:val="single" w:color="000000" w:sz="4" w:space="0"/>
              <w:right w:val="single" w:color="000000" w:sz="4" w:space="0"/>
            </w:tcBorders>
            <w:vAlign w:val="center"/>
          </w:tcPr>
          <w:p w14:paraId="1857D84C">
            <w:pPr>
              <w:pStyle w:val="82"/>
              <w:spacing w:line="240" w:lineRule="auto"/>
              <w:ind w:firstLine="420"/>
              <w:jc w:val="center"/>
              <w:rPr>
                <w:rFonts w:ascii="Times New Roman" w:hAnsi="Times New Roman" w:cs="Times New Roman"/>
                <w:color w:val="000000" w:themeColor="text1"/>
                <w:sz w:val="21"/>
                <w:szCs w:val="21"/>
                <w14:textFill>
                  <w14:solidFill>
                    <w14:schemeClr w14:val="tx1"/>
                  </w14:solidFill>
                </w14:textFill>
              </w:rPr>
            </w:pPr>
          </w:p>
        </w:tc>
        <w:tc>
          <w:tcPr>
            <w:tcW w:w="1559" w:type="dxa"/>
            <w:vMerge w:val="continue"/>
            <w:tcBorders>
              <w:left w:val="single" w:color="000000" w:sz="4" w:space="0"/>
              <w:right w:val="single" w:color="000000" w:sz="4" w:space="0"/>
            </w:tcBorders>
            <w:vAlign w:val="center"/>
          </w:tcPr>
          <w:p w14:paraId="7D11A376">
            <w:pPr>
              <w:pStyle w:val="82"/>
              <w:spacing w:line="240" w:lineRule="auto"/>
              <w:ind w:firstLine="420"/>
              <w:jc w:val="center"/>
              <w:rPr>
                <w:rFonts w:ascii="Times New Roman" w:hAnsi="Times New Roman" w:cs="Times New Roman"/>
                <w:color w:val="000000" w:themeColor="text1"/>
                <w:sz w:val="21"/>
                <w:szCs w:val="21"/>
                <w14:textFill>
                  <w14:solidFill>
                    <w14:schemeClr w14:val="tx1"/>
                  </w14:solidFill>
                </w14:textFill>
              </w:rPr>
            </w:pPr>
          </w:p>
        </w:tc>
        <w:tc>
          <w:tcPr>
            <w:tcW w:w="1276" w:type="dxa"/>
            <w:tcBorders>
              <w:top w:val="single" w:color="000000" w:sz="4" w:space="0"/>
              <w:left w:val="single" w:color="000000" w:sz="4" w:space="0"/>
              <w:bottom w:val="single" w:color="000000" w:sz="4" w:space="0"/>
              <w:right w:val="single" w:color="000000" w:sz="4" w:space="0"/>
            </w:tcBorders>
            <w:vAlign w:val="center"/>
          </w:tcPr>
          <w:p w14:paraId="28B8ED7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酚类</w:t>
            </w:r>
          </w:p>
        </w:tc>
        <w:tc>
          <w:tcPr>
            <w:tcW w:w="1134" w:type="dxa"/>
            <w:vMerge w:val="continue"/>
            <w:tcBorders>
              <w:left w:val="single" w:color="000000" w:sz="4" w:space="0"/>
              <w:right w:val="single" w:color="000000" w:sz="4" w:space="0"/>
            </w:tcBorders>
            <w:vAlign w:val="center"/>
          </w:tcPr>
          <w:p w14:paraId="597BA58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c>
          <w:tcPr>
            <w:tcW w:w="1842" w:type="dxa"/>
            <w:vMerge w:val="continue"/>
            <w:tcBorders>
              <w:left w:val="single" w:color="000000" w:sz="4" w:space="0"/>
              <w:bottom w:val="single" w:color="000000" w:sz="4" w:space="0"/>
              <w:right w:val="single" w:color="000000" w:sz="4" w:space="0"/>
            </w:tcBorders>
            <w:vAlign w:val="center"/>
          </w:tcPr>
          <w:p w14:paraId="778B2DEC">
            <w:pPr>
              <w:pStyle w:val="82"/>
              <w:wordWrap w:val="0"/>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c>
          <w:tcPr>
            <w:tcW w:w="1134" w:type="dxa"/>
            <w:tcBorders>
              <w:top w:val="single" w:color="000000" w:sz="4" w:space="0"/>
              <w:left w:val="single" w:color="000000" w:sz="4" w:space="0"/>
              <w:bottom w:val="single" w:color="000000" w:sz="4" w:space="0"/>
              <w:right w:val="single" w:color="000000" w:sz="4" w:space="0"/>
            </w:tcBorders>
            <w:vAlign w:val="center"/>
          </w:tcPr>
          <w:p w14:paraId="316DA1C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0.02</w:t>
            </w:r>
          </w:p>
        </w:tc>
        <w:tc>
          <w:tcPr>
            <w:tcW w:w="1659" w:type="dxa"/>
            <w:tcBorders>
              <w:top w:val="single" w:color="000000" w:sz="4" w:space="0"/>
              <w:left w:val="single" w:color="000000" w:sz="4" w:space="0"/>
              <w:bottom w:val="single" w:color="000000" w:sz="4" w:space="0"/>
              <w:right w:val="single" w:color="000000" w:sz="4" w:space="0"/>
            </w:tcBorders>
            <w:vAlign w:val="center"/>
          </w:tcPr>
          <w:p w14:paraId="55E54B6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0.010</w:t>
            </w:r>
          </w:p>
        </w:tc>
      </w:tr>
      <w:tr w14:paraId="6B1AA3C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jc w:val="center"/>
        </w:trPr>
        <w:tc>
          <w:tcPr>
            <w:tcW w:w="421" w:type="dxa"/>
            <w:vMerge w:val="continue"/>
            <w:tcBorders>
              <w:left w:val="single" w:color="000000" w:sz="4" w:space="0"/>
              <w:right w:val="single" w:color="000000" w:sz="4" w:space="0"/>
            </w:tcBorders>
            <w:vAlign w:val="center"/>
          </w:tcPr>
          <w:p w14:paraId="58435EF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c>
          <w:tcPr>
            <w:tcW w:w="1559" w:type="dxa"/>
            <w:vMerge w:val="continue"/>
            <w:tcBorders>
              <w:left w:val="single" w:color="000000" w:sz="4" w:space="0"/>
              <w:right w:val="single" w:color="000000" w:sz="4" w:space="0"/>
            </w:tcBorders>
            <w:vAlign w:val="center"/>
          </w:tcPr>
          <w:p w14:paraId="2BA04AC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c>
          <w:tcPr>
            <w:tcW w:w="1276" w:type="dxa"/>
            <w:tcBorders>
              <w:top w:val="single" w:color="000000" w:sz="4" w:space="0"/>
              <w:left w:val="single" w:color="000000" w:sz="4" w:space="0"/>
              <w:bottom w:val="single" w:color="000000" w:sz="4" w:space="0"/>
              <w:right w:val="single" w:color="000000" w:sz="4" w:space="0"/>
            </w:tcBorders>
            <w:vAlign w:val="center"/>
          </w:tcPr>
          <w:p w14:paraId="3F61B4F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硫酸雾</w:t>
            </w:r>
          </w:p>
        </w:tc>
        <w:tc>
          <w:tcPr>
            <w:tcW w:w="1134" w:type="dxa"/>
            <w:vMerge w:val="continue"/>
            <w:tcBorders>
              <w:left w:val="single" w:color="000000" w:sz="4" w:space="0"/>
              <w:bottom w:val="single" w:color="000000" w:sz="4" w:space="0"/>
              <w:right w:val="single" w:color="000000" w:sz="4" w:space="0"/>
            </w:tcBorders>
            <w:vAlign w:val="center"/>
          </w:tcPr>
          <w:p w14:paraId="22677D0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c>
          <w:tcPr>
            <w:tcW w:w="1842" w:type="dxa"/>
            <w:tcBorders>
              <w:top w:val="single" w:color="000000" w:sz="4" w:space="0"/>
              <w:left w:val="single" w:color="000000" w:sz="4" w:space="0"/>
              <w:bottom w:val="single" w:color="000000" w:sz="4" w:space="0"/>
              <w:right w:val="single" w:color="000000" w:sz="4" w:space="0"/>
            </w:tcBorders>
            <w:vAlign w:val="center"/>
          </w:tcPr>
          <w:p w14:paraId="773482EE">
            <w:pPr>
              <w:pStyle w:val="82"/>
              <w:wordWrap w:val="0"/>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《大气污染物综合排放标准》</w:t>
            </w:r>
            <w:r>
              <w:rPr>
                <w:rFonts w:hint="eastAsia" w:ascii="Times New Roman" w:hAnsi="Times New Roman" w:cs="Times New Roman"/>
                <w:color w:val="000000" w:themeColor="text1"/>
                <w:sz w:val="21"/>
                <w:szCs w:val="21"/>
                <w14:textFill>
                  <w14:solidFill>
                    <w14:schemeClr w14:val="tx1"/>
                  </w14:solidFill>
                </w14:textFill>
              </w:rPr>
              <w:t>(</w:t>
            </w:r>
            <w:r>
              <w:rPr>
                <w:rFonts w:ascii="Times New Roman" w:hAnsi="Times New Roman" w:cs="Times New Roman"/>
                <w:color w:val="000000" w:themeColor="text1"/>
                <w:sz w:val="21"/>
                <w:szCs w:val="21"/>
                <w14:textFill>
                  <w14:solidFill>
                    <w14:schemeClr w14:val="tx1"/>
                  </w14:solidFill>
                </w14:textFill>
              </w:rPr>
              <w:t>GB16297-1996</w:t>
            </w:r>
            <w:r>
              <w:rPr>
                <w:rFonts w:hint="eastAsia" w:ascii="Times New Roman" w:hAnsi="Times New Roman" w:cs="Times New Roman"/>
                <w:color w:val="000000" w:themeColor="text1"/>
                <w:sz w:val="21"/>
                <w:szCs w:val="21"/>
                <w14:textFill>
                  <w14:solidFill>
                    <w14:schemeClr w14:val="tx1"/>
                  </w14:solidFill>
                </w14:textFill>
              </w:rPr>
              <w:t>)</w:t>
            </w:r>
          </w:p>
        </w:tc>
        <w:tc>
          <w:tcPr>
            <w:tcW w:w="1134" w:type="dxa"/>
            <w:tcBorders>
              <w:top w:val="single" w:color="000000" w:sz="4" w:space="0"/>
              <w:left w:val="single" w:color="000000" w:sz="4" w:space="0"/>
              <w:bottom w:val="single" w:color="000000" w:sz="4" w:space="0"/>
              <w:right w:val="single" w:color="000000" w:sz="4" w:space="0"/>
            </w:tcBorders>
            <w:vAlign w:val="center"/>
          </w:tcPr>
          <w:p w14:paraId="348FDB4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w:t>
            </w:r>
            <w:r>
              <w:rPr>
                <w:rFonts w:ascii="Times New Roman" w:hAnsi="Times New Roman" w:cs="Times New Roman"/>
                <w:color w:val="000000" w:themeColor="text1"/>
                <w:sz w:val="21"/>
                <w:szCs w:val="21"/>
                <w14:textFill>
                  <w14:solidFill>
                    <w14:schemeClr w14:val="tx1"/>
                  </w14:solidFill>
                </w14:textFill>
              </w:rPr>
              <w:t>.</w:t>
            </w:r>
            <w:r>
              <w:rPr>
                <w:rFonts w:hint="eastAsia" w:ascii="Times New Roman" w:hAnsi="Times New Roman" w:cs="Times New Roman"/>
                <w:color w:val="000000" w:themeColor="text1"/>
                <w:sz w:val="21"/>
                <w:szCs w:val="21"/>
                <w14:textFill>
                  <w14:solidFill>
                    <w14:schemeClr w14:val="tx1"/>
                  </w14:solidFill>
                </w14:textFill>
              </w:rPr>
              <w:t>2</w:t>
            </w:r>
          </w:p>
        </w:tc>
        <w:tc>
          <w:tcPr>
            <w:tcW w:w="1659" w:type="dxa"/>
            <w:tcBorders>
              <w:top w:val="single" w:color="000000" w:sz="4" w:space="0"/>
              <w:left w:val="single" w:color="000000" w:sz="4" w:space="0"/>
              <w:bottom w:val="single" w:color="000000" w:sz="4" w:space="0"/>
              <w:right w:val="single" w:color="000000" w:sz="4" w:space="0"/>
            </w:tcBorders>
            <w:vAlign w:val="center"/>
          </w:tcPr>
          <w:p w14:paraId="0DDCCFC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0.0026</w:t>
            </w:r>
          </w:p>
        </w:tc>
      </w:tr>
      <w:tr w14:paraId="131DDAD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20" w:hRule="atLeast"/>
          <w:jc w:val="center"/>
        </w:trPr>
        <w:tc>
          <w:tcPr>
            <w:tcW w:w="9025" w:type="dxa"/>
            <w:gridSpan w:val="7"/>
            <w:tcBorders>
              <w:top w:val="single" w:color="000000" w:sz="4" w:space="0"/>
              <w:left w:val="single" w:color="000000" w:sz="4" w:space="0"/>
              <w:bottom w:val="single" w:color="000000" w:sz="4" w:space="0"/>
              <w:right w:val="single" w:color="000000" w:sz="4" w:space="0"/>
            </w:tcBorders>
            <w:vAlign w:val="center"/>
          </w:tcPr>
          <w:p w14:paraId="78092D5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无组织排放总计</w:t>
            </w:r>
          </w:p>
        </w:tc>
      </w:tr>
      <w:tr w14:paraId="3543500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20" w:hRule="atLeast"/>
          <w:jc w:val="center"/>
        </w:trPr>
        <w:tc>
          <w:tcPr>
            <w:tcW w:w="3256" w:type="dxa"/>
            <w:gridSpan w:val="3"/>
            <w:vMerge w:val="restart"/>
            <w:tcBorders>
              <w:top w:val="single" w:color="000000" w:sz="4" w:space="0"/>
              <w:left w:val="single" w:color="000000" w:sz="4" w:space="0"/>
              <w:right w:val="single" w:color="000000" w:sz="4" w:space="0"/>
            </w:tcBorders>
            <w:vAlign w:val="center"/>
          </w:tcPr>
          <w:p w14:paraId="7B6161C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无组织排放总计</w:t>
            </w:r>
          </w:p>
        </w:tc>
        <w:tc>
          <w:tcPr>
            <w:tcW w:w="4110" w:type="dxa"/>
            <w:gridSpan w:val="3"/>
            <w:tcBorders>
              <w:top w:val="single" w:color="000000" w:sz="4" w:space="0"/>
              <w:left w:val="single" w:color="000000" w:sz="4" w:space="0"/>
              <w:bottom w:val="single" w:color="000000" w:sz="4" w:space="0"/>
              <w:right w:val="single" w:color="000000" w:sz="4" w:space="0"/>
            </w:tcBorders>
            <w:vAlign w:val="center"/>
          </w:tcPr>
          <w:p w14:paraId="61F0791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非甲烷总烃</w:t>
            </w:r>
          </w:p>
        </w:tc>
        <w:tc>
          <w:tcPr>
            <w:tcW w:w="1659" w:type="dxa"/>
            <w:tcBorders>
              <w:top w:val="single" w:color="000000" w:sz="4" w:space="0"/>
              <w:left w:val="single" w:color="000000" w:sz="4" w:space="0"/>
              <w:bottom w:val="single" w:color="000000" w:sz="4" w:space="0"/>
              <w:right w:val="single" w:color="000000" w:sz="4" w:space="0"/>
            </w:tcBorders>
            <w:vAlign w:val="center"/>
          </w:tcPr>
          <w:p w14:paraId="6163305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0.278</w:t>
            </w:r>
          </w:p>
        </w:tc>
      </w:tr>
      <w:tr w14:paraId="6A4145A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20" w:hRule="atLeast"/>
          <w:jc w:val="center"/>
        </w:trPr>
        <w:tc>
          <w:tcPr>
            <w:tcW w:w="3256" w:type="dxa"/>
            <w:gridSpan w:val="3"/>
            <w:vMerge w:val="continue"/>
            <w:tcBorders>
              <w:left w:val="single" w:color="000000" w:sz="4" w:space="0"/>
              <w:right w:val="single" w:color="000000" w:sz="4" w:space="0"/>
            </w:tcBorders>
            <w:vAlign w:val="center"/>
          </w:tcPr>
          <w:p w14:paraId="7261FA2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c>
          <w:tcPr>
            <w:tcW w:w="4110" w:type="dxa"/>
            <w:gridSpan w:val="3"/>
            <w:tcBorders>
              <w:top w:val="single" w:color="000000" w:sz="4" w:space="0"/>
              <w:left w:val="single" w:color="000000" w:sz="4" w:space="0"/>
              <w:bottom w:val="single" w:color="000000" w:sz="4" w:space="0"/>
              <w:right w:val="single" w:color="000000" w:sz="4" w:space="0"/>
            </w:tcBorders>
            <w:vAlign w:val="center"/>
          </w:tcPr>
          <w:p w14:paraId="33C598C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酚类</w:t>
            </w:r>
          </w:p>
        </w:tc>
        <w:tc>
          <w:tcPr>
            <w:tcW w:w="1659" w:type="dxa"/>
            <w:tcBorders>
              <w:top w:val="single" w:color="000000" w:sz="4" w:space="0"/>
              <w:left w:val="single" w:color="000000" w:sz="4" w:space="0"/>
              <w:bottom w:val="single" w:color="000000" w:sz="4" w:space="0"/>
              <w:right w:val="single" w:color="000000" w:sz="4" w:space="0"/>
            </w:tcBorders>
            <w:vAlign w:val="center"/>
          </w:tcPr>
          <w:p w14:paraId="3E84085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0.103</w:t>
            </w:r>
          </w:p>
        </w:tc>
      </w:tr>
      <w:tr w14:paraId="0311679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20" w:hRule="atLeast"/>
          <w:jc w:val="center"/>
        </w:trPr>
        <w:tc>
          <w:tcPr>
            <w:tcW w:w="3256" w:type="dxa"/>
            <w:gridSpan w:val="3"/>
            <w:vMerge w:val="continue"/>
            <w:tcBorders>
              <w:left w:val="single" w:color="000000" w:sz="4" w:space="0"/>
              <w:right w:val="single" w:color="000000" w:sz="4" w:space="0"/>
            </w:tcBorders>
            <w:vAlign w:val="center"/>
          </w:tcPr>
          <w:p w14:paraId="6519F32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c>
          <w:tcPr>
            <w:tcW w:w="4110" w:type="dxa"/>
            <w:gridSpan w:val="3"/>
            <w:tcBorders>
              <w:top w:val="single" w:color="000000" w:sz="4" w:space="0"/>
              <w:left w:val="single" w:color="000000" w:sz="4" w:space="0"/>
              <w:bottom w:val="single" w:color="000000" w:sz="4" w:space="0"/>
              <w:right w:val="single" w:color="000000" w:sz="4" w:space="0"/>
            </w:tcBorders>
            <w:vAlign w:val="center"/>
          </w:tcPr>
          <w:p w14:paraId="2F92170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硫酸雾</w:t>
            </w:r>
          </w:p>
        </w:tc>
        <w:tc>
          <w:tcPr>
            <w:tcW w:w="1659" w:type="dxa"/>
            <w:tcBorders>
              <w:top w:val="single" w:color="000000" w:sz="4" w:space="0"/>
              <w:left w:val="single" w:color="000000" w:sz="4" w:space="0"/>
              <w:bottom w:val="single" w:color="000000" w:sz="4" w:space="0"/>
              <w:right w:val="single" w:color="000000" w:sz="4" w:space="0"/>
            </w:tcBorders>
            <w:vAlign w:val="center"/>
          </w:tcPr>
          <w:p w14:paraId="128B3F8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0.0026</w:t>
            </w:r>
          </w:p>
        </w:tc>
      </w:tr>
    </w:tbl>
    <w:p w14:paraId="4DC049F3"/>
    <w:p w14:paraId="64E1C24C">
      <w:pPr>
        <w:pStyle w:val="4"/>
        <w:rPr>
          <w:rFonts w:hint="eastAsia"/>
        </w:rPr>
      </w:pPr>
      <w:bookmarkStart w:id="84" w:name="_Toc221056412"/>
      <w:bookmarkStart w:id="85" w:name="_Toc215670191"/>
      <w:r>
        <w:rPr>
          <w:rFonts w:hint="eastAsia"/>
        </w:rPr>
        <w:t>6.2.5环境空气影响评价自查表</w:t>
      </w:r>
      <w:bookmarkEnd w:id="84"/>
      <w:bookmarkEnd w:id="85"/>
    </w:p>
    <w:p w14:paraId="43E7D858">
      <w:pPr>
        <w:ind w:firstLine="468" w:firstLineChars="200"/>
        <w:rPr>
          <w:rFonts w:cs="Times New Roman"/>
          <w:spacing w:val="-3"/>
        </w:rPr>
      </w:pPr>
      <w:r>
        <w:rPr>
          <w:rFonts w:hint="eastAsia" w:cs="Times New Roman"/>
          <w:spacing w:val="-3"/>
        </w:rPr>
        <w:t>根据预测结果，报告认为项目大气环境影响可以接受。</w:t>
      </w:r>
    </w:p>
    <w:p w14:paraId="30636FAD">
      <w:pPr>
        <w:jc w:val="center"/>
        <w:rPr>
          <w:rFonts w:eastAsia="黑体" w:cs="Times New Roman"/>
        </w:rPr>
      </w:pPr>
      <w:r>
        <w:rPr>
          <w:rFonts w:eastAsia="黑体" w:cs="Times New Roman"/>
        </w:rPr>
        <w:t>表</w:t>
      </w:r>
      <w:r>
        <w:rPr>
          <w:rFonts w:hint="eastAsia" w:eastAsia="黑体" w:cs="Times New Roman"/>
        </w:rPr>
        <w:t>6</w:t>
      </w:r>
      <w:r>
        <w:rPr>
          <w:rFonts w:eastAsia="黑体" w:cs="Times New Roman"/>
        </w:rPr>
        <w:t>.2-</w:t>
      </w:r>
      <w:r>
        <w:rPr>
          <w:rFonts w:hint="eastAsia" w:eastAsia="黑体" w:cs="Times New Roman"/>
        </w:rPr>
        <w:t>25</w:t>
      </w:r>
      <w:r>
        <w:rPr>
          <w:rFonts w:eastAsia="黑体" w:cs="Times New Roman"/>
        </w:rPr>
        <w:t xml:space="preserve"> </w:t>
      </w:r>
      <w:r>
        <w:rPr>
          <w:rFonts w:hint="eastAsia" w:eastAsia="黑体" w:cs="Times New Roman"/>
        </w:rPr>
        <w:t xml:space="preserve"> </w:t>
      </w:r>
      <w:r>
        <w:rPr>
          <w:rFonts w:eastAsia="黑体" w:cs="Times New Roman"/>
        </w:rPr>
        <w:t>项目环境空气影响评价自查表</w:t>
      </w:r>
    </w:p>
    <w:tbl>
      <w:tblPr>
        <w:tblStyle w:val="3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33"/>
        <w:gridCol w:w="1080"/>
        <w:gridCol w:w="1307"/>
        <w:gridCol w:w="83"/>
        <w:gridCol w:w="887"/>
        <w:gridCol w:w="1091"/>
        <w:gridCol w:w="485"/>
        <w:gridCol w:w="1546"/>
        <w:gridCol w:w="1266"/>
        <w:gridCol w:w="554"/>
        <w:gridCol w:w="554"/>
      </w:tblGrid>
      <w:tr w14:paraId="1901AB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64" w:type="pct"/>
            <w:gridSpan w:val="2"/>
            <w:tcBorders>
              <w:top w:val="single" w:color="auto" w:sz="4" w:space="0"/>
              <w:left w:val="single" w:color="auto" w:sz="4" w:space="0"/>
              <w:bottom w:val="single" w:color="auto" w:sz="4" w:space="0"/>
              <w:right w:val="single" w:color="auto" w:sz="4" w:space="0"/>
            </w:tcBorders>
            <w:vAlign w:val="center"/>
          </w:tcPr>
          <w:p w14:paraId="71C0132A">
            <w:pPr>
              <w:spacing w:line="240" w:lineRule="auto"/>
              <w:jc w:val="center"/>
              <w:rPr>
                <w:rFonts w:cs="Times New Roman"/>
                <w:sz w:val="21"/>
                <w:szCs w:val="21"/>
              </w:rPr>
            </w:pPr>
            <w:r>
              <w:rPr>
                <w:rFonts w:cs="Times New Roman"/>
                <w:sz w:val="21"/>
                <w:szCs w:val="21"/>
              </w:rPr>
              <w:t>工作内容</w:t>
            </w:r>
          </w:p>
        </w:tc>
        <w:tc>
          <w:tcPr>
            <w:tcW w:w="4136" w:type="pct"/>
            <w:gridSpan w:val="9"/>
            <w:tcBorders>
              <w:top w:val="single" w:color="auto" w:sz="4" w:space="0"/>
              <w:left w:val="nil"/>
              <w:bottom w:val="single" w:color="auto" w:sz="4" w:space="0"/>
              <w:right w:val="single" w:color="auto" w:sz="4" w:space="0"/>
            </w:tcBorders>
            <w:vAlign w:val="center"/>
          </w:tcPr>
          <w:p w14:paraId="70AC31DC">
            <w:pPr>
              <w:spacing w:line="240" w:lineRule="auto"/>
              <w:jc w:val="center"/>
              <w:rPr>
                <w:rFonts w:cs="Times New Roman"/>
                <w:sz w:val="21"/>
                <w:szCs w:val="21"/>
              </w:rPr>
            </w:pPr>
            <w:r>
              <w:rPr>
                <w:rFonts w:cs="Times New Roman"/>
                <w:sz w:val="21"/>
                <w:szCs w:val="21"/>
              </w:rPr>
              <w:t>自查项目</w:t>
            </w:r>
          </w:p>
        </w:tc>
      </w:tr>
      <w:tr w14:paraId="4E38F7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7" w:type="pct"/>
            <w:vMerge w:val="restart"/>
            <w:tcBorders>
              <w:top w:val="nil"/>
              <w:left w:val="single" w:color="auto" w:sz="4" w:space="0"/>
              <w:bottom w:val="single" w:color="auto" w:sz="4" w:space="0"/>
              <w:right w:val="single" w:color="auto" w:sz="4" w:space="0"/>
            </w:tcBorders>
            <w:vAlign w:val="center"/>
          </w:tcPr>
          <w:p w14:paraId="7022DA57">
            <w:pPr>
              <w:spacing w:line="240" w:lineRule="auto"/>
              <w:jc w:val="center"/>
              <w:rPr>
                <w:rFonts w:cs="Times New Roman"/>
                <w:sz w:val="21"/>
                <w:szCs w:val="21"/>
              </w:rPr>
            </w:pPr>
            <w:r>
              <w:rPr>
                <w:rFonts w:cs="Times New Roman"/>
                <w:sz w:val="21"/>
                <w:szCs w:val="21"/>
              </w:rPr>
              <w:t>评价等级与范围</w:t>
            </w:r>
          </w:p>
        </w:tc>
        <w:tc>
          <w:tcPr>
            <w:tcW w:w="597" w:type="pct"/>
            <w:tcBorders>
              <w:top w:val="single" w:color="auto" w:sz="4" w:space="0"/>
              <w:left w:val="nil"/>
              <w:bottom w:val="single" w:color="auto" w:sz="4" w:space="0"/>
              <w:right w:val="single" w:color="auto" w:sz="4" w:space="0"/>
            </w:tcBorders>
            <w:vAlign w:val="center"/>
          </w:tcPr>
          <w:p w14:paraId="041F300C">
            <w:pPr>
              <w:spacing w:line="240" w:lineRule="auto"/>
              <w:jc w:val="center"/>
              <w:rPr>
                <w:rFonts w:cs="Times New Roman"/>
                <w:sz w:val="21"/>
                <w:szCs w:val="21"/>
              </w:rPr>
            </w:pPr>
            <w:r>
              <w:rPr>
                <w:rFonts w:cs="Times New Roman"/>
                <w:sz w:val="21"/>
                <w:szCs w:val="21"/>
              </w:rPr>
              <w:t>评价等级</w:t>
            </w:r>
          </w:p>
        </w:tc>
        <w:tc>
          <w:tcPr>
            <w:tcW w:w="1324" w:type="pct"/>
            <w:gridSpan w:val="3"/>
            <w:tcBorders>
              <w:top w:val="single" w:color="auto" w:sz="4" w:space="0"/>
              <w:left w:val="nil"/>
              <w:bottom w:val="single" w:color="auto" w:sz="4" w:space="0"/>
              <w:right w:val="single" w:color="auto" w:sz="4" w:space="0"/>
            </w:tcBorders>
            <w:vAlign w:val="center"/>
          </w:tcPr>
          <w:p w14:paraId="3B82FA53">
            <w:pPr>
              <w:spacing w:line="240" w:lineRule="auto"/>
              <w:jc w:val="center"/>
              <w:rPr>
                <w:rFonts w:cs="Times New Roman"/>
                <w:sz w:val="21"/>
                <w:szCs w:val="21"/>
              </w:rPr>
            </w:pPr>
            <w:r>
              <w:rPr>
                <w:rFonts w:cs="Times New Roman"/>
                <w:sz w:val="21"/>
                <w:szCs w:val="21"/>
              </w:rPr>
              <w:t>一级</w:t>
            </w:r>
            <w:r>
              <w:rPr>
                <w:rFonts w:ascii="Segoe UI Symbol" w:hAnsi="Segoe UI Symbol" w:cs="Segoe UI Symbol"/>
                <w:sz w:val="21"/>
                <w:szCs w:val="21"/>
              </w:rPr>
              <w:t>☑</w:t>
            </w:r>
          </w:p>
        </w:tc>
        <w:tc>
          <w:tcPr>
            <w:tcW w:w="1644" w:type="pct"/>
            <w:gridSpan w:val="3"/>
            <w:tcBorders>
              <w:top w:val="single" w:color="auto" w:sz="4" w:space="0"/>
              <w:left w:val="nil"/>
              <w:bottom w:val="single" w:color="auto" w:sz="4" w:space="0"/>
              <w:right w:val="single" w:color="auto" w:sz="4" w:space="0"/>
            </w:tcBorders>
            <w:vAlign w:val="center"/>
          </w:tcPr>
          <w:p w14:paraId="2ACA244F">
            <w:pPr>
              <w:spacing w:line="240" w:lineRule="auto"/>
              <w:jc w:val="center"/>
              <w:rPr>
                <w:rFonts w:cs="Times New Roman"/>
                <w:sz w:val="21"/>
                <w:szCs w:val="21"/>
              </w:rPr>
            </w:pPr>
            <w:r>
              <w:rPr>
                <w:rFonts w:cs="Times New Roman"/>
                <w:sz w:val="21"/>
                <w:szCs w:val="21"/>
              </w:rPr>
              <w:t>二级□</w:t>
            </w:r>
          </w:p>
        </w:tc>
        <w:tc>
          <w:tcPr>
            <w:tcW w:w="1168" w:type="pct"/>
            <w:gridSpan w:val="3"/>
            <w:tcBorders>
              <w:top w:val="single" w:color="auto" w:sz="4" w:space="0"/>
              <w:left w:val="nil"/>
              <w:bottom w:val="single" w:color="auto" w:sz="4" w:space="0"/>
              <w:right w:val="single" w:color="auto" w:sz="4" w:space="0"/>
            </w:tcBorders>
            <w:vAlign w:val="center"/>
          </w:tcPr>
          <w:p w14:paraId="27DFC298">
            <w:pPr>
              <w:spacing w:line="240" w:lineRule="auto"/>
              <w:jc w:val="center"/>
              <w:rPr>
                <w:rFonts w:cs="Times New Roman"/>
                <w:sz w:val="21"/>
                <w:szCs w:val="21"/>
              </w:rPr>
            </w:pPr>
            <w:r>
              <w:rPr>
                <w:rFonts w:cs="Times New Roman"/>
                <w:sz w:val="21"/>
                <w:szCs w:val="21"/>
              </w:rPr>
              <w:t>三级□</w:t>
            </w:r>
          </w:p>
        </w:tc>
      </w:tr>
      <w:tr w14:paraId="72F2F3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top w:val="nil"/>
              <w:left w:val="single" w:color="auto" w:sz="4" w:space="0"/>
              <w:bottom w:val="single" w:color="auto" w:sz="4" w:space="0"/>
              <w:right w:val="single" w:color="auto" w:sz="4" w:space="0"/>
            </w:tcBorders>
            <w:vAlign w:val="center"/>
          </w:tcPr>
          <w:p w14:paraId="7A6EFE11">
            <w:pPr>
              <w:spacing w:line="240" w:lineRule="auto"/>
              <w:jc w:val="center"/>
              <w:rPr>
                <w:rFonts w:cs="Times New Roman"/>
                <w:sz w:val="21"/>
                <w:szCs w:val="21"/>
              </w:rPr>
            </w:pPr>
          </w:p>
        </w:tc>
        <w:tc>
          <w:tcPr>
            <w:tcW w:w="597" w:type="pct"/>
            <w:tcBorders>
              <w:top w:val="single" w:color="auto" w:sz="4" w:space="0"/>
              <w:left w:val="nil"/>
              <w:bottom w:val="single" w:color="auto" w:sz="4" w:space="0"/>
              <w:right w:val="single" w:color="auto" w:sz="4" w:space="0"/>
            </w:tcBorders>
            <w:vAlign w:val="center"/>
          </w:tcPr>
          <w:p w14:paraId="0F15BD07">
            <w:pPr>
              <w:spacing w:line="240" w:lineRule="auto"/>
              <w:jc w:val="center"/>
              <w:rPr>
                <w:rFonts w:cs="Times New Roman"/>
                <w:sz w:val="21"/>
                <w:szCs w:val="21"/>
              </w:rPr>
            </w:pPr>
            <w:r>
              <w:rPr>
                <w:rFonts w:cs="Times New Roman"/>
                <w:sz w:val="21"/>
                <w:szCs w:val="21"/>
              </w:rPr>
              <w:t>评价范围</w:t>
            </w:r>
          </w:p>
        </w:tc>
        <w:tc>
          <w:tcPr>
            <w:tcW w:w="1324" w:type="pct"/>
            <w:gridSpan w:val="3"/>
            <w:tcBorders>
              <w:top w:val="single" w:color="auto" w:sz="4" w:space="0"/>
              <w:left w:val="nil"/>
              <w:bottom w:val="single" w:color="auto" w:sz="4" w:space="0"/>
              <w:right w:val="single" w:color="auto" w:sz="4" w:space="0"/>
            </w:tcBorders>
            <w:vAlign w:val="center"/>
          </w:tcPr>
          <w:p w14:paraId="500169EB">
            <w:pPr>
              <w:spacing w:line="240" w:lineRule="auto"/>
              <w:jc w:val="center"/>
              <w:rPr>
                <w:rFonts w:cs="Times New Roman"/>
                <w:sz w:val="21"/>
                <w:szCs w:val="21"/>
              </w:rPr>
            </w:pPr>
            <w:r>
              <w:rPr>
                <w:rFonts w:cs="Times New Roman"/>
                <w:sz w:val="21"/>
                <w:szCs w:val="21"/>
              </w:rPr>
              <w:t>边长=50km□</w:t>
            </w:r>
          </w:p>
        </w:tc>
        <w:tc>
          <w:tcPr>
            <w:tcW w:w="1644" w:type="pct"/>
            <w:gridSpan w:val="3"/>
            <w:tcBorders>
              <w:top w:val="single" w:color="auto" w:sz="4" w:space="0"/>
              <w:left w:val="nil"/>
              <w:bottom w:val="single" w:color="auto" w:sz="4" w:space="0"/>
              <w:right w:val="single" w:color="auto" w:sz="4" w:space="0"/>
            </w:tcBorders>
            <w:vAlign w:val="center"/>
          </w:tcPr>
          <w:p w14:paraId="614934EF">
            <w:pPr>
              <w:spacing w:line="240" w:lineRule="auto"/>
              <w:jc w:val="center"/>
              <w:rPr>
                <w:rFonts w:cs="Times New Roman"/>
                <w:sz w:val="21"/>
                <w:szCs w:val="21"/>
              </w:rPr>
            </w:pPr>
            <w:r>
              <w:rPr>
                <w:rFonts w:cs="Times New Roman"/>
                <w:sz w:val="21"/>
                <w:szCs w:val="21"/>
              </w:rPr>
              <w:t>边长=5~50km□</w:t>
            </w:r>
          </w:p>
        </w:tc>
        <w:tc>
          <w:tcPr>
            <w:tcW w:w="1168" w:type="pct"/>
            <w:gridSpan w:val="3"/>
            <w:tcBorders>
              <w:top w:val="single" w:color="auto" w:sz="4" w:space="0"/>
              <w:left w:val="nil"/>
              <w:bottom w:val="single" w:color="auto" w:sz="4" w:space="0"/>
              <w:right w:val="single" w:color="auto" w:sz="4" w:space="0"/>
            </w:tcBorders>
            <w:vAlign w:val="center"/>
          </w:tcPr>
          <w:p w14:paraId="5080A97D">
            <w:pPr>
              <w:spacing w:line="240" w:lineRule="auto"/>
              <w:jc w:val="center"/>
              <w:rPr>
                <w:rFonts w:cs="Times New Roman"/>
                <w:sz w:val="21"/>
                <w:szCs w:val="21"/>
              </w:rPr>
            </w:pPr>
            <w:r>
              <w:rPr>
                <w:rFonts w:cs="Times New Roman"/>
                <w:sz w:val="21"/>
                <w:szCs w:val="21"/>
              </w:rPr>
              <w:t>边长=5km</w:t>
            </w:r>
            <w:r>
              <w:rPr>
                <w:rFonts w:ascii="Segoe UI Symbol" w:hAnsi="Segoe UI Symbol" w:cs="Segoe UI Symbol"/>
                <w:sz w:val="21"/>
                <w:szCs w:val="21"/>
              </w:rPr>
              <w:t>☑</w:t>
            </w:r>
          </w:p>
        </w:tc>
      </w:tr>
      <w:tr w14:paraId="34D0A9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7" w:type="pct"/>
            <w:vMerge w:val="restart"/>
            <w:tcBorders>
              <w:top w:val="nil"/>
              <w:left w:val="single" w:color="auto" w:sz="4" w:space="0"/>
              <w:bottom w:val="single" w:color="auto" w:sz="4" w:space="0"/>
              <w:right w:val="single" w:color="auto" w:sz="4" w:space="0"/>
            </w:tcBorders>
            <w:vAlign w:val="center"/>
          </w:tcPr>
          <w:p w14:paraId="6D662735">
            <w:pPr>
              <w:spacing w:line="240" w:lineRule="auto"/>
              <w:jc w:val="center"/>
              <w:rPr>
                <w:rFonts w:cs="Times New Roman"/>
                <w:sz w:val="21"/>
                <w:szCs w:val="21"/>
              </w:rPr>
            </w:pPr>
            <w:r>
              <w:rPr>
                <w:rFonts w:cs="Times New Roman"/>
                <w:sz w:val="21"/>
                <w:szCs w:val="21"/>
              </w:rPr>
              <w:t>评价因子</w:t>
            </w:r>
          </w:p>
        </w:tc>
        <w:tc>
          <w:tcPr>
            <w:tcW w:w="597" w:type="pct"/>
            <w:tcBorders>
              <w:top w:val="single" w:color="auto" w:sz="4" w:space="0"/>
              <w:left w:val="nil"/>
              <w:bottom w:val="single" w:color="auto" w:sz="4" w:space="0"/>
              <w:right w:val="single" w:color="auto" w:sz="4" w:space="0"/>
            </w:tcBorders>
            <w:vAlign w:val="center"/>
          </w:tcPr>
          <w:p w14:paraId="02FAFD97">
            <w:pPr>
              <w:spacing w:line="240" w:lineRule="auto"/>
              <w:jc w:val="center"/>
              <w:rPr>
                <w:rFonts w:cs="Times New Roman"/>
                <w:sz w:val="21"/>
                <w:szCs w:val="21"/>
              </w:rPr>
            </w:pPr>
            <w:r>
              <w:rPr>
                <w:rFonts w:cs="Times New Roman"/>
                <w:sz w:val="21"/>
                <w:szCs w:val="21"/>
              </w:rPr>
              <w:t>SO</w:t>
            </w:r>
            <w:r>
              <w:rPr>
                <w:rFonts w:cs="Times New Roman"/>
                <w:sz w:val="21"/>
                <w:szCs w:val="21"/>
                <w:vertAlign w:val="subscript"/>
              </w:rPr>
              <w:t>2</w:t>
            </w:r>
            <w:r>
              <w:rPr>
                <w:rFonts w:cs="Times New Roman"/>
                <w:sz w:val="21"/>
                <w:szCs w:val="21"/>
              </w:rPr>
              <w:t>+NOx排放量</w:t>
            </w:r>
          </w:p>
        </w:tc>
        <w:tc>
          <w:tcPr>
            <w:tcW w:w="1324" w:type="pct"/>
            <w:gridSpan w:val="3"/>
            <w:tcBorders>
              <w:top w:val="single" w:color="auto" w:sz="4" w:space="0"/>
              <w:left w:val="nil"/>
              <w:bottom w:val="single" w:color="auto" w:sz="4" w:space="0"/>
              <w:right w:val="single" w:color="auto" w:sz="4" w:space="0"/>
            </w:tcBorders>
            <w:vAlign w:val="center"/>
          </w:tcPr>
          <w:p w14:paraId="71DF3B88">
            <w:pPr>
              <w:spacing w:line="240" w:lineRule="auto"/>
              <w:jc w:val="center"/>
              <w:rPr>
                <w:rFonts w:cs="Times New Roman"/>
                <w:sz w:val="21"/>
                <w:szCs w:val="21"/>
              </w:rPr>
            </w:pPr>
            <w:r>
              <w:rPr>
                <w:rFonts w:cs="Times New Roman"/>
                <w:sz w:val="21"/>
                <w:szCs w:val="21"/>
              </w:rPr>
              <w:t>≥2000t/a□</w:t>
            </w:r>
          </w:p>
        </w:tc>
        <w:tc>
          <w:tcPr>
            <w:tcW w:w="1644" w:type="pct"/>
            <w:gridSpan w:val="3"/>
            <w:tcBorders>
              <w:top w:val="single" w:color="auto" w:sz="4" w:space="0"/>
              <w:left w:val="nil"/>
              <w:bottom w:val="single" w:color="auto" w:sz="4" w:space="0"/>
              <w:right w:val="single" w:color="auto" w:sz="4" w:space="0"/>
            </w:tcBorders>
            <w:vAlign w:val="center"/>
          </w:tcPr>
          <w:p w14:paraId="1BFBBAA9">
            <w:pPr>
              <w:spacing w:line="240" w:lineRule="auto"/>
              <w:jc w:val="center"/>
              <w:rPr>
                <w:rFonts w:cs="Times New Roman"/>
                <w:sz w:val="21"/>
                <w:szCs w:val="21"/>
              </w:rPr>
            </w:pPr>
            <w:r>
              <w:rPr>
                <w:rFonts w:cs="Times New Roman"/>
                <w:sz w:val="21"/>
                <w:szCs w:val="21"/>
              </w:rPr>
              <w:t>500~2000t/a□</w:t>
            </w:r>
          </w:p>
        </w:tc>
        <w:tc>
          <w:tcPr>
            <w:tcW w:w="1168" w:type="pct"/>
            <w:gridSpan w:val="3"/>
            <w:tcBorders>
              <w:top w:val="single" w:color="auto" w:sz="4" w:space="0"/>
              <w:left w:val="nil"/>
              <w:bottom w:val="single" w:color="auto" w:sz="4" w:space="0"/>
              <w:right w:val="single" w:color="auto" w:sz="4" w:space="0"/>
            </w:tcBorders>
            <w:vAlign w:val="center"/>
          </w:tcPr>
          <w:p w14:paraId="23349F51">
            <w:pPr>
              <w:spacing w:line="240" w:lineRule="auto"/>
              <w:jc w:val="center"/>
              <w:rPr>
                <w:rFonts w:cs="Times New Roman"/>
                <w:sz w:val="21"/>
                <w:szCs w:val="21"/>
              </w:rPr>
            </w:pPr>
            <w:r>
              <w:rPr>
                <w:rFonts w:cs="Times New Roman"/>
                <w:sz w:val="21"/>
                <w:szCs w:val="21"/>
              </w:rPr>
              <w:t>&lt;500t/a</w:t>
            </w:r>
            <w:r>
              <w:rPr>
                <w:rFonts w:ascii="Segoe UI Symbol" w:hAnsi="Segoe UI Symbol" w:cs="Segoe UI Symbol"/>
                <w:sz w:val="21"/>
                <w:szCs w:val="21"/>
              </w:rPr>
              <w:t>☑</w:t>
            </w:r>
          </w:p>
        </w:tc>
      </w:tr>
      <w:tr w14:paraId="50FEB3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top w:val="nil"/>
              <w:left w:val="single" w:color="auto" w:sz="4" w:space="0"/>
              <w:bottom w:val="single" w:color="auto" w:sz="4" w:space="0"/>
              <w:right w:val="single" w:color="auto" w:sz="4" w:space="0"/>
            </w:tcBorders>
            <w:vAlign w:val="center"/>
          </w:tcPr>
          <w:p w14:paraId="4405C990">
            <w:pPr>
              <w:spacing w:line="240" w:lineRule="auto"/>
              <w:jc w:val="center"/>
              <w:rPr>
                <w:rFonts w:cs="Times New Roman"/>
                <w:sz w:val="21"/>
                <w:szCs w:val="21"/>
              </w:rPr>
            </w:pPr>
          </w:p>
        </w:tc>
        <w:tc>
          <w:tcPr>
            <w:tcW w:w="597" w:type="pct"/>
            <w:tcBorders>
              <w:top w:val="single" w:color="auto" w:sz="4" w:space="0"/>
              <w:left w:val="nil"/>
              <w:bottom w:val="single" w:color="auto" w:sz="4" w:space="0"/>
              <w:right w:val="single" w:color="auto" w:sz="4" w:space="0"/>
            </w:tcBorders>
            <w:vAlign w:val="center"/>
          </w:tcPr>
          <w:p w14:paraId="2D126165">
            <w:pPr>
              <w:spacing w:line="240" w:lineRule="auto"/>
              <w:jc w:val="center"/>
              <w:rPr>
                <w:rFonts w:cs="Times New Roman"/>
                <w:sz w:val="21"/>
                <w:szCs w:val="21"/>
              </w:rPr>
            </w:pPr>
            <w:r>
              <w:rPr>
                <w:rFonts w:cs="Times New Roman"/>
                <w:sz w:val="21"/>
                <w:szCs w:val="21"/>
              </w:rPr>
              <w:t>评价因子</w:t>
            </w:r>
          </w:p>
        </w:tc>
        <w:tc>
          <w:tcPr>
            <w:tcW w:w="2968" w:type="pct"/>
            <w:gridSpan w:val="6"/>
            <w:tcBorders>
              <w:top w:val="single" w:color="auto" w:sz="4" w:space="0"/>
              <w:left w:val="nil"/>
              <w:bottom w:val="single" w:color="auto" w:sz="4" w:space="0"/>
              <w:right w:val="single" w:color="auto" w:sz="4" w:space="0"/>
            </w:tcBorders>
            <w:vAlign w:val="center"/>
          </w:tcPr>
          <w:p w14:paraId="352F2F7E">
            <w:pPr>
              <w:spacing w:line="240" w:lineRule="auto"/>
              <w:jc w:val="center"/>
              <w:rPr>
                <w:rFonts w:cs="Times New Roman"/>
                <w:sz w:val="21"/>
                <w:szCs w:val="21"/>
              </w:rPr>
            </w:pPr>
            <w:r>
              <w:rPr>
                <w:rFonts w:cs="Times New Roman"/>
                <w:sz w:val="21"/>
                <w:szCs w:val="21"/>
              </w:rPr>
              <w:t>基本污染物(SO</w:t>
            </w:r>
            <w:r>
              <w:rPr>
                <w:rFonts w:cs="Times New Roman"/>
                <w:sz w:val="21"/>
                <w:szCs w:val="21"/>
                <w:vertAlign w:val="subscript"/>
              </w:rPr>
              <w:t>2</w:t>
            </w:r>
            <w:r>
              <w:rPr>
                <w:rFonts w:cs="Times New Roman"/>
                <w:sz w:val="21"/>
                <w:szCs w:val="21"/>
              </w:rPr>
              <w:t>、NO</w:t>
            </w:r>
            <w:r>
              <w:rPr>
                <w:rFonts w:cs="Times New Roman"/>
                <w:sz w:val="21"/>
                <w:szCs w:val="21"/>
                <w:vertAlign w:val="subscript"/>
              </w:rPr>
              <w:t>2</w:t>
            </w:r>
            <w:r>
              <w:rPr>
                <w:rFonts w:cs="Times New Roman"/>
                <w:sz w:val="21"/>
                <w:szCs w:val="21"/>
              </w:rPr>
              <w:t>、PM</w:t>
            </w:r>
            <w:r>
              <w:rPr>
                <w:rFonts w:cs="Times New Roman"/>
                <w:sz w:val="21"/>
                <w:szCs w:val="21"/>
                <w:vertAlign w:val="subscript"/>
              </w:rPr>
              <w:t>10</w:t>
            </w:r>
            <w:r>
              <w:rPr>
                <w:rFonts w:cs="Times New Roman"/>
                <w:sz w:val="21"/>
                <w:szCs w:val="21"/>
              </w:rPr>
              <w:t>、PM</w:t>
            </w:r>
            <w:r>
              <w:rPr>
                <w:rFonts w:cs="Times New Roman"/>
                <w:sz w:val="21"/>
                <w:szCs w:val="21"/>
                <w:vertAlign w:val="subscript"/>
              </w:rPr>
              <w:t>2.5</w:t>
            </w:r>
            <w:r>
              <w:rPr>
                <w:rFonts w:cs="Times New Roman"/>
                <w:sz w:val="21"/>
                <w:szCs w:val="21"/>
              </w:rPr>
              <w:t>、O</w:t>
            </w:r>
            <w:r>
              <w:rPr>
                <w:rFonts w:cs="Times New Roman"/>
                <w:sz w:val="21"/>
                <w:szCs w:val="21"/>
                <w:vertAlign w:val="subscript"/>
              </w:rPr>
              <w:t>3</w:t>
            </w:r>
            <w:r>
              <w:rPr>
                <w:rFonts w:cs="Times New Roman"/>
                <w:sz w:val="21"/>
                <w:szCs w:val="21"/>
              </w:rPr>
              <w:t>、CO)</w:t>
            </w:r>
            <w:r>
              <w:rPr>
                <w:rFonts w:cs="Times New Roman"/>
                <w:sz w:val="21"/>
                <w:szCs w:val="21"/>
              </w:rPr>
              <w:br w:type="textWrapping"/>
            </w:r>
            <w:r>
              <w:rPr>
                <w:rFonts w:cs="Times New Roman"/>
                <w:sz w:val="21"/>
                <w:szCs w:val="21"/>
              </w:rPr>
              <w:t>其他污染物(</w:t>
            </w:r>
            <w:r>
              <w:rPr>
                <w:rFonts w:hint="eastAsia" w:cs="Times New Roman"/>
                <w:sz w:val="21"/>
                <w:szCs w:val="21"/>
              </w:rPr>
              <w:t>非甲烷总烃</w:t>
            </w:r>
            <w:r>
              <w:rPr>
                <w:rFonts w:cs="Times New Roman"/>
                <w:sz w:val="21"/>
                <w:szCs w:val="21"/>
              </w:rPr>
              <w:t>、</w:t>
            </w:r>
            <w:r>
              <w:rPr>
                <w:rFonts w:hint="eastAsia" w:cs="Times New Roman"/>
                <w:sz w:val="21"/>
                <w:szCs w:val="21"/>
              </w:rPr>
              <w:t>酚类、硫酸雾</w:t>
            </w:r>
            <w:r>
              <w:rPr>
                <w:rFonts w:cs="Times New Roman"/>
                <w:sz w:val="21"/>
                <w:szCs w:val="21"/>
              </w:rPr>
              <w:t>)</w:t>
            </w:r>
          </w:p>
        </w:tc>
        <w:tc>
          <w:tcPr>
            <w:tcW w:w="1168" w:type="pct"/>
            <w:gridSpan w:val="3"/>
            <w:tcBorders>
              <w:top w:val="single" w:color="auto" w:sz="4" w:space="0"/>
              <w:left w:val="nil"/>
              <w:bottom w:val="single" w:color="auto" w:sz="4" w:space="0"/>
              <w:right w:val="single" w:color="auto" w:sz="4" w:space="0"/>
            </w:tcBorders>
            <w:vAlign w:val="center"/>
          </w:tcPr>
          <w:p w14:paraId="6E3DB968">
            <w:pPr>
              <w:spacing w:line="240" w:lineRule="auto"/>
              <w:jc w:val="center"/>
              <w:rPr>
                <w:rFonts w:cs="Times New Roman"/>
                <w:sz w:val="21"/>
                <w:szCs w:val="21"/>
              </w:rPr>
            </w:pPr>
            <w:r>
              <w:rPr>
                <w:rFonts w:cs="Times New Roman"/>
                <w:sz w:val="21"/>
                <w:szCs w:val="21"/>
              </w:rPr>
              <w:t>包括二次PM</w:t>
            </w:r>
            <w:r>
              <w:rPr>
                <w:rFonts w:cs="Times New Roman"/>
                <w:sz w:val="21"/>
                <w:szCs w:val="21"/>
                <w:vertAlign w:val="subscript"/>
              </w:rPr>
              <w:t>2.5</w:t>
            </w:r>
            <w:r>
              <w:rPr>
                <w:rFonts w:cs="Times New Roman"/>
                <w:sz w:val="21"/>
                <w:szCs w:val="21"/>
              </w:rPr>
              <w:t>□</w:t>
            </w:r>
            <w:r>
              <w:rPr>
                <w:rFonts w:cs="Times New Roman"/>
                <w:sz w:val="21"/>
                <w:szCs w:val="21"/>
              </w:rPr>
              <w:br w:type="textWrapping"/>
            </w:r>
            <w:r>
              <w:rPr>
                <w:rFonts w:cs="Times New Roman"/>
                <w:sz w:val="21"/>
                <w:szCs w:val="21"/>
              </w:rPr>
              <w:t>不包括二次PM</w:t>
            </w:r>
            <w:r>
              <w:rPr>
                <w:rFonts w:cs="Times New Roman"/>
                <w:sz w:val="21"/>
                <w:szCs w:val="21"/>
                <w:vertAlign w:val="subscript"/>
              </w:rPr>
              <w:t>2.5</w:t>
            </w:r>
            <w:r>
              <w:rPr>
                <w:rFonts w:ascii="Segoe UI Symbol" w:hAnsi="Segoe UI Symbol" w:cs="Segoe UI Symbol"/>
                <w:sz w:val="21"/>
                <w:szCs w:val="21"/>
              </w:rPr>
              <w:t>☑</w:t>
            </w:r>
          </w:p>
        </w:tc>
      </w:tr>
      <w:tr w14:paraId="4D35E4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7" w:type="pct"/>
            <w:tcBorders>
              <w:top w:val="single" w:color="auto" w:sz="4" w:space="0"/>
              <w:left w:val="single" w:color="auto" w:sz="4" w:space="0"/>
              <w:bottom w:val="single" w:color="auto" w:sz="4" w:space="0"/>
              <w:right w:val="single" w:color="auto" w:sz="4" w:space="0"/>
            </w:tcBorders>
            <w:vAlign w:val="center"/>
          </w:tcPr>
          <w:p w14:paraId="5631A029">
            <w:pPr>
              <w:spacing w:line="240" w:lineRule="auto"/>
              <w:jc w:val="center"/>
              <w:rPr>
                <w:rFonts w:cs="Times New Roman"/>
                <w:sz w:val="21"/>
                <w:szCs w:val="21"/>
              </w:rPr>
            </w:pPr>
            <w:r>
              <w:rPr>
                <w:rFonts w:cs="Times New Roman"/>
                <w:sz w:val="21"/>
                <w:szCs w:val="21"/>
              </w:rPr>
              <w:t>评价标准</w:t>
            </w:r>
          </w:p>
        </w:tc>
        <w:tc>
          <w:tcPr>
            <w:tcW w:w="597" w:type="pct"/>
            <w:tcBorders>
              <w:top w:val="single" w:color="auto" w:sz="4" w:space="0"/>
              <w:left w:val="nil"/>
              <w:bottom w:val="single" w:color="auto" w:sz="4" w:space="0"/>
              <w:right w:val="single" w:color="auto" w:sz="4" w:space="0"/>
            </w:tcBorders>
            <w:vAlign w:val="center"/>
          </w:tcPr>
          <w:p w14:paraId="48DA2327">
            <w:pPr>
              <w:spacing w:line="240" w:lineRule="auto"/>
              <w:jc w:val="center"/>
              <w:rPr>
                <w:rFonts w:cs="Times New Roman"/>
                <w:sz w:val="21"/>
                <w:szCs w:val="21"/>
              </w:rPr>
            </w:pPr>
            <w:r>
              <w:rPr>
                <w:rFonts w:cs="Times New Roman"/>
                <w:sz w:val="21"/>
                <w:szCs w:val="21"/>
              </w:rPr>
              <w:t>评价标准</w:t>
            </w:r>
          </w:p>
        </w:tc>
        <w:tc>
          <w:tcPr>
            <w:tcW w:w="1324" w:type="pct"/>
            <w:gridSpan w:val="3"/>
            <w:tcBorders>
              <w:top w:val="single" w:color="auto" w:sz="4" w:space="0"/>
              <w:left w:val="nil"/>
              <w:bottom w:val="single" w:color="auto" w:sz="4" w:space="0"/>
              <w:right w:val="single" w:color="auto" w:sz="4" w:space="0"/>
            </w:tcBorders>
            <w:vAlign w:val="center"/>
          </w:tcPr>
          <w:p w14:paraId="73837C56">
            <w:pPr>
              <w:spacing w:line="240" w:lineRule="auto"/>
              <w:jc w:val="center"/>
              <w:rPr>
                <w:rFonts w:cs="Times New Roman"/>
                <w:sz w:val="21"/>
                <w:szCs w:val="21"/>
              </w:rPr>
            </w:pPr>
            <w:r>
              <w:rPr>
                <w:rFonts w:cs="Times New Roman"/>
                <w:sz w:val="21"/>
                <w:szCs w:val="21"/>
              </w:rPr>
              <w:t>国家标准</w:t>
            </w:r>
            <w:r>
              <w:rPr>
                <w:rFonts w:ascii="Segoe UI Symbol" w:hAnsi="Segoe UI Symbol" w:cs="Segoe UI Symbol"/>
                <w:sz w:val="21"/>
                <w:szCs w:val="21"/>
              </w:rPr>
              <w:t>☑</w:t>
            </w:r>
          </w:p>
        </w:tc>
        <w:tc>
          <w:tcPr>
            <w:tcW w:w="1644" w:type="pct"/>
            <w:gridSpan w:val="3"/>
            <w:tcBorders>
              <w:top w:val="single" w:color="auto" w:sz="4" w:space="0"/>
              <w:left w:val="nil"/>
              <w:bottom w:val="single" w:color="auto" w:sz="4" w:space="0"/>
              <w:right w:val="single" w:color="auto" w:sz="4" w:space="0"/>
            </w:tcBorders>
            <w:vAlign w:val="center"/>
          </w:tcPr>
          <w:p w14:paraId="1645E209">
            <w:pPr>
              <w:spacing w:line="240" w:lineRule="auto"/>
              <w:jc w:val="center"/>
              <w:rPr>
                <w:rFonts w:cs="Times New Roman"/>
                <w:sz w:val="21"/>
                <w:szCs w:val="21"/>
              </w:rPr>
            </w:pPr>
            <w:r>
              <w:rPr>
                <w:rFonts w:cs="Times New Roman"/>
                <w:sz w:val="21"/>
                <w:szCs w:val="21"/>
              </w:rPr>
              <w:t>地方标准□</w:t>
            </w:r>
          </w:p>
        </w:tc>
        <w:tc>
          <w:tcPr>
            <w:tcW w:w="698" w:type="pct"/>
            <w:tcBorders>
              <w:top w:val="single" w:color="auto" w:sz="4" w:space="0"/>
              <w:left w:val="nil"/>
              <w:bottom w:val="single" w:color="auto" w:sz="4" w:space="0"/>
              <w:right w:val="single" w:color="auto" w:sz="4" w:space="0"/>
            </w:tcBorders>
            <w:vAlign w:val="center"/>
          </w:tcPr>
          <w:p w14:paraId="11FD313D">
            <w:pPr>
              <w:spacing w:line="240" w:lineRule="auto"/>
              <w:jc w:val="center"/>
              <w:rPr>
                <w:rFonts w:cs="Times New Roman"/>
                <w:sz w:val="21"/>
                <w:szCs w:val="21"/>
              </w:rPr>
            </w:pPr>
            <w:r>
              <w:rPr>
                <w:rFonts w:cs="Times New Roman"/>
                <w:sz w:val="21"/>
                <w:szCs w:val="21"/>
              </w:rPr>
              <w:t>附录D</w:t>
            </w:r>
            <w:r>
              <w:rPr>
                <w:rFonts w:ascii="Segoe UI Symbol" w:hAnsi="Segoe UI Symbol" w:cs="Segoe UI Symbol"/>
                <w:sz w:val="21"/>
                <w:szCs w:val="21"/>
              </w:rPr>
              <w:t>☑</w:t>
            </w:r>
          </w:p>
        </w:tc>
        <w:tc>
          <w:tcPr>
            <w:tcW w:w="470" w:type="pct"/>
            <w:gridSpan w:val="2"/>
            <w:tcBorders>
              <w:top w:val="single" w:color="auto" w:sz="4" w:space="0"/>
              <w:left w:val="nil"/>
              <w:bottom w:val="single" w:color="auto" w:sz="4" w:space="0"/>
              <w:right w:val="single" w:color="auto" w:sz="4" w:space="0"/>
            </w:tcBorders>
            <w:vAlign w:val="center"/>
          </w:tcPr>
          <w:p w14:paraId="3956ACF4">
            <w:pPr>
              <w:spacing w:line="240" w:lineRule="auto"/>
              <w:jc w:val="center"/>
              <w:rPr>
                <w:rFonts w:cs="Times New Roman"/>
                <w:sz w:val="21"/>
                <w:szCs w:val="21"/>
              </w:rPr>
            </w:pPr>
            <w:r>
              <w:rPr>
                <w:rFonts w:cs="Times New Roman"/>
                <w:sz w:val="21"/>
                <w:szCs w:val="21"/>
              </w:rPr>
              <w:t>其他标准□</w:t>
            </w:r>
          </w:p>
        </w:tc>
      </w:tr>
      <w:tr w14:paraId="4325F6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7" w:type="pct"/>
            <w:vMerge w:val="restart"/>
            <w:tcBorders>
              <w:top w:val="nil"/>
              <w:left w:val="single" w:color="auto" w:sz="4" w:space="0"/>
              <w:bottom w:val="single" w:color="auto" w:sz="4" w:space="0"/>
              <w:right w:val="single" w:color="auto" w:sz="4" w:space="0"/>
            </w:tcBorders>
            <w:vAlign w:val="center"/>
          </w:tcPr>
          <w:p w14:paraId="278D11B8">
            <w:pPr>
              <w:spacing w:line="240" w:lineRule="auto"/>
              <w:jc w:val="center"/>
              <w:rPr>
                <w:rFonts w:cs="Times New Roman"/>
                <w:sz w:val="21"/>
                <w:szCs w:val="21"/>
              </w:rPr>
            </w:pPr>
            <w:r>
              <w:rPr>
                <w:rFonts w:cs="Times New Roman"/>
                <w:sz w:val="21"/>
                <w:szCs w:val="21"/>
              </w:rPr>
              <w:t>现状评价</w:t>
            </w:r>
          </w:p>
        </w:tc>
        <w:tc>
          <w:tcPr>
            <w:tcW w:w="597" w:type="pct"/>
            <w:tcBorders>
              <w:top w:val="single" w:color="auto" w:sz="4" w:space="0"/>
              <w:left w:val="nil"/>
              <w:bottom w:val="single" w:color="auto" w:sz="4" w:space="0"/>
              <w:right w:val="single" w:color="auto" w:sz="4" w:space="0"/>
            </w:tcBorders>
            <w:vAlign w:val="center"/>
          </w:tcPr>
          <w:p w14:paraId="69ED914A">
            <w:pPr>
              <w:spacing w:line="240" w:lineRule="auto"/>
              <w:jc w:val="center"/>
              <w:rPr>
                <w:rFonts w:cs="Times New Roman"/>
                <w:sz w:val="21"/>
                <w:szCs w:val="21"/>
              </w:rPr>
            </w:pPr>
            <w:r>
              <w:rPr>
                <w:rFonts w:cs="Times New Roman"/>
                <w:sz w:val="21"/>
                <w:szCs w:val="21"/>
              </w:rPr>
              <w:t>评价功能区</w:t>
            </w:r>
          </w:p>
        </w:tc>
        <w:tc>
          <w:tcPr>
            <w:tcW w:w="1324" w:type="pct"/>
            <w:gridSpan w:val="3"/>
            <w:tcBorders>
              <w:top w:val="single" w:color="auto" w:sz="4" w:space="0"/>
              <w:left w:val="nil"/>
              <w:bottom w:val="single" w:color="auto" w:sz="4" w:space="0"/>
              <w:right w:val="single" w:color="auto" w:sz="4" w:space="0"/>
            </w:tcBorders>
            <w:vAlign w:val="center"/>
          </w:tcPr>
          <w:p w14:paraId="59EBAEBB">
            <w:pPr>
              <w:spacing w:line="240" w:lineRule="auto"/>
              <w:jc w:val="center"/>
              <w:rPr>
                <w:rFonts w:cs="Times New Roman"/>
                <w:sz w:val="21"/>
                <w:szCs w:val="21"/>
              </w:rPr>
            </w:pPr>
            <w:r>
              <w:rPr>
                <w:rFonts w:cs="Times New Roman"/>
                <w:sz w:val="21"/>
                <w:szCs w:val="21"/>
              </w:rPr>
              <w:t>一类区□</w:t>
            </w:r>
          </w:p>
        </w:tc>
        <w:tc>
          <w:tcPr>
            <w:tcW w:w="1644" w:type="pct"/>
            <w:gridSpan w:val="3"/>
            <w:tcBorders>
              <w:top w:val="single" w:color="auto" w:sz="4" w:space="0"/>
              <w:left w:val="nil"/>
              <w:bottom w:val="single" w:color="auto" w:sz="4" w:space="0"/>
              <w:right w:val="single" w:color="auto" w:sz="4" w:space="0"/>
            </w:tcBorders>
            <w:vAlign w:val="center"/>
          </w:tcPr>
          <w:p w14:paraId="419B1686">
            <w:pPr>
              <w:spacing w:line="240" w:lineRule="auto"/>
              <w:jc w:val="center"/>
              <w:rPr>
                <w:rFonts w:cs="Times New Roman"/>
                <w:sz w:val="21"/>
                <w:szCs w:val="21"/>
              </w:rPr>
            </w:pPr>
            <w:r>
              <w:rPr>
                <w:rFonts w:cs="Times New Roman"/>
                <w:sz w:val="21"/>
                <w:szCs w:val="21"/>
              </w:rPr>
              <w:t>二类区</w:t>
            </w:r>
            <w:r>
              <w:rPr>
                <w:rFonts w:ascii="Segoe UI Symbol" w:hAnsi="Segoe UI Symbol" w:cs="Segoe UI Symbol"/>
                <w:sz w:val="21"/>
                <w:szCs w:val="21"/>
              </w:rPr>
              <w:t>☑</w:t>
            </w:r>
          </w:p>
        </w:tc>
        <w:tc>
          <w:tcPr>
            <w:tcW w:w="1168" w:type="pct"/>
            <w:gridSpan w:val="3"/>
            <w:tcBorders>
              <w:top w:val="single" w:color="auto" w:sz="4" w:space="0"/>
              <w:left w:val="nil"/>
              <w:bottom w:val="single" w:color="auto" w:sz="4" w:space="0"/>
              <w:right w:val="single" w:color="auto" w:sz="4" w:space="0"/>
            </w:tcBorders>
            <w:vAlign w:val="center"/>
          </w:tcPr>
          <w:p w14:paraId="75BBDD4E">
            <w:pPr>
              <w:spacing w:line="240" w:lineRule="auto"/>
              <w:jc w:val="center"/>
              <w:rPr>
                <w:rFonts w:cs="Times New Roman"/>
                <w:sz w:val="21"/>
                <w:szCs w:val="21"/>
              </w:rPr>
            </w:pPr>
            <w:r>
              <w:rPr>
                <w:rFonts w:cs="Times New Roman"/>
                <w:sz w:val="21"/>
                <w:szCs w:val="21"/>
              </w:rPr>
              <w:t>一类区和二类区□</w:t>
            </w:r>
          </w:p>
        </w:tc>
      </w:tr>
      <w:tr w14:paraId="7FA2DA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top w:val="nil"/>
              <w:left w:val="single" w:color="auto" w:sz="4" w:space="0"/>
              <w:bottom w:val="single" w:color="auto" w:sz="4" w:space="0"/>
              <w:right w:val="single" w:color="auto" w:sz="4" w:space="0"/>
            </w:tcBorders>
            <w:vAlign w:val="center"/>
          </w:tcPr>
          <w:p w14:paraId="22647A92">
            <w:pPr>
              <w:spacing w:line="240" w:lineRule="auto"/>
              <w:jc w:val="center"/>
              <w:rPr>
                <w:rFonts w:cs="Times New Roman"/>
                <w:sz w:val="21"/>
                <w:szCs w:val="21"/>
              </w:rPr>
            </w:pPr>
          </w:p>
        </w:tc>
        <w:tc>
          <w:tcPr>
            <w:tcW w:w="597" w:type="pct"/>
            <w:tcBorders>
              <w:top w:val="single" w:color="auto" w:sz="4" w:space="0"/>
              <w:left w:val="nil"/>
              <w:bottom w:val="single" w:color="auto" w:sz="4" w:space="0"/>
              <w:right w:val="single" w:color="auto" w:sz="4" w:space="0"/>
            </w:tcBorders>
            <w:vAlign w:val="center"/>
          </w:tcPr>
          <w:p w14:paraId="03BF08E9">
            <w:pPr>
              <w:spacing w:line="240" w:lineRule="auto"/>
              <w:jc w:val="center"/>
              <w:rPr>
                <w:rFonts w:cs="Times New Roman"/>
                <w:sz w:val="21"/>
                <w:szCs w:val="21"/>
              </w:rPr>
            </w:pPr>
            <w:r>
              <w:rPr>
                <w:rFonts w:cs="Times New Roman"/>
                <w:sz w:val="21"/>
                <w:szCs w:val="21"/>
              </w:rPr>
              <w:t>评价基准年</w:t>
            </w:r>
          </w:p>
        </w:tc>
        <w:tc>
          <w:tcPr>
            <w:tcW w:w="4136" w:type="pct"/>
            <w:gridSpan w:val="9"/>
            <w:tcBorders>
              <w:top w:val="single" w:color="auto" w:sz="4" w:space="0"/>
              <w:left w:val="nil"/>
              <w:bottom w:val="single" w:color="auto" w:sz="4" w:space="0"/>
              <w:right w:val="single" w:color="auto" w:sz="4" w:space="0"/>
            </w:tcBorders>
            <w:vAlign w:val="center"/>
          </w:tcPr>
          <w:p w14:paraId="52C58C43">
            <w:pPr>
              <w:spacing w:line="240" w:lineRule="auto"/>
              <w:jc w:val="center"/>
              <w:rPr>
                <w:rFonts w:cs="Times New Roman"/>
                <w:sz w:val="21"/>
                <w:szCs w:val="21"/>
              </w:rPr>
            </w:pPr>
            <w:r>
              <w:rPr>
                <w:rFonts w:cs="Times New Roman"/>
                <w:sz w:val="21"/>
                <w:szCs w:val="21"/>
              </w:rPr>
              <w:t>(2023)年</w:t>
            </w:r>
          </w:p>
        </w:tc>
      </w:tr>
      <w:tr w14:paraId="30ADFA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top w:val="nil"/>
              <w:left w:val="single" w:color="auto" w:sz="4" w:space="0"/>
              <w:bottom w:val="single" w:color="auto" w:sz="4" w:space="0"/>
              <w:right w:val="single" w:color="auto" w:sz="4" w:space="0"/>
            </w:tcBorders>
            <w:vAlign w:val="center"/>
          </w:tcPr>
          <w:p w14:paraId="259EA940">
            <w:pPr>
              <w:spacing w:line="240" w:lineRule="auto"/>
              <w:jc w:val="center"/>
              <w:rPr>
                <w:rFonts w:cs="Times New Roman"/>
                <w:sz w:val="21"/>
                <w:szCs w:val="21"/>
              </w:rPr>
            </w:pPr>
          </w:p>
        </w:tc>
        <w:tc>
          <w:tcPr>
            <w:tcW w:w="597" w:type="pct"/>
            <w:tcBorders>
              <w:top w:val="single" w:color="auto" w:sz="4" w:space="0"/>
              <w:left w:val="nil"/>
              <w:bottom w:val="single" w:color="auto" w:sz="4" w:space="0"/>
              <w:right w:val="single" w:color="auto" w:sz="4" w:space="0"/>
            </w:tcBorders>
            <w:vAlign w:val="center"/>
          </w:tcPr>
          <w:p w14:paraId="52CFC2E8">
            <w:pPr>
              <w:spacing w:line="240" w:lineRule="auto"/>
              <w:jc w:val="center"/>
              <w:rPr>
                <w:rFonts w:cs="Times New Roman"/>
                <w:sz w:val="21"/>
                <w:szCs w:val="21"/>
              </w:rPr>
            </w:pPr>
            <w:r>
              <w:rPr>
                <w:rFonts w:cs="Times New Roman"/>
                <w:sz w:val="21"/>
                <w:szCs w:val="21"/>
              </w:rPr>
              <w:t>环境空气质量现状调查数据来源</w:t>
            </w:r>
          </w:p>
        </w:tc>
        <w:tc>
          <w:tcPr>
            <w:tcW w:w="1324" w:type="pct"/>
            <w:gridSpan w:val="3"/>
            <w:tcBorders>
              <w:top w:val="single" w:color="auto" w:sz="4" w:space="0"/>
              <w:left w:val="nil"/>
              <w:bottom w:val="single" w:color="auto" w:sz="4" w:space="0"/>
              <w:right w:val="single" w:color="auto" w:sz="4" w:space="0"/>
            </w:tcBorders>
            <w:vAlign w:val="center"/>
          </w:tcPr>
          <w:p w14:paraId="07752323">
            <w:pPr>
              <w:spacing w:line="240" w:lineRule="auto"/>
              <w:jc w:val="center"/>
              <w:rPr>
                <w:rFonts w:cs="Times New Roman"/>
                <w:sz w:val="21"/>
                <w:szCs w:val="21"/>
              </w:rPr>
            </w:pPr>
            <w:r>
              <w:rPr>
                <w:rFonts w:cs="Times New Roman"/>
                <w:sz w:val="21"/>
                <w:szCs w:val="21"/>
              </w:rPr>
              <w:t>长期例行监测标准□</w:t>
            </w:r>
          </w:p>
        </w:tc>
        <w:tc>
          <w:tcPr>
            <w:tcW w:w="1644" w:type="pct"/>
            <w:gridSpan w:val="3"/>
            <w:tcBorders>
              <w:top w:val="single" w:color="auto" w:sz="4" w:space="0"/>
              <w:left w:val="nil"/>
              <w:bottom w:val="single" w:color="auto" w:sz="4" w:space="0"/>
              <w:right w:val="single" w:color="auto" w:sz="4" w:space="0"/>
            </w:tcBorders>
            <w:vAlign w:val="center"/>
          </w:tcPr>
          <w:p w14:paraId="33D1BBEC">
            <w:pPr>
              <w:spacing w:line="240" w:lineRule="auto"/>
              <w:jc w:val="center"/>
              <w:rPr>
                <w:rFonts w:cs="Times New Roman"/>
                <w:sz w:val="21"/>
                <w:szCs w:val="21"/>
              </w:rPr>
            </w:pPr>
            <w:r>
              <w:rPr>
                <w:rFonts w:cs="Times New Roman"/>
                <w:sz w:val="21"/>
                <w:szCs w:val="21"/>
              </w:rPr>
              <w:t>主管部门发布的数据标准</w:t>
            </w:r>
            <w:r>
              <w:rPr>
                <w:rFonts w:ascii="Segoe UI Symbol" w:hAnsi="Segoe UI Symbol" w:cs="Segoe UI Symbol"/>
                <w:sz w:val="21"/>
                <w:szCs w:val="21"/>
              </w:rPr>
              <w:t>☑</w:t>
            </w:r>
          </w:p>
        </w:tc>
        <w:tc>
          <w:tcPr>
            <w:tcW w:w="1168" w:type="pct"/>
            <w:gridSpan w:val="3"/>
            <w:tcBorders>
              <w:top w:val="single" w:color="auto" w:sz="4" w:space="0"/>
              <w:left w:val="nil"/>
              <w:bottom w:val="single" w:color="auto" w:sz="4" w:space="0"/>
              <w:right w:val="single" w:color="auto" w:sz="4" w:space="0"/>
            </w:tcBorders>
            <w:vAlign w:val="center"/>
          </w:tcPr>
          <w:p w14:paraId="10232E25">
            <w:pPr>
              <w:spacing w:line="240" w:lineRule="auto"/>
              <w:jc w:val="center"/>
              <w:rPr>
                <w:rFonts w:cs="Times New Roman"/>
                <w:sz w:val="21"/>
                <w:szCs w:val="21"/>
              </w:rPr>
            </w:pPr>
            <w:r>
              <w:rPr>
                <w:rFonts w:cs="Times New Roman"/>
                <w:sz w:val="21"/>
                <w:szCs w:val="21"/>
              </w:rPr>
              <w:t>现状补充标准</w:t>
            </w:r>
            <w:r>
              <w:rPr>
                <w:rFonts w:ascii="Segoe UI Symbol" w:hAnsi="Segoe UI Symbol" w:cs="Segoe UI Symbol"/>
                <w:sz w:val="21"/>
                <w:szCs w:val="21"/>
              </w:rPr>
              <w:t>☑</w:t>
            </w:r>
          </w:p>
        </w:tc>
      </w:tr>
      <w:tr w14:paraId="0C280C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top w:val="nil"/>
              <w:left w:val="single" w:color="auto" w:sz="4" w:space="0"/>
              <w:bottom w:val="single" w:color="auto" w:sz="4" w:space="0"/>
              <w:right w:val="single" w:color="auto" w:sz="4" w:space="0"/>
            </w:tcBorders>
            <w:vAlign w:val="center"/>
          </w:tcPr>
          <w:p w14:paraId="1D5D2440">
            <w:pPr>
              <w:spacing w:line="240" w:lineRule="auto"/>
              <w:jc w:val="center"/>
              <w:rPr>
                <w:rFonts w:cs="Times New Roman"/>
                <w:sz w:val="21"/>
                <w:szCs w:val="21"/>
              </w:rPr>
            </w:pPr>
          </w:p>
        </w:tc>
        <w:tc>
          <w:tcPr>
            <w:tcW w:w="597" w:type="pct"/>
            <w:tcBorders>
              <w:top w:val="single" w:color="auto" w:sz="4" w:space="0"/>
              <w:left w:val="nil"/>
              <w:bottom w:val="single" w:color="auto" w:sz="4" w:space="0"/>
              <w:right w:val="single" w:color="auto" w:sz="4" w:space="0"/>
            </w:tcBorders>
            <w:vAlign w:val="center"/>
          </w:tcPr>
          <w:p w14:paraId="194478F4">
            <w:pPr>
              <w:spacing w:line="240" w:lineRule="auto"/>
              <w:jc w:val="center"/>
              <w:rPr>
                <w:rFonts w:cs="Times New Roman"/>
                <w:sz w:val="21"/>
                <w:szCs w:val="21"/>
              </w:rPr>
            </w:pPr>
            <w:r>
              <w:rPr>
                <w:rFonts w:cs="Times New Roman"/>
                <w:sz w:val="21"/>
                <w:szCs w:val="21"/>
              </w:rPr>
              <w:t>现状评价</w:t>
            </w:r>
          </w:p>
        </w:tc>
        <w:tc>
          <w:tcPr>
            <w:tcW w:w="2968" w:type="pct"/>
            <w:gridSpan w:val="6"/>
            <w:tcBorders>
              <w:top w:val="single" w:color="auto" w:sz="4" w:space="0"/>
              <w:left w:val="nil"/>
              <w:bottom w:val="single" w:color="auto" w:sz="4" w:space="0"/>
              <w:right w:val="single" w:color="auto" w:sz="4" w:space="0"/>
            </w:tcBorders>
            <w:vAlign w:val="center"/>
          </w:tcPr>
          <w:p w14:paraId="72E0E9FA">
            <w:pPr>
              <w:spacing w:line="240" w:lineRule="auto"/>
              <w:jc w:val="center"/>
              <w:rPr>
                <w:rFonts w:cs="Times New Roman"/>
                <w:sz w:val="21"/>
                <w:szCs w:val="21"/>
              </w:rPr>
            </w:pPr>
            <w:r>
              <w:rPr>
                <w:rFonts w:cs="Times New Roman"/>
                <w:sz w:val="21"/>
                <w:szCs w:val="21"/>
              </w:rPr>
              <w:t>达标区□</w:t>
            </w:r>
          </w:p>
        </w:tc>
        <w:tc>
          <w:tcPr>
            <w:tcW w:w="1168" w:type="pct"/>
            <w:gridSpan w:val="3"/>
            <w:tcBorders>
              <w:top w:val="single" w:color="auto" w:sz="4" w:space="0"/>
              <w:left w:val="nil"/>
              <w:bottom w:val="single" w:color="auto" w:sz="4" w:space="0"/>
              <w:right w:val="single" w:color="auto" w:sz="4" w:space="0"/>
            </w:tcBorders>
            <w:vAlign w:val="center"/>
          </w:tcPr>
          <w:p w14:paraId="397D04A5">
            <w:pPr>
              <w:spacing w:line="240" w:lineRule="auto"/>
              <w:jc w:val="center"/>
              <w:rPr>
                <w:rFonts w:cs="Times New Roman"/>
                <w:sz w:val="21"/>
                <w:szCs w:val="21"/>
              </w:rPr>
            </w:pPr>
            <w:r>
              <w:rPr>
                <w:rFonts w:cs="Times New Roman"/>
                <w:sz w:val="21"/>
                <w:szCs w:val="21"/>
              </w:rPr>
              <w:t>不达标区</w:t>
            </w:r>
            <w:r>
              <w:rPr>
                <w:rFonts w:ascii="Segoe UI Symbol" w:hAnsi="Segoe UI Symbol" w:cs="Segoe UI Symbol"/>
                <w:sz w:val="21"/>
                <w:szCs w:val="21"/>
              </w:rPr>
              <w:t>☑</w:t>
            </w:r>
          </w:p>
        </w:tc>
      </w:tr>
      <w:tr w14:paraId="413937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7" w:type="pct"/>
            <w:tcBorders>
              <w:top w:val="single" w:color="auto" w:sz="4" w:space="0"/>
              <w:left w:val="single" w:color="auto" w:sz="4" w:space="0"/>
              <w:bottom w:val="single" w:color="auto" w:sz="4" w:space="0"/>
              <w:right w:val="single" w:color="auto" w:sz="4" w:space="0"/>
            </w:tcBorders>
            <w:vAlign w:val="center"/>
          </w:tcPr>
          <w:p w14:paraId="776BCD91">
            <w:pPr>
              <w:spacing w:line="240" w:lineRule="auto"/>
              <w:jc w:val="center"/>
              <w:rPr>
                <w:rFonts w:cs="Times New Roman"/>
                <w:sz w:val="21"/>
                <w:szCs w:val="21"/>
              </w:rPr>
            </w:pPr>
            <w:r>
              <w:rPr>
                <w:rFonts w:cs="Times New Roman"/>
                <w:sz w:val="21"/>
                <w:szCs w:val="21"/>
              </w:rPr>
              <w:t>污染源调查</w:t>
            </w:r>
          </w:p>
        </w:tc>
        <w:tc>
          <w:tcPr>
            <w:tcW w:w="597" w:type="pct"/>
            <w:tcBorders>
              <w:top w:val="single" w:color="auto" w:sz="4" w:space="0"/>
              <w:left w:val="nil"/>
              <w:bottom w:val="single" w:color="auto" w:sz="4" w:space="0"/>
              <w:right w:val="single" w:color="auto" w:sz="4" w:space="0"/>
            </w:tcBorders>
            <w:vAlign w:val="center"/>
          </w:tcPr>
          <w:p w14:paraId="7DBA2257">
            <w:pPr>
              <w:spacing w:line="240" w:lineRule="auto"/>
              <w:jc w:val="center"/>
              <w:rPr>
                <w:rFonts w:cs="Times New Roman"/>
                <w:sz w:val="21"/>
                <w:szCs w:val="21"/>
              </w:rPr>
            </w:pPr>
            <w:r>
              <w:rPr>
                <w:rFonts w:cs="Times New Roman"/>
                <w:sz w:val="21"/>
                <w:szCs w:val="21"/>
              </w:rPr>
              <w:t>调查内容</w:t>
            </w:r>
          </w:p>
        </w:tc>
        <w:tc>
          <w:tcPr>
            <w:tcW w:w="1324" w:type="pct"/>
            <w:gridSpan w:val="3"/>
            <w:tcBorders>
              <w:top w:val="single" w:color="auto" w:sz="4" w:space="0"/>
              <w:left w:val="nil"/>
              <w:bottom w:val="single" w:color="auto" w:sz="4" w:space="0"/>
              <w:right w:val="single" w:color="auto" w:sz="4" w:space="0"/>
            </w:tcBorders>
            <w:vAlign w:val="center"/>
          </w:tcPr>
          <w:p w14:paraId="68C46EBF">
            <w:pPr>
              <w:spacing w:line="240" w:lineRule="auto"/>
              <w:jc w:val="center"/>
              <w:rPr>
                <w:rFonts w:cs="Times New Roman"/>
                <w:sz w:val="21"/>
                <w:szCs w:val="21"/>
              </w:rPr>
            </w:pPr>
            <w:r>
              <w:rPr>
                <w:rFonts w:cs="Times New Roman"/>
                <w:sz w:val="21"/>
                <w:szCs w:val="21"/>
              </w:rPr>
              <w:t>本项目正常排放源</w:t>
            </w:r>
            <w:r>
              <w:rPr>
                <w:rFonts w:ascii="Segoe UI Symbol" w:hAnsi="Segoe UI Symbol" w:cs="Segoe UI Symbol"/>
                <w:sz w:val="21"/>
                <w:szCs w:val="21"/>
              </w:rPr>
              <w:t>☑</w:t>
            </w:r>
            <w:r>
              <w:rPr>
                <w:rFonts w:cs="Times New Roman"/>
                <w:sz w:val="21"/>
                <w:szCs w:val="21"/>
              </w:rPr>
              <w:br w:type="textWrapping"/>
            </w:r>
            <w:r>
              <w:rPr>
                <w:rFonts w:cs="Times New Roman"/>
                <w:sz w:val="21"/>
                <w:szCs w:val="21"/>
              </w:rPr>
              <w:t>本项目非正常排放源</w:t>
            </w:r>
            <w:r>
              <w:rPr>
                <w:rFonts w:ascii="Segoe UI Symbol" w:hAnsi="Segoe UI Symbol" w:cs="Segoe UI Symbol"/>
                <w:sz w:val="21"/>
                <w:szCs w:val="21"/>
              </w:rPr>
              <w:t>☑</w:t>
            </w:r>
            <w:r>
              <w:rPr>
                <w:rFonts w:cs="Times New Roman"/>
                <w:sz w:val="21"/>
                <w:szCs w:val="21"/>
              </w:rPr>
              <w:br w:type="textWrapping"/>
            </w:r>
            <w:r>
              <w:rPr>
                <w:rFonts w:cs="Times New Roman"/>
                <w:sz w:val="21"/>
                <w:szCs w:val="21"/>
              </w:rPr>
              <w:t>现有污染源□</w:t>
            </w:r>
          </w:p>
        </w:tc>
        <w:tc>
          <w:tcPr>
            <w:tcW w:w="1644" w:type="pct"/>
            <w:gridSpan w:val="3"/>
            <w:tcBorders>
              <w:top w:val="single" w:color="auto" w:sz="4" w:space="0"/>
              <w:left w:val="nil"/>
              <w:bottom w:val="single" w:color="auto" w:sz="4" w:space="0"/>
              <w:right w:val="single" w:color="auto" w:sz="4" w:space="0"/>
            </w:tcBorders>
            <w:vAlign w:val="center"/>
          </w:tcPr>
          <w:p w14:paraId="52D97B10">
            <w:pPr>
              <w:spacing w:line="240" w:lineRule="auto"/>
              <w:jc w:val="center"/>
              <w:rPr>
                <w:rFonts w:cs="Times New Roman"/>
                <w:sz w:val="21"/>
                <w:szCs w:val="21"/>
              </w:rPr>
            </w:pPr>
            <w:r>
              <w:rPr>
                <w:rFonts w:cs="Times New Roman"/>
                <w:sz w:val="21"/>
                <w:szCs w:val="21"/>
              </w:rPr>
              <w:t>拟替代的污染源</w:t>
            </w:r>
            <w:r>
              <w:rPr>
                <w:rFonts w:ascii="Segoe UI Symbol" w:hAnsi="Segoe UI Symbol" w:cs="Segoe UI Symbol"/>
                <w:sz w:val="21"/>
                <w:szCs w:val="21"/>
              </w:rPr>
              <w:t>☑</w:t>
            </w:r>
          </w:p>
        </w:tc>
        <w:tc>
          <w:tcPr>
            <w:tcW w:w="698" w:type="pct"/>
            <w:tcBorders>
              <w:top w:val="single" w:color="auto" w:sz="4" w:space="0"/>
              <w:left w:val="nil"/>
              <w:bottom w:val="single" w:color="auto" w:sz="4" w:space="0"/>
              <w:right w:val="single" w:color="auto" w:sz="4" w:space="0"/>
            </w:tcBorders>
            <w:vAlign w:val="center"/>
          </w:tcPr>
          <w:p w14:paraId="7C53014E">
            <w:pPr>
              <w:spacing w:line="240" w:lineRule="auto"/>
              <w:jc w:val="center"/>
              <w:rPr>
                <w:rFonts w:cs="Times New Roman"/>
                <w:sz w:val="21"/>
                <w:szCs w:val="21"/>
              </w:rPr>
            </w:pPr>
            <w:r>
              <w:rPr>
                <w:rFonts w:cs="Times New Roman"/>
                <w:sz w:val="21"/>
                <w:szCs w:val="21"/>
              </w:rPr>
              <w:t>其他在建、拟建项目污染源</w:t>
            </w:r>
            <w:r>
              <w:rPr>
                <w:rFonts w:ascii="Segoe UI Symbol" w:hAnsi="Segoe UI Symbol" w:cs="Segoe UI Symbol"/>
                <w:sz w:val="21"/>
                <w:szCs w:val="21"/>
              </w:rPr>
              <w:t>☑</w:t>
            </w:r>
          </w:p>
        </w:tc>
        <w:tc>
          <w:tcPr>
            <w:tcW w:w="470" w:type="pct"/>
            <w:gridSpan w:val="2"/>
            <w:tcBorders>
              <w:top w:val="single" w:color="auto" w:sz="4" w:space="0"/>
              <w:left w:val="nil"/>
              <w:bottom w:val="single" w:color="auto" w:sz="4" w:space="0"/>
              <w:right w:val="single" w:color="auto" w:sz="4" w:space="0"/>
            </w:tcBorders>
            <w:vAlign w:val="center"/>
          </w:tcPr>
          <w:p w14:paraId="17660E24">
            <w:pPr>
              <w:spacing w:line="240" w:lineRule="auto"/>
              <w:jc w:val="center"/>
              <w:rPr>
                <w:rFonts w:cs="Times New Roman"/>
                <w:sz w:val="21"/>
                <w:szCs w:val="21"/>
              </w:rPr>
            </w:pPr>
            <w:r>
              <w:rPr>
                <w:rFonts w:cs="Times New Roman"/>
                <w:sz w:val="21"/>
                <w:szCs w:val="21"/>
              </w:rPr>
              <w:t>区域污染源□</w:t>
            </w:r>
          </w:p>
        </w:tc>
      </w:tr>
      <w:tr w14:paraId="3CF60D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7" w:type="pct"/>
            <w:vMerge w:val="restart"/>
            <w:tcBorders>
              <w:top w:val="nil"/>
              <w:left w:val="single" w:color="auto" w:sz="4" w:space="0"/>
              <w:bottom w:val="single" w:color="auto" w:sz="4" w:space="0"/>
              <w:right w:val="single" w:color="auto" w:sz="4" w:space="0"/>
            </w:tcBorders>
            <w:vAlign w:val="center"/>
          </w:tcPr>
          <w:p w14:paraId="4B203F39">
            <w:pPr>
              <w:spacing w:line="240" w:lineRule="auto"/>
              <w:jc w:val="center"/>
              <w:rPr>
                <w:rFonts w:cs="Times New Roman"/>
                <w:sz w:val="21"/>
                <w:szCs w:val="21"/>
              </w:rPr>
            </w:pPr>
            <w:r>
              <w:rPr>
                <w:rFonts w:cs="Times New Roman"/>
                <w:sz w:val="21"/>
                <w:szCs w:val="21"/>
              </w:rPr>
              <w:t>大气环境影响预测与评价</w:t>
            </w:r>
          </w:p>
        </w:tc>
        <w:tc>
          <w:tcPr>
            <w:tcW w:w="597" w:type="pct"/>
            <w:tcBorders>
              <w:top w:val="single" w:color="auto" w:sz="4" w:space="0"/>
              <w:left w:val="nil"/>
              <w:bottom w:val="single" w:color="auto" w:sz="4" w:space="0"/>
              <w:right w:val="single" w:color="auto" w:sz="4" w:space="0"/>
            </w:tcBorders>
            <w:vAlign w:val="center"/>
          </w:tcPr>
          <w:p w14:paraId="2F263ACF">
            <w:pPr>
              <w:spacing w:line="240" w:lineRule="auto"/>
              <w:jc w:val="center"/>
              <w:rPr>
                <w:rFonts w:cs="Times New Roman"/>
                <w:sz w:val="21"/>
                <w:szCs w:val="21"/>
              </w:rPr>
            </w:pPr>
            <w:r>
              <w:rPr>
                <w:rFonts w:cs="Times New Roman"/>
                <w:sz w:val="21"/>
                <w:szCs w:val="21"/>
              </w:rPr>
              <w:t>预测模型</w:t>
            </w:r>
          </w:p>
        </w:tc>
        <w:tc>
          <w:tcPr>
            <w:tcW w:w="721" w:type="pct"/>
            <w:tcBorders>
              <w:top w:val="single" w:color="auto" w:sz="4" w:space="0"/>
              <w:left w:val="nil"/>
              <w:bottom w:val="single" w:color="auto" w:sz="4" w:space="0"/>
              <w:right w:val="single" w:color="auto" w:sz="4" w:space="0"/>
            </w:tcBorders>
            <w:vAlign w:val="center"/>
          </w:tcPr>
          <w:p w14:paraId="68AAED84">
            <w:pPr>
              <w:spacing w:line="240" w:lineRule="auto"/>
              <w:jc w:val="center"/>
              <w:rPr>
                <w:rFonts w:cs="Times New Roman"/>
                <w:sz w:val="21"/>
                <w:szCs w:val="21"/>
              </w:rPr>
            </w:pPr>
            <w:r>
              <w:rPr>
                <w:rFonts w:cs="Times New Roman"/>
                <w:sz w:val="21"/>
                <w:szCs w:val="21"/>
              </w:rPr>
              <w:t>AERMOD</w:t>
            </w:r>
            <w:r>
              <w:rPr>
                <w:rFonts w:ascii="Segoe UI Symbol" w:hAnsi="Segoe UI Symbol" w:cs="Segoe UI Symbol"/>
                <w:sz w:val="21"/>
                <w:szCs w:val="21"/>
              </w:rPr>
              <w:t>☑</w:t>
            </w:r>
          </w:p>
        </w:tc>
        <w:tc>
          <w:tcPr>
            <w:tcW w:w="603" w:type="pct"/>
            <w:gridSpan w:val="2"/>
            <w:tcBorders>
              <w:top w:val="single" w:color="auto" w:sz="4" w:space="0"/>
              <w:left w:val="nil"/>
              <w:bottom w:val="single" w:color="auto" w:sz="4" w:space="0"/>
              <w:right w:val="single" w:color="auto" w:sz="4" w:space="0"/>
            </w:tcBorders>
            <w:vAlign w:val="center"/>
          </w:tcPr>
          <w:p w14:paraId="0066C463">
            <w:pPr>
              <w:spacing w:line="240" w:lineRule="auto"/>
              <w:jc w:val="center"/>
              <w:rPr>
                <w:rFonts w:cs="Times New Roman"/>
                <w:sz w:val="21"/>
                <w:szCs w:val="21"/>
              </w:rPr>
            </w:pPr>
            <w:r>
              <w:rPr>
                <w:rFonts w:cs="Times New Roman"/>
                <w:sz w:val="21"/>
                <w:szCs w:val="21"/>
              </w:rPr>
              <w:t>ADMS□</w:t>
            </w:r>
          </w:p>
        </w:tc>
        <w:tc>
          <w:tcPr>
            <w:tcW w:w="791" w:type="pct"/>
            <w:gridSpan w:val="2"/>
            <w:tcBorders>
              <w:top w:val="single" w:color="auto" w:sz="4" w:space="0"/>
              <w:left w:val="nil"/>
              <w:bottom w:val="single" w:color="auto" w:sz="4" w:space="0"/>
              <w:right w:val="single" w:color="auto" w:sz="4" w:space="0"/>
            </w:tcBorders>
            <w:vAlign w:val="center"/>
          </w:tcPr>
          <w:p w14:paraId="0188BEDE">
            <w:pPr>
              <w:spacing w:line="240" w:lineRule="auto"/>
              <w:jc w:val="center"/>
              <w:rPr>
                <w:rFonts w:cs="Times New Roman"/>
                <w:sz w:val="21"/>
                <w:szCs w:val="21"/>
              </w:rPr>
            </w:pPr>
            <w:r>
              <w:rPr>
                <w:rFonts w:cs="Times New Roman"/>
                <w:sz w:val="21"/>
                <w:szCs w:val="21"/>
              </w:rPr>
              <w:t>AUSTAL2000□</w:t>
            </w:r>
          </w:p>
        </w:tc>
        <w:tc>
          <w:tcPr>
            <w:tcW w:w="853" w:type="pct"/>
            <w:tcBorders>
              <w:top w:val="single" w:color="auto" w:sz="4" w:space="0"/>
              <w:left w:val="nil"/>
              <w:bottom w:val="single" w:color="auto" w:sz="4" w:space="0"/>
              <w:right w:val="single" w:color="auto" w:sz="4" w:space="0"/>
            </w:tcBorders>
            <w:vAlign w:val="center"/>
          </w:tcPr>
          <w:p w14:paraId="760F0744">
            <w:pPr>
              <w:spacing w:line="240" w:lineRule="auto"/>
              <w:jc w:val="center"/>
              <w:rPr>
                <w:rFonts w:cs="Times New Roman"/>
                <w:sz w:val="21"/>
                <w:szCs w:val="21"/>
              </w:rPr>
            </w:pPr>
            <w:r>
              <w:rPr>
                <w:rFonts w:cs="Times New Roman"/>
                <w:sz w:val="21"/>
                <w:szCs w:val="21"/>
              </w:rPr>
              <w:t>EDMS/AEDT□</w:t>
            </w:r>
          </w:p>
        </w:tc>
        <w:tc>
          <w:tcPr>
            <w:tcW w:w="698" w:type="pct"/>
            <w:tcBorders>
              <w:top w:val="single" w:color="auto" w:sz="4" w:space="0"/>
              <w:left w:val="nil"/>
              <w:bottom w:val="single" w:color="auto" w:sz="4" w:space="0"/>
              <w:right w:val="single" w:color="auto" w:sz="4" w:space="0"/>
            </w:tcBorders>
            <w:vAlign w:val="center"/>
          </w:tcPr>
          <w:p w14:paraId="3996A1E5">
            <w:pPr>
              <w:spacing w:line="240" w:lineRule="auto"/>
              <w:jc w:val="center"/>
              <w:rPr>
                <w:rFonts w:cs="Times New Roman"/>
                <w:sz w:val="21"/>
                <w:szCs w:val="21"/>
              </w:rPr>
            </w:pPr>
            <w:r>
              <w:rPr>
                <w:rFonts w:cs="Times New Roman"/>
                <w:sz w:val="21"/>
                <w:szCs w:val="21"/>
              </w:rPr>
              <w:t>CALPUFF□</w:t>
            </w:r>
          </w:p>
        </w:tc>
        <w:tc>
          <w:tcPr>
            <w:tcW w:w="235" w:type="pct"/>
            <w:tcBorders>
              <w:top w:val="single" w:color="auto" w:sz="4" w:space="0"/>
              <w:left w:val="nil"/>
              <w:bottom w:val="single" w:color="auto" w:sz="4" w:space="0"/>
              <w:right w:val="single" w:color="auto" w:sz="4" w:space="0"/>
            </w:tcBorders>
            <w:vAlign w:val="center"/>
          </w:tcPr>
          <w:p w14:paraId="62CD9380">
            <w:pPr>
              <w:spacing w:line="240" w:lineRule="auto"/>
              <w:jc w:val="center"/>
              <w:rPr>
                <w:rFonts w:cs="Times New Roman"/>
                <w:sz w:val="21"/>
                <w:szCs w:val="21"/>
              </w:rPr>
            </w:pPr>
            <w:r>
              <w:rPr>
                <w:rFonts w:cs="Times New Roman"/>
                <w:sz w:val="21"/>
                <w:szCs w:val="21"/>
              </w:rPr>
              <w:t>网格模型□</w:t>
            </w:r>
          </w:p>
        </w:tc>
        <w:tc>
          <w:tcPr>
            <w:tcW w:w="235" w:type="pct"/>
            <w:tcBorders>
              <w:top w:val="single" w:color="auto" w:sz="4" w:space="0"/>
              <w:left w:val="nil"/>
              <w:bottom w:val="single" w:color="auto" w:sz="4" w:space="0"/>
              <w:right w:val="single" w:color="auto" w:sz="4" w:space="0"/>
            </w:tcBorders>
            <w:vAlign w:val="center"/>
          </w:tcPr>
          <w:p w14:paraId="03A07004">
            <w:pPr>
              <w:spacing w:line="240" w:lineRule="auto"/>
              <w:jc w:val="center"/>
              <w:rPr>
                <w:rFonts w:cs="Times New Roman"/>
                <w:sz w:val="21"/>
                <w:szCs w:val="21"/>
              </w:rPr>
            </w:pPr>
            <w:r>
              <w:rPr>
                <w:rFonts w:cs="Times New Roman"/>
                <w:sz w:val="21"/>
                <w:szCs w:val="21"/>
              </w:rPr>
              <w:t>其他□</w:t>
            </w:r>
          </w:p>
        </w:tc>
      </w:tr>
      <w:tr w14:paraId="66823C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top w:val="nil"/>
              <w:left w:val="single" w:color="auto" w:sz="4" w:space="0"/>
              <w:bottom w:val="single" w:color="auto" w:sz="4" w:space="0"/>
              <w:right w:val="single" w:color="auto" w:sz="4" w:space="0"/>
            </w:tcBorders>
            <w:vAlign w:val="center"/>
          </w:tcPr>
          <w:p w14:paraId="4661EC33">
            <w:pPr>
              <w:spacing w:line="240" w:lineRule="auto"/>
              <w:jc w:val="center"/>
              <w:rPr>
                <w:rFonts w:cs="Times New Roman"/>
                <w:sz w:val="21"/>
                <w:szCs w:val="21"/>
              </w:rPr>
            </w:pPr>
          </w:p>
        </w:tc>
        <w:tc>
          <w:tcPr>
            <w:tcW w:w="597" w:type="pct"/>
            <w:tcBorders>
              <w:top w:val="single" w:color="auto" w:sz="4" w:space="0"/>
              <w:left w:val="nil"/>
              <w:bottom w:val="single" w:color="auto" w:sz="4" w:space="0"/>
              <w:right w:val="single" w:color="auto" w:sz="4" w:space="0"/>
            </w:tcBorders>
            <w:vAlign w:val="center"/>
          </w:tcPr>
          <w:p w14:paraId="35AF3220">
            <w:pPr>
              <w:spacing w:line="240" w:lineRule="auto"/>
              <w:jc w:val="center"/>
              <w:rPr>
                <w:rFonts w:cs="Times New Roman"/>
                <w:sz w:val="21"/>
                <w:szCs w:val="21"/>
              </w:rPr>
            </w:pPr>
            <w:r>
              <w:rPr>
                <w:rFonts w:cs="Times New Roman"/>
                <w:sz w:val="21"/>
                <w:szCs w:val="21"/>
              </w:rPr>
              <w:t>预测范围</w:t>
            </w:r>
          </w:p>
        </w:tc>
        <w:tc>
          <w:tcPr>
            <w:tcW w:w="1324" w:type="pct"/>
            <w:gridSpan w:val="3"/>
            <w:tcBorders>
              <w:top w:val="single" w:color="auto" w:sz="4" w:space="0"/>
              <w:left w:val="nil"/>
              <w:bottom w:val="single" w:color="auto" w:sz="4" w:space="0"/>
              <w:right w:val="single" w:color="auto" w:sz="4" w:space="0"/>
            </w:tcBorders>
            <w:vAlign w:val="center"/>
          </w:tcPr>
          <w:p w14:paraId="1D22C80C">
            <w:pPr>
              <w:spacing w:line="240" w:lineRule="auto"/>
              <w:jc w:val="center"/>
              <w:rPr>
                <w:rFonts w:cs="Times New Roman"/>
                <w:sz w:val="21"/>
                <w:szCs w:val="21"/>
              </w:rPr>
            </w:pPr>
            <w:r>
              <w:rPr>
                <w:rFonts w:cs="Times New Roman"/>
                <w:sz w:val="21"/>
                <w:szCs w:val="21"/>
              </w:rPr>
              <w:t>边长≥50km□</w:t>
            </w:r>
          </w:p>
        </w:tc>
        <w:tc>
          <w:tcPr>
            <w:tcW w:w="1644" w:type="pct"/>
            <w:gridSpan w:val="3"/>
            <w:tcBorders>
              <w:top w:val="single" w:color="auto" w:sz="4" w:space="0"/>
              <w:left w:val="nil"/>
              <w:bottom w:val="single" w:color="auto" w:sz="4" w:space="0"/>
              <w:right w:val="single" w:color="auto" w:sz="4" w:space="0"/>
            </w:tcBorders>
            <w:vAlign w:val="center"/>
          </w:tcPr>
          <w:p w14:paraId="5A6146B4">
            <w:pPr>
              <w:spacing w:line="240" w:lineRule="auto"/>
              <w:jc w:val="center"/>
              <w:rPr>
                <w:rFonts w:cs="Times New Roman"/>
                <w:sz w:val="21"/>
                <w:szCs w:val="21"/>
              </w:rPr>
            </w:pPr>
            <w:r>
              <w:rPr>
                <w:rFonts w:cs="Times New Roman"/>
                <w:sz w:val="21"/>
                <w:szCs w:val="21"/>
              </w:rPr>
              <w:t>边长5~50km□</w:t>
            </w:r>
          </w:p>
        </w:tc>
        <w:tc>
          <w:tcPr>
            <w:tcW w:w="1168" w:type="pct"/>
            <w:gridSpan w:val="3"/>
            <w:tcBorders>
              <w:top w:val="single" w:color="auto" w:sz="4" w:space="0"/>
              <w:left w:val="nil"/>
              <w:bottom w:val="single" w:color="auto" w:sz="4" w:space="0"/>
              <w:right w:val="single" w:color="auto" w:sz="4" w:space="0"/>
            </w:tcBorders>
            <w:vAlign w:val="center"/>
          </w:tcPr>
          <w:p w14:paraId="60E25921">
            <w:pPr>
              <w:spacing w:line="240" w:lineRule="auto"/>
              <w:jc w:val="center"/>
              <w:rPr>
                <w:rFonts w:cs="Times New Roman"/>
                <w:sz w:val="21"/>
                <w:szCs w:val="21"/>
              </w:rPr>
            </w:pPr>
            <w:r>
              <w:rPr>
                <w:rFonts w:cs="Times New Roman"/>
                <w:sz w:val="21"/>
                <w:szCs w:val="21"/>
              </w:rPr>
              <w:t>边长=5km□</w:t>
            </w:r>
          </w:p>
        </w:tc>
      </w:tr>
      <w:tr w14:paraId="3D6DC8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top w:val="nil"/>
              <w:left w:val="single" w:color="auto" w:sz="4" w:space="0"/>
              <w:bottom w:val="single" w:color="auto" w:sz="4" w:space="0"/>
              <w:right w:val="single" w:color="auto" w:sz="4" w:space="0"/>
            </w:tcBorders>
            <w:vAlign w:val="center"/>
          </w:tcPr>
          <w:p w14:paraId="2D654652">
            <w:pPr>
              <w:spacing w:line="240" w:lineRule="auto"/>
              <w:jc w:val="center"/>
              <w:rPr>
                <w:rFonts w:cs="Times New Roman"/>
                <w:sz w:val="21"/>
                <w:szCs w:val="21"/>
              </w:rPr>
            </w:pPr>
          </w:p>
        </w:tc>
        <w:tc>
          <w:tcPr>
            <w:tcW w:w="597" w:type="pct"/>
            <w:tcBorders>
              <w:top w:val="single" w:color="auto" w:sz="4" w:space="0"/>
              <w:left w:val="nil"/>
              <w:bottom w:val="single" w:color="auto" w:sz="4" w:space="0"/>
              <w:right w:val="single" w:color="auto" w:sz="4" w:space="0"/>
            </w:tcBorders>
            <w:vAlign w:val="center"/>
          </w:tcPr>
          <w:p w14:paraId="21478A70">
            <w:pPr>
              <w:spacing w:line="240" w:lineRule="auto"/>
              <w:jc w:val="center"/>
              <w:rPr>
                <w:rFonts w:cs="Times New Roman"/>
                <w:sz w:val="21"/>
                <w:szCs w:val="21"/>
              </w:rPr>
            </w:pPr>
            <w:r>
              <w:rPr>
                <w:rFonts w:cs="Times New Roman"/>
                <w:sz w:val="21"/>
                <w:szCs w:val="21"/>
              </w:rPr>
              <w:t>预测因子</w:t>
            </w:r>
          </w:p>
        </w:tc>
        <w:tc>
          <w:tcPr>
            <w:tcW w:w="2968" w:type="pct"/>
            <w:gridSpan w:val="6"/>
            <w:tcBorders>
              <w:top w:val="single" w:color="auto" w:sz="4" w:space="0"/>
              <w:left w:val="nil"/>
              <w:bottom w:val="single" w:color="auto" w:sz="4" w:space="0"/>
              <w:right w:val="single" w:color="auto" w:sz="4" w:space="0"/>
            </w:tcBorders>
            <w:vAlign w:val="center"/>
          </w:tcPr>
          <w:p w14:paraId="5096AB93">
            <w:pPr>
              <w:spacing w:line="240" w:lineRule="auto"/>
              <w:jc w:val="center"/>
              <w:rPr>
                <w:rFonts w:cs="Times New Roman"/>
                <w:sz w:val="21"/>
                <w:szCs w:val="21"/>
              </w:rPr>
            </w:pPr>
            <w:r>
              <w:rPr>
                <w:rFonts w:cs="Times New Roman"/>
                <w:sz w:val="21"/>
                <w:szCs w:val="21"/>
              </w:rPr>
              <w:t>预测因子(</w:t>
            </w:r>
            <w:r>
              <w:rPr>
                <w:rFonts w:hint="eastAsia" w:cs="Times New Roman"/>
                <w:sz w:val="21"/>
                <w:szCs w:val="21"/>
              </w:rPr>
              <w:t>酚类、非甲烷总烃、硫酸雾</w:t>
            </w:r>
            <w:r>
              <w:rPr>
                <w:rFonts w:cs="Times New Roman"/>
                <w:sz w:val="21"/>
                <w:szCs w:val="21"/>
              </w:rPr>
              <w:t>)</w:t>
            </w:r>
          </w:p>
        </w:tc>
        <w:tc>
          <w:tcPr>
            <w:tcW w:w="1168" w:type="pct"/>
            <w:gridSpan w:val="3"/>
            <w:tcBorders>
              <w:top w:val="single" w:color="auto" w:sz="4" w:space="0"/>
              <w:left w:val="nil"/>
              <w:bottom w:val="single" w:color="auto" w:sz="4" w:space="0"/>
              <w:right w:val="single" w:color="auto" w:sz="4" w:space="0"/>
            </w:tcBorders>
            <w:vAlign w:val="center"/>
          </w:tcPr>
          <w:p w14:paraId="3F410BC8">
            <w:pPr>
              <w:spacing w:line="240" w:lineRule="auto"/>
              <w:jc w:val="center"/>
              <w:rPr>
                <w:rFonts w:cs="Times New Roman"/>
                <w:sz w:val="21"/>
                <w:szCs w:val="21"/>
              </w:rPr>
            </w:pPr>
            <w:r>
              <w:rPr>
                <w:rFonts w:cs="Times New Roman"/>
                <w:sz w:val="21"/>
                <w:szCs w:val="21"/>
              </w:rPr>
              <w:t>包括二次PM</w:t>
            </w:r>
            <w:r>
              <w:rPr>
                <w:rFonts w:cs="Times New Roman"/>
                <w:sz w:val="21"/>
                <w:szCs w:val="21"/>
                <w:vertAlign w:val="subscript"/>
              </w:rPr>
              <w:t>2.5</w:t>
            </w:r>
            <w:r>
              <w:rPr>
                <w:rFonts w:cs="Times New Roman"/>
                <w:sz w:val="21"/>
                <w:szCs w:val="21"/>
              </w:rPr>
              <w:t>□</w:t>
            </w:r>
            <w:r>
              <w:rPr>
                <w:rFonts w:cs="Times New Roman"/>
                <w:sz w:val="21"/>
                <w:szCs w:val="21"/>
              </w:rPr>
              <w:br w:type="textWrapping"/>
            </w:r>
            <w:r>
              <w:rPr>
                <w:rFonts w:cs="Times New Roman"/>
                <w:sz w:val="21"/>
                <w:szCs w:val="21"/>
              </w:rPr>
              <w:t>不包括二次PM</w:t>
            </w:r>
            <w:r>
              <w:rPr>
                <w:rFonts w:cs="Times New Roman"/>
                <w:sz w:val="21"/>
                <w:szCs w:val="21"/>
                <w:vertAlign w:val="subscript"/>
              </w:rPr>
              <w:t>2.5</w:t>
            </w:r>
            <w:r>
              <w:rPr>
                <w:rFonts w:ascii="Segoe UI Symbol" w:hAnsi="Segoe UI Symbol" w:cs="Segoe UI Symbol"/>
                <w:sz w:val="21"/>
                <w:szCs w:val="21"/>
              </w:rPr>
              <w:t>☑</w:t>
            </w:r>
          </w:p>
        </w:tc>
      </w:tr>
      <w:tr w14:paraId="3C12E5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top w:val="nil"/>
              <w:left w:val="single" w:color="auto" w:sz="4" w:space="0"/>
              <w:bottom w:val="single" w:color="auto" w:sz="4" w:space="0"/>
              <w:right w:val="single" w:color="auto" w:sz="4" w:space="0"/>
            </w:tcBorders>
            <w:vAlign w:val="center"/>
          </w:tcPr>
          <w:p w14:paraId="37A936B7">
            <w:pPr>
              <w:spacing w:line="240" w:lineRule="auto"/>
              <w:jc w:val="center"/>
              <w:rPr>
                <w:rFonts w:cs="Times New Roman"/>
                <w:sz w:val="21"/>
                <w:szCs w:val="21"/>
              </w:rPr>
            </w:pPr>
          </w:p>
        </w:tc>
        <w:tc>
          <w:tcPr>
            <w:tcW w:w="597" w:type="pct"/>
            <w:tcBorders>
              <w:top w:val="single" w:color="auto" w:sz="4" w:space="0"/>
              <w:left w:val="nil"/>
              <w:bottom w:val="single" w:color="auto" w:sz="4" w:space="0"/>
              <w:right w:val="single" w:color="auto" w:sz="4" w:space="0"/>
            </w:tcBorders>
            <w:vAlign w:val="center"/>
          </w:tcPr>
          <w:p w14:paraId="71A4EC09">
            <w:pPr>
              <w:spacing w:line="240" w:lineRule="auto"/>
              <w:jc w:val="center"/>
              <w:rPr>
                <w:rFonts w:cs="Times New Roman"/>
                <w:sz w:val="21"/>
                <w:szCs w:val="21"/>
              </w:rPr>
            </w:pPr>
            <w:r>
              <w:rPr>
                <w:rFonts w:cs="Times New Roman"/>
                <w:sz w:val="21"/>
                <w:szCs w:val="21"/>
              </w:rPr>
              <w:t>正常排放短期浓度贡献值</w:t>
            </w:r>
          </w:p>
        </w:tc>
        <w:tc>
          <w:tcPr>
            <w:tcW w:w="2968" w:type="pct"/>
            <w:gridSpan w:val="6"/>
            <w:tcBorders>
              <w:top w:val="single" w:color="auto" w:sz="4" w:space="0"/>
              <w:left w:val="nil"/>
              <w:bottom w:val="single" w:color="auto" w:sz="4" w:space="0"/>
              <w:right w:val="single" w:color="auto" w:sz="4" w:space="0"/>
            </w:tcBorders>
            <w:vAlign w:val="center"/>
          </w:tcPr>
          <w:p w14:paraId="5F000224">
            <w:pPr>
              <w:spacing w:line="240" w:lineRule="auto"/>
              <w:jc w:val="center"/>
              <w:rPr>
                <w:rFonts w:cs="Times New Roman"/>
                <w:sz w:val="21"/>
                <w:szCs w:val="21"/>
              </w:rPr>
            </w:pPr>
            <w:r>
              <w:rPr>
                <w:rFonts w:cs="Times New Roman"/>
                <w:sz w:val="21"/>
                <w:szCs w:val="21"/>
              </w:rPr>
              <w:t>C本项目最大占标率≤100%</w:t>
            </w:r>
            <w:r>
              <w:rPr>
                <w:rFonts w:ascii="Segoe UI Symbol" w:hAnsi="Segoe UI Symbol" w:cs="Segoe UI Symbol"/>
                <w:sz w:val="21"/>
                <w:szCs w:val="21"/>
              </w:rPr>
              <w:t>☑</w:t>
            </w:r>
          </w:p>
        </w:tc>
        <w:tc>
          <w:tcPr>
            <w:tcW w:w="1168" w:type="pct"/>
            <w:gridSpan w:val="3"/>
            <w:tcBorders>
              <w:top w:val="single" w:color="auto" w:sz="4" w:space="0"/>
              <w:left w:val="nil"/>
              <w:bottom w:val="single" w:color="auto" w:sz="4" w:space="0"/>
              <w:right w:val="single" w:color="auto" w:sz="4" w:space="0"/>
            </w:tcBorders>
            <w:vAlign w:val="center"/>
          </w:tcPr>
          <w:p w14:paraId="1E5EF612">
            <w:pPr>
              <w:spacing w:line="240" w:lineRule="auto"/>
              <w:jc w:val="center"/>
              <w:rPr>
                <w:rFonts w:cs="Times New Roman"/>
                <w:sz w:val="21"/>
                <w:szCs w:val="21"/>
              </w:rPr>
            </w:pPr>
            <w:r>
              <w:rPr>
                <w:rFonts w:cs="Times New Roman"/>
                <w:sz w:val="21"/>
                <w:szCs w:val="21"/>
              </w:rPr>
              <w:t>C本项目最大占标率&gt;100%□</w:t>
            </w:r>
          </w:p>
        </w:tc>
      </w:tr>
      <w:tr w14:paraId="1AB772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top w:val="nil"/>
              <w:left w:val="single" w:color="auto" w:sz="4" w:space="0"/>
              <w:bottom w:val="single" w:color="auto" w:sz="4" w:space="0"/>
              <w:right w:val="single" w:color="auto" w:sz="4" w:space="0"/>
            </w:tcBorders>
            <w:vAlign w:val="center"/>
          </w:tcPr>
          <w:p w14:paraId="3C0CC48A">
            <w:pPr>
              <w:spacing w:line="240" w:lineRule="auto"/>
              <w:jc w:val="center"/>
              <w:rPr>
                <w:rFonts w:cs="Times New Roman"/>
                <w:sz w:val="21"/>
                <w:szCs w:val="21"/>
              </w:rPr>
            </w:pPr>
          </w:p>
        </w:tc>
        <w:tc>
          <w:tcPr>
            <w:tcW w:w="597" w:type="pct"/>
            <w:vMerge w:val="restart"/>
            <w:tcBorders>
              <w:top w:val="nil"/>
              <w:left w:val="nil"/>
              <w:bottom w:val="single" w:color="auto" w:sz="4" w:space="0"/>
              <w:right w:val="single" w:color="auto" w:sz="4" w:space="0"/>
            </w:tcBorders>
            <w:vAlign w:val="center"/>
          </w:tcPr>
          <w:p w14:paraId="50DCC87C">
            <w:pPr>
              <w:spacing w:line="240" w:lineRule="auto"/>
              <w:jc w:val="center"/>
              <w:rPr>
                <w:rFonts w:cs="Times New Roman"/>
                <w:sz w:val="21"/>
                <w:szCs w:val="21"/>
              </w:rPr>
            </w:pPr>
            <w:r>
              <w:rPr>
                <w:rFonts w:cs="Times New Roman"/>
                <w:sz w:val="21"/>
                <w:szCs w:val="21"/>
              </w:rPr>
              <w:t>正常排放年均浓度贡献值</w:t>
            </w:r>
          </w:p>
        </w:tc>
        <w:tc>
          <w:tcPr>
            <w:tcW w:w="1324" w:type="pct"/>
            <w:gridSpan w:val="3"/>
            <w:tcBorders>
              <w:top w:val="single" w:color="auto" w:sz="4" w:space="0"/>
              <w:left w:val="nil"/>
              <w:bottom w:val="single" w:color="auto" w:sz="4" w:space="0"/>
              <w:right w:val="single" w:color="auto" w:sz="4" w:space="0"/>
            </w:tcBorders>
            <w:vAlign w:val="center"/>
          </w:tcPr>
          <w:p w14:paraId="41041B88">
            <w:pPr>
              <w:spacing w:line="240" w:lineRule="auto"/>
              <w:jc w:val="center"/>
              <w:rPr>
                <w:rFonts w:cs="Times New Roman"/>
                <w:sz w:val="21"/>
                <w:szCs w:val="21"/>
              </w:rPr>
            </w:pPr>
            <w:r>
              <w:rPr>
                <w:rFonts w:cs="Times New Roman"/>
                <w:sz w:val="21"/>
                <w:szCs w:val="21"/>
              </w:rPr>
              <w:t>一类区□</w:t>
            </w:r>
          </w:p>
        </w:tc>
        <w:tc>
          <w:tcPr>
            <w:tcW w:w="1644" w:type="pct"/>
            <w:gridSpan w:val="3"/>
            <w:tcBorders>
              <w:top w:val="single" w:color="auto" w:sz="4" w:space="0"/>
              <w:left w:val="nil"/>
              <w:bottom w:val="single" w:color="auto" w:sz="4" w:space="0"/>
              <w:right w:val="single" w:color="auto" w:sz="4" w:space="0"/>
            </w:tcBorders>
            <w:vAlign w:val="center"/>
          </w:tcPr>
          <w:p w14:paraId="55A10C1E">
            <w:pPr>
              <w:spacing w:line="240" w:lineRule="auto"/>
              <w:jc w:val="center"/>
              <w:rPr>
                <w:rFonts w:cs="Times New Roman"/>
                <w:sz w:val="21"/>
                <w:szCs w:val="21"/>
              </w:rPr>
            </w:pPr>
            <w:r>
              <w:rPr>
                <w:rFonts w:cs="Times New Roman"/>
                <w:sz w:val="21"/>
                <w:szCs w:val="21"/>
              </w:rPr>
              <w:t>C</w:t>
            </w:r>
            <w:r>
              <w:rPr>
                <w:rFonts w:cs="Times New Roman"/>
                <w:sz w:val="21"/>
                <w:szCs w:val="21"/>
                <w:vertAlign w:val="subscript"/>
              </w:rPr>
              <w:t>本项目</w:t>
            </w:r>
            <w:r>
              <w:rPr>
                <w:rFonts w:cs="Times New Roman"/>
                <w:sz w:val="21"/>
                <w:szCs w:val="21"/>
              </w:rPr>
              <w:t>最大占标率≤10%□</w:t>
            </w:r>
          </w:p>
        </w:tc>
        <w:tc>
          <w:tcPr>
            <w:tcW w:w="1168" w:type="pct"/>
            <w:gridSpan w:val="3"/>
            <w:tcBorders>
              <w:top w:val="single" w:color="auto" w:sz="4" w:space="0"/>
              <w:left w:val="nil"/>
              <w:bottom w:val="single" w:color="auto" w:sz="4" w:space="0"/>
              <w:right w:val="single" w:color="auto" w:sz="4" w:space="0"/>
            </w:tcBorders>
            <w:vAlign w:val="center"/>
          </w:tcPr>
          <w:p w14:paraId="1E5AC154">
            <w:pPr>
              <w:spacing w:line="240" w:lineRule="auto"/>
              <w:jc w:val="center"/>
              <w:rPr>
                <w:rFonts w:cs="Times New Roman"/>
                <w:sz w:val="21"/>
                <w:szCs w:val="21"/>
              </w:rPr>
            </w:pPr>
            <w:r>
              <w:rPr>
                <w:rFonts w:cs="Times New Roman"/>
                <w:sz w:val="21"/>
                <w:szCs w:val="21"/>
              </w:rPr>
              <w:t>C</w:t>
            </w:r>
            <w:r>
              <w:rPr>
                <w:rFonts w:cs="Times New Roman"/>
                <w:sz w:val="21"/>
                <w:szCs w:val="21"/>
                <w:vertAlign w:val="subscript"/>
              </w:rPr>
              <w:t>本项目</w:t>
            </w:r>
            <w:r>
              <w:rPr>
                <w:rFonts w:cs="Times New Roman"/>
                <w:sz w:val="21"/>
                <w:szCs w:val="21"/>
              </w:rPr>
              <w:t>最大占标率&gt;10%□</w:t>
            </w:r>
          </w:p>
        </w:tc>
      </w:tr>
      <w:tr w14:paraId="3AF68E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top w:val="nil"/>
              <w:left w:val="single" w:color="auto" w:sz="4" w:space="0"/>
              <w:bottom w:val="single" w:color="auto" w:sz="4" w:space="0"/>
              <w:right w:val="single" w:color="auto" w:sz="4" w:space="0"/>
            </w:tcBorders>
            <w:vAlign w:val="center"/>
          </w:tcPr>
          <w:p w14:paraId="0AB47BE7">
            <w:pPr>
              <w:spacing w:line="240" w:lineRule="auto"/>
              <w:jc w:val="center"/>
              <w:rPr>
                <w:rFonts w:cs="Times New Roman"/>
                <w:sz w:val="21"/>
                <w:szCs w:val="21"/>
              </w:rPr>
            </w:pPr>
          </w:p>
        </w:tc>
        <w:tc>
          <w:tcPr>
            <w:tcW w:w="0" w:type="auto"/>
            <w:vMerge w:val="continue"/>
            <w:tcBorders>
              <w:top w:val="nil"/>
              <w:left w:val="nil"/>
              <w:bottom w:val="single" w:color="auto" w:sz="4" w:space="0"/>
              <w:right w:val="single" w:color="auto" w:sz="4" w:space="0"/>
            </w:tcBorders>
            <w:vAlign w:val="center"/>
          </w:tcPr>
          <w:p w14:paraId="49020D5B">
            <w:pPr>
              <w:spacing w:line="240" w:lineRule="auto"/>
              <w:jc w:val="center"/>
              <w:rPr>
                <w:rFonts w:cs="Times New Roman"/>
                <w:sz w:val="21"/>
                <w:szCs w:val="21"/>
              </w:rPr>
            </w:pPr>
          </w:p>
        </w:tc>
        <w:tc>
          <w:tcPr>
            <w:tcW w:w="1324" w:type="pct"/>
            <w:gridSpan w:val="3"/>
            <w:tcBorders>
              <w:top w:val="single" w:color="auto" w:sz="4" w:space="0"/>
              <w:left w:val="nil"/>
              <w:bottom w:val="single" w:color="auto" w:sz="4" w:space="0"/>
              <w:right w:val="single" w:color="auto" w:sz="4" w:space="0"/>
            </w:tcBorders>
            <w:vAlign w:val="center"/>
          </w:tcPr>
          <w:p w14:paraId="6EC73DFD">
            <w:pPr>
              <w:spacing w:line="240" w:lineRule="auto"/>
              <w:jc w:val="center"/>
              <w:rPr>
                <w:rFonts w:cs="Times New Roman"/>
                <w:sz w:val="21"/>
                <w:szCs w:val="21"/>
              </w:rPr>
            </w:pPr>
            <w:r>
              <w:rPr>
                <w:rFonts w:cs="Times New Roman"/>
                <w:sz w:val="21"/>
                <w:szCs w:val="21"/>
              </w:rPr>
              <w:t>二类区</w:t>
            </w:r>
            <w:r>
              <w:rPr>
                <w:rFonts w:ascii="Segoe UI Symbol" w:hAnsi="Segoe UI Symbol" w:cs="Segoe UI Symbol"/>
                <w:sz w:val="21"/>
                <w:szCs w:val="21"/>
              </w:rPr>
              <w:t>☑</w:t>
            </w:r>
          </w:p>
        </w:tc>
        <w:tc>
          <w:tcPr>
            <w:tcW w:w="1644" w:type="pct"/>
            <w:gridSpan w:val="3"/>
            <w:tcBorders>
              <w:top w:val="single" w:color="auto" w:sz="4" w:space="0"/>
              <w:left w:val="nil"/>
              <w:bottom w:val="single" w:color="auto" w:sz="4" w:space="0"/>
              <w:right w:val="single" w:color="auto" w:sz="4" w:space="0"/>
            </w:tcBorders>
            <w:vAlign w:val="center"/>
          </w:tcPr>
          <w:p w14:paraId="6CA1FC42">
            <w:pPr>
              <w:spacing w:line="240" w:lineRule="auto"/>
              <w:jc w:val="center"/>
              <w:rPr>
                <w:rFonts w:cs="Times New Roman"/>
                <w:sz w:val="21"/>
                <w:szCs w:val="21"/>
              </w:rPr>
            </w:pPr>
            <w:r>
              <w:rPr>
                <w:rFonts w:cs="Times New Roman"/>
                <w:sz w:val="21"/>
                <w:szCs w:val="21"/>
              </w:rPr>
              <w:t>C</w:t>
            </w:r>
            <w:r>
              <w:rPr>
                <w:rFonts w:cs="Times New Roman"/>
                <w:sz w:val="21"/>
                <w:szCs w:val="21"/>
                <w:vertAlign w:val="subscript"/>
              </w:rPr>
              <w:t>本项目</w:t>
            </w:r>
            <w:r>
              <w:rPr>
                <w:rFonts w:cs="Times New Roman"/>
                <w:sz w:val="21"/>
                <w:szCs w:val="21"/>
              </w:rPr>
              <w:t>最大占标率≤30%</w:t>
            </w:r>
            <w:r>
              <w:rPr>
                <w:rFonts w:ascii="Segoe UI Symbol" w:hAnsi="Segoe UI Symbol" w:cs="Segoe UI Symbol"/>
                <w:sz w:val="21"/>
                <w:szCs w:val="21"/>
              </w:rPr>
              <w:t>☑</w:t>
            </w:r>
          </w:p>
        </w:tc>
        <w:tc>
          <w:tcPr>
            <w:tcW w:w="1168" w:type="pct"/>
            <w:gridSpan w:val="3"/>
            <w:tcBorders>
              <w:top w:val="single" w:color="auto" w:sz="4" w:space="0"/>
              <w:left w:val="nil"/>
              <w:bottom w:val="single" w:color="auto" w:sz="4" w:space="0"/>
              <w:right w:val="single" w:color="auto" w:sz="4" w:space="0"/>
            </w:tcBorders>
            <w:vAlign w:val="center"/>
          </w:tcPr>
          <w:p w14:paraId="1D5758CE">
            <w:pPr>
              <w:spacing w:line="240" w:lineRule="auto"/>
              <w:jc w:val="center"/>
              <w:rPr>
                <w:rFonts w:cs="Times New Roman"/>
                <w:sz w:val="21"/>
                <w:szCs w:val="21"/>
              </w:rPr>
            </w:pPr>
            <w:r>
              <w:rPr>
                <w:rFonts w:cs="Times New Roman"/>
                <w:sz w:val="21"/>
                <w:szCs w:val="21"/>
              </w:rPr>
              <w:t>C</w:t>
            </w:r>
            <w:r>
              <w:rPr>
                <w:rFonts w:cs="Times New Roman"/>
                <w:sz w:val="21"/>
                <w:szCs w:val="21"/>
                <w:vertAlign w:val="subscript"/>
              </w:rPr>
              <w:t>本项目</w:t>
            </w:r>
            <w:r>
              <w:rPr>
                <w:rFonts w:cs="Times New Roman"/>
                <w:sz w:val="21"/>
                <w:szCs w:val="21"/>
              </w:rPr>
              <w:t>最大占标率&gt;30%□</w:t>
            </w:r>
          </w:p>
        </w:tc>
      </w:tr>
      <w:tr w14:paraId="32B493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top w:val="nil"/>
              <w:left w:val="single" w:color="auto" w:sz="4" w:space="0"/>
              <w:bottom w:val="single" w:color="auto" w:sz="4" w:space="0"/>
              <w:right w:val="single" w:color="auto" w:sz="4" w:space="0"/>
            </w:tcBorders>
            <w:vAlign w:val="center"/>
          </w:tcPr>
          <w:p w14:paraId="1FD168FA">
            <w:pPr>
              <w:spacing w:line="240" w:lineRule="auto"/>
              <w:jc w:val="center"/>
              <w:rPr>
                <w:rFonts w:cs="Times New Roman"/>
                <w:sz w:val="21"/>
                <w:szCs w:val="21"/>
              </w:rPr>
            </w:pPr>
          </w:p>
        </w:tc>
        <w:tc>
          <w:tcPr>
            <w:tcW w:w="597" w:type="pct"/>
            <w:tcBorders>
              <w:top w:val="single" w:color="auto" w:sz="4" w:space="0"/>
              <w:left w:val="nil"/>
              <w:bottom w:val="single" w:color="auto" w:sz="4" w:space="0"/>
              <w:right w:val="single" w:color="auto" w:sz="4" w:space="0"/>
            </w:tcBorders>
            <w:vAlign w:val="center"/>
          </w:tcPr>
          <w:p w14:paraId="3FB50720">
            <w:pPr>
              <w:spacing w:line="240" w:lineRule="auto"/>
              <w:jc w:val="center"/>
              <w:rPr>
                <w:rFonts w:cs="Times New Roman"/>
                <w:sz w:val="21"/>
                <w:szCs w:val="21"/>
              </w:rPr>
            </w:pPr>
            <w:r>
              <w:rPr>
                <w:rFonts w:cs="Times New Roman"/>
                <w:sz w:val="21"/>
                <w:szCs w:val="21"/>
              </w:rPr>
              <w:t>非正常1h浓度贡献值</w:t>
            </w:r>
          </w:p>
        </w:tc>
        <w:tc>
          <w:tcPr>
            <w:tcW w:w="1324" w:type="pct"/>
            <w:gridSpan w:val="3"/>
            <w:tcBorders>
              <w:top w:val="single" w:color="auto" w:sz="4" w:space="0"/>
              <w:left w:val="nil"/>
              <w:bottom w:val="single" w:color="auto" w:sz="4" w:space="0"/>
              <w:right w:val="single" w:color="auto" w:sz="4" w:space="0"/>
            </w:tcBorders>
            <w:vAlign w:val="center"/>
          </w:tcPr>
          <w:p w14:paraId="1EDF3B55">
            <w:pPr>
              <w:spacing w:line="240" w:lineRule="auto"/>
              <w:jc w:val="center"/>
              <w:rPr>
                <w:rFonts w:cs="Times New Roman"/>
                <w:sz w:val="21"/>
                <w:szCs w:val="21"/>
              </w:rPr>
            </w:pPr>
            <w:r>
              <w:rPr>
                <w:rFonts w:cs="Times New Roman"/>
                <w:sz w:val="21"/>
                <w:szCs w:val="21"/>
              </w:rPr>
              <w:t>非正常持续时长(</w:t>
            </w:r>
            <w:r>
              <w:rPr>
                <w:rFonts w:hint="eastAsia" w:cs="Times New Roman"/>
                <w:sz w:val="21"/>
                <w:szCs w:val="21"/>
              </w:rPr>
              <w:t>1</w:t>
            </w:r>
            <w:r>
              <w:rPr>
                <w:rFonts w:cs="Times New Roman"/>
                <w:sz w:val="21"/>
                <w:szCs w:val="21"/>
              </w:rPr>
              <w:t>)h□</w:t>
            </w:r>
          </w:p>
        </w:tc>
        <w:tc>
          <w:tcPr>
            <w:tcW w:w="1644" w:type="pct"/>
            <w:gridSpan w:val="3"/>
            <w:tcBorders>
              <w:top w:val="single" w:color="auto" w:sz="4" w:space="0"/>
              <w:left w:val="nil"/>
              <w:bottom w:val="single" w:color="auto" w:sz="4" w:space="0"/>
              <w:right w:val="single" w:color="auto" w:sz="4" w:space="0"/>
            </w:tcBorders>
            <w:vAlign w:val="center"/>
          </w:tcPr>
          <w:p w14:paraId="74F3E426">
            <w:pPr>
              <w:spacing w:line="240" w:lineRule="auto"/>
              <w:jc w:val="center"/>
              <w:rPr>
                <w:rFonts w:cs="Times New Roman"/>
                <w:sz w:val="21"/>
                <w:szCs w:val="21"/>
              </w:rPr>
            </w:pPr>
            <w:r>
              <w:rPr>
                <w:rFonts w:cs="Times New Roman"/>
                <w:sz w:val="21"/>
                <w:szCs w:val="21"/>
              </w:rPr>
              <w:t>C</w:t>
            </w:r>
            <w:r>
              <w:rPr>
                <w:rFonts w:cs="Times New Roman"/>
                <w:sz w:val="21"/>
                <w:szCs w:val="21"/>
                <w:vertAlign w:val="subscript"/>
              </w:rPr>
              <w:t>非正常</w:t>
            </w:r>
            <w:r>
              <w:rPr>
                <w:rFonts w:cs="Times New Roman"/>
                <w:sz w:val="21"/>
                <w:szCs w:val="21"/>
              </w:rPr>
              <w:t>占标率≤100%</w:t>
            </w:r>
            <w:r>
              <w:rPr>
                <w:rFonts w:ascii="Segoe UI Symbol" w:hAnsi="Segoe UI Symbol" w:cs="Segoe UI Symbol"/>
                <w:sz w:val="21"/>
                <w:szCs w:val="21"/>
              </w:rPr>
              <w:t>☑</w:t>
            </w:r>
          </w:p>
        </w:tc>
        <w:tc>
          <w:tcPr>
            <w:tcW w:w="1168" w:type="pct"/>
            <w:gridSpan w:val="3"/>
            <w:tcBorders>
              <w:top w:val="single" w:color="auto" w:sz="4" w:space="0"/>
              <w:left w:val="nil"/>
              <w:bottom w:val="single" w:color="auto" w:sz="4" w:space="0"/>
              <w:right w:val="single" w:color="auto" w:sz="4" w:space="0"/>
            </w:tcBorders>
            <w:vAlign w:val="center"/>
          </w:tcPr>
          <w:p w14:paraId="4B846F74">
            <w:pPr>
              <w:spacing w:line="240" w:lineRule="auto"/>
              <w:jc w:val="center"/>
              <w:rPr>
                <w:rFonts w:cs="Times New Roman"/>
                <w:sz w:val="21"/>
                <w:szCs w:val="21"/>
              </w:rPr>
            </w:pPr>
            <w:r>
              <w:rPr>
                <w:rFonts w:cs="Times New Roman"/>
                <w:sz w:val="21"/>
                <w:szCs w:val="21"/>
              </w:rPr>
              <w:t>C</w:t>
            </w:r>
            <w:r>
              <w:rPr>
                <w:rFonts w:cs="Times New Roman"/>
                <w:sz w:val="21"/>
                <w:szCs w:val="21"/>
                <w:vertAlign w:val="subscript"/>
              </w:rPr>
              <w:t>非正常</w:t>
            </w:r>
            <w:r>
              <w:rPr>
                <w:rFonts w:cs="Times New Roman"/>
                <w:sz w:val="21"/>
                <w:szCs w:val="21"/>
              </w:rPr>
              <w:t>占标率&gt;100%□</w:t>
            </w:r>
          </w:p>
        </w:tc>
      </w:tr>
      <w:tr w14:paraId="491655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top w:val="nil"/>
              <w:left w:val="single" w:color="auto" w:sz="4" w:space="0"/>
              <w:bottom w:val="single" w:color="auto" w:sz="4" w:space="0"/>
              <w:right w:val="single" w:color="auto" w:sz="4" w:space="0"/>
            </w:tcBorders>
            <w:vAlign w:val="center"/>
          </w:tcPr>
          <w:p w14:paraId="548A7D18">
            <w:pPr>
              <w:spacing w:line="240" w:lineRule="auto"/>
              <w:jc w:val="center"/>
              <w:rPr>
                <w:rFonts w:cs="Times New Roman"/>
                <w:sz w:val="21"/>
                <w:szCs w:val="21"/>
              </w:rPr>
            </w:pPr>
          </w:p>
        </w:tc>
        <w:tc>
          <w:tcPr>
            <w:tcW w:w="597" w:type="pct"/>
            <w:tcBorders>
              <w:top w:val="single" w:color="auto" w:sz="4" w:space="0"/>
              <w:left w:val="nil"/>
              <w:bottom w:val="single" w:color="auto" w:sz="4" w:space="0"/>
              <w:right w:val="single" w:color="auto" w:sz="4" w:space="0"/>
            </w:tcBorders>
            <w:vAlign w:val="center"/>
          </w:tcPr>
          <w:p w14:paraId="5FEDF063">
            <w:pPr>
              <w:spacing w:line="240" w:lineRule="auto"/>
              <w:jc w:val="center"/>
              <w:rPr>
                <w:rFonts w:cs="Times New Roman"/>
                <w:sz w:val="21"/>
                <w:szCs w:val="21"/>
              </w:rPr>
            </w:pPr>
            <w:r>
              <w:rPr>
                <w:rFonts w:cs="Times New Roman"/>
                <w:sz w:val="21"/>
                <w:szCs w:val="21"/>
              </w:rPr>
              <w:t>保证率日平均浓度和年平均浓度叠加值</w:t>
            </w:r>
          </w:p>
        </w:tc>
        <w:tc>
          <w:tcPr>
            <w:tcW w:w="2968" w:type="pct"/>
            <w:gridSpan w:val="6"/>
            <w:tcBorders>
              <w:top w:val="single" w:color="auto" w:sz="4" w:space="0"/>
              <w:left w:val="nil"/>
              <w:bottom w:val="single" w:color="auto" w:sz="4" w:space="0"/>
              <w:right w:val="single" w:color="auto" w:sz="4" w:space="0"/>
            </w:tcBorders>
            <w:vAlign w:val="center"/>
          </w:tcPr>
          <w:p w14:paraId="462BEAAB">
            <w:pPr>
              <w:spacing w:line="240" w:lineRule="auto"/>
              <w:jc w:val="center"/>
              <w:rPr>
                <w:rFonts w:cs="Times New Roman"/>
                <w:sz w:val="21"/>
                <w:szCs w:val="21"/>
              </w:rPr>
            </w:pPr>
            <w:r>
              <w:rPr>
                <w:rFonts w:cs="Times New Roman"/>
                <w:sz w:val="21"/>
                <w:szCs w:val="21"/>
              </w:rPr>
              <w:t>C叠加达标</w:t>
            </w:r>
            <w:r>
              <w:rPr>
                <w:rFonts w:ascii="Segoe UI Symbol" w:hAnsi="Segoe UI Symbol" w:cs="Segoe UI Symbol"/>
                <w:sz w:val="21"/>
                <w:szCs w:val="21"/>
              </w:rPr>
              <w:t>☑</w:t>
            </w:r>
          </w:p>
        </w:tc>
        <w:tc>
          <w:tcPr>
            <w:tcW w:w="1168" w:type="pct"/>
            <w:gridSpan w:val="3"/>
            <w:tcBorders>
              <w:top w:val="single" w:color="auto" w:sz="4" w:space="0"/>
              <w:left w:val="nil"/>
              <w:bottom w:val="single" w:color="auto" w:sz="4" w:space="0"/>
              <w:right w:val="single" w:color="auto" w:sz="4" w:space="0"/>
            </w:tcBorders>
            <w:vAlign w:val="center"/>
          </w:tcPr>
          <w:p w14:paraId="1DD680C2">
            <w:pPr>
              <w:spacing w:line="240" w:lineRule="auto"/>
              <w:jc w:val="center"/>
              <w:rPr>
                <w:rFonts w:cs="Times New Roman"/>
                <w:sz w:val="21"/>
                <w:szCs w:val="21"/>
              </w:rPr>
            </w:pPr>
            <w:r>
              <w:rPr>
                <w:rFonts w:cs="Times New Roman"/>
                <w:sz w:val="21"/>
                <w:szCs w:val="21"/>
              </w:rPr>
              <w:t>C叠加不达标□</w:t>
            </w:r>
          </w:p>
        </w:tc>
      </w:tr>
      <w:tr w14:paraId="0E7B24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top w:val="nil"/>
              <w:left w:val="single" w:color="auto" w:sz="4" w:space="0"/>
              <w:bottom w:val="single" w:color="auto" w:sz="4" w:space="0"/>
              <w:right w:val="single" w:color="auto" w:sz="4" w:space="0"/>
            </w:tcBorders>
            <w:vAlign w:val="center"/>
          </w:tcPr>
          <w:p w14:paraId="78E4F806">
            <w:pPr>
              <w:spacing w:line="240" w:lineRule="auto"/>
              <w:jc w:val="center"/>
              <w:rPr>
                <w:rFonts w:cs="Times New Roman"/>
                <w:sz w:val="21"/>
                <w:szCs w:val="21"/>
              </w:rPr>
            </w:pPr>
          </w:p>
        </w:tc>
        <w:tc>
          <w:tcPr>
            <w:tcW w:w="597" w:type="pct"/>
            <w:tcBorders>
              <w:top w:val="single" w:color="auto" w:sz="4" w:space="0"/>
              <w:left w:val="nil"/>
              <w:bottom w:val="single" w:color="auto" w:sz="4" w:space="0"/>
              <w:right w:val="single" w:color="auto" w:sz="4" w:space="0"/>
            </w:tcBorders>
            <w:vAlign w:val="center"/>
          </w:tcPr>
          <w:p w14:paraId="030BE463">
            <w:pPr>
              <w:spacing w:line="240" w:lineRule="auto"/>
              <w:jc w:val="center"/>
              <w:rPr>
                <w:rFonts w:cs="Times New Roman"/>
                <w:sz w:val="21"/>
                <w:szCs w:val="21"/>
              </w:rPr>
            </w:pPr>
            <w:r>
              <w:rPr>
                <w:rFonts w:cs="Times New Roman"/>
                <w:sz w:val="21"/>
                <w:szCs w:val="21"/>
              </w:rPr>
              <w:t>区域环境质量的整体变化情况</w:t>
            </w:r>
          </w:p>
        </w:tc>
        <w:tc>
          <w:tcPr>
            <w:tcW w:w="2968" w:type="pct"/>
            <w:gridSpan w:val="6"/>
            <w:tcBorders>
              <w:top w:val="single" w:color="auto" w:sz="4" w:space="0"/>
              <w:left w:val="nil"/>
              <w:bottom w:val="single" w:color="auto" w:sz="4" w:space="0"/>
              <w:right w:val="single" w:color="auto" w:sz="4" w:space="0"/>
            </w:tcBorders>
            <w:vAlign w:val="center"/>
          </w:tcPr>
          <w:p w14:paraId="7A455425">
            <w:pPr>
              <w:spacing w:line="240" w:lineRule="auto"/>
              <w:jc w:val="center"/>
              <w:rPr>
                <w:rFonts w:cs="Times New Roman"/>
                <w:sz w:val="21"/>
                <w:szCs w:val="21"/>
              </w:rPr>
            </w:pPr>
            <w:r>
              <w:rPr>
                <w:rFonts w:cs="Times New Roman"/>
                <w:sz w:val="21"/>
                <w:szCs w:val="21"/>
              </w:rPr>
              <w:t>k≤-20%□</w:t>
            </w:r>
          </w:p>
        </w:tc>
        <w:tc>
          <w:tcPr>
            <w:tcW w:w="1168" w:type="pct"/>
            <w:gridSpan w:val="3"/>
            <w:tcBorders>
              <w:top w:val="single" w:color="auto" w:sz="4" w:space="0"/>
              <w:left w:val="nil"/>
              <w:bottom w:val="single" w:color="auto" w:sz="4" w:space="0"/>
              <w:right w:val="single" w:color="auto" w:sz="4" w:space="0"/>
            </w:tcBorders>
            <w:vAlign w:val="center"/>
          </w:tcPr>
          <w:p w14:paraId="50BA19C3">
            <w:pPr>
              <w:spacing w:line="240" w:lineRule="auto"/>
              <w:jc w:val="center"/>
              <w:rPr>
                <w:rFonts w:cs="Times New Roman"/>
                <w:sz w:val="21"/>
                <w:szCs w:val="21"/>
              </w:rPr>
            </w:pPr>
            <w:r>
              <w:rPr>
                <w:rFonts w:cs="Times New Roman"/>
                <w:sz w:val="21"/>
                <w:szCs w:val="21"/>
              </w:rPr>
              <w:t>k&gt;-20%□</w:t>
            </w:r>
          </w:p>
        </w:tc>
      </w:tr>
      <w:tr w14:paraId="4DC2C1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7" w:type="pct"/>
            <w:vMerge w:val="restart"/>
            <w:tcBorders>
              <w:top w:val="nil"/>
              <w:left w:val="single" w:color="auto" w:sz="4" w:space="0"/>
              <w:bottom w:val="single" w:color="auto" w:sz="4" w:space="0"/>
              <w:right w:val="single" w:color="auto" w:sz="4" w:space="0"/>
            </w:tcBorders>
            <w:vAlign w:val="center"/>
          </w:tcPr>
          <w:p w14:paraId="2529D5D5">
            <w:pPr>
              <w:spacing w:line="240" w:lineRule="auto"/>
              <w:jc w:val="center"/>
              <w:rPr>
                <w:rFonts w:cs="Times New Roman"/>
                <w:sz w:val="21"/>
                <w:szCs w:val="21"/>
              </w:rPr>
            </w:pPr>
            <w:r>
              <w:rPr>
                <w:rFonts w:cs="Times New Roman"/>
                <w:sz w:val="21"/>
                <w:szCs w:val="21"/>
              </w:rPr>
              <w:t>环境监测计划</w:t>
            </w:r>
          </w:p>
        </w:tc>
        <w:tc>
          <w:tcPr>
            <w:tcW w:w="597" w:type="pct"/>
            <w:tcBorders>
              <w:top w:val="single" w:color="auto" w:sz="4" w:space="0"/>
              <w:left w:val="nil"/>
              <w:bottom w:val="single" w:color="auto" w:sz="4" w:space="0"/>
              <w:right w:val="single" w:color="auto" w:sz="4" w:space="0"/>
            </w:tcBorders>
            <w:vAlign w:val="center"/>
          </w:tcPr>
          <w:p w14:paraId="50FD2385">
            <w:pPr>
              <w:spacing w:line="240" w:lineRule="auto"/>
              <w:jc w:val="center"/>
              <w:rPr>
                <w:rFonts w:cs="Times New Roman"/>
                <w:sz w:val="21"/>
                <w:szCs w:val="21"/>
              </w:rPr>
            </w:pPr>
            <w:r>
              <w:rPr>
                <w:rFonts w:cs="Times New Roman"/>
                <w:sz w:val="21"/>
                <w:szCs w:val="21"/>
              </w:rPr>
              <w:t>污染源监测</w:t>
            </w:r>
          </w:p>
        </w:tc>
        <w:tc>
          <w:tcPr>
            <w:tcW w:w="1324" w:type="pct"/>
            <w:gridSpan w:val="3"/>
            <w:tcBorders>
              <w:top w:val="single" w:color="auto" w:sz="4" w:space="0"/>
              <w:left w:val="nil"/>
              <w:bottom w:val="single" w:color="auto" w:sz="4" w:space="0"/>
              <w:right w:val="single" w:color="auto" w:sz="4" w:space="0"/>
            </w:tcBorders>
            <w:vAlign w:val="center"/>
          </w:tcPr>
          <w:p w14:paraId="1A4888AD">
            <w:pPr>
              <w:spacing w:line="240" w:lineRule="auto"/>
              <w:jc w:val="center"/>
              <w:rPr>
                <w:rFonts w:cs="Times New Roman"/>
                <w:sz w:val="21"/>
                <w:szCs w:val="21"/>
              </w:rPr>
            </w:pPr>
            <w:r>
              <w:rPr>
                <w:rFonts w:cs="Times New Roman"/>
                <w:sz w:val="21"/>
                <w:szCs w:val="21"/>
              </w:rPr>
              <w:t>监测因子：(</w:t>
            </w:r>
            <w:r>
              <w:rPr>
                <w:rFonts w:hint="eastAsia" w:cs="Times New Roman"/>
                <w:sz w:val="21"/>
                <w:szCs w:val="21"/>
              </w:rPr>
              <w:t>非甲烷总烃、酚类、硫酸雾</w:t>
            </w:r>
            <w:r>
              <w:rPr>
                <w:rFonts w:cs="Times New Roman"/>
                <w:sz w:val="21"/>
                <w:szCs w:val="21"/>
              </w:rPr>
              <w:t>)</w:t>
            </w:r>
          </w:p>
        </w:tc>
        <w:tc>
          <w:tcPr>
            <w:tcW w:w="1644" w:type="pct"/>
            <w:gridSpan w:val="3"/>
            <w:tcBorders>
              <w:top w:val="single" w:color="auto" w:sz="4" w:space="0"/>
              <w:left w:val="nil"/>
              <w:bottom w:val="single" w:color="auto" w:sz="4" w:space="0"/>
              <w:right w:val="single" w:color="auto" w:sz="4" w:space="0"/>
            </w:tcBorders>
            <w:vAlign w:val="center"/>
          </w:tcPr>
          <w:p w14:paraId="6BB002C7">
            <w:pPr>
              <w:spacing w:line="240" w:lineRule="auto"/>
              <w:jc w:val="center"/>
              <w:rPr>
                <w:rFonts w:cs="Times New Roman"/>
                <w:sz w:val="21"/>
                <w:szCs w:val="21"/>
              </w:rPr>
            </w:pPr>
            <w:r>
              <w:rPr>
                <w:rFonts w:cs="Times New Roman"/>
                <w:sz w:val="21"/>
                <w:szCs w:val="21"/>
              </w:rPr>
              <w:t>有组织废气监测</w:t>
            </w:r>
            <w:r>
              <w:rPr>
                <w:rFonts w:ascii="Segoe UI Symbol" w:hAnsi="Segoe UI Symbol" w:cs="Segoe UI Symbol"/>
                <w:sz w:val="21"/>
                <w:szCs w:val="21"/>
              </w:rPr>
              <w:t>☑</w:t>
            </w:r>
            <w:r>
              <w:rPr>
                <w:rFonts w:cs="Times New Roman"/>
                <w:sz w:val="21"/>
                <w:szCs w:val="21"/>
              </w:rPr>
              <w:br w:type="textWrapping"/>
            </w:r>
            <w:r>
              <w:rPr>
                <w:rFonts w:cs="Times New Roman"/>
                <w:sz w:val="21"/>
                <w:szCs w:val="21"/>
              </w:rPr>
              <w:t>无组织废气监测</w:t>
            </w:r>
            <w:r>
              <w:rPr>
                <w:rFonts w:ascii="Segoe UI Symbol" w:hAnsi="Segoe UI Symbol" w:cs="Segoe UI Symbol"/>
                <w:sz w:val="21"/>
                <w:szCs w:val="21"/>
              </w:rPr>
              <w:t>☑</w:t>
            </w:r>
          </w:p>
        </w:tc>
        <w:tc>
          <w:tcPr>
            <w:tcW w:w="1168" w:type="pct"/>
            <w:gridSpan w:val="3"/>
            <w:tcBorders>
              <w:top w:val="single" w:color="auto" w:sz="4" w:space="0"/>
              <w:left w:val="nil"/>
              <w:bottom w:val="single" w:color="auto" w:sz="4" w:space="0"/>
              <w:right w:val="single" w:color="auto" w:sz="4" w:space="0"/>
            </w:tcBorders>
            <w:vAlign w:val="center"/>
          </w:tcPr>
          <w:p w14:paraId="5A677365">
            <w:pPr>
              <w:spacing w:line="240" w:lineRule="auto"/>
              <w:jc w:val="center"/>
              <w:rPr>
                <w:rFonts w:cs="Times New Roman"/>
                <w:sz w:val="21"/>
                <w:szCs w:val="21"/>
              </w:rPr>
            </w:pPr>
            <w:r>
              <w:rPr>
                <w:rFonts w:cs="Times New Roman"/>
                <w:sz w:val="21"/>
                <w:szCs w:val="21"/>
              </w:rPr>
              <w:t>无监测□</w:t>
            </w:r>
          </w:p>
        </w:tc>
      </w:tr>
      <w:tr w14:paraId="15C69B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top w:val="nil"/>
              <w:left w:val="single" w:color="auto" w:sz="4" w:space="0"/>
              <w:bottom w:val="single" w:color="auto" w:sz="4" w:space="0"/>
              <w:right w:val="single" w:color="auto" w:sz="4" w:space="0"/>
            </w:tcBorders>
            <w:vAlign w:val="center"/>
          </w:tcPr>
          <w:p w14:paraId="43780E37">
            <w:pPr>
              <w:spacing w:line="240" w:lineRule="auto"/>
              <w:jc w:val="center"/>
              <w:rPr>
                <w:rFonts w:cs="Times New Roman"/>
                <w:sz w:val="21"/>
                <w:szCs w:val="21"/>
              </w:rPr>
            </w:pPr>
          </w:p>
        </w:tc>
        <w:tc>
          <w:tcPr>
            <w:tcW w:w="597" w:type="pct"/>
            <w:tcBorders>
              <w:top w:val="single" w:color="auto" w:sz="4" w:space="0"/>
              <w:left w:val="nil"/>
              <w:bottom w:val="single" w:color="auto" w:sz="4" w:space="0"/>
              <w:right w:val="single" w:color="auto" w:sz="4" w:space="0"/>
            </w:tcBorders>
            <w:vAlign w:val="center"/>
          </w:tcPr>
          <w:p w14:paraId="6FC63E27">
            <w:pPr>
              <w:spacing w:line="240" w:lineRule="auto"/>
              <w:jc w:val="center"/>
              <w:rPr>
                <w:rFonts w:cs="Times New Roman"/>
                <w:sz w:val="21"/>
                <w:szCs w:val="21"/>
              </w:rPr>
            </w:pPr>
            <w:r>
              <w:rPr>
                <w:rFonts w:cs="Times New Roman"/>
                <w:sz w:val="21"/>
                <w:szCs w:val="21"/>
              </w:rPr>
              <w:t>环境质量监测</w:t>
            </w:r>
          </w:p>
        </w:tc>
        <w:tc>
          <w:tcPr>
            <w:tcW w:w="1324" w:type="pct"/>
            <w:gridSpan w:val="3"/>
            <w:tcBorders>
              <w:top w:val="single" w:color="auto" w:sz="4" w:space="0"/>
              <w:left w:val="nil"/>
              <w:bottom w:val="single" w:color="auto" w:sz="4" w:space="0"/>
              <w:right w:val="single" w:color="auto" w:sz="4" w:space="0"/>
            </w:tcBorders>
            <w:vAlign w:val="center"/>
          </w:tcPr>
          <w:p w14:paraId="234B46C5">
            <w:pPr>
              <w:spacing w:line="240" w:lineRule="auto"/>
              <w:jc w:val="center"/>
              <w:rPr>
                <w:rFonts w:cs="Times New Roman"/>
                <w:sz w:val="21"/>
                <w:szCs w:val="21"/>
              </w:rPr>
            </w:pPr>
            <w:r>
              <w:rPr>
                <w:rFonts w:cs="Times New Roman"/>
                <w:sz w:val="21"/>
                <w:szCs w:val="21"/>
              </w:rPr>
              <w:t>监测因子：(</w:t>
            </w:r>
            <w:r>
              <w:rPr>
                <w:rFonts w:hint="eastAsia" w:cs="Times New Roman"/>
                <w:sz w:val="21"/>
                <w:szCs w:val="21"/>
              </w:rPr>
              <w:t>/</w:t>
            </w:r>
            <w:r>
              <w:rPr>
                <w:rFonts w:cs="Times New Roman"/>
                <w:sz w:val="21"/>
                <w:szCs w:val="21"/>
              </w:rPr>
              <w:t>)</w:t>
            </w:r>
          </w:p>
        </w:tc>
        <w:tc>
          <w:tcPr>
            <w:tcW w:w="1644" w:type="pct"/>
            <w:gridSpan w:val="3"/>
            <w:tcBorders>
              <w:top w:val="single" w:color="auto" w:sz="4" w:space="0"/>
              <w:left w:val="nil"/>
              <w:bottom w:val="single" w:color="auto" w:sz="4" w:space="0"/>
              <w:right w:val="single" w:color="auto" w:sz="4" w:space="0"/>
            </w:tcBorders>
            <w:vAlign w:val="center"/>
          </w:tcPr>
          <w:p w14:paraId="19E6BCED">
            <w:pPr>
              <w:spacing w:line="240" w:lineRule="auto"/>
              <w:jc w:val="center"/>
              <w:rPr>
                <w:rFonts w:cs="Times New Roman"/>
                <w:sz w:val="21"/>
                <w:szCs w:val="21"/>
              </w:rPr>
            </w:pPr>
            <w:r>
              <w:rPr>
                <w:rFonts w:cs="Times New Roman"/>
                <w:sz w:val="21"/>
                <w:szCs w:val="21"/>
              </w:rPr>
              <w:t>监测点位数(/)</w:t>
            </w:r>
          </w:p>
        </w:tc>
        <w:tc>
          <w:tcPr>
            <w:tcW w:w="1168" w:type="pct"/>
            <w:gridSpan w:val="3"/>
            <w:tcBorders>
              <w:top w:val="single" w:color="auto" w:sz="4" w:space="0"/>
              <w:left w:val="nil"/>
              <w:bottom w:val="single" w:color="auto" w:sz="4" w:space="0"/>
              <w:right w:val="single" w:color="auto" w:sz="4" w:space="0"/>
            </w:tcBorders>
            <w:vAlign w:val="center"/>
          </w:tcPr>
          <w:p w14:paraId="43EA7CE8">
            <w:pPr>
              <w:spacing w:line="240" w:lineRule="auto"/>
              <w:jc w:val="center"/>
              <w:rPr>
                <w:rFonts w:cs="Times New Roman"/>
                <w:sz w:val="21"/>
                <w:szCs w:val="21"/>
              </w:rPr>
            </w:pPr>
            <w:r>
              <w:rPr>
                <w:rFonts w:cs="Times New Roman"/>
                <w:sz w:val="21"/>
                <w:szCs w:val="21"/>
              </w:rPr>
              <w:t>无监测□</w:t>
            </w:r>
          </w:p>
        </w:tc>
      </w:tr>
      <w:tr w14:paraId="0B7755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7" w:type="pct"/>
            <w:vMerge w:val="restart"/>
            <w:tcBorders>
              <w:top w:val="nil"/>
              <w:left w:val="single" w:color="auto" w:sz="4" w:space="0"/>
              <w:bottom w:val="single" w:color="auto" w:sz="4" w:space="0"/>
              <w:right w:val="single" w:color="auto" w:sz="4" w:space="0"/>
            </w:tcBorders>
            <w:vAlign w:val="center"/>
          </w:tcPr>
          <w:p w14:paraId="7F4B9205">
            <w:pPr>
              <w:spacing w:line="240" w:lineRule="auto"/>
              <w:jc w:val="center"/>
              <w:rPr>
                <w:rFonts w:cs="Times New Roman"/>
                <w:sz w:val="21"/>
                <w:szCs w:val="21"/>
              </w:rPr>
            </w:pPr>
            <w:r>
              <w:rPr>
                <w:rFonts w:cs="Times New Roman"/>
                <w:sz w:val="21"/>
                <w:szCs w:val="21"/>
              </w:rPr>
              <w:t>评价结论</w:t>
            </w:r>
          </w:p>
        </w:tc>
        <w:tc>
          <w:tcPr>
            <w:tcW w:w="597" w:type="pct"/>
            <w:tcBorders>
              <w:top w:val="single" w:color="auto" w:sz="4" w:space="0"/>
              <w:left w:val="nil"/>
              <w:bottom w:val="single" w:color="auto" w:sz="4" w:space="0"/>
              <w:right w:val="single" w:color="auto" w:sz="4" w:space="0"/>
            </w:tcBorders>
            <w:vAlign w:val="center"/>
          </w:tcPr>
          <w:p w14:paraId="112DC36E">
            <w:pPr>
              <w:spacing w:line="240" w:lineRule="auto"/>
              <w:jc w:val="center"/>
              <w:rPr>
                <w:rFonts w:cs="Times New Roman"/>
                <w:sz w:val="21"/>
                <w:szCs w:val="21"/>
              </w:rPr>
            </w:pPr>
            <w:r>
              <w:rPr>
                <w:rFonts w:cs="Times New Roman"/>
                <w:sz w:val="21"/>
                <w:szCs w:val="21"/>
              </w:rPr>
              <w:t>环境影响</w:t>
            </w:r>
          </w:p>
        </w:tc>
        <w:tc>
          <w:tcPr>
            <w:tcW w:w="4136" w:type="pct"/>
            <w:gridSpan w:val="9"/>
            <w:tcBorders>
              <w:top w:val="single" w:color="auto" w:sz="4" w:space="0"/>
              <w:left w:val="nil"/>
              <w:bottom w:val="single" w:color="auto" w:sz="4" w:space="0"/>
              <w:right w:val="single" w:color="auto" w:sz="4" w:space="0"/>
            </w:tcBorders>
            <w:vAlign w:val="center"/>
          </w:tcPr>
          <w:p w14:paraId="23AEFEF2">
            <w:pPr>
              <w:spacing w:line="240" w:lineRule="auto"/>
              <w:jc w:val="center"/>
              <w:rPr>
                <w:rFonts w:cs="Times New Roman"/>
                <w:sz w:val="21"/>
                <w:szCs w:val="21"/>
              </w:rPr>
            </w:pPr>
            <w:r>
              <w:rPr>
                <w:rFonts w:cs="Times New Roman"/>
                <w:sz w:val="21"/>
                <w:szCs w:val="21"/>
              </w:rPr>
              <w:t>可以接受</w:t>
            </w:r>
            <w:r>
              <w:rPr>
                <w:rFonts w:ascii="Segoe UI Symbol" w:hAnsi="Segoe UI Symbol" w:cs="Segoe UI Symbol"/>
                <w:sz w:val="21"/>
                <w:szCs w:val="21"/>
              </w:rPr>
              <w:t>☑</w:t>
            </w:r>
            <w:r>
              <w:rPr>
                <w:rFonts w:cs="Times New Roman"/>
                <w:sz w:val="21"/>
                <w:szCs w:val="21"/>
              </w:rPr>
              <w:t xml:space="preserve">          不可以接受□</w:t>
            </w:r>
          </w:p>
        </w:tc>
      </w:tr>
      <w:tr w14:paraId="774D08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top w:val="nil"/>
              <w:left w:val="single" w:color="auto" w:sz="4" w:space="0"/>
              <w:bottom w:val="single" w:color="auto" w:sz="4" w:space="0"/>
              <w:right w:val="single" w:color="auto" w:sz="4" w:space="0"/>
            </w:tcBorders>
            <w:vAlign w:val="center"/>
          </w:tcPr>
          <w:p w14:paraId="7C0FEDBE">
            <w:pPr>
              <w:spacing w:line="240" w:lineRule="auto"/>
              <w:jc w:val="center"/>
              <w:rPr>
                <w:rFonts w:cs="Times New Roman"/>
                <w:sz w:val="21"/>
                <w:szCs w:val="21"/>
              </w:rPr>
            </w:pPr>
          </w:p>
        </w:tc>
        <w:tc>
          <w:tcPr>
            <w:tcW w:w="597" w:type="pct"/>
            <w:tcBorders>
              <w:top w:val="single" w:color="auto" w:sz="4" w:space="0"/>
              <w:left w:val="nil"/>
              <w:bottom w:val="single" w:color="auto" w:sz="4" w:space="0"/>
              <w:right w:val="single" w:color="auto" w:sz="4" w:space="0"/>
            </w:tcBorders>
            <w:vAlign w:val="center"/>
          </w:tcPr>
          <w:p w14:paraId="0A208784">
            <w:pPr>
              <w:spacing w:line="240" w:lineRule="auto"/>
              <w:jc w:val="center"/>
              <w:rPr>
                <w:rFonts w:cs="Times New Roman"/>
                <w:sz w:val="21"/>
                <w:szCs w:val="21"/>
              </w:rPr>
            </w:pPr>
            <w:r>
              <w:rPr>
                <w:rFonts w:cs="Times New Roman"/>
                <w:sz w:val="21"/>
                <w:szCs w:val="21"/>
              </w:rPr>
              <w:t>环境防护距离</w:t>
            </w:r>
          </w:p>
        </w:tc>
        <w:tc>
          <w:tcPr>
            <w:tcW w:w="4136" w:type="pct"/>
            <w:gridSpan w:val="9"/>
            <w:tcBorders>
              <w:top w:val="single" w:color="auto" w:sz="4" w:space="0"/>
              <w:left w:val="nil"/>
              <w:bottom w:val="single" w:color="auto" w:sz="4" w:space="0"/>
              <w:right w:val="single" w:color="auto" w:sz="4" w:space="0"/>
            </w:tcBorders>
            <w:vAlign w:val="center"/>
          </w:tcPr>
          <w:p w14:paraId="1CFB7F3D">
            <w:pPr>
              <w:spacing w:line="240" w:lineRule="auto"/>
              <w:jc w:val="center"/>
              <w:rPr>
                <w:rFonts w:cs="Times New Roman"/>
                <w:sz w:val="21"/>
                <w:szCs w:val="21"/>
              </w:rPr>
            </w:pPr>
            <w:r>
              <w:rPr>
                <w:rFonts w:cs="Times New Roman"/>
                <w:sz w:val="21"/>
                <w:szCs w:val="21"/>
              </w:rPr>
              <w:t>距厂界最远(</w:t>
            </w:r>
            <w:r>
              <w:rPr>
                <w:rFonts w:hint="eastAsia" w:cs="Times New Roman"/>
                <w:sz w:val="21"/>
                <w:szCs w:val="21"/>
              </w:rPr>
              <w:t>20</w:t>
            </w:r>
            <w:r>
              <w:rPr>
                <w:rFonts w:cs="Times New Roman"/>
                <w:sz w:val="21"/>
                <w:szCs w:val="21"/>
              </w:rPr>
              <w:t>0)m</w:t>
            </w:r>
          </w:p>
        </w:tc>
      </w:tr>
      <w:tr w14:paraId="157AF5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top w:val="nil"/>
              <w:left w:val="single" w:color="auto" w:sz="4" w:space="0"/>
              <w:bottom w:val="single" w:color="auto" w:sz="4" w:space="0"/>
              <w:right w:val="single" w:color="auto" w:sz="4" w:space="0"/>
            </w:tcBorders>
            <w:vAlign w:val="center"/>
          </w:tcPr>
          <w:p w14:paraId="613A99BC">
            <w:pPr>
              <w:spacing w:line="240" w:lineRule="auto"/>
              <w:jc w:val="center"/>
              <w:rPr>
                <w:rFonts w:cs="Times New Roman"/>
                <w:sz w:val="21"/>
                <w:szCs w:val="21"/>
              </w:rPr>
            </w:pPr>
          </w:p>
        </w:tc>
        <w:tc>
          <w:tcPr>
            <w:tcW w:w="597" w:type="pct"/>
            <w:tcBorders>
              <w:top w:val="single" w:color="auto" w:sz="4" w:space="0"/>
              <w:left w:val="nil"/>
              <w:bottom w:val="single" w:color="auto" w:sz="4" w:space="0"/>
              <w:right w:val="single" w:color="auto" w:sz="4" w:space="0"/>
            </w:tcBorders>
            <w:vAlign w:val="center"/>
          </w:tcPr>
          <w:p w14:paraId="2028B85C">
            <w:pPr>
              <w:spacing w:line="240" w:lineRule="auto"/>
              <w:jc w:val="center"/>
              <w:rPr>
                <w:rFonts w:cs="Times New Roman"/>
                <w:sz w:val="21"/>
                <w:szCs w:val="21"/>
              </w:rPr>
            </w:pPr>
            <w:r>
              <w:rPr>
                <w:rFonts w:cs="Times New Roman"/>
                <w:sz w:val="21"/>
                <w:szCs w:val="21"/>
              </w:rPr>
              <w:t>污染源年排放量</w:t>
            </w:r>
          </w:p>
        </w:tc>
        <w:tc>
          <w:tcPr>
            <w:tcW w:w="774" w:type="pct"/>
            <w:gridSpan w:val="2"/>
            <w:tcBorders>
              <w:top w:val="single" w:color="auto" w:sz="4" w:space="0"/>
              <w:left w:val="nil"/>
              <w:bottom w:val="single" w:color="auto" w:sz="4" w:space="0"/>
              <w:right w:val="single" w:color="auto" w:sz="4" w:space="0"/>
            </w:tcBorders>
            <w:vAlign w:val="center"/>
          </w:tcPr>
          <w:p w14:paraId="55356CF3">
            <w:pPr>
              <w:spacing w:line="240" w:lineRule="auto"/>
              <w:jc w:val="center"/>
              <w:rPr>
                <w:rFonts w:cs="Times New Roman"/>
                <w:sz w:val="21"/>
                <w:szCs w:val="21"/>
              </w:rPr>
            </w:pPr>
            <w:r>
              <w:rPr>
                <w:rFonts w:cs="Times New Roman"/>
                <w:sz w:val="21"/>
                <w:szCs w:val="21"/>
              </w:rPr>
              <w:t>SO</w:t>
            </w:r>
            <w:r>
              <w:rPr>
                <w:rFonts w:cs="Times New Roman"/>
                <w:sz w:val="21"/>
                <w:szCs w:val="21"/>
                <w:vertAlign w:val="subscript"/>
              </w:rPr>
              <w:t>2</w:t>
            </w:r>
            <w:r>
              <w:rPr>
                <w:rFonts w:cs="Times New Roman"/>
                <w:sz w:val="21"/>
                <w:szCs w:val="21"/>
              </w:rPr>
              <w:t>： t/a</w:t>
            </w:r>
          </w:p>
        </w:tc>
        <w:tc>
          <w:tcPr>
            <w:tcW w:w="1098" w:type="pct"/>
            <w:gridSpan w:val="2"/>
            <w:tcBorders>
              <w:top w:val="single" w:color="auto" w:sz="4" w:space="0"/>
              <w:left w:val="nil"/>
              <w:bottom w:val="single" w:color="auto" w:sz="4" w:space="0"/>
              <w:right w:val="single" w:color="auto" w:sz="4" w:space="0"/>
            </w:tcBorders>
            <w:vAlign w:val="center"/>
          </w:tcPr>
          <w:p w14:paraId="7DA183B6">
            <w:pPr>
              <w:spacing w:line="240" w:lineRule="auto"/>
              <w:jc w:val="center"/>
              <w:rPr>
                <w:rFonts w:cs="Times New Roman"/>
                <w:sz w:val="21"/>
                <w:szCs w:val="21"/>
              </w:rPr>
            </w:pPr>
            <w:r>
              <w:rPr>
                <w:rFonts w:cs="Times New Roman"/>
                <w:sz w:val="21"/>
                <w:szCs w:val="21"/>
              </w:rPr>
              <w:t>NOx： t/a</w:t>
            </w:r>
          </w:p>
        </w:tc>
        <w:tc>
          <w:tcPr>
            <w:tcW w:w="1096" w:type="pct"/>
            <w:gridSpan w:val="2"/>
            <w:tcBorders>
              <w:top w:val="single" w:color="auto" w:sz="4" w:space="0"/>
              <w:left w:val="nil"/>
              <w:bottom w:val="single" w:color="auto" w:sz="4" w:space="0"/>
              <w:right w:val="single" w:color="auto" w:sz="4" w:space="0"/>
            </w:tcBorders>
            <w:vAlign w:val="center"/>
          </w:tcPr>
          <w:p w14:paraId="3846CA5D">
            <w:pPr>
              <w:spacing w:line="240" w:lineRule="auto"/>
              <w:jc w:val="center"/>
              <w:rPr>
                <w:rFonts w:cs="Times New Roman"/>
                <w:sz w:val="21"/>
                <w:szCs w:val="21"/>
              </w:rPr>
            </w:pPr>
            <w:r>
              <w:rPr>
                <w:rFonts w:cs="Times New Roman"/>
                <w:sz w:val="21"/>
                <w:szCs w:val="21"/>
              </w:rPr>
              <w:t>烟(粉)尘： t/a</w:t>
            </w:r>
          </w:p>
        </w:tc>
        <w:tc>
          <w:tcPr>
            <w:tcW w:w="1168" w:type="pct"/>
            <w:gridSpan w:val="3"/>
            <w:tcBorders>
              <w:top w:val="single" w:color="auto" w:sz="4" w:space="0"/>
              <w:left w:val="nil"/>
              <w:bottom w:val="single" w:color="auto" w:sz="4" w:space="0"/>
              <w:right w:val="single" w:color="auto" w:sz="4" w:space="0"/>
            </w:tcBorders>
            <w:vAlign w:val="center"/>
          </w:tcPr>
          <w:p w14:paraId="0ECE2555">
            <w:pPr>
              <w:spacing w:line="240" w:lineRule="auto"/>
              <w:jc w:val="center"/>
              <w:rPr>
                <w:rFonts w:cs="Times New Roman"/>
                <w:sz w:val="21"/>
                <w:szCs w:val="21"/>
              </w:rPr>
            </w:pPr>
            <w:r>
              <w:rPr>
                <w:rFonts w:cs="Times New Roman"/>
                <w:sz w:val="21"/>
                <w:szCs w:val="21"/>
              </w:rPr>
              <w:t>VOCs：</w:t>
            </w:r>
            <w:r>
              <w:rPr>
                <w:rFonts w:hint="eastAsia" w:cs="Times New Roman"/>
                <w:sz w:val="21"/>
                <w:szCs w:val="21"/>
              </w:rPr>
              <w:t>0.137</w:t>
            </w:r>
            <w:r>
              <w:rPr>
                <w:rFonts w:cs="Times New Roman"/>
                <w:sz w:val="21"/>
                <w:szCs w:val="21"/>
              </w:rPr>
              <w:t>t/a</w:t>
            </w:r>
          </w:p>
        </w:tc>
      </w:tr>
      <w:tr w14:paraId="121EC4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11"/>
            <w:tcBorders>
              <w:top w:val="single" w:color="auto" w:sz="4" w:space="0"/>
              <w:left w:val="single" w:color="auto" w:sz="4" w:space="0"/>
              <w:bottom w:val="single" w:color="auto" w:sz="4" w:space="0"/>
              <w:right w:val="single" w:color="auto" w:sz="4" w:space="0"/>
            </w:tcBorders>
            <w:vAlign w:val="center"/>
          </w:tcPr>
          <w:p w14:paraId="292F2EAF">
            <w:pPr>
              <w:spacing w:line="240" w:lineRule="auto"/>
              <w:jc w:val="center"/>
              <w:rPr>
                <w:rFonts w:cs="Times New Roman"/>
                <w:sz w:val="21"/>
                <w:szCs w:val="21"/>
              </w:rPr>
            </w:pPr>
            <w:r>
              <w:rPr>
                <w:rFonts w:cs="Times New Roman"/>
                <w:sz w:val="21"/>
                <w:szCs w:val="21"/>
              </w:rPr>
              <w:t>注：“□”为勾选项，可√；“()”为内容填写项；“备注”为其他补充内容</w:t>
            </w:r>
          </w:p>
        </w:tc>
      </w:tr>
    </w:tbl>
    <w:p w14:paraId="416CA154">
      <w:pPr>
        <w:rPr>
          <w:rFonts w:cs="Times New Roman"/>
          <w:spacing w:val="-3"/>
        </w:rPr>
      </w:pPr>
    </w:p>
    <w:p w14:paraId="7F75E3FC">
      <w:pPr>
        <w:pStyle w:val="3"/>
        <w:spacing w:before="326"/>
        <w:rPr>
          <w:rFonts w:hint="eastAsia"/>
        </w:rPr>
      </w:pPr>
      <w:bookmarkStart w:id="86" w:name="_Toc195624998"/>
      <w:bookmarkStart w:id="87" w:name="_Toc221056413"/>
      <w:r>
        <w:rPr>
          <w:rFonts w:hint="eastAsia"/>
        </w:rPr>
        <w:t>6.3运营期地表水环境影响分析</w:t>
      </w:r>
      <w:bookmarkEnd w:id="86"/>
      <w:bookmarkEnd w:id="87"/>
    </w:p>
    <w:p w14:paraId="68B83DE5">
      <w:pPr>
        <w:pStyle w:val="4"/>
        <w:rPr>
          <w:rFonts w:hint="eastAsia"/>
        </w:rPr>
      </w:pPr>
      <w:bookmarkStart w:id="88" w:name="_Toc221056414"/>
      <w:r>
        <w:rPr>
          <w:rFonts w:hint="eastAsia"/>
        </w:rPr>
        <w:t>6.3.1地表水环境影响</w:t>
      </w:r>
      <w:bookmarkEnd w:id="88"/>
    </w:p>
    <w:p w14:paraId="7F2B6410">
      <w:pPr>
        <w:ind w:firstLine="468" w:firstLineChars="200"/>
        <w:rPr>
          <w:rFonts w:cs="Times New Roman"/>
          <w:spacing w:val="-3"/>
        </w:rPr>
      </w:pPr>
      <w:r>
        <w:rPr>
          <w:rFonts w:hint="eastAsia" w:cs="Times New Roman"/>
          <w:spacing w:val="-3"/>
        </w:rPr>
        <w:t>本项目生产工艺中产生的废水主要为干燥塔排放废水和分层罐排放废水，其他低浓度废水主要来自地坪冲洗废水、循环水系统排水、初期雨水和生活污水，其中干燥塔排放废水、分层罐排放废水经专用管道排放至东厂区高浓高盐废水暂存罐，分批打入厂区污水处理站；初期雨水经厂区现有初期雨水池收集后，管道输送至厂区污水处理站处理；地坪冲洗废水、循环冷却系统排污水和生活污水排入厂区污水处理站处理，达到接管标准后进入沫河口园区污水处理厂处理达到《城镇污水处理厂污染物排放标准》的一级A标准后排入沫冲引河，经三铺大沟汇入淮河蚌埠段。</w:t>
      </w:r>
    </w:p>
    <w:p w14:paraId="3EAAACE7">
      <w:pPr>
        <w:ind w:firstLine="480" w:firstLineChars="200"/>
      </w:pPr>
      <w:r>
        <w:rPr>
          <w:rFonts w:hint="eastAsia"/>
        </w:rPr>
        <w:t>根据</w:t>
      </w:r>
      <w:r>
        <w:t>《环境影响评价技术导则 地表水环境》(HJ2.3-2018)</w:t>
      </w:r>
      <w:r>
        <w:rPr>
          <w:rFonts w:hint="eastAsia"/>
        </w:rPr>
        <w:t>，</w:t>
      </w:r>
      <w:r>
        <w:t>本项目地表水环境影响评价工作等级为三级B，可不进行地表水环境影响预测。</w:t>
      </w:r>
    </w:p>
    <w:p w14:paraId="34B7F3C2">
      <w:pPr>
        <w:ind w:firstLine="480" w:firstLineChars="200"/>
      </w:pPr>
      <w:r>
        <w:t>对依托废水处理进行分析如下：</w:t>
      </w:r>
    </w:p>
    <w:p w14:paraId="100F2B27">
      <w:pPr>
        <w:pStyle w:val="16"/>
        <w:ind w:firstLine="480"/>
      </w:pPr>
      <w:r>
        <w:t>(1)厂区综合污水处理站有效性分析</w:t>
      </w:r>
    </w:p>
    <w:p w14:paraId="30F72A32">
      <w:pPr>
        <w:pStyle w:val="16"/>
        <w:ind w:firstLine="480"/>
      </w:pPr>
      <w:r>
        <w:t>厂区现有工程建有1座污水处理站，设计处理能力500m</w:t>
      </w:r>
      <w:r>
        <w:rPr>
          <w:vertAlign w:val="superscript"/>
        </w:rPr>
        <w:t>3</w:t>
      </w:r>
      <w:r>
        <w:t>/d，采用</w:t>
      </w:r>
      <w:r>
        <w:rPr>
          <w:rFonts w:hint="eastAsia"/>
        </w:rPr>
        <w:t>“调节（水解酸化）+絮凝沉淀+厌氧+接触氧化+二沉+氧化沉淀”</w:t>
      </w:r>
      <w:r>
        <w:t>处理工艺。</w:t>
      </w:r>
    </w:p>
    <w:p w14:paraId="151A8E64">
      <w:pPr>
        <w:pStyle w:val="16"/>
        <w:ind w:firstLine="480"/>
      </w:pPr>
      <w:r>
        <w:rPr>
          <w:rFonts w:hint="eastAsia"/>
        </w:rPr>
        <w:t>根据厂区运行情况，技改前项目废水经厂区污水处理站处理后可稳定达标排放，本项目废水量约为87.34m</w:t>
      </w:r>
      <w:r>
        <w:rPr>
          <w:rFonts w:hint="eastAsia"/>
          <w:vertAlign w:val="superscript"/>
        </w:rPr>
        <w:t>3</w:t>
      </w:r>
      <w:r>
        <w:rPr>
          <w:rFonts w:hint="eastAsia"/>
        </w:rPr>
        <w:t>/d，技改前项目废水排放量约为88.09m</w:t>
      </w:r>
      <w:r>
        <w:rPr>
          <w:rFonts w:hint="eastAsia"/>
          <w:vertAlign w:val="superscript"/>
        </w:rPr>
        <w:t>3</w:t>
      </w:r>
      <w:r>
        <w:rPr>
          <w:rFonts w:hint="eastAsia"/>
        </w:rPr>
        <w:t>/d，本项目废水污染物种类、浓度与技改前项目基本一致，废水量少于技改前项目</w:t>
      </w:r>
      <w:r>
        <w:t>，</w:t>
      </w:r>
      <w:r>
        <w:rPr>
          <w:rFonts w:hint="eastAsia"/>
        </w:rPr>
        <w:t>因此，本项目废水依托</w:t>
      </w:r>
      <w:r>
        <w:t>现有综合污水处理</w:t>
      </w:r>
      <w:r>
        <w:rPr>
          <w:rFonts w:hint="eastAsia"/>
        </w:rPr>
        <w:t>设施可行</w:t>
      </w:r>
      <w:r>
        <w:t>。</w:t>
      </w:r>
    </w:p>
    <w:p w14:paraId="36D55E15">
      <w:pPr>
        <w:pStyle w:val="16"/>
        <w:ind w:firstLine="480"/>
      </w:pPr>
      <w:r>
        <w:t>(2)沫河口园区污水处理厂有效性分析</w:t>
      </w:r>
    </w:p>
    <w:p w14:paraId="3287179B">
      <w:pPr>
        <w:spacing w:line="360" w:lineRule="auto"/>
        <w:ind w:firstLine="480" w:firstLineChars="200"/>
      </w:pPr>
      <w:r>
        <w:t>沫河口污水厂位于蚌埠精细化工产业基地金漴路和南环路交叉口东北侧，接管范围主要为安徽蚌埠精细化工高新技术产业基地内工业废水及生活污水。设计规模为5万m</w:t>
      </w:r>
      <w:r>
        <w:rPr>
          <w:vertAlign w:val="superscript"/>
        </w:rPr>
        <w:t>3</w:t>
      </w:r>
      <w:r>
        <w:t>/d，其中2万m</w:t>
      </w:r>
      <w:r>
        <w:rPr>
          <w:vertAlign w:val="superscript"/>
        </w:rPr>
        <w:t>3</w:t>
      </w:r>
      <w:r>
        <w:t>/d规模已验收且正常运营，规划3万m</w:t>
      </w:r>
      <w:r>
        <w:rPr>
          <w:vertAlign w:val="superscript"/>
        </w:rPr>
        <w:t>3</w:t>
      </w:r>
      <w:r>
        <w:t>/d已投入试运行，尚未完成环保竣工验收。区内管道已铺设到位，企业废水经沫河口污水处理厂处理达到《城镇污水处理厂污染物排放标准》(GB18918-2002)一级A标准后经过污水处理厂的排污口，经三铺大沟后最终排放进入淮河。</w:t>
      </w:r>
    </w:p>
    <w:p w14:paraId="03A17632">
      <w:pPr>
        <w:pStyle w:val="16"/>
        <w:ind w:firstLine="480"/>
      </w:pPr>
      <w:r>
        <w:rPr>
          <w:rFonts w:ascii="Cambria Math" w:hAnsi="Cambria Math" w:cs="Cambria Math"/>
        </w:rPr>
        <w:t>①</w:t>
      </w:r>
      <w:r>
        <w:t>处理能力匹配性</w:t>
      </w:r>
    </w:p>
    <w:p w14:paraId="64400A51">
      <w:pPr>
        <w:spacing w:line="360" w:lineRule="auto"/>
        <w:ind w:firstLine="480" w:firstLineChars="200"/>
      </w:pPr>
      <w:r>
        <w:t>本项目废水排放量为</w:t>
      </w:r>
      <w:r>
        <w:rPr>
          <w:rFonts w:hint="eastAsia"/>
        </w:rPr>
        <w:t>87.34</w:t>
      </w:r>
      <w:r>
        <w:t>m</w:t>
      </w:r>
      <w:r>
        <w:rPr>
          <w:vertAlign w:val="superscript"/>
        </w:rPr>
        <w:t>3</w:t>
      </w:r>
      <w:r>
        <w:t>/d，</w:t>
      </w:r>
      <w:r>
        <w:rPr>
          <w:rFonts w:hint="eastAsia"/>
        </w:rPr>
        <w:t>技改前项目废水排放量约为88.09m</w:t>
      </w:r>
      <w:r>
        <w:rPr>
          <w:rFonts w:hint="eastAsia"/>
          <w:vertAlign w:val="superscript"/>
        </w:rPr>
        <w:t>3</w:t>
      </w:r>
      <w:r>
        <w:rPr>
          <w:rFonts w:hint="eastAsia"/>
        </w:rPr>
        <w:t>/d，本项目废水排放量少于现有项目排放量</w:t>
      </w:r>
      <w:r>
        <w:t>，因此沫河口污水处理厂现有处理规模能够满足本项目废水处理需求。</w:t>
      </w:r>
    </w:p>
    <w:p w14:paraId="07D8C170">
      <w:pPr>
        <w:pStyle w:val="16"/>
        <w:ind w:firstLine="480"/>
      </w:pPr>
      <w:r>
        <w:rPr>
          <w:rFonts w:ascii="Cambria Math" w:hAnsi="Cambria Math" w:cs="Cambria Math"/>
        </w:rPr>
        <w:t>②</w:t>
      </w:r>
      <w:r>
        <w:t>收集管网可达性</w:t>
      </w:r>
    </w:p>
    <w:p w14:paraId="21818A68">
      <w:pPr>
        <w:pStyle w:val="16"/>
        <w:ind w:firstLine="480"/>
      </w:pPr>
      <w:r>
        <w:rPr>
          <w:szCs w:val="20"/>
        </w:rPr>
        <w:t>目前海华公司污水处理站已通过专用架空管道接入顺利接入沫河口污水处理厂，</w:t>
      </w:r>
      <w:r>
        <w:t>可以满足要求。</w:t>
      </w:r>
    </w:p>
    <w:p w14:paraId="01A76B69">
      <w:pPr>
        <w:pStyle w:val="16"/>
        <w:ind w:firstLine="480"/>
      </w:pPr>
      <w:r>
        <w:rPr>
          <w:rFonts w:ascii="Cambria Math" w:hAnsi="Cambria Math" w:cs="Cambria Math"/>
        </w:rPr>
        <w:t>③</w:t>
      </w:r>
      <w:r>
        <w:t>废水处理达标可行性</w:t>
      </w:r>
    </w:p>
    <w:p w14:paraId="0ED05465">
      <w:pPr>
        <w:pStyle w:val="16"/>
        <w:ind w:firstLine="480"/>
      </w:pPr>
      <w:r>
        <w:t>沫河口污水处理厂处理工艺为</w:t>
      </w:r>
      <w:r>
        <w:rPr>
          <w:rFonts w:hint="eastAsia"/>
        </w:rPr>
        <w:t>“曝气沉砂+调节+水解酸池+生物反应+沉淀+臭氧接触氧化+曝气+滤布过滤+消毒”</w:t>
      </w:r>
      <w:r>
        <w:t>，</w:t>
      </w:r>
      <w:r>
        <w:rPr>
          <w:rFonts w:hint="eastAsia"/>
        </w:rPr>
        <w:t>根据现有运行情况，</w:t>
      </w:r>
      <w:r>
        <w:t>厂区综合污水处理站能够确保将废水处理达到《污水综合排放标准》(GB8978-1996)表4三级标准及接管标准，因此，不会对沫河口园区污水处理厂处理工艺造成冲击。</w:t>
      </w:r>
    </w:p>
    <w:p w14:paraId="69425179">
      <w:pPr>
        <w:pStyle w:val="16"/>
        <w:ind w:firstLine="480"/>
      </w:pPr>
      <w:r>
        <w:t>综上，评价认为本项目</w:t>
      </w:r>
      <w:r>
        <w:rPr>
          <w:szCs w:val="20"/>
        </w:rPr>
        <w:t>废水经</w:t>
      </w:r>
      <w:r>
        <w:t>厂区污水处理站处理后能够满足沫河口园区污水处理厂接管标准，</w:t>
      </w:r>
      <w:r>
        <w:rPr>
          <w:rFonts w:hint="eastAsia"/>
        </w:rPr>
        <w:t>经沫河口园区污水处理厂</w:t>
      </w:r>
      <w:r>
        <w:t>处理后的外排废水达到《城镇污水处理厂污染物排放标准》(GB18918-2002)一级A排放标准，本</w:t>
      </w:r>
      <w:r>
        <w:rPr>
          <w:szCs w:val="20"/>
        </w:rPr>
        <w:t>项目建设对区域地表水环境造成的不利影响较小</w:t>
      </w:r>
      <w:r>
        <w:t>。</w:t>
      </w:r>
    </w:p>
    <w:p w14:paraId="303C8FCC">
      <w:pPr>
        <w:pStyle w:val="4"/>
        <w:rPr>
          <w:rFonts w:hint="eastAsia"/>
        </w:rPr>
      </w:pPr>
      <w:bookmarkStart w:id="89" w:name="_Toc221056415"/>
      <w:r>
        <w:rPr>
          <w:rFonts w:hint="eastAsia"/>
        </w:rPr>
        <w:t>6.3.2水污染物排放量核算</w:t>
      </w:r>
      <w:bookmarkEnd w:id="89"/>
    </w:p>
    <w:p w14:paraId="1E65586F">
      <w:pPr>
        <w:pStyle w:val="82"/>
        <w:ind w:firstLine="4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项目废水排放口基本情况、污染物纳管信息如下表所示。</w:t>
      </w:r>
    </w:p>
    <w:p w14:paraId="30FE4D34">
      <w:pPr>
        <w:pStyle w:val="82"/>
        <w:ind w:firstLine="0" w:firstLineChars="0"/>
        <w:jc w:val="center"/>
        <w:rPr>
          <w:rFonts w:hint="eastAsia" w:ascii="黑体" w:hAnsi="黑体" w:eastAsia="黑体" w:cs="Times New Roman"/>
          <w:bCs/>
          <w:color w:val="000000" w:themeColor="text1"/>
          <w14:textFill>
            <w14:solidFill>
              <w14:schemeClr w14:val="tx1"/>
            </w14:solidFill>
          </w14:textFill>
        </w:rPr>
      </w:pPr>
      <w:r>
        <w:rPr>
          <w:rFonts w:ascii="黑体" w:hAnsi="黑体" w:eastAsia="黑体" w:cs="Times New Roman"/>
          <w:bCs/>
          <w:color w:val="000000" w:themeColor="text1"/>
          <w14:textFill>
            <w14:solidFill>
              <w14:schemeClr w14:val="tx1"/>
            </w14:solidFill>
          </w14:textFill>
        </w:rPr>
        <w:t>表6.</w:t>
      </w:r>
      <w:r>
        <w:rPr>
          <w:rFonts w:hint="eastAsia" w:ascii="黑体" w:hAnsi="黑体" w:eastAsia="黑体" w:cs="Times New Roman"/>
          <w:bCs/>
          <w:color w:val="000000" w:themeColor="text1"/>
          <w14:textFill>
            <w14:solidFill>
              <w14:schemeClr w14:val="tx1"/>
            </w14:solidFill>
          </w14:textFill>
        </w:rPr>
        <w:t>3</w:t>
      </w:r>
      <w:r>
        <w:rPr>
          <w:rFonts w:ascii="黑体" w:hAnsi="黑体" w:eastAsia="黑体" w:cs="Times New Roman"/>
          <w:bCs/>
          <w:color w:val="000000" w:themeColor="text1"/>
          <w14:textFill>
            <w14:solidFill>
              <w14:schemeClr w14:val="tx1"/>
            </w14:solidFill>
          </w14:textFill>
        </w:rPr>
        <w:t>-</w:t>
      </w:r>
      <w:r>
        <w:rPr>
          <w:rFonts w:hint="eastAsia" w:ascii="黑体" w:hAnsi="黑体" w:eastAsia="黑体" w:cs="Times New Roman"/>
          <w:bCs/>
          <w:color w:val="000000" w:themeColor="text1"/>
          <w14:textFill>
            <w14:solidFill>
              <w14:schemeClr w14:val="tx1"/>
            </w14:solidFill>
          </w14:textFill>
        </w:rPr>
        <w:t>1</w:t>
      </w:r>
      <w:r>
        <w:rPr>
          <w:rFonts w:ascii="黑体" w:hAnsi="黑体" w:eastAsia="黑体" w:cs="Times New Roman"/>
          <w:bCs/>
          <w:color w:val="000000" w:themeColor="text1"/>
          <w14:textFill>
            <w14:solidFill>
              <w14:schemeClr w14:val="tx1"/>
            </w14:solidFill>
          </w14:textFill>
        </w:rPr>
        <w:t xml:space="preserve">  废水间接排放口基本情况表</w:t>
      </w:r>
    </w:p>
    <w:tbl>
      <w:tblPr>
        <w:tblStyle w:val="3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67"/>
        <w:gridCol w:w="973"/>
        <w:gridCol w:w="856"/>
        <w:gridCol w:w="891"/>
        <w:gridCol w:w="726"/>
        <w:gridCol w:w="728"/>
        <w:gridCol w:w="726"/>
        <w:gridCol w:w="871"/>
        <w:gridCol w:w="1083"/>
        <w:gridCol w:w="1665"/>
      </w:tblGrid>
      <w:tr w14:paraId="6BFC7B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413" w:type="pct"/>
            <w:vMerge w:val="restart"/>
            <w:tcBorders>
              <w:top w:val="single" w:color="auto" w:sz="4" w:space="0"/>
              <w:left w:val="single" w:color="auto" w:sz="4" w:space="0"/>
              <w:bottom w:val="single" w:color="auto" w:sz="4" w:space="0"/>
              <w:right w:val="single" w:color="auto" w:sz="4" w:space="0"/>
            </w:tcBorders>
            <w:vAlign w:val="center"/>
          </w:tcPr>
          <w:p w14:paraId="26E4842E">
            <w:pPr>
              <w:widowControl/>
              <w:wordWrap w:val="0"/>
              <w:spacing w:line="240" w:lineRule="auto"/>
              <w:jc w:val="center"/>
              <w:rPr>
                <w:rFonts w:cs="Times New Roman"/>
                <w:kern w:val="0"/>
                <w:sz w:val="21"/>
                <w:szCs w:val="21"/>
              </w:rPr>
            </w:pPr>
            <w:r>
              <w:rPr>
                <w:rFonts w:cs="Times New Roman"/>
                <w:kern w:val="0"/>
                <w:sz w:val="21"/>
                <w:szCs w:val="21"/>
              </w:rPr>
              <w:t>排放口编号</w:t>
            </w:r>
          </w:p>
        </w:tc>
        <w:tc>
          <w:tcPr>
            <w:tcW w:w="985" w:type="pct"/>
            <w:gridSpan w:val="2"/>
            <w:tcBorders>
              <w:top w:val="single" w:color="auto" w:sz="4" w:space="0"/>
              <w:left w:val="nil"/>
              <w:bottom w:val="single" w:color="auto" w:sz="4" w:space="0"/>
              <w:right w:val="single" w:color="auto" w:sz="4" w:space="0"/>
            </w:tcBorders>
            <w:vAlign w:val="center"/>
          </w:tcPr>
          <w:p w14:paraId="27AFACB5">
            <w:pPr>
              <w:widowControl/>
              <w:wordWrap w:val="0"/>
              <w:spacing w:line="240" w:lineRule="auto"/>
              <w:jc w:val="center"/>
              <w:rPr>
                <w:rFonts w:cs="Times New Roman"/>
                <w:kern w:val="0"/>
                <w:sz w:val="21"/>
                <w:szCs w:val="21"/>
              </w:rPr>
            </w:pPr>
            <w:r>
              <w:rPr>
                <w:rFonts w:cs="Times New Roman"/>
                <w:kern w:val="0"/>
                <w:sz w:val="21"/>
                <w:szCs w:val="21"/>
              </w:rPr>
              <w:t>排放口地理坐标</w:t>
            </w:r>
          </w:p>
        </w:tc>
        <w:tc>
          <w:tcPr>
            <w:tcW w:w="480" w:type="pct"/>
            <w:vMerge w:val="restart"/>
            <w:tcBorders>
              <w:top w:val="single" w:color="auto" w:sz="4" w:space="0"/>
              <w:left w:val="nil"/>
              <w:bottom w:val="single" w:color="auto" w:sz="4" w:space="0"/>
              <w:right w:val="single" w:color="auto" w:sz="4" w:space="0"/>
            </w:tcBorders>
            <w:vAlign w:val="center"/>
          </w:tcPr>
          <w:p w14:paraId="198166FC">
            <w:pPr>
              <w:widowControl/>
              <w:wordWrap w:val="0"/>
              <w:spacing w:line="240" w:lineRule="auto"/>
              <w:jc w:val="center"/>
              <w:rPr>
                <w:rFonts w:cs="Times New Roman"/>
                <w:kern w:val="0"/>
                <w:sz w:val="21"/>
                <w:szCs w:val="21"/>
              </w:rPr>
            </w:pPr>
            <w:r>
              <w:rPr>
                <w:rFonts w:cs="Times New Roman"/>
                <w:kern w:val="0"/>
                <w:sz w:val="21"/>
                <w:szCs w:val="21"/>
              </w:rPr>
              <w:t>废水排放量/</w:t>
            </w:r>
            <w:r>
              <w:rPr>
                <w:rFonts w:hint="eastAsia" w:cs="Times New Roman"/>
                <w:kern w:val="0"/>
                <w:sz w:val="21"/>
                <w:szCs w:val="21"/>
              </w:rPr>
              <w:t>(m</w:t>
            </w:r>
            <w:r>
              <w:rPr>
                <w:rFonts w:hint="eastAsia" w:cs="Times New Roman"/>
                <w:kern w:val="0"/>
                <w:sz w:val="21"/>
                <w:szCs w:val="21"/>
                <w:vertAlign w:val="superscript"/>
              </w:rPr>
              <w:t>3</w:t>
            </w:r>
            <w:r>
              <w:rPr>
                <w:rFonts w:cs="Times New Roman"/>
                <w:kern w:val="0"/>
                <w:sz w:val="21"/>
                <w:szCs w:val="21"/>
              </w:rPr>
              <w:t>/a</w:t>
            </w:r>
            <w:r>
              <w:rPr>
                <w:rFonts w:hint="eastAsia" w:cs="Times New Roman"/>
                <w:kern w:val="0"/>
                <w:sz w:val="21"/>
                <w:szCs w:val="21"/>
              </w:rPr>
              <w:t>)</w:t>
            </w:r>
          </w:p>
        </w:tc>
        <w:tc>
          <w:tcPr>
            <w:tcW w:w="391" w:type="pct"/>
            <w:vMerge w:val="restart"/>
            <w:tcBorders>
              <w:top w:val="single" w:color="auto" w:sz="4" w:space="0"/>
              <w:left w:val="nil"/>
              <w:bottom w:val="single" w:color="auto" w:sz="4" w:space="0"/>
              <w:right w:val="single" w:color="auto" w:sz="4" w:space="0"/>
            </w:tcBorders>
            <w:vAlign w:val="center"/>
          </w:tcPr>
          <w:p w14:paraId="1458931D">
            <w:pPr>
              <w:widowControl/>
              <w:wordWrap w:val="0"/>
              <w:spacing w:line="240" w:lineRule="auto"/>
              <w:jc w:val="center"/>
              <w:rPr>
                <w:rFonts w:cs="Times New Roman"/>
                <w:kern w:val="0"/>
                <w:sz w:val="21"/>
                <w:szCs w:val="21"/>
              </w:rPr>
            </w:pPr>
            <w:r>
              <w:rPr>
                <w:rFonts w:cs="Times New Roman"/>
                <w:kern w:val="0"/>
                <w:sz w:val="21"/>
                <w:szCs w:val="21"/>
              </w:rPr>
              <w:t>排放去向</w:t>
            </w:r>
          </w:p>
        </w:tc>
        <w:tc>
          <w:tcPr>
            <w:tcW w:w="392" w:type="pct"/>
            <w:vMerge w:val="restart"/>
            <w:tcBorders>
              <w:top w:val="single" w:color="auto" w:sz="4" w:space="0"/>
              <w:left w:val="nil"/>
              <w:bottom w:val="single" w:color="auto" w:sz="4" w:space="0"/>
              <w:right w:val="single" w:color="auto" w:sz="4" w:space="0"/>
            </w:tcBorders>
            <w:vAlign w:val="center"/>
          </w:tcPr>
          <w:p w14:paraId="2510708A">
            <w:pPr>
              <w:widowControl/>
              <w:wordWrap w:val="0"/>
              <w:spacing w:line="240" w:lineRule="auto"/>
              <w:jc w:val="center"/>
              <w:rPr>
                <w:rFonts w:cs="Times New Roman"/>
                <w:kern w:val="0"/>
                <w:sz w:val="21"/>
                <w:szCs w:val="21"/>
              </w:rPr>
            </w:pPr>
            <w:r>
              <w:rPr>
                <w:rFonts w:cs="Times New Roman"/>
                <w:kern w:val="0"/>
                <w:sz w:val="21"/>
                <w:szCs w:val="21"/>
              </w:rPr>
              <w:t>排放规律</w:t>
            </w:r>
          </w:p>
        </w:tc>
        <w:tc>
          <w:tcPr>
            <w:tcW w:w="391" w:type="pct"/>
            <w:vMerge w:val="restart"/>
            <w:tcBorders>
              <w:top w:val="single" w:color="auto" w:sz="4" w:space="0"/>
              <w:left w:val="nil"/>
              <w:bottom w:val="single" w:color="auto" w:sz="4" w:space="0"/>
              <w:right w:val="single" w:color="auto" w:sz="4" w:space="0"/>
            </w:tcBorders>
            <w:vAlign w:val="center"/>
          </w:tcPr>
          <w:p w14:paraId="02BA3009">
            <w:pPr>
              <w:widowControl/>
              <w:wordWrap w:val="0"/>
              <w:spacing w:line="240" w:lineRule="auto"/>
              <w:jc w:val="center"/>
              <w:rPr>
                <w:rFonts w:cs="Times New Roman"/>
                <w:kern w:val="0"/>
                <w:sz w:val="21"/>
                <w:szCs w:val="21"/>
              </w:rPr>
            </w:pPr>
            <w:r>
              <w:rPr>
                <w:rFonts w:cs="Times New Roman"/>
                <w:kern w:val="0"/>
                <w:sz w:val="21"/>
                <w:szCs w:val="21"/>
              </w:rPr>
              <w:t>间歇排放时段</w:t>
            </w:r>
          </w:p>
        </w:tc>
        <w:tc>
          <w:tcPr>
            <w:tcW w:w="1948" w:type="pct"/>
            <w:gridSpan w:val="3"/>
            <w:tcBorders>
              <w:top w:val="single" w:color="auto" w:sz="4" w:space="0"/>
              <w:left w:val="nil"/>
              <w:bottom w:val="nil"/>
              <w:right w:val="single" w:color="auto" w:sz="4" w:space="0"/>
            </w:tcBorders>
            <w:vAlign w:val="center"/>
          </w:tcPr>
          <w:p w14:paraId="3BD16AD7">
            <w:pPr>
              <w:widowControl/>
              <w:wordWrap w:val="0"/>
              <w:spacing w:line="240" w:lineRule="auto"/>
              <w:jc w:val="center"/>
              <w:rPr>
                <w:rFonts w:cs="Times New Roman"/>
                <w:kern w:val="0"/>
                <w:sz w:val="21"/>
                <w:szCs w:val="21"/>
              </w:rPr>
            </w:pPr>
            <w:r>
              <w:rPr>
                <w:rFonts w:cs="Times New Roman"/>
                <w:kern w:val="0"/>
                <w:sz w:val="21"/>
                <w:szCs w:val="21"/>
              </w:rPr>
              <w:t>受纳污水处理厂信息</w:t>
            </w:r>
          </w:p>
        </w:tc>
      </w:tr>
      <w:tr w14:paraId="5ABC59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413" w:type="pct"/>
            <w:vMerge w:val="continue"/>
            <w:tcBorders>
              <w:top w:val="single" w:color="auto" w:sz="4" w:space="0"/>
              <w:left w:val="single" w:color="auto" w:sz="4" w:space="0"/>
              <w:bottom w:val="single" w:color="auto" w:sz="4" w:space="0"/>
              <w:right w:val="single" w:color="auto" w:sz="4" w:space="0"/>
            </w:tcBorders>
            <w:vAlign w:val="center"/>
          </w:tcPr>
          <w:p w14:paraId="502CBCF9">
            <w:pPr>
              <w:widowControl/>
              <w:wordWrap w:val="0"/>
              <w:spacing w:line="240" w:lineRule="auto"/>
              <w:jc w:val="center"/>
              <w:rPr>
                <w:rFonts w:cs="Times New Roman"/>
                <w:kern w:val="0"/>
                <w:sz w:val="21"/>
                <w:szCs w:val="21"/>
              </w:rPr>
            </w:pPr>
          </w:p>
        </w:tc>
        <w:tc>
          <w:tcPr>
            <w:tcW w:w="524" w:type="pct"/>
            <w:tcBorders>
              <w:top w:val="single" w:color="auto" w:sz="4" w:space="0"/>
              <w:left w:val="nil"/>
              <w:bottom w:val="single" w:color="auto" w:sz="4" w:space="0"/>
              <w:right w:val="single" w:color="auto" w:sz="4" w:space="0"/>
            </w:tcBorders>
            <w:vAlign w:val="center"/>
          </w:tcPr>
          <w:p w14:paraId="5F5A7B3D">
            <w:pPr>
              <w:widowControl/>
              <w:wordWrap w:val="0"/>
              <w:spacing w:line="240" w:lineRule="auto"/>
              <w:jc w:val="center"/>
              <w:rPr>
                <w:rFonts w:cs="Times New Roman"/>
                <w:kern w:val="0"/>
                <w:sz w:val="21"/>
                <w:szCs w:val="21"/>
              </w:rPr>
            </w:pPr>
            <w:r>
              <w:rPr>
                <w:rFonts w:cs="Times New Roman"/>
                <w:kern w:val="0"/>
                <w:sz w:val="21"/>
                <w:szCs w:val="21"/>
              </w:rPr>
              <w:t>经度</w:t>
            </w:r>
          </w:p>
        </w:tc>
        <w:tc>
          <w:tcPr>
            <w:tcW w:w="461" w:type="pct"/>
            <w:tcBorders>
              <w:top w:val="single" w:color="auto" w:sz="4" w:space="0"/>
              <w:left w:val="nil"/>
              <w:bottom w:val="single" w:color="auto" w:sz="4" w:space="0"/>
              <w:right w:val="single" w:color="auto" w:sz="4" w:space="0"/>
            </w:tcBorders>
            <w:vAlign w:val="center"/>
          </w:tcPr>
          <w:p w14:paraId="2D36CABF">
            <w:pPr>
              <w:widowControl/>
              <w:wordWrap w:val="0"/>
              <w:spacing w:line="240" w:lineRule="auto"/>
              <w:jc w:val="center"/>
              <w:rPr>
                <w:rFonts w:cs="Times New Roman"/>
                <w:kern w:val="0"/>
                <w:sz w:val="21"/>
                <w:szCs w:val="21"/>
              </w:rPr>
            </w:pPr>
            <w:r>
              <w:rPr>
                <w:rFonts w:cs="Times New Roman"/>
                <w:kern w:val="0"/>
                <w:sz w:val="21"/>
                <w:szCs w:val="21"/>
              </w:rPr>
              <w:t>纬度</w:t>
            </w:r>
          </w:p>
        </w:tc>
        <w:tc>
          <w:tcPr>
            <w:tcW w:w="480" w:type="pct"/>
            <w:vMerge w:val="continue"/>
            <w:tcBorders>
              <w:top w:val="single" w:color="auto" w:sz="4" w:space="0"/>
              <w:left w:val="nil"/>
              <w:bottom w:val="single" w:color="auto" w:sz="4" w:space="0"/>
              <w:right w:val="single" w:color="auto" w:sz="4" w:space="0"/>
            </w:tcBorders>
            <w:vAlign w:val="center"/>
          </w:tcPr>
          <w:p w14:paraId="2A0CD755">
            <w:pPr>
              <w:widowControl/>
              <w:wordWrap w:val="0"/>
              <w:spacing w:line="240" w:lineRule="auto"/>
              <w:jc w:val="center"/>
              <w:rPr>
                <w:rFonts w:cs="Times New Roman"/>
                <w:kern w:val="0"/>
                <w:sz w:val="21"/>
                <w:szCs w:val="21"/>
              </w:rPr>
            </w:pPr>
          </w:p>
        </w:tc>
        <w:tc>
          <w:tcPr>
            <w:tcW w:w="391" w:type="pct"/>
            <w:vMerge w:val="continue"/>
            <w:tcBorders>
              <w:top w:val="single" w:color="auto" w:sz="4" w:space="0"/>
              <w:left w:val="nil"/>
              <w:bottom w:val="single" w:color="auto" w:sz="4" w:space="0"/>
              <w:right w:val="single" w:color="auto" w:sz="4" w:space="0"/>
            </w:tcBorders>
            <w:vAlign w:val="center"/>
          </w:tcPr>
          <w:p w14:paraId="49AD9878">
            <w:pPr>
              <w:widowControl/>
              <w:wordWrap w:val="0"/>
              <w:spacing w:line="240" w:lineRule="auto"/>
              <w:jc w:val="center"/>
              <w:rPr>
                <w:rFonts w:cs="Times New Roman"/>
                <w:kern w:val="0"/>
                <w:sz w:val="21"/>
                <w:szCs w:val="21"/>
              </w:rPr>
            </w:pPr>
          </w:p>
        </w:tc>
        <w:tc>
          <w:tcPr>
            <w:tcW w:w="392" w:type="pct"/>
            <w:vMerge w:val="continue"/>
            <w:tcBorders>
              <w:top w:val="single" w:color="auto" w:sz="4" w:space="0"/>
              <w:left w:val="nil"/>
              <w:bottom w:val="single" w:color="auto" w:sz="4" w:space="0"/>
              <w:right w:val="single" w:color="auto" w:sz="4" w:space="0"/>
            </w:tcBorders>
            <w:vAlign w:val="center"/>
          </w:tcPr>
          <w:p w14:paraId="23BEFD1A">
            <w:pPr>
              <w:widowControl/>
              <w:wordWrap w:val="0"/>
              <w:spacing w:line="240" w:lineRule="auto"/>
              <w:jc w:val="center"/>
              <w:rPr>
                <w:rFonts w:cs="Times New Roman"/>
                <w:kern w:val="0"/>
                <w:sz w:val="21"/>
                <w:szCs w:val="21"/>
              </w:rPr>
            </w:pPr>
          </w:p>
        </w:tc>
        <w:tc>
          <w:tcPr>
            <w:tcW w:w="391" w:type="pct"/>
            <w:vMerge w:val="continue"/>
            <w:tcBorders>
              <w:top w:val="single" w:color="auto" w:sz="4" w:space="0"/>
              <w:left w:val="nil"/>
              <w:bottom w:val="single" w:color="auto" w:sz="4" w:space="0"/>
              <w:right w:val="single" w:color="auto" w:sz="4" w:space="0"/>
            </w:tcBorders>
            <w:vAlign w:val="center"/>
          </w:tcPr>
          <w:p w14:paraId="71008930">
            <w:pPr>
              <w:widowControl/>
              <w:wordWrap w:val="0"/>
              <w:spacing w:line="240" w:lineRule="auto"/>
              <w:jc w:val="center"/>
              <w:rPr>
                <w:rFonts w:cs="Times New Roman"/>
                <w:kern w:val="0"/>
                <w:sz w:val="21"/>
                <w:szCs w:val="21"/>
              </w:rPr>
            </w:pPr>
          </w:p>
        </w:tc>
        <w:tc>
          <w:tcPr>
            <w:tcW w:w="469" w:type="pct"/>
            <w:tcBorders>
              <w:top w:val="single" w:color="auto" w:sz="4" w:space="0"/>
              <w:left w:val="nil"/>
              <w:bottom w:val="single" w:color="auto" w:sz="4" w:space="0"/>
              <w:right w:val="single" w:color="auto" w:sz="4" w:space="0"/>
            </w:tcBorders>
            <w:vAlign w:val="center"/>
          </w:tcPr>
          <w:p w14:paraId="3C9BDFDD">
            <w:pPr>
              <w:widowControl/>
              <w:wordWrap w:val="0"/>
              <w:spacing w:line="240" w:lineRule="auto"/>
              <w:jc w:val="center"/>
              <w:rPr>
                <w:rFonts w:cs="Times New Roman"/>
                <w:kern w:val="0"/>
                <w:sz w:val="21"/>
                <w:szCs w:val="21"/>
              </w:rPr>
            </w:pPr>
            <w:r>
              <w:rPr>
                <w:rFonts w:cs="Times New Roman"/>
                <w:kern w:val="0"/>
                <w:sz w:val="21"/>
                <w:szCs w:val="21"/>
              </w:rPr>
              <w:t>名称</w:t>
            </w:r>
          </w:p>
        </w:tc>
        <w:tc>
          <w:tcPr>
            <w:tcW w:w="583" w:type="pct"/>
            <w:tcBorders>
              <w:top w:val="single" w:color="auto" w:sz="4" w:space="0"/>
              <w:left w:val="nil"/>
              <w:bottom w:val="single" w:color="auto" w:sz="4" w:space="0"/>
              <w:right w:val="single" w:color="auto" w:sz="4" w:space="0"/>
            </w:tcBorders>
            <w:vAlign w:val="center"/>
          </w:tcPr>
          <w:p w14:paraId="42E7EAA4">
            <w:pPr>
              <w:widowControl/>
              <w:wordWrap w:val="0"/>
              <w:spacing w:line="240" w:lineRule="auto"/>
              <w:jc w:val="center"/>
              <w:rPr>
                <w:rFonts w:cs="Times New Roman"/>
                <w:kern w:val="0"/>
                <w:sz w:val="21"/>
                <w:szCs w:val="21"/>
              </w:rPr>
            </w:pPr>
            <w:r>
              <w:rPr>
                <w:rFonts w:cs="Times New Roman"/>
                <w:kern w:val="0"/>
                <w:sz w:val="21"/>
                <w:szCs w:val="21"/>
              </w:rPr>
              <w:t>污染物种类</w:t>
            </w:r>
          </w:p>
        </w:tc>
        <w:tc>
          <w:tcPr>
            <w:tcW w:w="896" w:type="pct"/>
            <w:tcBorders>
              <w:top w:val="single" w:color="auto" w:sz="4" w:space="0"/>
              <w:left w:val="nil"/>
              <w:bottom w:val="single" w:color="auto" w:sz="4" w:space="0"/>
              <w:right w:val="single" w:color="auto" w:sz="4" w:space="0"/>
            </w:tcBorders>
            <w:vAlign w:val="center"/>
          </w:tcPr>
          <w:p w14:paraId="562168BF">
            <w:pPr>
              <w:widowControl/>
              <w:wordWrap w:val="0"/>
              <w:spacing w:line="240" w:lineRule="auto"/>
              <w:jc w:val="center"/>
              <w:rPr>
                <w:rFonts w:cs="Times New Roman"/>
                <w:kern w:val="0"/>
                <w:sz w:val="21"/>
                <w:szCs w:val="21"/>
              </w:rPr>
            </w:pPr>
            <w:r>
              <w:rPr>
                <w:rFonts w:cs="Times New Roman"/>
                <w:kern w:val="0"/>
                <w:sz w:val="21"/>
                <w:szCs w:val="21"/>
              </w:rPr>
              <w:t>国家或地方污染物排放标准浓度限值</w:t>
            </w:r>
          </w:p>
        </w:tc>
      </w:tr>
      <w:tr w14:paraId="299B12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413" w:type="pct"/>
            <w:vMerge w:val="restart"/>
            <w:tcBorders>
              <w:top w:val="single" w:color="auto" w:sz="4" w:space="0"/>
              <w:left w:val="single" w:color="auto" w:sz="4" w:space="0"/>
              <w:right w:val="single" w:color="auto" w:sz="4" w:space="0"/>
            </w:tcBorders>
            <w:vAlign w:val="center"/>
          </w:tcPr>
          <w:p w14:paraId="06B1369F">
            <w:pPr>
              <w:widowControl/>
              <w:wordWrap w:val="0"/>
              <w:spacing w:line="240" w:lineRule="auto"/>
              <w:jc w:val="center"/>
              <w:rPr>
                <w:rFonts w:cs="Times New Roman"/>
                <w:kern w:val="0"/>
                <w:sz w:val="21"/>
                <w:szCs w:val="21"/>
              </w:rPr>
            </w:pPr>
            <w:r>
              <w:rPr>
                <w:rFonts w:cs="Times New Roman"/>
                <w:kern w:val="0"/>
                <w:sz w:val="21"/>
                <w:szCs w:val="21"/>
              </w:rPr>
              <w:t>DW001</w:t>
            </w:r>
          </w:p>
        </w:tc>
        <w:tc>
          <w:tcPr>
            <w:tcW w:w="524" w:type="pct"/>
            <w:vMerge w:val="restart"/>
            <w:tcBorders>
              <w:top w:val="nil"/>
              <w:left w:val="nil"/>
              <w:right w:val="single" w:color="auto" w:sz="4" w:space="0"/>
            </w:tcBorders>
            <w:vAlign w:val="center"/>
          </w:tcPr>
          <w:p w14:paraId="57891EA5">
            <w:pPr>
              <w:widowControl/>
              <w:wordWrap w:val="0"/>
              <w:spacing w:line="240" w:lineRule="auto"/>
              <w:jc w:val="center"/>
              <w:rPr>
                <w:rFonts w:cs="Times New Roman"/>
                <w:kern w:val="0"/>
                <w:sz w:val="21"/>
                <w:szCs w:val="21"/>
              </w:rPr>
            </w:pPr>
            <w:r>
              <w:rPr>
                <w:rFonts w:cs="Times New Roman"/>
                <w:kern w:val="0"/>
                <w:sz w:val="21"/>
                <w:szCs w:val="21"/>
              </w:rPr>
              <w:t>117°35′8.92″</w:t>
            </w:r>
          </w:p>
        </w:tc>
        <w:tc>
          <w:tcPr>
            <w:tcW w:w="461" w:type="pct"/>
            <w:vMerge w:val="restart"/>
            <w:tcBorders>
              <w:top w:val="nil"/>
              <w:left w:val="nil"/>
              <w:right w:val="single" w:color="auto" w:sz="4" w:space="0"/>
            </w:tcBorders>
            <w:vAlign w:val="center"/>
          </w:tcPr>
          <w:p w14:paraId="42697236">
            <w:pPr>
              <w:widowControl/>
              <w:wordWrap w:val="0"/>
              <w:spacing w:line="240" w:lineRule="auto"/>
              <w:jc w:val="center"/>
              <w:rPr>
                <w:rFonts w:cs="Times New Roman"/>
                <w:kern w:val="0"/>
                <w:sz w:val="21"/>
                <w:szCs w:val="21"/>
              </w:rPr>
            </w:pPr>
            <w:r>
              <w:rPr>
                <w:rFonts w:cs="Times New Roman"/>
                <w:kern w:val="0"/>
                <w:sz w:val="21"/>
                <w:szCs w:val="21"/>
              </w:rPr>
              <w:t>32°59′26.59″</w:t>
            </w:r>
          </w:p>
        </w:tc>
        <w:tc>
          <w:tcPr>
            <w:tcW w:w="480" w:type="pct"/>
            <w:vMerge w:val="restart"/>
            <w:tcBorders>
              <w:top w:val="nil"/>
              <w:left w:val="nil"/>
              <w:right w:val="single" w:color="auto" w:sz="4" w:space="0"/>
            </w:tcBorders>
            <w:vAlign w:val="center"/>
          </w:tcPr>
          <w:p w14:paraId="624F6C63">
            <w:pPr>
              <w:widowControl/>
              <w:wordWrap w:val="0"/>
              <w:spacing w:line="240" w:lineRule="auto"/>
              <w:jc w:val="center"/>
              <w:rPr>
                <w:rFonts w:cs="Times New Roman"/>
                <w:kern w:val="0"/>
                <w:sz w:val="21"/>
                <w:szCs w:val="21"/>
              </w:rPr>
            </w:pPr>
            <w:r>
              <w:rPr>
                <w:rFonts w:hint="eastAsia" w:cs="Times New Roman"/>
                <w:kern w:val="0"/>
                <w:sz w:val="21"/>
                <w:szCs w:val="21"/>
              </w:rPr>
              <w:t>26202</w:t>
            </w:r>
          </w:p>
        </w:tc>
        <w:tc>
          <w:tcPr>
            <w:tcW w:w="391" w:type="pct"/>
            <w:vMerge w:val="restart"/>
            <w:tcBorders>
              <w:top w:val="nil"/>
              <w:left w:val="nil"/>
              <w:right w:val="single" w:color="auto" w:sz="4" w:space="0"/>
            </w:tcBorders>
            <w:vAlign w:val="center"/>
          </w:tcPr>
          <w:p w14:paraId="1BFE0BF3">
            <w:pPr>
              <w:widowControl/>
              <w:wordWrap w:val="0"/>
              <w:spacing w:line="240" w:lineRule="auto"/>
              <w:jc w:val="center"/>
              <w:rPr>
                <w:rFonts w:cs="Times New Roman"/>
                <w:kern w:val="0"/>
                <w:sz w:val="21"/>
                <w:szCs w:val="21"/>
              </w:rPr>
            </w:pPr>
            <w:r>
              <w:rPr>
                <w:rFonts w:hint="eastAsia" w:cs="Times New Roman"/>
                <w:kern w:val="0"/>
                <w:sz w:val="21"/>
                <w:szCs w:val="21"/>
              </w:rPr>
              <w:t>沫河口</w:t>
            </w:r>
            <w:r>
              <w:rPr>
                <w:rFonts w:cs="Times New Roman"/>
                <w:kern w:val="0"/>
                <w:sz w:val="21"/>
                <w:szCs w:val="21"/>
              </w:rPr>
              <w:t>污水处理厂</w:t>
            </w:r>
          </w:p>
        </w:tc>
        <w:tc>
          <w:tcPr>
            <w:tcW w:w="392" w:type="pct"/>
            <w:vMerge w:val="restart"/>
            <w:tcBorders>
              <w:top w:val="nil"/>
              <w:left w:val="nil"/>
              <w:right w:val="single" w:color="auto" w:sz="4" w:space="0"/>
            </w:tcBorders>
            <w:vAlign w:val="center"/>
          </w:tcPr>
          <w:p w14:paraId="7C1D3806">
            <w:pPr>
              <w:widowControl/>
              <w:wordWrap w:val="0"/>
              <w:spacing w:line="240" w:lineRule="auto"/>
              <w:jc w:val="center"/>
              <w:rPr>
                <w:rFonts w:cs="Times New Roman"/>
                <w:kern w:val="0"/>
                <w:sz w:val="21"/>
                <w:szCs w:val="21"/>
              </w:rPr>
            </w:pPr>
            <w:r>
              <w:rPr>
                <w:rFonts w:cs="Times New Roman"/>
                <w:kern w:val="0"/>
                <w:sz w:val="21"/>
                <w:szCs w:val="21"/>
              </w:rPr>
              <w:t>连续</w:t>
            </w:r>
          </w:p>
        </w:tc>
        <w:tc>
          <w:tcPr>
            <w:tcW w:w="391" w:type="pct"/>
            <w:vMerge w:val="restart"/>
            <w:tcBorders>
              <w:top w:val="nil"/>
              <w:left w:val="nil"/>
              <w:right w:val="single" w:color="auto" w:sz="4" w:space="0"/>
            </w:tcBorders>
            <w:vAlign w:val="center"/>
          </w:tcPr>
          <w:p w14:paraId="07FB3AB7">
            <w:pPr>
              <w:widowControl/>
              <w:wordWrap w:val="0"/>
              <w:spacing w:line="240" w:lineRule="auto"/>
              <w:jc w:val="center"/>
              <w:rPr>
                <w:rFonts w:cs="Times New Roman"/>
                <w:kern w:val="0"/>
                <w:sz w:val="21"/>
                <w:szCs w:val="21"/>
              </w:rPr>
            </w:pPr>
            <w:r>
              <w:rPr>
                <w:rFonts w:cs="Times New Roman"/>
                <w:kern w:val="0"/>
                <w:sz w:val="21"/>
                <w:szCs w:val="21"/>
              </w:rPr>
              <w:t>/</w:t>
            </w:r>
          </w:p>
        </w:tc>
        <w:tc>
          <w:tcPr>
            <w:tcW w:w="469" w:type="pct"/>
            <w:vMerge w:val="restart"/>
            <w:tcBorders>
              <w:top w:val="nil"/>
              <w:left w:val="nil"/>
              <w:right w:val="single" w:color="auto" w:sz="4" w:space="0"/>
            </w:tcBorders>
            <w:vAlign w:val="center"/>
          </w:tcPr>
          <w:p w14:paraId="4C082DC3">
            <w:pPr>
              <w:widowControl/>
              <w:wordWrap w:val="0"/>
              <w:spacing w:line="240" w:lineRule="auto"/>
              <w:jc w:val="center"/>
              <w:rPr>
                <w:rFonts w:cs="Times New Roman"/>
                <w:kern w:val="0"/>
                <w:sz w:val="21"/>
                <w:szCs w:val="21"/>
              </w:rPr>
            </w:pPr>
            <w:r>
              <w:rPr>
                <w:rFonts w:hint="eastAsia" w:cs="Times New Roman"/>
                <w:kern w:val="0"/>
                <w:sz w:val="21"/>
                <w:szCs w:val="21"/>
              </w:rPr>
              <w:t>沫河口</w:t>
            </w:r>
            <w:r>
              <w:rPr>
                <w:rFonts w:cs="Times New Roman"/>
                <w:kern w:val="0"/>
                <w:sz w:val="21"/>
                <w:szCs w:val="21"/>
              </w:rPr>
              <w:t>污水处理厂</w:t>
            </w:r>
          </w:p>
        </w:tc>
        <w:tc>
          <w:tcPr>
            <w:tcW w:w="583" w:type="pct"/>
            <w:tcBorders>
              <w:top w:val="single" w:color="auto" w:sz="4" w:space="0"/>
              <w:left w:val="nil"/>
              <w:bottom w:val="single" w:color="auto" w:sz="4" w:space="0"/>
              <w:right w:val="single" w:color="auto" w:sz="4" w:space="0"/>
            </w:tcBorders>
            <w:vAlign w:val="center"/>
          </w:tcPr>
          <w:p w14:paraId="70D05CEA">
            <w:pPr>
              <w:widowControl/>
              <w:wordWrap w:val="0"/>
              <w:spacing w:line="240" w:lineRule="auto"/>
              <w:jc w:val="center"/>
              <w:rPr>
                <w:rFonts w:cs="Times New Roman"/>
                <w:kern w:val="0"/>
                <w:sz w:val="21"/>
                <w:szCs w:val="21"/>
              </w:rPr>
            </w:pPr>
            <w:r>
              <w:rPr>
                <w:rFonts w:cs="Times New Roman"/>
                <w:kern w:val="0"/>
                <w:sz w:val="21"/>
                <w:szCs w:val="21"/>
              </w:rPr>
              <w:t>pH</w:t>
            </w:r>
          </w:p>
        </w:tc>
        <w:tc>
          <w:tcPr>
            <w:tcW w:w="896" w:type="pct"/>
            <w:tcBorders>
              <w:top w:val="single" w:color="auto" w:sz="4" w:space="0"/>
              <w:left w:val="nil"/>
              <w:bottom w:val="single" w:color="auto" w:sz="4" w:space="0"/>
              <w:right w:val="single" w:color="auto" w:sz="4" w:space="0"/>
            </w:tcBorders>
            <w:vAlign w:val="center"/>
          </w:tcPr>
          <w:p w14:paraId="04897D5D">
            <w:pPr>
              <w:widowControl/>
              <w:wordWrap w:val="0"/>
              <w:spacing w:line="240" w:lineRule="auto"/>
              <w:jc w:val="center"/>
              <w:rPr>
                <w:rFonts w:cs="Times New Roman"/>
                <w:kern w:val="0"/>
                <w:sz w:val="21"/>
                <w:szCs w:val="21"/>
              </w:rPr>
            </w:pPr>
            <w:r>
              <w:rPr>
                <w:rFonts w:cs="Times New Roman"/>
                <w:kern w:val="0"/>
                <w:sz w:val="21"/>
                <w:szCs w:val="21"/>
              </w:rPr>
              <w:t>6~9</w:t>
            </w:r>
          </w:p>
        </w:tc>
      </w:tr>
      <w:tr w14:paraId="5EB949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413" w:type="pct"/>
            <w:vMerge w:val="continue"/>
            <w:tcBorders>
              <w:left w:val="single" w:color="auto" w:sz="4" w:space="0"/>
              <w:right w:val="single" w:color="auto" w:sz="4" w:space="0"/>
            </w:tcBorders>
            <w:vAlign w:val="center"/>
          </w:tcPr>
          <w:p w14:paraId="3D126DED">
            <w:pPr>
              <w:widowControl/>
              <w:wordWrap w:val="0"/>
              <w:spacing w:line="240" w:lineRule="auto"/>
              <w:jc w:val="center"/>
              <w:rPr>
                <w:rFonts w:cs="Times New Roman"/>
                <w:kern w:val="0"/>
                <w:sz w:val="21"/>
                <w:szCs w:val="21"/>
              </w:rPr>
            </w:pPr>
          </w:p>
        </w:tc>
        <w:tc>
          <w:tcPr>
            <w:tcW w:w="524" w:type="pct"/>
            <w:vMerge w:val="continue"/>
            <w:tcBorders>
              <w:left w:val="nil"/>
              <w:right w:val="single" w:color="auto" w:sz="4" w:space="0"/>
            </w:tcBorders>
            <w:vAlign w:val="center"/>
          </w:tcPr>
          <w:p w14:paraId="070FE7F4">
            <w:pPr>
              <w:widowControl/>
              <w:wordWrap w:val="0"/>
              <w:spacing w:line="240" w:lineRule="auto"/>
              <w:jc w:val="center"/>
              <w:rPr>
                <w:rFonts w:cs="Times New Roman"/>
                <w:kern w:val="0"/>
                <w:sz w:val="21"/>
                <w:szCs w:val="21"/>
              </w:rPr>
            </w:pPr>
          </w:p>
        </w:tc>
        <w:tc>
          <w:tcPr>
            <w:tcW w:w="461" w:type="pct"/>
            <w:vMerge w:val="continue"/>
            <w:tcBorders>
              <w:left w:val="nil"/>
              <w:right w:val="single" w:color="auto" w:sz="4" w:space="0"/>
            </w:tcBorders>
            <w:vAlign w:val="center"/>
          </w:tcPr>
          <w:p w14:paraId="084240BA">
            <w:pPr>
              <w:widowControl/>
              <w:wordWrap w:val="0"/>
              <w:spacing w:line="240" w:lineRule="auto"/>
              <w:jc w:val="center"/>
              <w:rPr>
                <w:rFonts w:cs="Times New Roman"/>
                <w:kern w:val="0"/>
                <w:sz w:val="21"/>
                <w:szCs w:val="21"/>
              </w:rPr>
            </w:pPr>
          </w:p>
        </w:tc>
        <w:tc>
          <w:tcPr>
            <w:tcW w:w="480" w:type="pct"/>
            <w:vMerge w:val="continue"/>
            <w:tcBorders>
              <w:left w:val="nil"/>
              <w:right w:val="single" w:color="auto" w:sz="4" w:space="0"/>
            </w:tcBorders>
            <w:vAlign w:val="center"/>
          </w:tcPr>
          <w:p w14:paraId="70B9E52D">
            <w:pPr>
              <w:widowControl/>
              <w:wordWrap w:val="0"/>
              <w:spacing w:line="240" w:lineRule="auto"/>
              <w:jc w:val="center"/>
              <w:rPr>
                <w:rFonts w:cs="Times New Roman"/>
                <w:kern w:val="0"/>
                <w:sz w:val="21"/>
                <w:szCs w:val="21"/>
              </w:rPr>
            </w:pPr>
          </w:p>
        </w:tc>
        <w:tc>
          <w:tcPr>
            <w:tcW w:w="391" w:type="pct"/>
            <w:vMerge w:val="continue"/>
            <w:tcBorders>
              <w:left w:val="nil"/>
              <w:right w:val="single" w:color="auto" w:sz="4" w:space="0"/>
            </w:tcBorders>
            <w:vAlign w:val="center"/>
          </w:tcPr>
          <w:p w14:paraId="2699E5BC">
            <w:pPr>
              <w:widowControl/>
              <w:wordWrap w:val="0"/>
              <w:spacing w:line="240" w:lineRule="auto"/>
              <w:jc w:val="center"/>
              <w:rPr>
                <w:rFonts w:cs="Times New Roman"/>
                <w:kern w:val="0"/>
                <w:sz w:val="21"/>
                <w:szCs w:val="21"/>
              </w:rPr>
            </w:pPr>
          </w:p>
        </w:tc>
        <w:tc>
          <w:tcPr>
            <w:tcW w:w="392" w:type="pct"/>
            <w:vMerge w:val="continue"/>
            <w:tcBorders>
              <w:left w:val="nil"/>
              <w:right w:val="single" w:color="auto" w:sz="4" w:space="0"/>
            </w:tcBorders>
            <w:vAlign w:val="center"/>
          </w:tcPr>
          <w:p w14:paraId="790F36D5">
            <w:pPr>
              <w:widowControl/>
              <w:wordWrap w:val="0"/>
              <w:spacing w:line="240" w:lineRule="auto"/>
              <w:jc w:val="center"/>
              <w:rPr>
                <w:rFonts w:cs="Times New Roman"/>
                <w:kern w:val="0"/>
                <w:sz w:val="21"/>
                <w:szCs w:val="21"/>
              </w:rPr>
            </w:pPr>
          </w:p>
        </w:tc>
        <w:tc>
          <w:tcPr>
            <w:tcW w:w="391" w:type="pct"/>
            <w:vMerge w:val="continue"/>
            <w:tcBorders>
              <w:left w:val="nil"/>
              <w:right w:val="single" w:color="auto" w:sz="4" w:space="0"/>
            </w:tcBorders>
            <w:vAlign w:val="center"/>
          </w:tcPr>
          <w:p w14:paraId="57B78BE7">
            <w:pPr>
              <w:widowControl/>
              <w:wordWrap w:val="0"/>
              <w:spacing w:line="240" w:lineRule="auto"/>
              <w:jc w:val="center"/>
              <w:rPr>
                <w:rFonts w:cs="Times New Roman"/>
                <w:kern w:val="0"/>
                <w:sz w:val="21"/>
                <w:szCs w:val="21"/>
              </w:rPr>
            </w:pPr>
          </w:p>
        </w:tc>
        <w:tc>
          <w:tcPr>
            <w:tcW w:w="469" w:type="pct"/>
            <w:vMerge w:val="continue"/>
            <w:tcBorders>
              <w:left w:val="nil"/>
              <w:right w:val="single" w:color="auto" w:sz="4" w:space="0"/>
            </w:tcBorders>
            <w:vAlign w:val="center"/>
          </w:tcPr>
          <w:p w14:paraId="377F06F1">
            <w:pPr>
              <w:widowControl/>
              <w:wordWrap w:val="0"/>
              <w:spacing w:line="240" w:lineRule="auto"/>
              <w:jc w:val="center"/>
              <w:rPr>
                <w:rFonts w:cs="Times New Roman"/>
                <w:kern w:val="0"/>
                <w:sz w:val="21"/>
                <w:szCs w:val="21"/>
              </w:rPr>
            </w:pPr>
          </w:p>
        </w:tc>
        <w:tc>
          <w:tcPr>
            <w:tcW w:w="583" w:type="pct"/>
            <w:tcBorders>
              <w:top w:val="single" w:color="auto" w:sz="4" w:space="0"/>
              <w:left w:val="nil"/>
              <w:bottom w:val="single" w:color="auto" w:sz="4" w:space="0"/>
              <w:right w:val="single" w:color="auto" w:sz="4" w:space="0"/>
            </w:tcBorders>
            <w:vAlign w:val="center"/>
          </w:tcPr>
          <w:p w14:paraId="1F3A2637">
            <w:pPr>
              <w:widowControl/>
              <w:wordWrap w:val="0"/>
              <w:spacing w:line="240" w:lineRule="auto"/>
              <w:jc w:val="center"/>
              <w:rPr>
                <w:rFonts w:cs="Times New Roman"/>
                <w:kern w:val="0"/>
                <w:sz w:val="21"/>
                <w:szCs w:val="21"/>
              </w:rPr>
            </w:pPr>
            <w:r>
              <w:rPr>
                <w:sz w:val="21"/>
                <w:szCs w:val="21"/>
              </w:rPr>
              <w:t>COD</w:t>
            </w:r>
          </w:p>
        </w:tc>
        <w:tc>
          <w:tcPr>
            <w:tcW w:w="896" w:type="pct"/>
            <w:tcBorders>
              <w:top w:val="single" w:color="auto" w:sz="4" w:space="0"/>
              <w:left w:val="nil"/>
              <w:bottom w:val="single" w:color="auto" w:sz="4" w:space="0"/>
              <w:right w:val="single" w:color="auto" w:sz="4" w:space="0"/>
            </w:tcBorders>
            <w:vAlign w:val="center"/>
          </w:tcPr>
          <w:p w14:paraId="14D8DD95">
            <w:pPr>
              <w:widowControl/>
              <w:wordWrap w:val="0"/>
              <w:spacing w:line="240" w:lineRule="auto"/>
              <w:jc w:val="center"/>
              <w:rPr>
                <w:rFonts w:cs="Times New Roman"/>
                <w:kern w:val="0"/>
                <w:sz w:val="21"/>
                <w:szCs w:val="21"/>
              </w:rPr>
            </w:pPr>
            <w:r>
              <w:rPr>
                <w:rFonts w:hint="eastAsia"/>
                <w:sz w:val="21"/>
                <w:szCs w:val="21"/>
              </w:rPr>
              <w:t>50</w:t>
            </w:r>
          </w:p>
        </w:tc>
      </w:tr>
      <w:tr w14:paraId="404C18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413" w:type="pct"/>
            <w:vMerge w:val="continue"/>
            <w:tcBorders>
              <w:left w:val="single" w:color="auto" w:sz="4" w:space="0"/>
              <w:right w:val="single" w:color="auto" w:sz="4" w:space="0"/>
            </w:tcBorders>
            <w:vAlign w:val="center"/>
          </w:tcPr>
          <w:p w14:paraId="053988CA">
            <w:pPr>
              <w:widowControl/>
              <w:wordWrap w:val="0"/>
              <w:spacing w:line="240" w:lineRule="auto"/>
              <w:jc w:val="center"/>
              <w:rPr>
                <w:rFonts w:cs="Times New Roman"/>
                <w:kern w:val="0"/>
                <w:sz w:val="21"/>
                <w:szCs w:val="21"/>
              </w:rPr>
            </w:pPr>
          </w:p>
        </w:tc>
        <w:tc>
          <w:tcPr>
            <w:tcW w:w="524" w:type="pct"/>
            <w:vMerge w:val="continue"/>
            <w:tcBorders>
              <w:left w:val="nil"/>
              <w:right w:val="single" w:color="auto" w:sz="4" w:space="0"/>
            </w:tcBorders>
            <w:vAlign w:val="center"/>
          </w:tcPr>
          <w:p w14:paraId="0B415267">
            <w:pPr>
              <w:widowControl/>
              <w:wordWrap w:val="0"/>
              <w:spacing w:line="240" w:lineRule="auto"/>
              <w:jc w:val="center"/>
              <w:rPr>
                <w:rFonts w:cs="Times New Roman"/>
                <w:kern w:val="0"/>
                <w:sz w:val="21"/>
                <w:szCs w:val="21"/>
              </w:rPr>
            </w:pPr>
          </w:p>
        </w:tc>
        <w:tc>
          <w:tcPr>
            <w:tcW w:w="461" w:type="pct"/>
            <w:vMerge w:val="continue"/>
            <w:tcBorders>
              <w:left w:val="nil"/>
              <w:right w:val="single" w:color="auto" w:sz="4" w:space="0"/>
            </w:tcBorders>
            <w:vAlign w:val="center"/>
          </w:tcPr>
          <w:p w14:paraId="6402E28D">
            <w:pPr>
              <w:widowControl/>
              <w:wordWrap w:val="0"/>
              <w:spacing w:line="240" w:lineRule="auto"/>
              <w:jc w:val="center"/>
              <w:rPr>
                <w:rFonts w:cs="Times New Roman"/>
                <w:kern w:val="0"/>
                <w:sz w:val="21"/>
                <w:szCs w:val="21"/>
              </w:rPr>
            </w:pPr>
          </w:p>
        </w:tc>
        <w:tc>
          <w:tcPr>
            <w:tcW w:w="480" w:type="pct"/>
            <w:vMerge w:val="continue"/>
            <w:tcBorders>
              <w:left w:val="nil"/>
              <w:right w:val="single" w:color="auto" w:sz="4" w:space="0"/>
            </w:tcBorders>
            <w:vAlign w:val="center"/>
          </w:tcPr>
          <w:p w14:paraId="5DBA30B5">
            <w:pPr>
              <w:widowControl/>
              <w:wordWrap w:val="0"/>
              <w:spacing w:line="240" w:lineRule="auto"/>
              <w:jc w:val="center"/>
              <w:rPr>
                <w:rFonts w:cs="Times New Roman"/>
                <w:kern w:val="0"/>
                <w:sz w:val="21"/>
                <w:szCs w:val="21"/>
              </w:rPr>
            </w:pPr>
          </w:p>
        </w:tc>
        <w:tc>
          <w:tcPr>
            <w:tcW w:w="391" w:type="pct"/>
            <w:vMerge w:val="continue"/>
            <w:tcBorders>
              <w:left w:val="nil"/>
              <w:right w:val="single" w:color="auto" w:sz="4" w:space="0"/>
            </w:tcBorders>
            <w:vAlign w:val="center"/>
          </w:tcPr>
          <w:p w14:paraId="4AEB88C3">
            <w:pPr>
              <w:widowControl/>
              <w:wordWrap w:val="0"/>
              <w:spacing w:line="240" w:lineRule="auto"/>
              <w:jc w:val="center"/>
              <w:rPr>
                <w:rFonts w:cs="Times New Roman"/>
                <w:kern w:val="0"/>
                <w:sz w:val="21"/>
                <w:szCs w:val="21"/>
              </w:rPr>
            </w:pPr>
          </w:p>
        </w:tc>
        <w:tc>
          <w:tcPr>
            <w:tcW w:w="392" w:type="pct"/>
            <w:vMerge w:val="continue"/>
            <w:tcBorders>
              <w:left w:val="nil"/>
              <w:right w:val="single" w:color="auto" w:sz="4" w:space="0"/>
            </w:tcBorders>
            <w:vAlign w:val="center"/>
          </w:tcPr>
          <w:p w14:paraId="48EA8817">
            <w:pPr>
              <w:widowControl/>
              <w:wordWrap w:val="0"/>
              <w:spacing w:line="240" w:lineRule="auto"/>
              <w:jc w:val="center"/>
              <w:rPr>
                <w:rFonts w:cs="Times New Roman"/>
                <w:kern w:val="0"/>
                <w:sz w:val="21"/>
                <w:szCs w:val="21"/>
              </w:rPr>
            </w:pPr>
          </w:p>
        </w:tc>
        <w:tc>
          <w:tcPr>
            <w:tcW w:w="391" w:type="pct"/>
            <w:vMerge w:val="continue"/>
            <w:tcBorders>
              <w:left w:val="nil"/>
              <w:right w:val="single" w:color="auto" w:sz="4" w:space="0"/>
            </w:tcBorders>
            <w:vAlign w:val="center"/>
          </w:tcPr>
          <w:p w14:paraId="6873BFBB">
            <w:pPr>
              <w:widowControl/>
              <w:wordWrap w:val="0"/>
              <w:spacing w:line="240" w:lineRule="auto"/>
              <w:jc w:val="center"/>
              <w:rPr>
                <w:rFonts w:cs="Times New Roman"/>
                <w:kern w:val="0"/>
                <w:sz w:val="21"/>
                <w:szCs w:val="21"/>
              </w:rPr>
            </w:pPr>
          </w:p>
        </w:tc>
        <w:tc>
          <w:tcPr>
            <w:tcW w:w="469" w:type="pct"/>
            <w:vMerge w:val="continue"/>
            <w:tcBorders>
              <w:left w:val="nil"/>
              <w:right w:val="single" w:color="auto" w:sz="4" w:space="0"/>
            </w:tcBorders>
            <w:vAlign w:val="center"/>
          </w:tcPr>
          <w:p w14:paraId="3B8F5FEC">
            <w:pPr>
              <w:widowControl/>
              <w:wordWrap w:val="0"/>
              <w:spacing w:line="240" w:lineRule="auto"/>
              <w:jc w:val="center"/>
              <w:rPr>
                <w:rFonts w:cs="Times New Roman"/>
                <w:kern w:val="0"/>
                <w:sz w:val="21"/>
                <w:szCs w:val="21"/>
              </w:rPr>
            </w:pPr>
          </w:p>
        </w:tc>
        <w:tc>
          <w:tcPr>
            <w:tcW w:w="583" w:type="pct"/>
            <w:tcBorders>
              <w:top w:val="single" w:color="auto" w:sz="4" w:space="0"/>
              <w:left w:val="nil"/>
              <w:bottom w:val="single" w:color="auto" w:sz="4" w:space="0"/>
              <w:right w:val="single" w:color="auto" w:sz="4" w:space="0"/>
            </w:tcBorders>
            <w:vAlign w:val="center"/>
          </w:tcPr>
          <w:p w14:paraId="065FA54C">
            <w:pPr>
              <w:widowControl/>
              <w:wordWrap w:val="0"/>
              <w:spacing w:line="240" w:lineRule="auto"/>
              <w:jc w:val="center"/>
              <w:rPr>
                <w:rFonts w:cs="Times New Roman"/>
                <w:kern w:val="0"/>
                <w:sz w:val="21"/>
                <w:szCs w:val="21"/>
              </w:rPr>
            </w:pPr>
            <w:r>
              <w:rPr>
                <w:sz w:val="21"/>
                <w:szCs w:val="21"/>
              </w:rPr>
              <w:t>BOD</w:t>
            </w:r>
            <w:r>
              <w:rPr>
                <w:sz w:val="21"/>
                <w:szCs w:val="21"/>
                <w:vertAlign w:val="subscript"/>
              </w:rPr>
              <w:t>5</w:t>
            </w:r>
          </w:p>
        </w:tc>
        <w:tc>
          <w:tcPr>
            <w:tcW w:w="896" w:type="pct"/>
            <w:tcBorders>
              <w:top w:val="single" w:color="auto" w:sz="4" w:space="0"/>
              <w:left w:val="nil"/>
              <w:bottom w:val="single" w:color="auto" w:sz="4" w:space="0"/>
              <w:right w:val="single" w:color="auto" w:sz="4" w:space="0"/>
            </w:tcBorders>
            <w:vAlign w:val="center"/>
          </w:tcPr>
          <w:p w14:paraId="1E550FCE">
            <w:pPr>
              <w:widowControl/>
              <w:wordWrap w:val="0"/>
              <w:spacing w:line="240" w:lineRule="auto"/>
              <w:jc w:val="center"/>
              <w:rPr>
                <w:rFonts w:cs="Times New Roman"/>
                <w:kern w:val="0"/>
                <w:sz w:val="21"/>
                <w:szCs w:val="21"/>
              </w:rPr>
            </w:pPr>
            <w:r>
              <w:rPr>
                <w:rFonts w:hint="eastAsia"/>
                <w:sz w:val="21"/>
                <w:szCs w:val="21"/>
              </w:rPr>
              <w:t>10</w:t>
            </w:r>
          </w:p>
        </w:tc>
      </w:tr>
      <w:tr w14:paraId="6A9E8D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 w:hRule="atLeast"/>
          <w:jc w:val="center"/>
        </w:trPr>
        <w:tc>
          <w:tcPr>
            <w:tcW w:w="413" w:type="pct"/>
            <w:vMerge w:val="continue"/>
            <w:tcBorders>
              <w:left w:val="single" w:color="auto" w:sz="4" w:space="0"/>
              <w:right w:val="single" w:color="auto" w:sz="4" w:space="0"/>
            </w:tcBorders>
            <w:vAlign w:val="center"/>
          </w:tcPr>
          <w:p w14:paraId="424EBEE3">
            <w:pPr>
              <w:widowControl/>
              <w:wordWrap w:val="0"/>
              <w:spacing w:line="240" w:lineRule="auto"/>
              <w:jc w:val="center"/>
              <w:rPr>
                <w:rFonts w:cs="Times New Roman"/>
                <w:kern w:val="0"/>
                <w:sz w:val="21"/>
                <w:szCs w:val="21"/>
              </w:rPr>
            </w:pPr>
          </w:p>
        </w:tc>
        <w:tc>
          <w:tcPr>
            <w:tcW w:w="524" w:type="pct"/>
            <w:vMerge w:val="continue"/>
            <w:tcBorders>
              <w:left w:val="nil"/>
              <w:right w:val="single" w:color="auto" w:sz="4" w:space="0"/>
            </w:tcBorders>
            <w:vAlign w:val="center"/>
          </w:tcPr>
          <w:p w14:paraId="61FDD8EA">
            <w:pPr>
              <w:widowControl/>
              <w:wordWrap w:val="0"/>
              <w:spacing w:line="240" w:lineRule="auto"/>
              <w:jc w:val="center"/>
              <w:rPr>
                <w:rFonts w:cs="Times New Roman"/>
                <w:kern w:val="0"/>
                <w:sz w:val="21"/>
                <w:szCs w:val="21"/>
              </w:rPr>
            </w:pPr>
          </w:p>
        </w:tc>
        <w:tc>
          <w:tcPr>
            <w:tcW w:w="461" w:type="pct"/>
            <w:vMerge w:val="continue"/>
            <w:tcBorders>
              <w:left w:val="nil"/>
              <w:right w:val="single" w:color="auto" w:sz="4" w:space="0"/>
            </w:tcBorders>
            <w:vAlign w:val="center"/>
          </w:tcPr>
          <w:p w14:paraId="627769AA">
            <w:pPr>
              <w:widowControl/>
              <w:wordWrap w:val="0"/>
              <w:spacing w:line="240" w:lineRule="auto"/>
              <w:jc w:val="center"/>
              <w:rPr>
                <w:rFonts w:cs="Times New Roman"/>
                <w:kern w:val="0"/>
                <w:sz w:val="21"/>
                <w:szCs w:val="21"/>
              </w:rPr>
            </w:pPr>
          </w:p>
        </w:tc>
        <w:tc>
          <w:tcPr>
            <w:tcW w:w="480" w:type="pct"/>
            <w:vMerge w:val="continue"/>
            <w:tcBorders>
              <w:left w:val="nil"/>
              <w:right w:val="single" w:color="auto" w:sz="4" w:space="0"/>
            </w:tcBorders>
            <w:vAlign w:val="center"/>
          </w:tcPr>
          <w:p w14:paraId="1A1D84BD">
            <w:pPr>
              <w:widowControl/>
              <w:wordWrap w:val="0"/>
              <w:spacing w:line="240" w:lineRule="auto"/>
              <w:jc w:val="center"/>
              <w:rPr>
                <w:rFonts w:cs="Times New Roman"/>
                <w:kern w:val="0"/>
                <w:sz w:val="21"/>
                <w:szCs w:val="21"/>
              </w:rPr>
            </w:pPr>
          </w:p>
        </w:tc>
        <w:tc>
          <w:tcPr>
            <w:tcW w:w="391" w:type="pct"/>
            <w:vMerge w:val="continue"/>
            <w:tcBorders>
              <w:left w:val="nil"/>
              <w:right w:val="single" w:color="auto" w:sz="4" w:space="0"/>
            </w:tcBorders>
            <w:vAlign w:val="center"/>
          </w:tcPr>
          <w:p w14:paraId="797A024D">
            <w:pPr>
              <w:widowControl/>
              <w:wordWrap w:val="0"/>
              <w:spacing w:line="240" w:lineRule="auto"/>
              <w:jc w:val="center"/>
              <w:rPr>
                <w:rFonts w:cs="Times New Roman"/>
                <w:kern w:val="0"/>
                <w:sz w:val="21"/>
                <w:szCs w:val="21"/>
              </w:rPr>
            </w:pPr>
          </w:p>
        </w:tc>
        <w:tc>
          <w:tcPr>
            <w:tcW w:w="392" w:type="pct"/>
            <w:vMerge w:val="continue"/>
            <w:tcBorders>
              <w:left w:val="nil"/>
              <w:right w:val="single" w:color="auto" w:sz="4" w:space="0"/>
            </w:tcBorders>
            <w:vAlign w:val="center"/>
          </w:tcPr>
          <w:p w14:paraId="58B7344A">
            <w:pPr>
              <w:widowControl/>
              <w:wordWrap w:val="0"/>
              <w:spacing w:line="240" w:lineRule="auto"/>
              <w:jc w:val="center"/>
              <w:rPr>
                <w:rFonts w:cs="Times New Roman"/>
                <w:kern w:val="0"/>
                <w:sz w:val="21"/>
                <w:szCs w:val="21"/>
              </w:rPr>
            </w:pPr>
          </w:p>
        </w:tc>
        <w:tc>
          <w:tcPr>
            <w:tcW w:w="391" w:type="pct"/>
            <w:vMerge w:val="continue"/>
            <w:tcBorders>
              <w:left w:val="nil"/>
              <w:right w:val="single" w:color="auto" w:sz="4" w:space="0"/>
            </w:tcBorders>
            <w:vAlign w:val="center"/>
          </w:tcPr>
          <w:p w14:paraId="075DDF84">
            <w:pPr>
              <w:widowControl/>
              <w:wordWrap w:val="0"/>
              <w:spacing w:line="240" w:lineRule="auto"/>
              <w:jc w:val="center"/>
              <w:rPr>
                <w:rFonts w:cs="Times New Roman"/>
                <w:kern w:val="0"/>
                <w:sz w:val="21"/>
                <w:szCs w:val="21"/>
              </w:rPr>
            </w:pPr>
          </w:p>
        </w:tc>
        <w:tc>
          <w:tcPr>
            <w:tcW w:w="469" w:type="pct"/>
            <w:vMerge w:val="continue"/>
            <w:tcBorders>
              <w:left w:val="nil"/>
              <w:right w:val="single" w:color="auto" w:sz="4" w:space="0"/>
            </w:tcBorders>
            <w:vAlign w:val="center"/>
          </w:tcPr>
          <w:p w14:paraId="37547C42">
            <w:pPr>
              <w:widowControl/>
              <w:wordWrap w:val="0"/>
              <w:spacing w:line="240" w:lineRule="auto"/>
              <w:jc w:val="center"/>
              <w:rPr>
                <w:rFonts w:cs="Times New Roman"/>
                <w:kern w:val="0"/>
                <w:sz w:val="21"/>
                <w:szCs w:val="21"/>
              </w:rPr>
            </w:pPr>
          </w:p>
        </w:tc>
        <w:tc>
          <w:tcPr>
            <w:tcW w:w="583" w:type="pct"/>
            <w:tcBorders>
              <w:top w:val="single" w:color="auto" w:sz="4" w:space="0"/>
              <w:left w:val="nil"/>
              <w:bottom w:val="single" w:color="auto" w:sz="4" w:space="0"/>
              <w:right w:val="single" w:color="auto" w:sz="4" w:space="0"/>
            </w:tcBorders>
            <w:vAlign w:val="center"/>
          </w:tcPr>
          <w:p w14:paraId="3F2FB762">
            <w:pPr>
              <w:widowControl/>
              <w:wordWrap w:val="0"/>
              <w:spacing w:line="240" w:lineRule="auto"/>
              <w:jc w:val="center"/>
              <w:rPr>
                <w:rFonts w:cs="Times New Roman"/>
                <w:kern w:val="0"/>
                <w:sz w:val="21"/>
                <w:szCs w:val="21"/>
              </w:rPr>
            </w:pPr>
            <w:r>
              <w:rPr>
                <w:sz w:val="21"/>
                <w:szCs w:val="21"/>
              </w:rPr>
              <w:t>SS</w:t>
            </w:r>
          </w:p>
        </w:tc>
        <w:tc>
          <w:tcPr>
            <w:tcW w:w="896" w:type="pct"/>
            <w:tcBorders>
              <w:top w:val="single" w:color="auto" w:sz="4" w:space="0"/>
              <w:left w:val="nil"/>
              <w:bottom w:val="single" w:color="auto" w:sz="4" w:space="0"/>
              <w:right w:val="single" w:color="auto" w:sz="4" w:space="0"/>
            </w:tcBorders>
            <w:vAlign w:val="center"/>
          </w:tcPr>
          <w:p w14:paraId="249B086A">
            <w:pPr>
              <w:widowControl/>
              <w:wordWrap w:val="0"/>
              <w:spacing w:line="240" w:lineRule="auto"/>
              <w:jc w:val="center"/>
              <w:rPr>
                <w:rFonts w:cs="Times New Roman"/>
                <w:kern w:val="0"/>
                <w:sz w:val="21"/>
                <w:szCs w:val="21"/>
              </w:rPr>
            </w:pPr>
            <w:r>
              <w:rPr>
                <w:rFonts w:hint="eastAsia"/>
                <w:sz w:val="21"/>
                <w:szCs w:val="21"/>
              </w:rPr>
              <w:t>10</w:t>
            </w:r>
          </w:p>
        </w:tc>
      </w:tr>
      <w:tr w14:paraId="2C9154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 w:hRule="atLeast"/>
          <w:jc w:val="center"/>
        </w:trPr>
        <w:tc>
          <w:tcPr>
            <w:tcW w:w="413" w:type="pct"/>
            <w:vMerge w:val="continue"/>
            <w:tcBorders>
              <w:left w:val="single" w:color="auto" w:sz="4" w:space="0"/>
              <w:right w:val="single" w:color="auto" w:sz="4" w:space="0"/>
            </w:tcBorders>
            <w:vAlign w:val="center"/>
          </w:tcPr>
          <w:p w14:paraId="5FB562CD">
            <w:pPr>
              <w:widowControl/>
              <w:wordWrap w:val="0"/>
              <w:spacing w:line="240" w:lineRule="auto"/>
              <w:jc w:val="center"/>
              <w:rPr>
                <w:rFonts w:cs="Times New Roman"/>
                <w:kern w:val="0"/>
                <w:sz w:val="21"/>
                <w:szCs w:val="21"/>
              </w:rPr>
            </w:pPr>
          </w:p>
        </w:tc>
        <w:tc>
          <w:tcPr>
            <w:tcW w:w="524" w:type="pct"/>
            <w:vMerge w:val="continue"/>
            <w:tcBorders>
              <w:left w:val="nil"/>
              <w:right w:val="single" w:color="auto" w:sz="4" w:space="0"/>
            </w:tcBorders>
            <w:vAlign w:val="center"/>
          </w:tcPr>
          <w:p w14:paraId="4C9C348E">
            <w:pPr>
              <w:widowControl/>
              <w:wordWrap w:val="0"/>
              <w:spacing w:line="240" w:lineRule="auto"/>
              <w:jc w:val="center"/>
              <w:rPr>
                <w:rFonts w:cs="Times New Roman"/>
                <w:kern w:val="0"/>
                <w:sz w:val="21"/>
                <w:szCs w:val="21"/>
              </w:rPr>
            </w:pPr>
          </w:p>
        </w:tc>
        <w:tc>
          <w:tcPr>
            <w:tcW w:w="461" w:type="pct"/>
            <w:vMerge w:val="continue"/>
            <w:tcBorders>
              <w:left w:val="nil"/>
              <w:right w:val="single" w:color="auto" w:sz="4" w:space="0"/>
            </w:tcBorders>
            <w:vAlign w:val="center"/>
          </w:tcPr>
          <w:p w14:paraId="1F98FC83">
            <w:pPr>
              <w:widowControl/>
              <w:wordWrap w:val="0"/>
              <w:spacing w:line="240" w:lineRule="auto"/>
              <w:jc w:val="center"/>
              <w:rPr>
                <w:rFonts w:cs="Times New Roman"/>
                <w:kern w:val="0"/>
                <w:sz w:val="21"/>
                <w:szCs w:val="21"/>
              </w:rPr>
            </w:pPr>
          </w:p>
        </w:tc>
        <w:tc>
          <w:tcPr>
            <w:tcW w:w="480" w:type="pct"/>
            <w:vMerge w:val="continue"/>
            <w:tcBorders>
              <w:left w:val="nil"/>
              <w:right w:val="single" w:color="auto" w:sz="4" w:space="0"/>
            </w:tcBorders>
            <w:vAlign w:val="center"/>
          </w:tcPr>
          <w:p w14:paraId="4B1BE7A9">
            <w:pPr>
              <w:widowControl/>
              <w:wordWrap w:val="0"/>
              <w:spacing w:line="240" w:lineRule="auto"/>
              <w:jc w:val="center"/>
              <w:rPr>
                <w:rFonts w:cs="Times New Roman"/>
                <w:kern w:val="0"/>
                <w:sz w:val="21"/>
                <w:szCs w:val="21"/>
              </w:rPr>
            </w:pPr>
          </w:p>
        </w:tc>
        <w:tc>
          <w:tcPr>
            <w:tcW w:w="391" w:type="pct"/>
            <w:vMerge w:val="continue"/>
            <w:tcBorders>
              <w:left w:val="nil"/>
              <w:right w:val="single" w:color="auto" w:sz="4" w:space="0"/>
            </w:tcBorders>
            <w:vAlign w:val="center"/>
          </w:tcPr>
          <w:p w14:paraId="08930F78">
            <w:pPr>
              <w:widowControl/>
              <w:wordWrap w:val="0"/>
              <w:spacing w:line="240" w:lineRule="auto"/>
              <w:jc w:val="center"/>
              <w:rPr>
                <w:rFonts w:cs="Times New Roman"/>
                <w:kern w:val="0"/>
                <w:sz w:val="21"/>
                <w:szCs w:val="21"/>
              </w:rPr>
            </w:pPr>
          </w:p>
        </w:tc>
        <w:tc>
          <w:tcPr>
            <w:tcW w:w="392" w:type="pct"/>
            <w:vMerge w:val="continue"/>
            <w:tcBorders>
              <w:left w:val="nil"/>
              <w:right w:val="single" w:color="auto" w:sz="4" w:space="0"/>
            </w:tcBorders>
            <w:vAlign w:val="center"/>
          </w:tcPr>
          <w:p w14:paraId="0CC5369A">
            <w:pPr>
              <w:widowControl/>
              <w:wordWrap w:val="0"/>
              <w:spacing w:line="240" w:lineRule="auto"/>
              <w:jc w:val="center"/>
              <w:rPr>
                <w:rFonts w:cs="Times New Roman"/>
                <w:kern w:val="0"/>
                <w:sz w:val="21"/>
                <w:szCs w:val="21"/>
              </w:rPr>
            </w:pPr>
          </w:p>
        </w:tc>
        <w:tc>
          <w:tcPr>
            <w:tcW w:w="391" w:type="pct"/>
            <w:vMerge w:val="continue"/>
            <w:tcBorders>
              <w:left w:val="nil"/>
              <w:right w:val="single" w:color="auto" w:sz="4" w:space="0"/>
            </w:tcBorders>
            <w:vAlign w:val="center"/>
          </w:tcPr>
          <w:p w14:paraId="04CC7AC8">
            <w:pPr>
              <w:widowControl/>
              <w:wordWrap w:val="0"/>
              <w:spacing w:line="240" w:lineRule="auto"/>
              <w:jc w:val="center"/>
              <w:rPr>
                <w:rFonts w:cs="Times New Roman"/>
                <w:kern w:val="0"/>
                <w:sz w:val="21"/>
                <w:szCs w:val="21"/>
              </w:rPr>
            </w:pPr>
          </w:p>
        </w:tc>
        <w:tc>
          <w:tcPr>
            <w:tcW w:w="469" w:type="pct"/>
            <w:vMerge w:val="continue"/>
            <w:tcBorders>
              <w:left w:val="nil"/>
              <w:right w:val="single" w:color="auto" w:sz="4" w:space="0"/>
            </w:tcBorders>
            <w:vAlign w:val="center"/>
          </w:tcPr>
          <w:p w14:paraId="338EED0D">
            <w:pPr>
              <w:widowControl/>
              <w:wordWrap w:val="0"/>
              <w:spacing w:line="240" w:lineRule="auto"/>
              <w:jc w:val="center"/>
              <w:rPr>
                <w:rFonts w:cs="Times New Roman"/>
                <w:kern w:val="0"/>
                <w:sz w:val="21"/>
                <w:szCs w:val="21"/>
              </w:rPr>
            </w:pPr>
          </w:p>
        </w:tc>
        <w:tc>
          <w:tcPr>
            <w:tcW w:w="583" w:type="pct"/>
            <w:tcBorders>
              <w:top w:val="single" w:color="auto" w:sz="4" w:space="0"/>
              <w:left w:val="nil"/>
              <w:bottom w:val="single" w:color="auto" w:sz="4" w:space="0"/>
              <w:right w:val="single" w:color="auto" w:sz="4" w:space="0"/>
            </w:tcBorders>
            <w:vAlign w:val="center"/>
          </w:tcPr>
          <w:p w14:paraId="0D28CD83">
            <w:pPr>
              <w:widowControl/>
              <w:wordWrap w:val="0"/>
              <w:spacing w:line="240" w:lineRule="auto"/>
              <w:jc w:val="center"/>
              <w:rPr>
                <w:rFonts w:cs="Times New Roman"/>
                <w:kern w:val="0"/>
                <w:sz w:val="21"/>
                <w:szCs w:val="21"/>
              </w:rPr>
            </w:pPr>
            <w:r>
              <w:rPr>
                <w:rFonts w:ascii="宋体" w:hAnsi="宋体"/>
                <w:sz w:val="21"/>
                <w:szCs w:val="21"/>
              </w:rPr>
              <w:t>氨氮</w:t>
            </w:r>
          </w:p>
        </w:tc>
        <w:tc>
          <w:tcPr>
            <w:tcW w:w="896" w:type="pct"/>
            <w:tcBorders>
              <w:top w:val="single" w:color="auto" w:sz="4" w:space="0"/>
              <w:left w:val="nil"/>
              <w:bottom w:val="single" w:color="auto" w:sz="4" w:space="0"/>
              <w:right w:val="single" w:color="auto" w:sz="4" w:space="0"/>
            </w:tcBorders>
            <w:vAlign w:val="center"/>
          </w:tcPr>
          <w:p w14:paraId="7160E07F">
            <w:pPr>
              <w:widowControl/>
              <w:wordWrap w:val="0"/>
              <w:spacing w:line="240" w:lineRule="auto"/>
              <w:jc w:val="center"/>
              <w:rPr>
                <w:rFonts w:cs="Times New Roman"/>
                <w:kern w:val="0"/>
                <w:sz w:val="21"/>
                <w:szCs w:val="21"/>
              </w:rPr>
            </w:pPr>
            <w:r>
              <w:rPr>
                <w:rFonts w:hint="eastAsia"/>
                <w:sz w:val="21"/>
                <w:szCs w:val="21"/>
              </w:rPr>
              <w:t>5</w:t>
            </w:r>
          </w:p>
        </w:tc>
      </w:tr>
      <w:tr w14:paraId="57B8C4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413" w:type="pct"/>
            <w:vMerge w:val="continue"/>
            <w:tcBorders>
              <w:left w:val="single" w:color="auto" w:sz="4" w:space="0"/>
              <w:right w:val="single" w:color="auto" w:sz="4" w:space="0"/>
            </w:tcBorders>
            <w:vAlign w:val="center"/>
          </w:tcPr>
          <w:p w14:paraId="5E51A653">
            <w:pPr>
              <w:widowControl/>
              <w:wordWrap w:val="0"/>
              <w:spacing w:line="240" w:lineRule="auto"/>
              <w:jc w:val="center"/>
              <w:rPr>
                <w:rFonts w:cs="Times New Roman"/>
                <w:kern w:val="0"/>
                <w:sz w:val="21"/>
                <w:szCs w:val="21"/>
              </w:rPr>
            </w:pPr>
          </w:p>
        </w:tc>
        <w:tc>
          <w:tcPr>
            <w:tcW w:w="524" w:type="pct"/>
            <w:vMerge w:val="continue"/>
            <w:tcBorders>
              <w:left w:val="nil"/>
              <w:right w:val="single" w:color="auto" w:sz="4" w:space="0"/>
            </w:tcBorders>
            <w:vAlign w:val="center"/>
          </w:tcPr>
          <w:p w14:paraId="7D669BCF">
            <w:pPr>
              <w:widowControl/>
              <w:wordWrap w:val="0"/>
              <w:spacing w:line="240" w:lineRule="auto"/>
              <w:jc w:val="center"/>
              <w:rPr>
                <w:rFonts w:cs="Times New Roman"/>
                <w:kern w:val="0"/>
                <w:sz w:val="21"/>
                <w:szCs w:val="21"/>
              </w:rPr>
            </w:pPr>
          </w:p>
        </w:tc>
        <w:tc>
          <w:tcPr>
            <w:tcW w:w="461" w:type="pct"/>
            <w:vMerge w:val="continue"/>
            <w:tcBorders>
              <w:left w:val="nil"/>
              <w:right w:val="single" w:color="auto" w:sz="4" w:space="0"/>
            </w:tcBorders>
            <w:vAlign w:val="center"/>
          </w:tcPr>
          <w:p w14:paraId="64745659">
            <w:pPr>
              <w:widowControl/>
              <w:wordWrap w:val="0"/>
              <w:spacing w:line="240" w:lineRule="auto"/>
              <w:jc w:val="center"/>
              <w:rPr>
                <w:rFonts w:cs="Times New Roman"/>
                <w:kern w:val="0"/>
                <w:sz w:val="21"/>
                <w:szCs w:val="21"/>
              </w:rPr>
            </w:pPr>
          </w:p>
        </w:tc>
        <w:tc>
          <w:tcPr>
            <w:tcW w:w="480" w:type="pct"/>
            <w:vMerge w:val="continue"/>
            <w:tcBorders>
              <w:left w:val="nil"/>
              <w:right w:val="single" w:color="auto" w:sz="4" w:space="0"/>
            </w:tcBorders>
            <w:vAlign w:val="center"/>
          </w:tcPr>
          <w:p w14:paraId="5E2181CD">
            <w:pPr>
              <w:widowControl/>
              <w:wordWrap w:val="0"/>
              <w:spacing w:line="240" w:lineRule="auto"/>
              <w:jc w:val="center"/>
              <w:rPr>
                <w:rFonts w:cs="Times New Roman"/>
                <w:kern w:val="0"/>
                <w:sz w:val="21"/>
                <w:szCs w:val="21"/>
              </w:rPr>
            </w:pPr>
          </w:p>
        </w:tc>
        <w:tc>
          <w:tcPr>
            <w:tcW w:w="391" w:type="pct"/>
            <w:vMerge w:val="continue"/>
            <w:tcBorders>
              <w:left w:val="nil"/>
              <w:right w:val="single" w:color="auto" w:sz="4" w:space="0"/>
            </w:tcBorders>
            <w:vAlign w:val="center"/>
          </w:tcPr>
          <w:p w14:paraId="467D7DC6">
            <w:pPr>
              <w:widowControl/>
              <w:wordWrap w:val="0"/>
              <w:spacing w:line="240" w:lineRule="auto"/>
              <w:jc w:val="center"/>
              <w:rPr>
                <w:rFonts w:cs="Times New Roman"/>
                <w:kern w:val="0"/>
                <w:sz w:val="21"/>
                <w:szCs w:val="21"/>
              </w:rPr>
            </w:pPr>
          </w:p>
        </w:tc>
        <w:tc>
          <w:tcPr>
            <w:tcW w:w="392" w:type="pct"/>
            <w:vMerge w:val="continue"/>
            <w:tcBorders>
              <w:left w:val="nil"/>
              <w:right w:val="single" w:color="auto" w:sz="4" w:space="0"/>
            </w:tcBorders>
            <w:vAlign w:val="center"/>
          </w:tcPr>
          <w:p w14:paraId="574EE8C6">
            <w:pPr>
              <w:widowControl/>
              <w:wordWrap w:val="0"/>
              <w:spacing w:line="240" w:lineRule="auto"/>
              <w:jc w:val="center"/>
              <w:rPr>
                <w:rFonts w:cs="Times New Roman"/>
                <w:kern w:val="0"/>
                <w:sz w:val="21"/>
                <w:szCs w:val="21"/>
              </w:rPr>
            </w:pPr>
          </w:p>
        </w:tc>
        <w:tc>
          <w:tcPr>
            <w:tcW w:w="391" w:type="pct"/>
            <w:vMerge w:val="continue"/>
            <w:tcBorders>
              <w:left w:val="nil"/>
              <w:right w:val="single" w:color="auto" w:sz="4" w:space="0"/>
            </w:tcBorders>
            <w:vAlign w:val="center"/>
          </w:tcPr>
          <w:p w14:paraId="0944D797">
            <w:pPr>
              <w:widowControl/>
              <w:wordWrap w:val="0"/>
              <w:spacing w:line="240" w:lineRule="auto"/>
              <w:jc w:val="center"/>
              <w:rPr>
                <w:rFonts w:cs="Times New Roman"/>
                <w:kern w:val="0"/>
                <w:sz w:val="21"/>
                <w:szCs w:val="21"/>
              </w:rPr>
            </w:pPr>
          </w:p>
        </w:tc>
        <w:tc>
          <w:tcPr>
            <w:tcW w:w="469" w:type="pct"/>
            <w:vMerge w:val="continue"/>
            <w:tcBorders>
              <w:left w:val="nil"/>
              <w:right w:val="single" w:color="auto" w:sz="4" w:space="0"/>
            </w:tcBorders>
            <w:vAlign w:val="center"/>
          </w:tcPr>
          <w:p w14:paraId="310F5F4C">
            <w:pPr>
              <w:widowControl/>
              <w:wordWrap w:val="0"/>
              <w:spacing w:line="240" w:lineRule="auto"/>
              <w:jc w:val="center"/>
              <w:rPr>
                <w:rFonts w:cs="Times New Roman"/>
                <w:kern w:val="0"/>
                <w:sz w:val="21"/>
                <w:szCs w:val="21"/>
              </w:rPr>
            </w:pPr>
          </w:p>
        </w:tc>
        <w:tc>
          <w:tcPr>
            <w:tcW w:w="583" w:type="pct"/>
            <w:tcBorders>
              <w:top w:val="nil"/>
              <w:left w:val="nil"/>
              <w:bottom w:val="single" w:color="auto" w:sz="4" w:space="0"/>
              <w:right w:val="single" w:color="auto" w:sz="4" w:space="0"/>
            </w:tcBorders>
            <w:vAlign w:val="center"/>
          </w:tcPr>
          <w:p w14:paraId="35C7BD3A">
            <w:pPr>
              <w:widowControl/>
              <w:wordWrap w:val="0"/>
              <w:spacing w:line="240" w:lineRule="auto"/>
              <w:jc w:val="center"/>
              <w:rPr>
                <w:rFonts w:hint="eastAsia" w:ascii="宋体" w:hAnsi="宋体"/>
                <w:sz w:val="21"/>
                <w:szCs w:val="21"/>
              </w:rPr>
            </w:pPr>
            <w:r>
              <w:rPr>
                <w:rFonts w:hint="eastAsia" w:ascii="宋体" w:hAnsi="宋体"/>
                <w:sz w:val="21"/>
                <w:szCs w:val="21"/>
              </w:rPr>
              <w:t>石油类</w:t>
            </w:r>
          </w:p>
        </w:tc>
        <w:tc>
          <w:tcPr>
            <w:tcW w:w="896" w:type="pct"/>
            <w:tcBorders>
              <w:top w:val="nil"/>
              <w:left w:val="nil"/>
              <w:bottom w:val="single" w:color="auto" w:sz="4" w:space="0"/>
              <w:right w:val="single" w:color="auto" w:sz="4" w:space="0"/>
            </w:tcBorders>
            <w:vAlign w:val="center"/>
          </w:tcPr>
          <w:p w14:paraId="4AB33303">
            <w:pPr>
              <w:widowControl/>
              <w:wordWrap w:val="0"/>
              <w:spacing w:line="240" w:lineRule="auto"/>
              <w:jc w:val="center"/>
              <w:rPr>
                <w:sz w:val="21"/>
                <w:szCs w:val="21"/>
              </w:rPr>
            </w:pPr>
            <w:r>
              <w:rPr>
                <w:rFonts w:hint="eastAsia"/>
                <w:sz w:val="21"/>
                <w:szCs w:val="21"/>
              </w:rPr>
              <w:t>1</w:t>
            </w:r>
            <w:r>
              <w:rPr>
                <w:sz w:val="21"/>
                <w:szCs w:val="21"/>
              </w:rPr>
              <w:t>.0</w:t>
            </w:r>
          </w:p>
        </w:tc>
      </w:tr>
      <w:tr w14:paraId="1D3505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413" w:type="pct"/>
            <w:vMerge w:val="continue"/>
            <w:tcBorders>
              <w:left w:val="single" w:color="auto" w:sz="4" w:space="0"/>
              <w:right w:val="single" w:color="auto" w:sz="4" w:space="0"/>
            </w:tcBorders>
            <w:vAlign w:val="center"/>
          </w:tcPr>
          <w:p w14:paraId="66655D20">
            <w:pPr>
              <w:widowControl/>
              <w:wordWrap w:val="0"/>
              <w:spacing w:line="240" w:lineRule="auto"/>
              <w:jc w:val="center"/>
              <w:rPr>
                <w:rFonts w:cs="Times New Roman"/>
                <w:kern w:val="0"/>
                <w:sz w:val="21"/>
                <w:szCs w:val="21"/>
              </w:rPr>
            </w:pPr>
          </w:p>
        </w:tc>
        <w:tc>
          <w:tcPr>
            <w:tcW w:w="524" w:type="pct"/>
            <w:vMerge w:val="continue"/>
            <w:tcBorders>
              <w:left w:val="nil"/>
              <w:right w:val="single" w:color="auto" w:sz="4" w:space="0"/>
            </w:tcBorders>
            <w:vAlign w:val="center"/>
          </w:tcPr>
          <w:p w14:paraId="59B284B7">
            <w:pPr>
              <w:widowControl/>
              <w:wordWrap w:val="0"/>
              <w:spacing w:line="240" w:lineRule="auto"/>
              <w:jc w:val="center"/>
              <w:rPr>
                <w:rFonts w:cs="Times New Roman"/>
                <w:kern w:val="0"/>
                <w:sz w:val="21"/>
                <w:szCs w:val="21"/>
              </w:rPr>
            </w:pPr>
          </w:p>
        </w:tc>
        <w:tc>
          <w:tcPr>
            <w:tcW w:w="461" w:type="pct"/>
            <w:vMerge w:val="continue"/>
            <w:tcBorders>
              <w:left w:val="nil"/>
              <w:right w:val="single" w:color="auto" w:sz="4" w:space="0"/>
            </w:tcBorders>
            <w:vAlign w:val="center"/>
          </w:tcPr>
          <w:p w14:paraId="309A567E">
            <w:pPr>
              <w:widowControl/>
              <w:wordWrap w:val="0"/>
              <w:spacing w:line="240" w:lineRule="auto"/>
              <w:jc w:val="center"/>
              <w:rPr>
                <w:rFonts w:cs="Times New Roman"/>
                <w:kern w:val="0"/>
                <w:sz w:val="21"/>
                <w:szCs w:val="21"/>
              </w:rPr>
            </w:pPr>
          </w:p>
        </w:tc>
        <w:tc>
          <w:tcPr>
            <w:tcW w:w="480" w:type="pct"/>
            <w:vMerge w:val="continue"/>
            <w:tcBorders>
              <w:left w:val="nil"/>
              <w:right w:val="single" w:color="auto" w:sz="4" w:space="0"/>
            </w:tcBorders>
            <w:vAlign w:val="center"/>
          </w:tcPr>
          <w:p w14:paraId="2BF4FCD6">
            <w:pPr>
              <w:widowControl/>
              <w:wordWrap w:val="0"/>
              <w:spacing w:line="240" w:lineRule="auto"/>
              <w:jc w:val="center"/>
              <w:rPr>
                <w:rFonts w:cs="Times New Roman"/>
                <w:kern w:val="0"/>
                <w:sz w:val="21"/>
                <w:szCs w:val="21"/>
              </w:rPr>
            </w:pPr>
          </w:p>
        </w:tc>
        <w:tc>
          <w:tcPr>
            <w:tcW w:w="391" w:type="pct"/>
            <w:vMerge w:val="continue"/>
            <w:tcBorders>
              <w:left w:val="nil"/>
              <w:right w:val="single" w:color="auto" w:sz="4" w:space="0"/>
            </w:tcBorders>
            <w:vAlign w:val="center"/>
          </w:tcPr>
          <w:p w14:paraId="70946825">
            <w:pPr>
              <w:widowControl/>
              <w:wordWrap w:val="0"/>
              <w:spacing w:line="240" w:lineRule="auto"/>
              <w:jc w:val="center"/>
              <w:rPr>
                <w:rFonts w:cs="Times New Roman"/>
                <w:kern w:val="0"/>
                <w:sz w:val="21"/>
                <w:szCs w:val="21"/>
              </w:rPr>
            </w:pPr>
          </w:p>
        </w:tc>
        <w:tc>
          <w:tcPr>
            <w:tcW w:w="392" w:type="pct"/>
            <w:vMerge w:val="continue"/>
            <w:tcBorders>
              <w:left w:val="nil"/>
              <w:right w:val="single" w:color="auto" w:sz="4" w:space="0"/>
            </w:tcBorders>
            <w:vAlign w:val="center"/>
          </w:tcPr>
          <w:p w14:paraId="086C3B72">
            <w:pPr>
              <w:widowControl/>
              <w:wordWrap w:val="0"/>
              <w:spacing w:line="240" w:lineRule="auto"/>
              <w:jc w:val="center"/>
              <w:rPr>
                <w:rFonts w:cs="Times New Roman"/>
                <w:kern w:val="0"/>
                <w:sz w:val="21"/>
                <w:szCs w:val="21"/>
              </w:rPr>
            </w:pPr>
          </w:p>
        </w:tc>
        <w:tc>
          <w:tcPr>
            <w:tcW w:w="391" w:type="pct"/>
            <w:vMerge w:val="continue"/>
            <w:tcBorders>
              <w:left w:val="nil"/>
              <w:right w:val="single" w:color="auto" w:sz="4" w:space="0"/>
            </w:tcBorders>
            <w:vAlign w:val="center"/>
          </w:tcPr>
          <w:p w14:paraId="3B313C63">
            <w:pPr>
              <w:widowControl/>
              <w:wordWrap w:val="0"/>
              <w:spacing w:line="240" w:lineRule="auto"/>
              <w:jc w:val="center"/>
              <w:rPr>
                <w:rFonts w:cs="Times New Roman"/>
                <w:kern w:val="0"/>
                <w:sz w:val="21"/>
                <w:szCs w:val="21"/>
              </w:rPr>
            </w:pPr>
          </w:p>
        </w:tc>
        <w:tc>
          <w:tcPr>
            <w:tcW w:w="469" w:type="pct"/>
            <w:vMerge w:val="continue"/>
            <w:tcBorders>
              <w:left w:val="nil"/>
              <w:right w:val="single" w:color="auto" w:sz="4" w:space="0"/>
            </w:tcBorders>
            <w:vAlign w:val="center"/>
          </w:tcPr>
          <w:p w14:paraId="6AE66FBD">
            <w:pPr>
              <w:widowControl/>
              <w:wordWrap w:val="0"/>
              <w:spacing w:line="240" w:lineRule="auto"/>
              <w:jc w:val="center"/>
              <w:rPr>
                <w:rFonts w:cs="Times New Roman"/>
                <w:kern w:val="0"/>
                <w:sz w:val="21"/>
                <w:szCs w:val="21"/>
              </w:rPr>
            </w:pPr>
          </w:p>
        </w:tc>
        <w:tc>
          <w:tcPr>
            <w:tcW w:w="583" w:type="pct"/>
            <w:tcBorders>
              <w:top w:val="nil"/>
              <w:left w:val="nil"/>
              <w:bottom w:val="single" w:color="auto" w:sz="4" w:space="0"/>
              <w:right w:val="single" w:color="auto" w:sz="4" w:space="0"/>
            </w:tcBorders>
            <w:vAlign w:val="center"/>
          </w:tcPr>
          <w:p w14:paraId="25599455">
            <w:pPr>
              <w:widowControl/>
              <w:wordWrap w:val="0"/>
              <w:spacing w:line="240" w:lineRule="auto"/>
              <w:jc w:val="center"/>
              <w:rPr>
                <w:rFonts w:hint="eastAsia" w:ascii="宋体" w:hAnsi="宋体"/>
                <w:sz w:val="21"/>
                <w:szCs w:val="21"/>
              </w:rPr>
            </w:pPr>
            <w:r>
              <w:rPr>
                <w:rFonts w:hint="eastAsia" w:ascii="宋体" w:hAnsi="宋体"/>
                <w:sz w:val="21"/>
                <w:szCs w:val="21"/>
              </w:rPr>
              <w:t>挥发酚</w:t>
            </w:r>
          </w:p>
        </w:tc>
        <w:tc>
          <w:tcPr>
            <w:tcW w:w="896" w:type="pct"/>
            <w:tcBorders>
              <w:top w:val="nil"/>
              <w:left w:val="nil"/>
              <w:bottom w:val="single" w:color="auto" w:sz="4" w:space="0"/>
              <w:right w:val="single" w:color="auto" w:sz="4" w:space="0"/>
            </w:tcBorders>
            <w:vAlign w:val="center"/>
          </w:tcPr>
          <w:p w14:paraId="789C3F4B">
            <w:pPr>
              <w:widowControl/>
              <w:wordWrap w:val="0"/>
              <w:spacing w:line="240" w:lineRule="auto"/>
              <w:jc w:val="center"/>
              <w:rPr>
                <w:sz w:val="21"/>
                <w:szCs w:val="21"/>
              </w:rPr>
            </w:pPr>
            <w:r>
              <w:rPr>
                <w:rFonts w:hint="eastAsia"/>
                <w:sz w:val="21"/>
                <w:szCs w:val="21"/>
              </w:rPr>
              <w:t>0.5</w:t>
            </w:r>
          </w:p>
        </w:tc>
      </w:tr>
    </w:tbl>
    <w:p w14:paraId="162E3B5D"/>
    <w:p w14:paraId="06A816FC">
      <w:pPr>
        <w:widowControl/>
        <w:jc w:val="center"/>
        <w:rPr>
          <w:rFonts w:eastAsia="黑体" w:cs="Times New Roman"/>
          <w:kern w:val="0"/>
          <w:szCs w:val="20"/>
        </w:rPr>
      </w:pPr>
      <w:r>
        <w:rPr>
          <w:rFonts w:eastAsia="黑体" w:cs="Times New Roman"/>
          <w:kern w:val="0"/>
          <w:szCs w:val="20"/>
        </w:rPr>
        <w:t>表6.3-</w:t>
      </w:r>
      <w:r>
        <w:rPr>
          <w:rFonts w:hint="eastAsia" w:eastAsia="黑体" w:cs="Times New Roman"/>
          <w:kern w:val="0"/>
          <w:szCs w:val="20"/>
        </w:rPr>
        <w:t>2</w:t>
      </w:r>
      <w:r>
        <w:rPr>
          <w:rFonts w:eastAsia="黑体" w:cs="Times New Roman"/>
          <w:kern w:val="0"/>
          <w:szCs w:val="20"/>
        </w:rPr>
        <w:t xml:space="preserve">  本项目废水</w:t>
      </w:r>
      <w:r>
        <w:rPr>
          <w:rFonts w:hint="eastAsia" w:eastAsia="黑体" w:cs="Times New Roman"/>
          <w:kern w:val="0"/>
          <w:szCs w:val="20"/>
        </w:rPr>
        <w:t>纳管及</w:t>
      </w:r>
      <w:r>
        <w:rPr>
          <w:rFonts w:eastAsia="黑体" w:cs="Times New Roman"/>
          <w:kern w:val="0"/>
          <w:szCs w:val="20"/>
        </w:rPr>
        <w:t>排放情况一览表</w:t>
      </w:r>
    </w:p>
    <w:tbl>
      <w:tblPr>
        <w:tblStyle w:val="36"/>
        <w:tblW w:w="0" w:type="auto"/>
        <w:tblInd w:w="0" w:type="dxa"/>
        <w:tblLayout w:type="autofit"/>
        <w:tblCellMar>
          <w:top w:w="0" w:type="dxa"/>
          <w:left w:w="108" w:type="dxa"/>
          <w:bottom w:w="0" w:type="dxa"/>
          <w:right w:w="108" w:type="dxa"/>
        </w:tblCellMar>
      </w:tblPr>
      <w:tblGrid>
        <w:gridCol w:w="882"/>
        <w:gridCol w:w="1004"/>
        <w:gridCol w:w="1086"/>
        <w:gridCol w:w="992"/>
        <w:gridCol w:w="993"/>
        <w:gridCol w:w="1134"/>
        <w:gridCol w:w="992"/>
        <w:gridCol w:w="992"/>
        <w:gridCol w:w="985"/>
      </w:tblGrid>
      <w:tr w14:paraId="65C0CE1F">
        <w:tblPrEx>
          <w:tblCellMar>
            <w:top w:w="0" w:type="dxa"/>
            <w:left w:w="108" w:type="dxa"/>
            <w:bottom w:w="0" w:type="dxa"/>
            <w:right w:w="108" w:type="dxa"/>
          </w:tblCellMar>
        </w:tblPrEx>
        <w:tc>
          <w:tcPr>
            <w:tcW w:w="882" w:type="dxa"/>
            <w:vMerge w:val="restart"/>
            <w:tcBorders>
              <w:top w:val="single" w:color="auto" w:sz="4" w:space="0"/>
              <w:left w:val="single" w:color="auto" w:sz="4" w:space="0"/>
              <w:bottom w:val="single" w:color="auto" w:sz="4" w:space="0"/>
              <w:right w:val="single" w:color="auto" w:sz="4" w:space="0"/>
            </w:tcBorders>
            <w:vAlign w:val="center"/>
          </w:tcPr>
          <w:p w14:paraId="79867DDC">
            <w:pPr>
              <w:spacing w:before="100" w:beforeAutospacing="1" w:line="240" w:lineRule="auto"/>
              <w:jc w:val="center"/>
              <w:rPr>
                <w:rFonts w:cs="Times New Roman"/>
                <w:sz w:val="21"/>
                <w:szCs w:val="21"/>
                <w14:ligatures w14:val="none"/>
              </w:rPr>
            </w:pPr>
            <w:r>
              <w:rPr>
                <w:rFonts w:cs="Times New Roman"/>
                <w:sz w:val="21"/>
                <w:szCs w:val="21"/>
                <w14:ligatures w14:val="none"/>
              </w:rPr>
              <w:t>排放口编号</w:t>
            </w:r>
          </w:p>
        </w:tc>
        <w:tc>
          <w:tcPr>
            <w:tcW w:w="1004" w:type="dxa"/>
            <w:vMerge w:val="restart"/>
            <w:tcBorders>
              <w:top w:val="single" w:color="auto" w:sz="4" w:space="0"/>
              <w:left w:val="nil"/>
              <w:bottom w:val="single" w:color="auto" w:sz="4" w:space="0"/>
              <w:right w:val="single" w:color="auto" w:sz="4" w:space="0"/>
            </w:tcBorders>
            <w:vAlign w:val="center"/>
          </w:tcPr>
          <w:p w14:paraId="37976998">
            <w:pPr>
              <w:spacing w:before="100" w:beforeAutospacing="1" w:line="240" w:lineRule="auto"/>
              <w:jc w:val="center"/>
              <w:rPr>
                <w:rFonts w:cs="Times New Roman"/>
                <w:sz w:val="21"/>
                <w:szCs w:val="21"/>
                <w14:ligatures w14:val="none"/>
              </w:rPr>
            </w:pPr>
            <w:r>
              <w:rPr>
                <w:rFonts w:cs="Times New Roman"/>
                <w:sz w:val="21"/>
                <w:szCs w:val="21"/>
                <w14:ligatures w14:val="none"/>
              </w:rPr>
              <w:t>废水量(m</w:t>
            </w:r>
            <w:r>
              <w:rPr>
                <w:rFonts w:cs="Times New Roman"/>
                <w:sz w:val="21"/>
                <w:szCs w:val="21"/>
                <w:vertAlign w:val="superscript"/>
                <w14:ligatures w14:val="none"/>
              </w:rPr>
              <w:t>3</w:t>
            </w:r>
            <w:r>
              <w:rPr>
                <w:rFonts w:cs="Times New Roman"/>
                <w:sz w:val="21"/>
                <w:szCs w:val="21"/>
                <w14:ligatures w14:val="none"/>
              </w:rPr>
              <w:t>/a)</w:t>
            </w:r>
          </w:p>
        </w:tc>
        <w:tc>
          <w:tcPr>
            <w:tcW w:w="1086" w:type="dxa"/>
            <w:vMerge w:val="restart"/>
            <w:tcBorders>
              <w:top w:val="single" w:color="auto" w:sz="4" w:space="0"/>
              <w:left w:val="nil"/>
              <w:bottom w:val="single" w:color="auto" w:sz="4" w:space="0"/>
              <w:right w:val="single" w:color="auto" w:sz="4" w:space="0"/>
            </w:tcBorders>
            <w:vAlign w:val="center"/>
          </w:tcPr>
          <w:p w14:paraId="46BAABAF">
            <w:pPr>
              <w:spacing w:before="100" w:beforeAutospacing="1" w:line="240" w:lineRule="auto"/>
              <w:jc w:val="center"/>
              <w:rPr>
                <w:rFonts w:cs="Times New Roman"/>
                <w:sz w:val="21"/>
                <w:szCs w:val="21"/>
                <w14:ligatures w14:val="none"/>
              </w:rPr>
            </w:pPr>
            <w:r>
              <w:rPr>
                <w:rFonts w:cs="Times New Roman"/>
                <w:sz w:val="21"/>
                <w:szCs w:val="21"/>
                <w14:ligatures w14:val="none"/>
              </w:rPr>
              <w:t>污染物名称</w:t>
            </w:r>
          </w:p>
        </w:tc>
        <w:tc>
          <w:tcPr>
            <w:tcW w:w="1985" w:type="dxa"/>
            <w:gridSpan w:val="2"/>
            <w:tcBorders>
              <w:top w:val="single" w:color="auto" w:sz="4" w:space="0"/>
              <w:left w:val="nil"/>
              <w:bottom w:val="single" w:color="auto" w:sz="4" w:space="0"/>
              <w:right w:val="single" w:color="auto" w:sz="4" w:space="0"/>
            </w:tcBorders>
            <w:vAlign w:val="center"/>
          </w:tcPr>
          <w:p w14:paraId="02592CA6">
            <w:pPr>
              <w:spacing w:before="100" w:beforeAutospacing="1" w:line="240" w:lineRule="auto"/>
              <w:jc w:val="center"/>
              <w:rPr>
                <w:rFonts w:cs="Times New Roman"/>
                <w:sz w:val="21"/>
                <w:szCs w:val="21"/>
                <w14:ligatures w14:val="none"/>
              </w:rPr>
            </w:pPr>
            <w:r>
              <w:rPr>
                <w:rFonts w:cs="Times New Roman"/>
                <w:sz w:val="21"/>
                <w:szCs w:val="21"/>
                <w14:ligatures w14:val="none"/>
              </w:rPr>
              <w:t>污染物纳管量</w:t>
            </w:r>
          </w:p>
        </w:tc>
        <w:tc>
          <w:tcPr>
            <w:tcW w:w="1134" w:type="dxa"/>
            <w:vMerge w:val="restart"/>
            <w:tcBorders>
              <w:top w:val="single" w:color="auto" w:sz="4" w:space="0"/>
              <w:left w:val="nil"/>
              <w:bottom w:val="single" w:color="auto" w:sz="4" w:space="0"/>
              <w:right w:val="single" w:color="auto" w:sz="4" w:space="0"/>
            </w:tcBorders>
            <w:vAlign w:val="center"/>
          </w:tcPr>
          <w:p w14:paraId="32128824">
            <w:pPr>
              <w:spacing w:before="100" w:beforeAutospacing="1" w:line="240" w:lineRule="auto"/>
              <w:jc w:val="center"/>
              <w:rPr>
                <w:rFonts w:cs="Times New Roman"/>
                <w:sz w:val="21"/>
                <w:szCs w:val="21"/>
                <w14:ligatures w14:val="none"/>
              </w:rPr>
            </w:pPr>
            <w:r>
              <w:rPr>
                <w:rFonts w:cs="Times New Roman"/>
                <w:sz w:val="21"/>
                <w:szCs w:val="21"/>
                <w14:ligatures w14:val="none"/>
              </w:rPr>
              <w:t>受纳污水处理厂</w:t>
            </w:r>
          </w:p>
        </w:tc>
        <w:tc>
          <w:tcPr>
            <w:tcW w:w="1984" w:type="dxa"/>
            <w:gridSpan w:val="2"/>
            <w:tcBorders>
              <w:top w:val="single" w:color="auto" w:sz="4" w:space="0"/>
              <w:left w:val="nil"/>
              <w:bottom w:val="nil"/>
              <w:right w:val="single" w:color="auto" w:sz="4" w:space="0"/>
            </w:tcBorders>
            <w:vAlign w:val="center"/>
          </w:tcPr>
          <w:p w14:paraId="0BFD8A86">
            <w:pPr>
              <w:spacing w:before="100" w:beforeAutospacing="1" w:line="240" w:lineRule="auto"/>
              <w:jc w:val="center"/>
              <w:rPr>
                <w:rFonts w:cs="Times New Roman"/>
                <w:sz w:val="21"/>
                <w:szCs w:val="21"/>
                <w14:ligatures w14:val="none"/>
              </w:rPr>
            </w:pPr>
            <w:r>
              <w:rPr>
                <w:rFonts w:cs="Times New Roman"/>
                <w:sz w:val="21"/>
                <w:szCs w:val="21"/>
                <w14:ligatures w14:val="none"/>
              </w:rPr>
              <w:t>污染物排放量</w:t>
            </w:r>
          </w:p>
        </w:tc>
        <w:tc>
          <w:tcPr>
            <w:tcW w:w="985" w:type="dxa"/>
            <w:vMerge w:val="restart"/>
            <w:tcBorders>
              <w:top w:val="single" w:color="auto" w:sz="4" w:space="0"/>
              <w:left w:val="nil"/>
              <w:bottom w:val="single" w:color="auto" w:sz="4" w:space="0"/>
              <w:right w:val="single" w:color="auto" w:sz="4" w:space="0"/>
            </w:tcBorders>
            <w:vAlign w:val="center"/>
          </w:tcPr>
          <w:p w14:paraId="18B7FF10">
            <w:pPr>
              <w:spacing w:before="100" w:beforeAutospacing="1" w:line="240" w:lineRule="auto"/>
              <w:jc w:val="center"/>
              <w:rPr>
                <w:rFonts w:cs="Times New Roman"/>
                <w:sz w:val="21"/>
                <w:szCs w:val="21"/>
                <w14:ligatures w14:val="none"/>
              </w:rPr>
            </w:pPr>
            <w:r>
              <w:rPr>
                <w:rFonts w:ascii="宋体" w:hAnsi="宋体" w:cs="Times New Roman"/>
                <w:sz w:val="21"/>
                <w:szCs w:val="21"/>
                <w14:ligatures w14:val="none"/>
              </w:rPr>
              <w:t>去向</w:t>
            </w:r>
          </w:p>
        </w:tc>
      </w:tr>
      <w:tr w14:paraId="2543E2D5">
        <w:tblPrEx>
          <w:tblCellMar>
            <w:top w:w="0" w:type="dxa"/>
            <w:left w:w="108" w:type="dxa"/>
            <w:bottom w:w="0" w:type="dxa"/>
            <w:right w:w="108" w:type="dxa"/>
          </w:tblCellMar>
        </w:tblPrEx>
        <w:tc>
          <w:tcPr>
            <w:tcW w:w="0" w:type="auto"/>
            <w:vMerge w:val="continue"/>
            <w:tcBorders>
              <w:top w:val="single" w:color="auto" w:sz="4" w:space="0"/>
              <w:left w:val="single" w:color="auto" w:sz="4" w:space="0"/>
              <w:bottom w:val="single" w:color="auto" w:sz="4" w:space="0"/>
              <w:right w:val="single" w:color="auto" w:sz="4" w:space="0"/>
            </w:tcBorders>
            <w:vAlign w:val="center"/>
          </w:tcPr>
          <w:p w14:paraId="30B055C7">
            <w:pPr>
              <w:widowControl/>
              <w:spacing w:line="240" w:lineRule="auto"/>
              <w:jc w:val="left"/>
              <w:rPr>
                <w:rFonts w:cs="Times New Roman"/>
                <w:sz w:val="21"/>
                <w:szCs w:val="21"/>
                <w14:ligatures w14:val="none"/>
              </w:rPr>
            </w:pPr>
          </w:p>
        </w:tc>
        <w:tc>
          <w:tcPr>
            <w:tcW w:w="0" w:type="auto"/>
            <w:vMerge w:val="continue"/>
            <w:tcBorders>
              <w:top w:val="single" w:color="auto" w:sz="4" w:space="0"/>
              <w:left w:val="nil"/>
              <w:bottom w:val="single" w:color="auto" w:sz="4" w:space="0"/>
              <w:right w:val="single" w:color="auto" w:sz="4" w:space="0"/>
            </w:tcBorders>
            <w:vAlign w:val="center"/>
          </w:tcPr>
          <w:p w14:paraId="77D776F3">
            <w:pPr>
              <w:widowControl/>
              <w:spacing w:line="240" w:lineRule="auto"/>
              <w:jc w:val="left"/>
              <w:rPr>
                <w:rFonts w:cs="Times New Roman"/>
                <w:sz w:val="21"/>
                <w:szCs w:val="21"/>
                <w14:ligatures w14:val="none"/>
              </w:rPr>
            </w:pPr>
          </w:p>
        </w:tc>
        <w:tc>
          <w:tcPr>
            <w:tcW w:w="0" w:type="auto"/>
            <w:vMerge w:val="continue"/>
            <w:tcBorders>
              <w:top w:val="single" w:color="auto" w:sz="4" w:space="0"/>
              <w:left w:val="nil"/>
              <w:bottom w:val="single" w:color="auto" w:sz="4" w:space="0"/>
              <w:right w:val="single" w:color="auto" w:sz="4" w:space="0"/>
            </w:tcBorders>
            <w:vAlign w:val="center"/>
          </w:tcPr>
          <w:p w14:paraId="1FFB494E">
            <w:pPr>
              <w:widowControl/>
              <w:spacing w:line="240" w:lineRule="auto"/>
              <w:jc w:val="left"/>
              <w:rPr>
                <w:rFonts w:cs="Times New Roman"/>
                <w:sz w:val="21"/>
                <w:szCs w:val="21"/>
                <w14:ligatures w14:val="none"/>
              </w:rPr>
            </w:pPr>
          </w:p>
        </w:tc>
        <w:tc>
          <w:tcPr>
            <w:tcW w:w="992" w:type="dxa"/>
            <w:tcBorders>
              <w:top w:val="single" w:color="auto" w:sz="4" w:space="0"/>
              <w:left w:val="nil"/>
              <w:bottom w:val="single" w:color="auto" w:sz="4" w:space="0"/>
              <w:right w:val="single" w:color="auto" w:sz="4" w:space="0"/>
            </w:tcBorders>
            <w:vAlign w:val="center"/>
          </w:tcPr>
          <w:p w14:paraId="06380716">
            <w:pPr>
              <w:spacing w:before="100" w:beforeAutospacing="1" w:line="240" w:lineRule="auto"/>
              <w:jc w:val="center"/>
              <w:rPr>
                <w:rFonts w:cs="Times New Roman"/>
                <w:sz w:val="21"/>
                <w:szCs w:val="21"/>
                <w14:ligatures w14:val="none"/>
              </w:rPr>
            </w:pPr>
            <w:r>
              <w:rPr>
                <w:rFonts w:cs="Times New Roman"/>
                <w:sz w:val="21"/>
                <w:szCs w:val="21"/>
                <w14:ligatures w14:val="none"/>
              </w:rPr>
              <w:t>浓度(mg/L)</w:t>
            </w:r>
          </w:p>
        </w:tc>
        <w:tc>
          <w:tcPr>
            <w:tcW w:w="993" w:type="dxa"/>
            <w:tcBorders>
              <w:top w:val="single" w:color="auto" w:sz="4" w:space="0"/>
              <w:left w:val="nil"/>
              <w:bottom w:val="single" w:color="auto" w:sz="4" w:space="0"/>
              <w:right w:val="single" w:color="auto" w:sz="4" w:space="0"/>
            </w:tcBorders>
            <w:vAlign w:val="center"/>
          </w:tcPr>
          <w:p w14:paraId="2E7490FD">
            <w:pPr>
              <w:spacing w:before="100" w:beforeAutospacing="1" w:line="240" w:lineRule="auto"/>
              <w:jc w:val="center"/>
              <w:rPr>
                <w:rFonts w:cs="Times New Roman"/>
                <w:sz w:val="21"/>
                <w:szCs w:val="21"/>
                <w14:ligatures w14:val="none"/>
              </w:rPr>
            </w:pPr>
            <w:r>
              <w:rPr>
                <w:rFonts w:cs="Times New Roman"/>
                <w:sz w:val="21"/>
                <w:szCs w:val="21"/>
                <w14:ligatures w14:val="none"/>
              </w:rPr>
              <w:t>纳管量(t/a)</w:t>
            </w:r>
          </w:p>
        </w:tc>
        <w:tc>
          <w:tcPr>
            <w:tcW w:w="0" w:type="auto"/>
            <w:vMerge w:val="continue"/>
            <w:tcBorders>
              <w:top w:val="single" w:color="auto" w:sz="4" w:space="0"/>
              <w:left w:val="nil"/>
              <w:bottom w:val="single" w:color="auto" w:sz="4" w:space="0"/>
              <w:right w:val="single" w:color="auto" w:sz="4" w:space="0"/>
            </w:tcBorders>
            <w:vAlign w:val="center"/>
          </w:tcPr>
          <w:p w14:paraId="48EB0404">
            <w:pPr>
              <w:widowControl/>
              <w:spacing w:line="240" w:lineRule="auto"/>
              <w:jc w:val="left"/>
              <w:rPr>
                <w:rFonts w:cs="Times New Roman"/>
                <w:sz w:val="21"/>
                <w:szCs w:val="21"/>
                <w14:ligatures w14:val="none"/>
              </w:rPr>
            </w:pPr>
          </w:p>
        </w:tc>
        <w:tc>
          <w:tcPr>
            <w:tcW w:w="992" w:type="dxa"/>
            <w:tcBorders>
              <w:top w:val="single" w:color="auto" w:sz="4" w:space="0"/>
              <w:left w:val="nil"/>
              <w:bottom w:val="single" w:color="auto" w:sz="4" w:space="0"/>
              <w:right w:val="single" w:color="auto" w:sz="4" w:space="0"/>
            </w:tcBorders>
            <w:vAlign w:val="center"/>
          </w:tcPr>
          <w:p w14:paraId="7B05D994">
            <w:pPr>
              <w:spacing w:before="100" w:beforeAutospacing="1" w:line="240" w:lineRule="auto"/>
              <w:jc w:val="center"/>
              <w:rPr>
                <w:rFonts w:cs="Times New Roman"/>
                <w:sz w:val="21"/>
                <w:szCs w:val="21"/>
                <w14:ligatures w14:val="none"/>
              </w:rPr>
            </w:pPr>
            <w:r>
              <w:rPr>
                <w:rFonts w:cs="Times New Roman"/>
                <w:sz w:val="21"/>
                <w:szCs w:val="21"/>
                <w14:ligatures w14:val="none"/>
              </w:rPr>
              <w:t>浓度(mg/L)</w:t>
            </w:r>
          </w:p>
        </w:tc>
        <w:tc>
          <w:tcPr>
            <w:tcW w:w="992" w:type="dxa"/>
            <w:tcBorders>
              <w:top w:val="single" w:color="auto" w:sz="4" w:space="0"/>
              <w:left w:val="nil"/>
              <w:bottom w:val="single" w:color="auto" w:sz="4" w:space="0"/>
              <w:right w:val="single" w:color="auto" w:sz="4" w:space="0"/>
            </w:tcBorders>
            <w:vAlign w:val="center"/>
          </w:tcPr>
          <w:p w14:paraId="2A78F196">
            <w:pPr>
              <w:spacing w:before="100" w:beforeAutospacing="1" w:line="240" w:lineRule="auto"/>
              <w:jc w:val="center"/>
              <w:rPr>
                <w:rFonts w:cs="Times New Roman"/>
                <w:sz w:val="21"/>
                <w:szCs w:val="21"/>
                <w14:ligatures w14:val="none"/>
              </w:rPr>
            </w:pPr>
            <w:r>
              <w:rPr>
                <w:rFonts w:cs="Times New Roman"/>
                <w:sz w:val="21"/>
                <w:szCs w:val="21"/>
                <w14:ligatures w14:val="none"/>
              </w:rPr>
              <w:t>排放量(t/a)</w:t>
            </w:r>
          </w:p>
        </w:tc>
        <w:tc>
          <w:tcPr>
            <w:tcW w:w="0" w:type="auto"/>
            <w:vMerge w:val="continue"/>
            <w:tcBorders>
              <w:top w:val="single" w:color="auto" w:sz="4" w:space="0"/>
              <w:left w:val="nil"/>
              <w:bottom w:val="single" w:color="auto" w:sz="4" w:space="0"/>
              <w:right w:val="single" w:color="auto" w:sz="4" w:space="0"/>
            </w:tcBorders>
            <w:vAlign w:val="center"/>
          </w:tcPr>
          <w:p w14:paraId="7CD8D3D7">
            <w:pPr>
              <w:widowControl/>
              <w:spacing w:line="240" w:lineRule="auto"/>
              <w:jc w:val="left"/>
              <w:rPr>
                <w:rFonts w:cs="Times New Roman"/>
                <w:sz w:val="21"/>
                <w:szCs w:val="21"/>
                <w14:ligatures w14:val="none"/>
              </w:rPr>
            </w:pPr>
          </w:p>
        </w:tc>
      </w:tr>
      <w:tr w14:paraId="1C7ECF7B">
        <w:tblPrEx>
          <w:tblCellMar>
            <w:top w:w="0" w:type="dxa"/>
            <w:left w:w="108" w:type="dxa"/>
            <w:bottom w:w="0" w:type="dxa"/>
            <w:right w:w="108" w:type="dxa"/>
          </w:tblCellMar>
        </w:tblPrEx>
        <w:tc>
          <w:tcPr>
            <w:tcW w:w="882" w:type="dxa"/>
            <w:vMerge w:val="restart"/>
            <w:tcBorders>
              <w:top w:val="nil"/>
              <w:left w:val="single" w:color="auto" w:sz="4" w:space="0"/>
              <w:bottom w:val="single" w:color="auto" w:sz="4" w:space="0"/>
              <w:right w:val="single" w:color="auto" w:sz="4" w:space="0"/>
            </w:tcBorders>
            <w:vAlign w:val="center"/>
          </w:tcPr>
          <w:p w14:paraId="3861C572">
            <w:pPr>
              <w:spacing w:before="100" w:beforeAutospacing="1" w:line="240" w:lineRule="auto"/>
              <w:jc w:val="center"/>
              <w:rPr>
                <w:rFonts w:cs="Times New Roman"/>
                <w:sz w:val="21"/>
                <w:szCs w:val="21"/>
                <w14:ligatures w14:val="none"/>
              </w:rPr>
            </w:pPr>
            <w:r>
              <w:rPr>
                <w:rFonts w:cs="Times New Roman"/>
                <w:sz w:val="21"/>
                <w:szCs w:val="21"/>
                <w14:ligatures w14:val="none"/>
              </w:rPr>
              <w:t>DW001</w:t>
            </w:r>
          </w:p>
        </w:tc>
        <w:tc>
          <w:tcPr>
            <w:tcW w:w="1004" w:type="dxa"/>
            <w:vMerge w:val="restart"/>
            <w:tcBorders>
              <w:top w:val="nil"/>
              <w:left w:val="nil"/>
              <w:bottom w:val="single" w:color="auto" w:sz="4" w:space="0"/>
              <w:right w:val="single" w:color="auto" w:sz="4" w:space="0"/>
            </w:tcBorders>
            <w:vAlign w:val="center"/>
          </w:tcPr>
          <w:p w14:paraId="19E06582">
            <w:pPr>
              <w:spacing w:before="100" w:beforeAutospacing="1" w:line="240" w:lineRule="auto"/>
              <w:jc w:val="center"/>
              <w:rPr>
                <w:rFonts w:cs="Times New Roman"/>
                <w:sz w:val="21"/>
                <w:szCs w:val="21"/>
                <w14:ligatures w14:val="none"/>
              </w:rPr>
            </w:pPr>
            <w:r>
              <w:rPr>
                <w:rFonts w:hint="eastAsia" w:cs="Times New Roman"/>
                <w:sz w:val="21"/>
                <w:szCs w:val="21"/>
                <w14:ligatures w14:val="none"/>
              </w:rPr>
              <w:t>26202</w:t>
            </w:r>
          </w:p>
        </w:tc>
        <w:tc>
          <w:tcPr>
            <w:tcW w:w="1086" w:type="dxa"/>
            <w:tcBorders>
              <w:top w:val="single" w:color="auto" w:sz="4" w:space="0"/>
              <w:left w:val="nil"/>
              <w:bottom w:val="single" w:color="auto" w:sz="4" w:space="0"/>
              <w:right w:val="single" w:color="auto" w:sz="4" w:space="0"/>
            </w:tcBorders>
            <w:vAlign w:val="center"/>
          </w:tcPr>
          <w:p w14:paraId="50A2DD74">
            <w:pPr>
              <w:spacing w:before="100" w:beforeAutospacing="1" w:line="240" w:lineRule="auto"/>
              <w:jc w:val="center"/>
              <w:rPr>
                <w:rFonts w:cs="Times New Roman"/>
                <w:sz w:val="21"/>
                <w:szCs w:val="21"/>
                <w14:ligatures w14:val="none"/>
              </w:rPr>
            </w:pPr>
            <w:r>
              <w:rPr>
                <w:rFonts w:cs="Times New Roman"/>
                <w:kern w:val="0"/>
                <w:sz w:val="21"/>
                <w:szCs w:val="21"/>
              </w:rPr>
              <w:t>pH</w:t>
            </w:r>
          </w:p>
        </w:tc>
        <w:tc>
          <w:tcPr>
            <w:tcW w:w="992" w:type="dxa"/>
            <w:tcBorders>
              <w:top w:val="single" w:color="auto" w:sz="4" w:space="0"/>
              <w:left w:val="nil"/>
              <w:bottom w:val="single" w:color="auto" w:sz="4" w:space="0"/>
              <w:right w:val="single" w:color="auto" w:sz="4" w:space="0"/>
            </w:tcBorders>
            <w:vAlign w:val="center"/>
          </w:tcPr>
          <w:p w14:paraId="131691F2">
            <w:pPr>
              <w:spacing w:before="100" w:beforeAutospacing="1" w:line="240" w:lineRule="auto"/>
              <w:jc w:val="center"/>
              <w:rPr>
                <w:rFonts w:cs="Times New Roman"/>
                <w:sz w:val="21"/>
                <w:szCs w:val="21"/>
                <w14:ligatures w14:val="none"/>
              </w:rPr>
            </w:pPr>
            <w:r>
              <w:rPr>
                <w:rFonts w:hint="eastAsia" w:cs="Times New Roman"/>
                <w:sz w:val="21"/>
                <w:szCs w:val="21"/>
                <w14:ligatures w14:val="none"/>
              </w:rPr>
              <w:t>6~9</w:t>
            </w:r>
          </w:p>
        </w:tc>
        <w:tc>
          <w:tcPr>
            <w:tcW w:w="993" w:type="dxa"/>
            <w:tcBorders>
              <w:top w:val="single" w:color="auto" w:sz="4" w:space="0"/>
              <w:left w:val="nil"/>
              <w:bottom w:val="single" w:color="auto" w:sz="4" w:space="0"/>
              <w:right w:val="single" w:color="auto" w:sz="4" w:space="0"/>
            </w:tcBorders>
            <w:vAlign w:val="center"/>
          </w:tcPr>
          <w:p w14:paraId="63E9AC7B">
            <w:pPr>
              <w:spacing w:before="100" w:beforeAutospacing="1" w:line="240" w:lineRule="auto"/>
              <w:jc w:val="center"/>
              <w:rPr>
                <w:rFonts w:cs="Times New Roman"/>
                <w:sz w:val="21"/>
                <w:szCs w:val="21"/>
                <w14:ligatures w14:val="none"/>
              </w:rPr>
            </w:pPr>
            <w:r>
              <w:rPr>
                <w:rFonts w:hint="eastAsia" w:cs="Times New Roman"/>
                <w:sz w:val="21"/>
                <w:szCs w:val="21"/>
                <w14:ligatures w14:val="none"/>
              </w:rPr>
              <w:t>/</w:t>
            </w:r>
          </w:p>
        </w:tc>
        <w:tc>
          <w:tcPr>
            <w:tcW w:w="1134" w:type="dxa"/>
            <w:vMerge w:val="restart"/>
            <w:tcBorders>
              <w:top w:val="nil"/>
              <w:left w:val="nil"/>
              <w:bottom w:val="single" w:color="auto" w:sz="4" w:space="0"/>
              <w:right w:val="single" w:color="auto" w:sz="4" w:space="0"/>
            </w:tcBorders>
            <w:vAlign w:val="center"/>
          </w:tcPr>
          <w:p w14:paraId="168AD409">
            <w:pPr>
              <w:spacing w:before="100" w:beforeAutospacing="1" w:line="240" w:lineRule="auto"/>
              <w:jc w:val="center"/>
              <w:rPr>
                <w:rFonts w:cs="Times New Roman"/>
                <w:sz w:val="21"/>
                <w:szCs w:val="21"/>
                <w14:ligatures w14:val="none"/>
              </w:rPr>
            </w:pPr>
            <w:r>
              <w:rPr>
                <w:rFonts w:hint="eastAsia" w:cs="Times New Roman"/>
                <w:kern w:val="0"/>
                <w:sz w:val="21"/>
                <w:szCs w:val="21"/>
              </w:rPr>
              <w:t>沫河口</w:t>
            </w:r>
            <w:r>
              <w:rPr>
                <w:rFonts w:cs="Times New Roman"/>
                <w:kern w:val="0"/>
                <w:sz w:val="21"/>
                <w:szCs w:val="21"/>
              </w:rPr>
              <w:t>污水处理厂</w:t>
            </w:r>
          </w:p>
        </w:tc>
        <w:tc>
          <w:tcPr>
            <w:tcW w:w="992" w:type="dxa"/>
            <w:tcBorders>
              <w:top w:val="single" w:color="auto" w:sz="4" w:space="0"/>
              <w:left w:val="nil"/>
              <w:bottom w:val="single" w:color="auto" w:sz="4" w:space="0"/>
              <w:right w:val="single" w:color="auto" w:sz="4" w:space="0"/>
            </w:tcBorders>
            <w:vAlign w:val="center"/>
          </w:tcPr>
          <w:p w14:paraId="66F51F94">
            <w:pPr>
              <w:spacing w:before="100" w:beforeAutospacing="1" w:line="240" w:lineRule="auto"/>
              <w:jc w:val="center"/>
              <w:rPr>
                <w:rFonts w:cs="Times New Roman"/>
                <w:sz w:val="21"/>
                <w:szCs w:val="21"/>
                <w14:ligatures w14:val="none"/>
              </w:rPr>
            </w:pPr>
            <w:r>
              <w:rPr>
                <w:rFonts w:cs="Times New Roman"/>
                <w:kern w:val="0"/>
                <w:sz w:val="21"/>
                <w:szCs w:val="21"/>
              </w:rPr>
              <w:t>6~9</w:t>
            </w:r>
          </w:p>
        </w:tc>
        <w:tc>
          <w:tcPr>
            <w:tcW w:w="992" w:type="dxa"/>
            <w:tcBorders>
              <w:top w:val="single" w:color="auto" w:sz="4" w:space="0"/>
              <w:left w:val="nil"/>
              <w:bottom w:val="single" w:color="auto" w:sz="4" w:space="0"/>
              <w:right w:val="single" w:color="auto" w:sz="4" w:space="0"/>
            </w:tcBorders>
            <w:vAlign w:val="center"/>
          </w:tcPr>
          <w:p w14:paraId="64C96773">
            <w:pPr>
              <w:spacing w:before="100" w:beforeAutospacing="1" w:line="240" w:lineRule="auto"/>
              <w:jc w:val="center"/>
              <w:rPr>
                <w:rFonts w:cs="Times New Roman"/>
                <w:sz w:val="21"/>
                <w:szCs w:val="21"/>
                <w14:ligatures w14:val="none"/>
              </w:rPr>
            </w:pPr>
            <w:r>
              <w:rPr>
                <w:rFonts w:hint="eastAsia" w:cs="Times New Roman"/>
                <w:sz w:val="21"/>
                <w:szCs w:val="21"/>
                <w14:ligatures w14:val="none"/>
              </w:rPr>
              <w:t>/</w:t>
            </w:r>
          </w:p>
        </w:tc>
        <w:tc>
          <w:tcPr>
            <w:tcW w:w="985" w:type="dxa"/>
            <w:vMerge w:val="restart"/>
            <w:tcBorders>
              <w:top w:val="nil"/>
              <w:left w:val="nil"/>
              <w:bottom w:val="single" w:color="auto" w:sz="4" w:space="0"/>
              <w:right w:val="single" w:color="auto" w:sz="4" w:space="0"/>
            </w:tcBorders>
            <w:vAlign w:val="center"/>
          </w:tcPr>
          <w:p w14:paraId="1D929C31">
            <w:pPr>
              <w:spacing w:before="100" w:beforeAutospacing="1" w:line="240" w:lineRule="auto"/>
              <w:jc w:val="center"/>
              <w:rPr>
                <w:rFonts w:cs="Times New Roman"/>
                <w:sz w:val="21"/>
                <w:szCs w:val="21"/>
                <w14:ligatures w14:val="none"/>
              </w:rPr>
            </w:pPr>
            <w:r>
              <w:rPr>
                <w:rFonts w:hint="eastAsia" w:ascii="宋体" w:hAnsi="宋体" w:cs="Times New Roman"/>
                <w:sz w:val="21"/>
                <w:szCs w:val="21"/>
                <w14:ligatures w14:val="none"/>
              </w:rPr>
              <w:t>沫冲引河，最终汇入淮河</w:t>
            </w:r>
          </w:p>
        </w:tc>
      </w:tr>
      <w:tr w14:paraId="771B6D4A">
        <w:tblPrEx>
          <w:tblCellMar>
            <w:top w:w="0" w:type="dxa"/>
            <w:left w:w="108" w:type="dxa"/>
            <w:bottom w:w="0" w:type="dxa"/>
            <w:right w:w="108" w:type="dxa"/>
          </w:tblCellMar>
        </w:tblPrEx>
        <w:tc>
          <w:tcPr>
            <w:tcW w:w="0" w:type="auto"/>
            <w:vMerge w:val="continue"/>
            <w:tcBorders>
              <w:top w:val="nil"/>
              <w:left w:val="single" w:color="auto" w:sz="4" w:space="0"/>
              <w:bottom w:val="single" w:color="auto" w:sz="4" w:space="0"/>
              <w:right w:val="single" w:color="auto" w:sz="4" w:space="0"/>
            </w:tcBorders>
            <w:vAlign w:val="center"/>
          </w:tcPr>
          <w:p w14:paraId="47EA66B1">
            <w:pPr>
              <w:widowControl/>
              <w:spacing w:line="240" w:lineRule="auto"/>
              <w:jc w:val="left"/>
              <w:rPr>
                <w:rFonts w:cs="Times New Roman"/>
                <w:sz w:val="21"/>
                <w:szCs w:val="21"/>
                <w14:ligatures w14:val="none"/>
              </w:rPr>
            </w:pPr>
          </w:p>
        </w:tc>
        <w:tc>
          <w:tcPr>
            <w:tcW w:w="0" w:type="auto"/>
            <w:vMerge w:val="continue"/>
            <w:tcBorders>
              <w:top w:val="nil"/>
              <w:left w:val="nil"/>
              <w:bottom w:val="single" w:color="auto" w:sz="4" w:space="0"/>
              <w:right w:val="single" w:color="auto" w:sz="4" w:space="0"/>
            </w:tcBorders>
            <w:vAlign w:val="center"/>
          </w:tcPr>
          <w:p w14:paraId="0672794F">
            <w:pPr>
              <w:widowControl/>
              <w:spacing w:line="240" w:lineRule="auto"/>
              <w:jc w:val="left"/>
              <w:rPr>
                <w:rFonts w:cs="Times New Roman"/>
                <w:sz w:val="21"/>
                <w:szCs w:val="21"/>
                <w14:ligatures w14:val="none"/>
              </w:rPr>
            </w:pPr>
          </w:p>
        </w:tc>
        <w:tc>
          <w:tcPr>
            <w:tcW w:w="1086" w:type="dxa"/>
            <w:tcBorders>
              <w:top w:val="single" w:color="auto" w:sz="4" w:space="0"/>
              <w:left w:val="nil"/>
              <w:bottom w:val="single" w:color="auto" w:sz="4" w:space="0"/>
              <w:right w:val="single" w:color="auto" w:sz="4" w:space="0"/>
            </w:tcBorders>
            <w:vAlign w:val="center"/>
          </w:tcPr>
          <w:p w14:paraId="70A4797A">
            <w:pPr>
              <w:spacing w:before="100" w:beforeAutospacing="1" w:line="240" w:lineRule="auto"/>
              <w:jc w:val="center"/>
              <w:rPr>
                <w:rFonts w:cs="Times New Roman"/>
                <w:sz w:val="21"/>
                <w:szCs w:val="21"/>
                <w14:ligatures w14:val="none"/>
              </w:rPr>
            </w:pPr>
            <w:r>
              <w:rPr>
                <w:sz w:val="21"/>
                <w:szCs w:val="21"/>
              </w:rPr>
              <w:t>COD</w:t>
            </w:r>
          </w:p>
        </w:tc>
        <w:tc>
          <w:tcPr>
            <w:tcW w:w="992" w:type="dxa"/>
            <w:tcBorders>
              <w:top w:val="single" w:color="auto" w:sz="4" w:space="0"/>
              <w:left w:val="nil"/>
              <w:bottom w:val="single" w:color="auto" w:sz="4" w:space="0"/>
              <w:right w:val="single" w:color="auto" w:sz="4" w:space="0"/>
            </w:tcBorders>
            <w:vAlign w:val="center"/>
          </w:tcPr>
          <w:p w14:paraId="70D53CD8">
            <w:pPr>
              <w:spacing w:before="100" w:beforeAutospacing="1" w:line="240" w:lineRule="auto"/>
              <w:jc w:val="center"/>
              <w:rPr>
                <w:rFonts w:cs="Times New Roman"/>
                <w:sz w:val="21"/>
                <w:szCs w:val="21"/>
                <w14:ligatures w14:val="none"/>
              </w:rPr>
            </w:pPr>
            <w:r>
              <w:rPr>
                <w:rFonts w:hint="eastAsia" w:cs="Times New Roman"/>
                <w:sz w:val="21"/>
                <w:szCs w:val="21"/>
                <w14:ligatures w14:val="none"/>
              </w:rPr>
              <w:t>342</w:t>
            </w:r>
          </w:p>
        </w:tc>
        <w:tc>
          <w:tcPr>
            <w:tcW w:w="993" w:type="dxa"/>
            <w:tcBorders>
              <w:top w:val="single" w:color="auto" w:sz="4" w:space="0"/>
              <w:left w:val="nil"/>
              <w:bottom w:val="single" w:color="auto" w:sz="4" w:space="0"/>
              <w:right w:val="single" w:color="auto" w:sz="4" w:space="0"/>
            </w:tcBorders>
            <w:vAlign w:val="center"/>
          </w:tcPr>
          <w:p w14:paraId="3F8C30AA">
            <w:pPr>
              <w:spacing w:before="100" w:beforeAutospacing="1" w:line="240" w:lineRule="auto"/>
              <w:jc w:val="center"/>
              <w:rPr>
                <w:rFonts w:cs="Times New Roman"/>
                <w:sz w:val="21"/>
                <w:szCs w:val="21"/>
                <w14:ligatures w14:val="none"/>
              </w:rPr>
            </w:pPr>
            <w:r>
              <w:rPr>
                <w:rFonts w:hint="eastAsia" w:cs="Times New Roman"/>
                <w:sz w:val="21"/>
                <w:szCs w:val="21"/>
                <w14:ligatures w14:val="none"/>
              </w:rPr>
              <w:t>8.96</w:t>
            </w:r>
          </w:p>
        </w:tc>
        <w:tc>
          <w:tcPr>
            <w:tcW w:w="0" w:type="auto"/>
            <w:vMerge w:val="continue"/>
            <w:tcBorders>
              <w:top w:val="nil"/>
              <w:left w:val="nil"/>
              <w:bottom w:val="single" w:color="auto" w:sz="4" w:space="0"/>
              <w:right w:val="single" w:color="auto" w:sz="4" w:space="0"/>
            </w:tcBorders>
            <w:vAlign w:val="center"/>
          </w:tcPr>
          <w:p w14:paraId="0033CFE4">
            <w:pPr>
              <w:widowControl/>
              <w:spacing w:line="240" w:lineRule="auto"/>
              <w:jc w:val="left"/>
              <w:rPr>
                <w:rFonts w:cs="Times New Roman"/>
                <w:sz w:val="21"/>
                <w:szCs w:val="21"/>
                <w14:ligatures w14:val="none"/>
              </w:rPr>
            </w:pPr>
          </w:p>
        </w:tc>
        <w:tc>
          <w:tcPr>
            <w:tcW w:w="992" w:type="dxa"/>
            <w:tcBorders>
              <w:top w:val="single" w:color="auto" w:sz="4" w:space="0"/>
              <w:left w:val="nil"/>
              <w:bottom w:val="single" w:color="auto" w:sz="4" w:space="0"/>
              <w:right w:val="single" w:color="auto" w:sz="4" w:space="0"/>
            </w:tcBorders>
            <w:vAlign w:val="center"/>
          </w:tcPr>
          <w:p w14:paraId="5EBB010B">
            <w:pPr>
              <w:spacing w:before="100" w:beforeAutospacing="1" w:line="240" w:lineRule="auto"/>
              <w:jc w:val="center"/>
              <w:rPr>
                <w:rFonts w:cs="Times New Roman"/>
                <w:sz w:val="21"/>
                <w:szCs w:val="21"/>
                <w14:ligatures w14:val="none"/>
              </w:rPr>
            </w:pPr>
            <w:r>
              <w:rPr>
                <w:rFonts w:hint="eastAsia"/>
                <w:sz w:val="21"/>
                <w:szCs w:val="21"/>
              </w:rPr>
              <w:t>50</w:t>
            </w:r>
          </w:p>
        </w:tc>
        <w:tc>
          <w:tcPr>
            <w:tcW w:w="992" w:type="dxa"/>
            <w:tcBorders>
              <w:top w:val="single" w:color="auto" w:sz="4" w:space="0"/>
              <w:left w:val="nil"/>
              <w:bottom w:val="single" w:color="auto" w:sz="4" w:space="0"/>
              <w:right w:val="single" w:color="auto" w:sz="4" w:space="0"/>
            </w:tcBorders>
            <w:vAlign w:val="center"/>
          </w:tcPr>
          <w:p w14:paraId="4723EB13">
            <w:pPr>
              <w:spacing w:before="100" w:beforeAutospacing="1" w:line="240" w:lineRule="auto"/>
              <w:jc w:val="center"/>
              <w:rPr>
                <w:rFonts w:cs="Times New Roman"/>
                <w:sz w:val="21"/>
                <w:szCs w:val="21"/>
                <w14:ligatures w14:val="none"/>
              </w:rPr>
            </w:pPr>
            <w:r>
              <w:rPr>
                <w:rFonts w:hint="eastAsia" w:cs="Times New Roman"/>
                <w:sz w:val="21"/>
                <w:szCs w:val="21"/>
                <w14:ligatures w14:val="none"/>
              </w:rPr>
              <w:t>1.31</w:t>
            </w:r>
          </w:p>
        </w:tc>
        <w:tc>
          <w:tcPr>
            <w:tcW w:w="0" w:type="auto"/>
            <w:vMerge w:val="continue"/>
            <w:tcBorders>
              <w:top w:val="nil"/>
              <w:left w:val="nil"/>
              <w:bottom w:val="single" w:color="auto" w:sz="4" w:space="0"/>
              <w:right w:val="single" w:color="auto" w:sz="4" w:space="0"/>
            </w:tcBorders>
            <w:vAlign w:val="center"/>
          </w:tcPr>
          <w:p w14:paraId="47FE053A">
            <w:pPr>
              <w:widowControl/>
              <w:spacing w:line="240" w:lineRule="auto"/>
              <w:jc w:val="left"/>
              <w:rPr>
                <w:rFonts w:cs="Times New Roman"/>
                <w:sz w:val="21"/>
                <w:szCs w:val="21"/>
                <w14:ligatures w14:val="none"/>
              </w:rPr>
            </w:pPr>
          </w:p>
        </w:tc>
      </w:tr>
      <w:tr w14:paraId="52CA0A16">
        <w:tblPrEx>
          <w:tblCellMar>
            <w:top w:w="0" w:type="dxa"/>
            <w:left w:w="108" w:type="dxa"/>
            <w:bottom w:w="0" w:type="dxa"/>
            <w:right w:w="108" w:type="dxa"/>
          </w:tblCellMar>
        </w:tblPrEx>
        <w:tc>
          <w:tcPr>
            <w:tcW w:w="0" w:type="auto"/>
            <w:vMerge w:val="continue"/>
            <w:tcBorders>
              <w:top w:val="nil"/>
              <w:left w:val="single" w:color="auto" w:sz="4" w:space="0"/>
              <w:bottom w:val="single" w:color="auto" w:sz="4" w:space="0"/>
              <w:right w:val="single" w:color="auto" w:sz="4" w:space="0"/>
            </w:tcBorders>
            <w:vAlign w:val="center"/>
          </w:tcPr>
          <w:p w14:paraId="723CAD4F">
            <w:pPr>
              <w:widowControl/>
              <w:spacing w:line="240" w:lineRule="auto"/>
              <w:jc w:val="left"/>
              <w:rPr>
                <w:rFonts w:cs="Times New Roman"/>
                <w:sz w:val="21"/>
                <w:szCs w:val="21"/>
                <w14:ligatures w14:val="none"/>
              </w:rPr>
            </w:pPr>
          </w:p>
        </w:tc>
        <w:tc>
          <w:tcPr>
            <w:tcW w:w="0" w:type="auto"/>
            <w:vMerge w:val="continue"/>
            <w:tcBorders>
              <w:top w:val="nil"/>
              <w:left w:val="nil"/>
              <w:bottom w:val="single" w:color="auto" w:sz="4" w:space="0"/>
              <w:right w:val="single" w:color="auto" w:sz="4" w:space="0"/>
            </w:tcBorders>
            <w:vAlign w:val="center"/>
          </w:tcPr>
          <w:p w14:paraId="1CD1B29A">
            <w:pPr>
              <w:widowControl/>
              <w:spacing w:line="240" w:lineRule="auto"/>
              <w:jc w:val="left"/>
              <w:rPr>
                <w:rFonts w:cs="Times New Roman"/>
                <w:sz w:val="21"/>
                <w:szCs w:val="21"/>
                <w14:ligatures w14:val="none"/>
              </w:rPr>
            </w:pPr>
          </w:p>
        </w:tc>
        <w:tc>
          <w:tcPr>
            <w:tcW w:w="1086" w:type="dxa"/>
            <w:tcBorders>
              <w:top w:val="single" w:color="auto" w:sz="4" w:space="0"/>
              <w:left w:val="nil"/>
              <w:bottom w:val="single" w:color="auto" w:sz="4" w:space="0"/>
              <w:right w:val="single" w:color="auto" w:sz="4" w:space="0"/>
            </w:tcBorders>
            <w:vAlign w:val="center"/>
          </w:tcPr>
          <w:p w14:paraId="33BD7E03">
            <w:pPr>
              <w:spacing w:before="100" w:beforeAutospacing="1" w:line="240" w:lineRule="auto"/>
              <w:jc w:val="center"/>
              <w:rPr>
                <w:rFonts w:cs="Times New Roman"/>
                <w:sz w:val="21"/>
                <w:szCs w:val="21"/>
                <w14:ligatures w14:val="none"/>
              </w:rPr>
            </w:pPr>
            <w:r>
              <w:rPr>
                <w:sz w:val="21"/>
                <w:szCs w:val="21"/>
              </w:rPr>
              <w:t>BOD</w:t>
            </w:r>
            <w:r>
              <w:rPr>
                <w:sz w:val="21"/>
                <w:szCs w:val="21"/>
                <w:vertAlign w:val="subscript"/>
              </w:rPr>
              <w:t>5</w:t>
            </w:r>
          </w:p>
        </w:tc>
        <w:tc>
          <w:tcPr>
            <w:tcW w:w="992" w:type="dxa"/>
            <w:tcBorders>
              <w:top w:val="single" w:color="auto" w:sz="4" w:space="0"/>
              <w:left w:val="nil"/>
              <w:bottom w:val="single" w:color="auto" w:sz="4" w:space="0"/>
              <w:right w:val="single" w:color="auto" w:sz="4" w:space="0"/>
            </w:tcBorders>
            <w:vAlign w:val="center"/>
          </w:tcPr>
          <w:p w14:paraId="0797F82F">
            <w:pPr>
              <w:spacing w:before="100" w:beforeAutospacing="1" w:line="240" w:lineRule="auto"/>
              <w:jc w:val="center"/>
              <w:rPr>
                <w:rFonts w:cs="Times New Roman"/>
                <w:sz w:val="21"/>
                <w:szCs w:val="21"/>
                <w14:ligatures w14:val="none"/>
              </w:rPr>
            </w:pPr>
            <w:r>
              <w:rPr>
                <w:rFonts w:hint="eastAsia" w:cs="Times New Roman"/>
                <w:sz w:val="21"/>
                <w:szCs w:val="21"/>
                <w14:ligatures w14:val="none"/>
              </w:rPr>
              <w:t>110</w:t>
            </w:r>
          </w:p>
        </w:tc>
        <w:tc>
          <w:tcPr>
            <w:tcW w:w="993" w:type="dxa"/>
            <w:tcBorders>
              <w:top w:val="single" w:color="auto" w:sz="4" w:space="0"/>
              <w:left w:val="nil"/>
              <w:bottom w:val="single" w:color="auto" w:sz="4" w:space="0"/>
              <w:right w:val="single" w:color="auto" w:sz="4" w:space="0"/>
            </w:tcBorders>
            <w:vAlign w:val="center"/>
          </w:tcPr>
          <w:p w14:paraId="6C18D44D">
            <w:pPr>
              <w:spacing w:before="100" w:beforeAutospacing="1" w:line="240" w:lineRule="auto"/>
              <w:jc w:val="center"/>
              <w:rPr>
                <w:rFonts w:cs="Times New Roman"/>
                <w:sz w:val="21"/>
                <w:szCs w:val="21"/>
                <w14:ligatures w14:val="none"/>
              </w:rPr>
            </w:pPr>
            <w:r>
              <w:rPr>
                <w:rFonts w:hint="eastAsia" w:cs="Times New Roman"/>
                <w:sz w:val="21"/>
                <w:szCs w:val="21"/>
                <w14:ligatures w14:val="none"/>
              </w:rPr>
              <w:t>2.88</w:t>
            </w:r>
          </w:p>
        </w:tc>
        <w:tc>
          <w:tcPr>
            <w:tcW w:w="0" w:type="auto"/>
            <w:vMerge w:val="continue"/>
            <w:tcBorders>
              <w:top w:val="nil"/>
              <w:left w:val="nil"/>
              <w:bottom w:val="single" w:color="auto" w:sz="4" w:space="0"/>
              <w:right w:val="single" w:color="auto" w:sz="4" w:space="0"/>
            </w:tcBorders>
            <w:vAlign w:val="center"/>
          </w:tcPr>
          <w:p w14:paraId="0F9574C7">
            <w:pPr>
              <w:widowControl/>
              <w:spacing w:line="240" w:lineRule="auto"/>
              <w:jc w:val="left"/>
              <w:rPr>
                <w:rFonts w:cs="Times New Roman"/>
                <w:sz w:val="21"/>
                <w:szCs w:val="21"/>
                <w14:ligatures w14:val="none"/>
              </w:rPr>
            </w:pPr>
          </w:p>
        </w:tc>
        <w:tc>
          <w:tcPr>
            <w:tcW w:w="992" w:type="dxa"/>
            <w:tcBorders>
              <w:top w:val="single" w:color="auto" w:sz="4" w:space="0"/>
              <w:left w:val="nil"/>
              <w:bottom w:val="single" w:color="auto" w:sz="4" w:space="0"/>
              <w:right w:val="single" w:color="auto" w:sz="4" w:space="0"/>
            </w:tcBorders>
            <w:vAlign w:val="center"/>
          </w:tcPr>
          <w:p w14:paraId="73ADB1DC">
            <w:pPr>
              <w:spacing w:before="100" w:beforeAutospacing="1" w:line="240" w:lineRule="auto"/>
              <w:jc w:val="center"/>
              <w:rPr>
                <w:rFonts w:cs="Times New Roman"/>
                <w:sz w:val="21"/>
                <w:szCs w:val="21"/>
                <w14:ligatures w14:val="none"/>
              </w:rPr>
            </w:pPr>
            <w:r>
              <w:rPr>
                <w:rFonts w:hint="eastAsia"/>
                <w:sz w:val="21"/>
                <w:szCs w:val="21"/>
              </w:rPr>
              <w:t>10</w:t>
            </w:r>
          </w:p>
        </w:tc>
        <w:tc>
          <w:tcPr>
            <w:tcW w:w="992" w:type="dxa"/>
            <w:tcBorders>
              <w:top w:val="single" w:color="auto" w:sz="4" w:space="0"/>
              <w:left w:val="nil"/>
              <w:bottom w:val="single" w:color="auto" w:sz="4" w:space="0"/>
              <w:right w:val="single" w:color="auto" w:sz="4" w:space="0"/>
            </w:tcBorders>
            <w:vAlign w:val="center"/>
          </w:tcPr>
          <w:p w14:paraId="698D2E45">
            <w:pPr>
              <w:spacing w:before="100" w:beforeAutospacing="1" w:line="240" w:lineRule="auto"/>
              <w:jc w:val="center"/>
              <w:rPr>
                <w:rFonts w:cs="Times New Roman"/>
                <w:sz w:val="21"/>
                <w:szCs w:val="21"/>
                <w14:ligatures w14:val="none"/>
              </w:rPr>
            </w:pPr>
            <w:r>
              <w:rPr>
                <w:rFonts w:hint="eastAsia" w:cs="Times New Roman"/>
                <w:sz w:val="21"/>
                <w:szCs w:val="21"/>
                <w14:ligatures w14:val="none"/>
              </w:rPr>
              <w:t>0.262</w:t>
            </w:r>
          </w:p>
        </w:tc>
        <w:tc>
          <w:tcPr>
            <w:tcW w:w="0" w:type="auto"/>
            <w:vMerge w:val="continue"/>
            <w:tcBorders>
              <w:top w:val="nil"/>
              <w:left w:val="nil"/>
              <w:bottom w:val="single" w:color="auto" w:sz="4" w:space="0"/>
              <w:right w:val="single" w:color="auto" w:sz="4" w:space="0"/>
            </w:tcBorders>
            <w:vAlign w:val="center"/>
          </w:tcPr>
          <w:p w14:paraId="6834F5E4">
            <w:pPr>
              <w:widowControl/>
              <w:spacing w:line="240" w:lineRule="auto"/>
              <w:jc w:val="left"/>
              <w:rPr>
                <w:rFonts w:cs="Times New Roman"/>
                <w:sz w:val="21"/>
                <w:szCs w:val="21"/>
                <w14:ligatures w14:val="none"/>
              </w:rPr>
            </w:pPr>
          </w:p>
        </w:tc>
      </w:tr>
      <w:tr w14:paraId="3353327E">
        <w:tblPrEx>
          <w:tblCellMar>
            <w:top w:w="0" w:type="dxa"/>
            <w:left w:w="108" w:type="dxa"/>
            <w:bottom w:w="0" w:type="dxa"/>
            <w:right w:w="108" w:type="dxa"/>
          </w:tblCellMar>
        </w:tblPrEx>
        <w:tc>
          <w:tcPr>
            <w:tcW w:w="0" w:type="auto"/>
            <w:vMerge w:val="continue"/>
            <w:tcBorders>
              <w:top w:val="nil"/>
              <w:left w:val="single" w:color="auto" w:sz="4" w:space="0"/>
              <w:bottom w:val="single" w:color="auto" w:sz="4" w:space="0"/>
              <w:right w:val="single" w:color="auto" w:sz="4" w:space="0"/>
            </w:tcBorders>
            <w:vAlign w:val="center"/>
          </w:tcPr>
          <w:p w14:paraId="2BF1DB2A">
            <w:pPr>
              <w:widowControl/>
              <w:spacing w:line="240" w:lineRule="auto"/>
              <w:jc w:val="left"/>
              <w:rPr>
                <w:rFonts w:cs="Times New Roman"/>
                <w:sz w:val="21"/>
                <w:szCs w:val="21"/>
                <w14:ligatures w14:val="none"/>
              </w:rPr>
            </w:pPr>
          </w:p>
        </w:tc>
        <w:tc>
          <w:tcPr>
            <w:tcW w:w="0" w:type="auto"/>
            <w:vMerge w:val="continue"/>
            <w:tcBorders>
              <w:top w:val="nil"/>
              <w:left w:val="nil"/>
              <w:bottom w:val="single" w:color="auto" w:sz="4" w:space="0"/>
              <w:right w:val="single" w:color="auto" w:sz="4" w:space="0"/>
            </w:tcBorders>
            <w:vAlign w:val="center"/>
          </w:tcPr>
          <w:p w14:paraId="7871A6AE">
            <w:pPr>
              <w:widowControl/>
              <w:spacing w:line="240" w:lineRule="auto"/>
              <w:jc w:val="left"/>
              <w:rPr>
                <w:rFonts w:cs="Times New Roman"/>
                <w:sz w:val="21"/>
                <w:szCs w:val="21"/>
                <w14:ligatures w14:val="none"/>
              </w:rPr>
            </w:pPr>
          </w:p>
        </w:tc>
        <w:tc>
          <w:tcPr>
            <w:tcW w:w="1086" w:type="dxa"/>
            <w:tcBorders>
              <w:top w:val="single" w:color="auto" w:sz="4" w:space="0"/>
              <w:left w:val="nil"/>
              <w:bottom w:val="single" w:color="auto" w:sz="4" w:space="0"/>
              <w:right w:val="single" w:color="auto" w:sz="4" w:space="0"/>
            </w:tcBorders>
            <w:vAlign w:val="center"/>
          </w:tcPr>
          <w:p w14:paraId="3B146BE7">
            <w:pPr>
              <w:spacing w:before="100" w:beforeAutospacing="1" w:line="240" w:lineRule="auto"/>
              <w:jc w:val="center"/>
              <w:rPr>
                <w:rFonts w:cs="Times New Roman"/>
                <w:sz w:val="21"/>
                <w:szCs w:val="21"/>
                <w14:ligatures w14:val="none"/>
              </w:rPr>
            </w:pPr>
            <w:r>
              <w:rPr>
                <w:sz w:val="21"/>
                <w:szCs w:val="21"/>
              </w:rPr>
              <w:t>SS</w:t>
            </w:r>
          </w:p>
        </w:tc>
        <w:tc>
          <w:tcPr>
            <w:tcW w:w="992" w:type="dxa"/>
            <w:tcBorders>
              <w:top w:val="single" w:color="auto" w:sz="4" w:space="0"/>
              <w:left w:val="nil"/>
              <w:bottom w:val="single" w:color="auto" w:sz="4" w:space="0"/>
              <w:right w:val="single" w:color="auto" w:sz="4" w:space="0"/>
            </w:tcBorders>
            <w:vAlign w:val="center"/>
          </w:tcPr>
          <w:p w14:paraId="197C5F27">
            <w:pPr>
              <w:spacing w:before="100" w:beforeAutospacing="1" w:line="240" w:lineRule="auto"/>
              <w:jc w:val="center"/>
              <w:rPr>
                <w:rFonts w:cs="Times New Roman"/>
                <w:sz w:val="21"/>
                <w:szCs w:val="21"/>
                <w14:ligatures w14:val="none"/>
              </w:rPr>
            </w:pPr>
            <w:r>
              <w:rPr>
                <w:rFonts w:hint="eastAsia" w:cs="Times New Roman"/>
                <w:sz w:val="21"/>
                <w:szCs w:val="21"/>
                <w14:ligatures w14:val="none"/>
              </w:rPr>
              <w:t>89</w:t>
            </w:r>
          </w:p>
        </w:tc>
        <w:tc>
          <w:tcPr>
            <w:tcW w:w="993" w:type="dxa"/>
            <w:tcBorders>
              <w:top w:val="single" w:color="auto" w:sz="4" w:space="0"/>
              <w:left w:val="nil"/>
              <w:bottom w:val="single" w:color="auto" w:sz="4" w:space="0"/>
              <w:right w:val="single" w:color="auto" w:sz="4" w:space="0"/>
            </w:tcBorders>
            <w:vAlign w:val="center"/>
          </w:tcPr>
          <w:p w14:paraId="535B13AA">
            <w:pPr>
              <w:spacing w:before="100" w:beforeAutospacing="1" w:line="240" w:lineRule="auto"/>
              <w:jc w:val="center"/>
              <w:rPr>
                <w:rFonts w:cs="Times New Roman"/>
                <w:sz w:val="21"/>
                <w:szCs w:val="21"/>
                <w14:ligatures w14:val="none"/>
              </w:rPr>
            </w:pPr>
            <w:r>
              <w:rPr>
                <w:rFonts w:hint="eastAsia" w:cs="Times New Roman"/>
                <w:sz w:val="21"/>
                <w:szCs w:val="21"/>
                <w14:ligatures w14:val="none"/>
              </w:rPr>
              <w:t>2.33</w:t>
            </w:r>
          </w:p>
        </w:tc>
        <w:tc>
          <w:tcPr>
            <w:tcW w:w="0" w:type="auto"/>
            <w:vMerge w:val="continue"/>
            <w:tcBorders>
              <w:top w:val="nil"/>
              <w:left w:val="nil"/>
              <w:bottom w:val="single" w:color="auto" w:sz="4" w:space="0"/>
              <w:right w:val="single" w:color="auto" w:sz="4" w:space="0"/>
            </w:tcBorders>
            <w:vAlign w:val="center"/>
          </w:tcPr>
          <w:p w14:paraId="680E38F2">
            <w:pPr>
              <w:widowControl/>
              <w:spacing w:line="240" w:lineRule="auto"/>
              <w:jc w:val="left"/>
              <w:rPr>
                <w:rFonts w:cs="Times New Roman"/>
                <w:sz w:val="21"/>
                <w:szCs w:val="21"/>
                <w14:ligatures w14:val="none"/>
              </w:rPr>
            </w:pPr>
          </w:p>
        </w:tc>
        <w:tc>
          <w:tcPr>
            <w:tcW w:w="992" w:type="dxa"/>
            <w:tcBorders>
              <w:top w:val="single" w:color="auto" w:sz="4" w:space="0"/>
              <w:left w:val="nil"/>
              <w:bottom w:val="single" w:color="auto" w:sz="4" w:space="0"/>
              <w:right w:val="single" w:color="auto" w:sz="4" w:space="0"/>
            </w:tcBorders>
            <w:vAlign w:val="center"/>
          </w:tcPr>
          <w:p w14:paraId="04AB941A">
            <w:pPr>
              <w:spacing w:before="100" w:beforeAutospacing="1" w:line="240" w:lineRule="auto"/>
              <w:jc w:val="center"/>
              <w:rPr>
                <w:rFonts w:cs="Times New Roman"/>
                <w:sz w:val="21"/>
                <w:szCs w:val="21"/>
                <w14:ligatures w14:val="none"/>
              </w:rPr>
            </w:pPr>
            <w:r>
              <w:rPr>
                <w:rFonts w:hint="eastAsia"/>
                <w:sz w:val="21"/>
                <w:szCs w:val="21"/>
              </w:rPr>
              <w:t>10</w:t>
            </w:r>
          </w:p>
        </w:tc>
        <w:tc>
          <w:tcPr>
            <w:tcW w:w="992" w:type="dxa"/>
            <w:tcBorders>
              <w:top w:val="single" w:color="auto" w:sz="4" w:space="0"/>
              <w:left w:val="nil"/>
              <w:bottom w:val="single" w:color="auto" w:sz="4" w:space="0"/>
              <w:right w:val="single" w:color="auto" w:sz="4" w:space="0"/>
            </w:tcBorders>
            <w:vAlign w:val="center"/>
          </w:tcPr>
          <w:p w14:paraId="455D6A68">
            <w:pPr>
              <w:spacing w:before="100" w:beforeAutospacing="1" w:line="240" w:lineRule="auto"/>
              <w:jc w:val="center"/>
              <w:rPr>
                <w:rFonts w:cs="Times New Roman"/>
                <w:sz w:val="21"/>
                <w:szCs w:val="21"/>
                <w14:ligatures w14:val="none"/>
              </w:rPr>
            </w:pPr>
            <w:r>
              <w:rPr>
                <w:rFonts w:hint="eastAsia" w:cs="Times New Roman"/>
                <w:sz w:val="21"/>
                <w:szCs w:val="21"/>
                <w14:ligatures w14:val="none"/>
              </w:rPr>
              <w:t>0.262</w:t>
            </w:r>
          </w:p>
        </w:tc>
        <w:tc>
          <w:tcPr>
            <w:tcW w:w="0" w:type="auto"/>
            <w:vMerge w:val="continue"/>
            <w:tcBorders>
              <w:top w:val="nil"/>
              <w:left w:val="nil"/>
              <w:bottom w:val="single" w:color="auto" w:sz="4" w:space="0"/>
              <w:right w:val="single" w:color="auto" w:sz="4" w:space="0"/>
            </w:tcBorders>
            <w:vAlign w:val="center"/>
          </w:tcPr>
          <w:p w14:paraId="2BC80421">
            <w:pPr>
              <w:widowControl/>
              <w:spacing w:line="240" w:lineRule="auto"/>
              <w:jc w:val="left"/>
              <w:rPr>
                <w:rFonts w:cs="Times New Roman"/>
                <w:sz w:val="21"/>
                <w:szCs w:val="21"/>
                <w14:ligatures w14:val="none"/>
              </w:rPr>
            </w:pPr>
          </w:p>
        </w:tc>
      </w:tr>
      <w:tr w14:paraId="1F8DB192">
        <w:tblPrEx>
          <w:tblCellMar>
            <w:top w:w="0" w:type="dxa"/>
            <w:left w:w="108" w:type="dxa"/>
            <w:bottom w:w="0" w:type="dxa"/>
            <w:right w:w="108" w:type="dxa"/>
          </w:tblCellMar>
        </w:tblPrEx>
        <w:tc>
          <w:tcPr>
            <w:tcW w:w="0" w:type="auto"/>
            <w:vMerge w:val="continue"/>
            <w:tcBorders>
              <w:top w:val="nil"/>
              <w:left w:val="single" w:color="auto" w:sz="4" w:space="0"/>
              <w:bottom w:val="single" w:color="auto" w:sz="4" w:space="0"/>
              <w:right w:val="single" w:color="auto" w:sz="4" w:space="0"/>
            </w:tcBorders>
            <w:vAlign w:val="center"/>
          </w:tcPr>
          <w:p w14:paraId="19C4D0B6">
            <w:pPr>
              <w:widowControl/>
              <w:spacing w:line="240" w:lineRule="auto"/>
              <w:jc w:val="left"/>
              <w:rPr>
                <w:rFonts w:cs="Times New Roman"/>
                <w:sz w:val="21"/>
                <w:szCs w:val="21"/>
                <w14:ligatures w14:val="none"/>
              </w:rPr>
            </w:pPr>
          </w:p>
        </w:tc>
        <w:tc>
          <w:tcPr>
            <w:tcW w:w="0" w:type="auto"/>
            <w:vMerge w:val="continue"/>
            <w:tcBorders>
              <w:top w:val="nil"/>
              <w:left w:val="nil"/>
              <w:bottom w:val="single" w:color="auto" w:sz="4" w:space="0"/>
              <w:right w:val="single" w:color="auto" w:sz="4" w:space="0"/>
            </w:tcBorders>
            <w:vAlign w:val="center"/>
          </w:tcPr>
          <w:p w14:paraId="2E878DCA">
            <w:pPr>
              <w:widowControl/>
              <w:spacing w:line="240" w:lineRule="auto"/>
              <w:jc w:val="left"/>
              <w:rPr>
                <w:rFonts w:cs="Times New Roman"/>
                <w:sz w:val="21"/>
                <w:szCs w:val="21"/>
                <w14:ligatures w14:val="none"/>
              </w:rPr>
            </w:pPr>
          </w:p>
        </w:tc>
        <w:tc>
          <w:tcPr>
            <w:tcW w:w="1086" w:type="dxa"/>
            <w:tcBorders>
              <w:top w:val="single" w:color="auto" w:sz="4" w:space="0"/>
              <w:left w:val="nil"/>
              <w:bottom w:val="single" w:color="auto" w:sz="4" w:space="0"/>
              <w:right w:val="single" w:color="auto" w:sz="4" w:space="0"/>
            </w:tcBorders>
            <w:vAlign w:val="center"/>
          </w:tcPr>
          <w:p w14:paraId="215756A7">
            <w:pPr>
              <w:spacing w:before="100" w:beforeAutospacing="1" w:line="240" w:lineRule="auto"/>
              <w:jc w:val="center"/>
              <w:rPr>
                <w:rFonts w:cs="Times New Roman"/>
                <w:sz w:val="21"/>
                <w:szCs w:val="21"/>
                <w14:ligatures w14:val="none"/>
              </w:rPr>
            </w:pPr>
            <w:r>
              <w:rPr>
                <w:rFonts w:ascii="宋体" w:hAnsi="宋体"/>
                <w:sz w:val="21"/>
                <w:szCs w:val="21"/>
              </w:rPr>
              <w:t>氨氮</w:t>
            </w:r>
          </w:p>
        </w:tc>
        <w:tc>
          <w:tcPr>
            <w:tcW w:w="992" w:type="dxa"/>
            <w:tcBorders>
              <w:top w:val="single" w:color="auto" w:sz="4" w:space="0"/>
              <w:left w:val="nil"/>
              <w:bottom w:val="single" w:color="auto" w:sz="4" w:space="0"/>
              <w:right w:val="single" w:color="auto" w:sz="4" w:space="0"/>
            </w:tcBorders>
            <w:vAlign w:val="center"/>
          </w:tcPr>
          <w:p w14:paraId="2EA3F719">
            <w:pPr>
              <w:spacing w:before="100" w:beforeAutospacing="1" w:line="240" w:lineRule="auto"/>
              <w:jc w:val="center"/>
              <w:rPr>
                <w:rFonts w:cs="Times New Roman"/>
                <w:sz w:val="21"/>
                <w:szCs w:val="21"/>
              </w:rPr>
            </w:pPr>
            <w:r>
              <w:rPr>
                <w:rFonts w:hint="eastAsia" w:cs="Times New Roman"/>
                <w:sz w:val="21"/>
                <w:szCs w:val="21"/>
              </w:rPr>
              <w:t>8.47</w:t>
            </w:r>
          </w:p>
        </w:tc>
        <w:tc>
          <w:tcPr>
            <w:tcW w:w="993" w:type="dxa"/>
            <w:tcBorders>
              <w:top w:val="single" w:color="auto" w:sz="4" w:space="0"/>
              <w:left w:val="nil"/>
              <w:bottom w:val="single" w:color="auto" w:sz="4" w:space="0"/>
              <w:right w:val="single" w:color="auto" w:sz="4" w:space="0"/>
            </w:tcBorders>
            <w:vAlign w:val="center"/>
          </w:tcPr>
          <w:p w14:paraId="634B36EC">
            <w:pPr>
              <w:spacing w:before="100" w:beforeAutospacing="1" w:line="240" w:lineRule="auto"/>
              <w:jc w:val="center"/>
              <w:rPr>
                <w:rFonts w:cs="Times New Roman"/>
                <w:sz w:val="21"/>
                <w:szCs w:val="21"/>
              </w:rPr>
            </w:pPr>
            <w:r>
              <w:rPr>
                <w:rFonts w:hint="eastAsia" w:cs="Times New Roman"/>
                <w:sz w:val="21"/>
                <w:szCs w:val="21"/>
              </w:rPr>
              <w:t>0.22</w:t>
            </w:r>
          </w:p>
        </w:tc>
        <w:tc>
          <w:tcPr>
            <w:tcW w:w="0" w:type="auto"/>
            <w:vMerge w:val="continue"/>
            <w:tcBorders>
              <w:top w:val="nil"/>
              <w:left w:val="nil"/>
              <w:bottom w:val="single" w:color="auto" w:sz="4" w:space="0"/>
              <w:right w:val="single" w:color="auto" w:sz="4" w:space="0"/>
            </w:tcBorders>
            <w:vAlign w:val="center"/>
          </w:tcPr>
          <w:p w14:paraId="5786E874">
            <w:pPr>
              <w:widowControl/>
              <w:spacing w:line="240" w:lineRule="auto"/>
              <w:jc w:val="left"/>
              <w:rPr>
                <w:rFonts w:cs="Times New Roman"/>
                <w:sz w:val="21"/>
                <w:szCs w:val="21"/>
                <w14:ligatures w14:val="none"/>
              </w:rPr>
            </w:pPr>
          </w:p>
        </w:tc>
        <w:tc>
          <w:tcPr>
            <w:tcW w:w="992" w:type="dxa"/>
            <w:tcBorders>
              <w:top w:val="single" w:color="auto" w:sz="4" w:space="0"/>
              <w:left w:val="nil"/>
              <w:bottom w:val="single" w:color="auto" w:sz="4" w:space="0"/>
              <w:right w:val="single" w:color="auto" w:sz="4" w:space="0"/>
            </w:tcBorders>
            <w:vAlign w:val="center"/>
          </w:tcPr>
          <w:p w14:paraId="6D90997B">
            <w:pPr>
              <w:spacing w:before="100" w:beforeAutospacing="1" w:line="240" w:lineRule="auto"/>
              <w:jc w:val="center"/>
              <w:rPr>
                <w:rFonts w:cs="Times New Roman"/>
                <w:sz w:val="21"/>
                <w:szCs w:val="21"/>
                <w14:ligatures w14:val="none"/>
              </w:rPr>
            </w:pPr>
            <w:r>
              <w:rPr>
                <w:rFonts w:hint="eastAsia"/>
                <w:sz w:val="21"/>
                <w:szCs w:val="21"/>
              </w:rPr>
              <w:t>5</w:t>
            </w:r>
          </w:p>
        </w:tc>
        <w:tc>
          <w:tcPr>
            <w:tcW w:w="992" w:type="dxa"/>
            <w:tcBorders>
              <w:top w:val="single" w:color="auto" w:sz="4" w:space="0"/>
              <w:left w:val="nil"/>
              <w:bottom w:val="single" w:color="auto" w:sz="4" w:space="0"/>
              <w:right w:val="single" w:color="auto" w:sz="4" w:space="0"/>
            </w:tcBorders>
            <w:vAlign w:val="center"/>
          </w:tcPr>
          <w:p w14:paraId="5F5D00BD">
            <w:pPr>
              <w:spacing w:before="100" w:beforeAutospacing="1" w:line="240" w:lineRule="auto"/>
              <w:jc w:val="center"/>
              <w:rPr>
                <w:rFonts w:cs="Times New Roman"/>
                <w:sz w:val="21"/>
                <w:szCs w:val="21"/>
                <w14:ligatures w14:val="none"/>
              </w:rPr>
            </w:pPr>
            <w:r>
              <w:rPr>
                <w:rFonts w:hint="eastAsia" w:cs="Times New Roman"/>
                <w:sz w:val="21"/>
                <w:szCs w:val="21"/>
                <w14:ligatures w14:val="none"/>
              </w:rPr>
              <w:t>0.131</w:t>
            </w:r>
          </w:p>
        </w:tc>
        <w:tc>
          <w:tcPr>
            <w:tcW w:w="0" w:type="auto"/>
            <w:vMerge w:val="continue"/>
            <w:tcBorders>
              <w:top w:val="nil"/>
              <w:left w:val="nil"/>
              <w:bottom w:val="single" w:color="auto" w:sz="4" w:space="0"/>
              <w:right w:val="single" w:color="auto" w:sz="4" w:space="0"/>
            </w:tcBorders>
            <w:vAlign w:val="center"/>
          </w:tcPr>
          <w:p w14:paraId="0DF232A6">
            <w:pPr>
              <w:widowControl/>
              <w:spacing w:line="240" w:lineRule="auto"/>
              <w:jc w:val="left"/>
              <w:rPr>
                <w:rFonts w:cs="Times New Roman"/>
                <w:sz w:val="21"/>
                <w:szCs w:val="21"/>
                <w14:ligatures w14:val="none"/>
              </w:rPr>
            </w:pPr>
          </w:p>
        </w:tc>
      </w:tr>
      <w:tr w14:paraId="09F94DDF">
        <w:tblPrEx>
          <w:tblCellMar>
            <w:top w:w="0" w:type="dxa"/>
            <w:left w:w="108" w:type="dxa"/>
            <w:bottom w:w="0" w:type="dxa"/>
            <w:right w:w="108" w:type="dxa"/>
          </w:tblCellMar>
        </w:tblPrEx>
        <w:tc>
          <w:tcPr>
            <w:tcW w:w="0" w:type="auto"/>
            <w:vMerge w:val="continue"/>
            <w:tcBorders>
              <w:top w:val="nil"/>
              <w:left w:val="single" w:color="auto" w:sz="4" w:space="0"/>
              <w:bottom w:val="single" w:color="auto" w:sz="4" w:space="0"/>
              <w:right w:val="single" w:color="auto" w:sz="4" w:space="0"/>
            </w:tcBorders>
            <w:vAlign w:val="center"/>
          </w:tcPr>
          <w:p w14:paraId="19E1E869">
            <w:pPr>
              <w:widowControl/>
              <w:spacing w:line="240" w:lineRule="auto"/>
              <w:jc w:val="left"/>
              <w:rPr>
                <w:rFonts w:cs="Times New Roman"/>
                <w:sz w:val="21"/>
                <w:szCs w:val="21"/>
                <w14:ligatures w14:val="none"/>
              </w:rPr>
            </w:pPr>
          </w:p>
        </w:tc>
        <w:tc>
          <w:tcPr>
            <w:tcW w:w="0" w:type="auto"/>
            <w:vMerge w:val="continue"/>
            <w:tcBorders>
              <w:top w:val="nil"/>
              <w:left w:val="nil"/>
              <w:bottom w:val="single" w:color="auto" w:sz="4" w:space="0"/>
              <w:right w:val="single" w:color="auto" w:sz="4" w:space="0"/>
            </w:tcBorders>
            <w:vAlign w:val="center"/>
          </w:tcPr>
          <w:p w14:paraId="0A9DCABB">
            <w:pPr>
              <w:widowControl/>
              <w:spacing w:line="240" w:lineRule="auto"/>
              <w:jc w:val="left"/>
              <w:rPr>
                <w:rFonts w:cs="Times New Roman"/>
                <w:sz w:val="21"/>
                <w:szCs w:val="21"/>
                <w14:ligatures w14:val="none"/>
              </w:rPr>
            </w:pPr>
          </w:p>
        </w:tc>
        <w:tc>
          <w:tcPr>
            <w:tcW w:w="1086" w:type="dxa"/>
            <w:tcBorders>
              <w:top w:val="single" w:color="auto" w:sz="4" w:space="0"/>
              <w:left w:val="nil"/>
              <w:bottom w:val="single" w:color="auto" w:sz="4" w:space="0"/>
              <w:right w:val="single" w:color="auto" w:sz="4" w:space="0"/>
            </w:tcBorders>
            <w:vAlign w:val="center"/>
          </w:tcPr>
          <w:p w14:paraId="62771F74">
            <w:pPr>
              <w:spacing w:before="100" w:beforeAutospacing="1" w:line="240" w:lineRule="auto"/>
              <w:jc w:val="center"/>
              <w:rPr>
                <w:rFonts w:hint="eastAsia" w:ascii="宋体" w:hAnsi="宋体"/>
                <w:sz w:val="21"/>
                <w:szCs w:val="21"/>
              </w:rPr>
            </w:pPr>
            <w:r>
              <w:rPr>
                <w:rFonts w:hint="eastAsia" w:ascii="宋体" w:hAnsi="宋体"/>
                <w:sz w:val="21"/>
                <w:szCs w:val="21"/>
              </w:rPr>
              <w:t>石油类</w:t>
            </w:r>
          </w:p>
        </w:tc>
        <w:tc>
          <w:tcPr>
            <w:tcW w:w="992" w:type="dxa"/>
            <w:tcBorders>
              <w:top w:val="single" w:color="auto" w:sz="4" w:space="0"/>
              <w:left w:val="nil"/>
              <w:bottom w:val="single" w:color="auto" w:sz="4" w:space="0"/>
              <w:right w:val="single" w:color="auto" w:sz="4" w:space="0"/>
            </w:tcBorders>
            <w:vAlign w:val="center"/>
          </w:tcPr>
          <w:p w14:paraId="0EFE95D6">
            <w:pPr>
              <w:spacing w:before="100" w:beforeAutospacing="1" w:line="240" w:lineRule="auto"/>
              <w:jc w:val="center"/>
              <w:rPr>
                <w:rFonts w:cs="Times New Roman"/>
                <w:sz w:val="21"/>
                <w:szCs w:val="21"/>
              </w:rPr>
            </w:pPr>
            <w:r>
              <w:rPr>
                <w:rFonts w:hint="eastAsia" w:cs="Times New Roman"/>
                <w:sz w:val="21"/>
                <w:szCs w:val="21"/>
              </w:rPr>
              <w:t>7.70</w:t>
            </w:r>
          </w:p>
        </w:tc>
        <w:tc>
          <w:tcPr>
            <w:tcW w:w="993" w:type="dxa"/>
            <w:tcBorders>
              <w:top w:val="single" w:color="auto" w:sz="4" w:space="0"/>
              <w:left w:val="nil"/>
              <w:bottom w:val="single" w:color="auto" w:sz="4" w:space="0"/>
              <w:right w:val="single" w:color="auto" w:sz="4" w:space="0"/>
            </w:tcBorders>
            <w:vAlign w:val="center"/>
          </w:tcPr>
          <w:p w14:paraId="57C6ED69">
            <w:pPr>
              <w:spacing w:before="100" w:beforeAutospacing="1" w:line="240" w:lineRule="auto"/>
              <w:jc w:val="center"/>
              <w:rPr>
                <w:rFonts w:cs="Times New Roman"/>
                <w:sz w:val="21"/>
                <w:szCs w:val="21"/>
              </w:rPr>
            </w:pPr>
            <w:r>
              <w:rPr>
                <w:rFonts w:hint="eastAsia" w:cs="Times New Roman"/>
                <w:sz w:val="21"/>
                <w:szCs w:val="21"/>
              </w:rPr>
              <w:t>0.20</w:t>
            </w:r>
          </w:p>
        </w:tc>
        <w:tc>
          <w:tcPr>
            <w:tcW w:w="0" w:type="auto"/>
            <w:vMerge w:val="continue"/>
            <w:tcBorders>
              <w:top w:val="nil"/>
              <w:left w:val="nil"/>
              <w:bottom w:val="single" w:color="auto" w:sz="4" w:space="0"/>
              <w:right w:val="single" w:color="auto" w:sz="4" w:space="0"/>
            </w:tcBorders>
            <w:vAlign w:val="center"/>
          </w:tcPr>
          <w:p w14:paraId="058EB79B">
            <w:pPr>
              <w:widowControl/>
              <w:spacing w:line="240" w:lineRule="auto"/>
              <w:jc w:val="left"/>
              <w:rPr>
                <w:rFonts w:cs="Times New Roman"/>
                <w:sz w:val="21"/>
                <w:szCs w:val="21"/>
                <w14:ligatures w14:val="none"/>
              </w:rPr>
            </w:pPr>
          </w:p>
        </w:tc>
        <w:tc>
          <w:tcPr>
            <w:tcW w:w="992" w:type="dxa"/>
            <w:tcBorders>
              <w:top w:val="single" w:color="auto" w:sz="4" w:space="0"/>
              <w:left w:val="nil"/>
              <w:bottom w:val="single" w:color="auto" w:sz="4" w:space="0"/>
              <w:right w:val="single" w:color="auto" w:sz="4" w:space="0"/>
            </w:tcBorders>
            <w:vAlign w:val="center"/>
          </w:tcPr>
          <w:p w14:paraId="4F265C58">
            <w:pPr>
              <w:spacing w:before="100" w:beforeAutospacing="1" w:line="240" w:lineRule="auto"/>
              <w:jc w:val="center"/>
              <w:rPr>
                <w:sz w:val="21"/>
                <w:szCs w:val="21"/>
              </w:rPr>
            </w:pPr>
            <w:r>
              <w:rPr>
                <w:rFonts w:hint="eastAsia"/>
                <w:sz w:val="21"/>
                <w:szCs w:val="21"/>
              </w:rPr>
              <w:t>1</w:t>
            </w:r>
          </w:p>
        </w:tc>
        <w:tc>
          <w:tcPr>
            <w:tcW w:w="992" w:type="dxa"/>
            <w:tcBorders>
              <w:top w:val="single" w:color="auto" w:sz="4" w:space="0"/>
              <w:left w:val="nil"/>
              <w:bottom w:val="single" w:color="auto" w:sz="4" w:space="0"/>
              <w:right w:val="single" w:color="auto" w:sz="4" w:space="0"/>
            </w:tcBorders>
            <w:vAlign w:val="center"/>
          </w:tcPr>
          <w:p w14:paraId="0DB18E2A">
            <w:pPr>
              <w:spacing w:before="100" w:beforeAutospacing="1" w:line="240" w:lineRule="auto"/>
              <w:jc w:val="center"/>
              <w:rPr>
                <w:rFonts w:cs="Times New Roman"/>
                <w:sz w:val="21"/>
                <w:szCs w:val="21"/>
              </w:rPr>
            </w:pPr>
            <w:r>
              <w:rPr>
                <w:rFonts w:hint="eastAsia" w:cs="Times New Roman"/>
                <w:sz w:val="21"/>
                <w:szCs w:val="21"/>
              </w:rPr>
              <w:t>0.026</w:t>
            </w:r>
          </w:p>
        </w:tc>
        <w:tc>
          <w:tcPr>
            <w:tcW w:w="0" w:type="auto"/>
            <w:vMerge w:val="continue"/>
            <w:tcBorders>
              <w:top w:val="nil"/>
              <w:left w:val="nil"/>
              <w:bottom w:val="single" w:color="auto" w:sz="4" w:space="0"/>
              <w:right w:val="single" w:color="auto" w:sz="4" w:space="0"/>
            </w:tcBorders>
            <w:vAlign w:val="center"/>
          </w:tcPr>
          <w:p w14:paraId="6FA78DD6">
            <w:pPr>
              <w:widowControl/>
              <w:spacing w:line="240" w:lineRule="auto"/>
              <w:jc w:val="left"/>
              <w:rPr>
                <w:rFonts w:cs="Times New Roman"/>
                <w:sz w:val="21"/>
                <w:szCs w:val="21"/>
                <w14:ligatures w14:val="none"/>
              </w:rPr>
            </w:pPr>
          </w:p>
        </w:tc>
      </w:tr>
      <w:tr w14:paraId="5440E649">
        <w:tblPrEx>
          <w:tblCellMar>
            <w:top w:w="0" w:type="dxa"/>
            <w:left w:w="108" w:type="dxa"/>
            <w:bottom w:w="0" w:type="dxa"/>
            <w:right w:w="108" w:type="dxa"/>
          </w:tblCellMar>
        </w:tblPrEx>
        <w:tc>
          <w:tcPr>
            <w:tcW w:w="0" w:type="auto"/>
            <w:vMerge w:val="continue"/>
            <w:tcBorders>
              <w:top w:val="nil"/>
              <w:left w:val="single" w:color="auto" w:sz="4" w:space="0"/>
              <w:bottom w:val="single" w:color="auto" w:sz="4" w:space="0"/>
              <w:right w:val="single" w:color="auto" w:sz="4" w:space="0"/>
            </w:tcBorders>
            <w:vAlign w:val="center"/>
          </w:tcPr>
          <w:p w14:paraId="3C2D12B1">
            <w:pPr>
              <w:widowControl/>
              <w:spacing w:line="240" w:lineRule="auto"/>
              <w:jc w:val="left"/>
              <w:rPr>
                <w:rFonts w:cs="Times New Roman"/>
                <w:sz w:val="21"/>
                <w:szCs w:val="21"/>
                <w14:ligatures w14:val="none"/>
              </w:rPr>
            </w:pPr>
          </w:p>
        </w:tc>
        <w:tc>
          <w:tcPr>
            <w:tcW w:w="0" w:type="auto"/>
            <w:vMerge w:val="continue"/>
            <w:tcBorders>
              <w:top w:val="nil"/>
              <w:left w:val="nil"/>
              <w:bottom w:val="single" w:color="auto" w:sz="4" w:space="0"/>
              <w:right w:val="single" w:color="auto" w:sz="4" w:space="0"/>
            </w:tcBorders>
            <w:vAlign w:val="center"/>
          </w:tcPr>
          <w:p w14:paraId="2832F05C">
            <w:pPr>
              <w:widowControl/>
              <w:spacing w:line="240" w:lineRule="auto"/>
              <w:jc w:val="left"/>
              <w:rPr>
                <w:rFonts w:cs="Times New Roman"/>
                <w:sz w:val="21"/>
                <w:szCs w:val="21"/>
                <w14:ligatures w14:val="none"/>
              </w:rPr>
            </w:pPr>
          </w:p>
        </w:tc>
        <w:tc>
          <w:tcPr>
            <w:tcW w:w="1086" w:type="dxa"/>
            <w:tcBorders>
              <w:top w:val="single" w:color="auto" w:sz="4" w:space="0"/>
              <w:left w:val="nil"/>
              <w:bottom w:val="single" w:color="auto" w:sz="4" w:space="0"/>
              <w:right w:val="single" w:color="auto" w:sz="4" w:space="0"/>
            </w:tcBorders>
            <w:vAlign w:val="center"/>
          </w:tcPr>
          <w:p w14:paraId="453BCE04">
            <w:pPr>
              <w:spacing w:before="100" w:beforeAutospacing="1" w:line="240" w:lineRule="auto"/>
              <w:jc w:val="center"/>
              <w:rPr>
                <w:rFonts w:cs="Times New Roman"/>
                <w:sz w:val="21"/>
                <w:szCs w:val="21"/>
              </w:rPr>
            </w:pPr>
            <w:r>
              <w:rPr>
                <w:rFonts w:hint="eastAsia" w:ascii="宋体" w:hAnsi="宋体"/>
                <w:sz w:val="21"/>
                <w:szCs w:val="21"/>
              </w:rPr>
              <w:t>挥发酚</w:t>
            </w:r>
          </w:p>
        </w:tc>
        <w:tc>
          <w:tcPr>
            <w:tcW w:w="992" w:type="dxa"/>
            <w:tcBorders>
              <w:top w:val="single" w:color="auto" w:sz="4" w:space="0"/>
              <w:left w:val="nil"/>
              <w:bottom w:val="single" w:color="auto" w:sz="4" w:space="0"/>
              <w:right w:val="single" w:color="auto" w:sz="4" w:space="0"/>
            </w:tcBorders>
            <w:vAlign w:val="center"/>
          </w:tcPr>
          <w:p w14:paraId="225B4C11">
            <w:pPr>
              <w:spacing w:before="100" w:beforeAutospacing="1" w:line="240" w:lineRule="auto"/>
              <w:jc w:val="center"/>
              <w:rPr>
                <w:rFonts w:cs="Times New Roman"/>
                <w:sz w:val="21"/>
                <w:szCs w:val="21"/>
              </w:rPr>
            </w:pPr>
            <w:r>
              <w:rPr>
                <w:rFonts w:hint="eastAsia" w:cs="Times New Roman"/>
                <w:sz w:val="21"/>
                <w:szCs w:val="21"/>
              </w:rPr>
              <w:t>0.091</w:t>
            </w:r>
          </w:p>
        </w:tc>
        <w:tc>
          <w:tcPr>
            <w:tcW w:w="993" w:type="dxa"/>
            <w:tcBorders>
              <w:top w:val="single" w:color="auto" w:sz="4" w:space="0"/>
              <w:left w:val="nil"/>
              <w:bottom w:val="single" w:color="auto" w:sz="4" w:space="0"/>
              <w:right w:val="single" w:color="auto" w:sz="4" w:space="0"/>
            </w:tcBorders>
            <w:vAlign w:val="center"/>
          </w:tcPr>
          <w:p w14:paraId="2381EF23">
            <w:pPr>
              <w:spacing w:before="100" w:beforeAutospacing="1" w:line="240" w:lineRule="auto"/>
              <w:jc w:val="center"/>
              <w:rPr>
                <w:rFonts w:cs="Times New Roman"/>
                <w:sz w:val="21"/>
                <w:szCs w:val="21"/>
              </w:rPr>
            </w:pPr>
            <w:r>
              <w:rPr>
                <w:rFonts w:hint="eastAsia" w:cs="Times New Roman"/>
                <w:sz w:val="21"/>
                <w:szCs w:val="21"/>
              </w:rPr>
              <w:t>0.002</w:t>
            </w:r>
          </w:p>
        </w:tc>
        <w:tc>
          <w:tcPr>
            <w:tcW w:w="0" w:type="auto"/>
            <w:vMerge w:val="continue"/>
            <w:tcBorders>
              <w:top w:val="nil"/>
              <w:left w:val="nil"/>
              <w:bottom w:val="single" w:color="auto" w:sz="4" w:space="0"/>
              <w:right w:val="single" w:color="auto" w:sz="4" w:space="0"/>
            </w:tcBorders>
            <w:vAlign w:val="center"/>
          </w:tcPr>
          <w:p w14:paraId="4ABFC5B7">
            <w:pPr>
              <w:widowControl/>
              <w:spacing w:line="240" w:lineRule="auto"/>
              <w:jc w:val="left"/>
              <w:rPr>
                <w:rFonts w:cs="Times New Roman"/>
                <w:sz w:val="21"/>
                <w:szCs w:val="21"/>
                <w14:ligatures w14:val="none"/>
              </w:rPr>
            </w:pPr>
          </w:p>
        </w:tc>
        <w:tc>
          <w:tcPr>
            <w:tcW w:w="992" w:type="dxa"/>
            <w:tcBorders>
              <w:top w:val="single" w:color="auto" w:sz="4" w:space="0"/>
              <w:left w:val="nil"/>
              <w:bottom w:val="single" w:color="auto" w:sz="4" w:space="0"/>
              <w:right w:val="single" w:color="auto" w:sz="4" w:space="0"/>
            </w:tcBorders>
            <w:vAlign w:val="center"/>
          </w:tcPr>
          <w:p w14:paraId="3A10D991">
            <w:pPr>
              <w:spacing w:before="100" w:beforeAutospacing="1" w:line="240" w:lineRule="auto"/>
              <w:jc w:val="center"/>
              <w:rPr>
                <w:rFonts w:cs="Times New Roman"/>
                <w:sz w:val="21"/>
                <w:szCs w:val="21"/>
              </w:rPr>
            </w:pPr>
            <w:r>
              <w:rPr>
                <w:rFonts w:hint="eastAsia"/>
                <w:sz w:val="21"/>
                <w:szCs w:val="21"/>
              </w:rPr>
              <w:t>0.5</w:t>
            </w:r>
          </w:p>
        </w:tc>
        <w:tc>
          <w:tcPr>
            <w:tcW w:w="992" w:type="dxa"/>
            <w:tcBorders>
              <w:top w:val="single" w:color="auto" w:sz="4" w:space="0"/>
              <w:left w:val="nil"/>
              <w:bottom w:val="single" w:color="auto" w:sz="4" w:space="0"/>
              <w:right w:val="single" w:color="auto" w:sz="4" w:space="0"/>
            </w:tcBorders>
            <w:vAlign w:val="center"/>
          </w:tcPr>
          <w:p w14:paraId="33777295">
            <w:pPr>
              <w:spacing w:before="100" w:beforeAutospacing="1" w:line="240" w:lineRule="auto"/>
              <w:jc w:val="center"/>
              <w:rPr>
                <w:rFonts w:cs="Times New Roman"/>
                <w:sz w:val="21"/>
                <w:szCs w:val="21"/>
              </w:rPr>
            </w:pPr>
            <w:r>
              <w:rPr>
                <w:rFonts w:hint="eastAsia" w:cs="Times New Roman"/>
                <w:sz w:val="21"/>
                <w:szCs w:val="21"/>
              </w:rPr>
              <w:t>0.013</w:t>
            </w:r>
          </w:p>
        </w:tc>
        <w:tc>
          <w:tcPr>
            <w:tcW w:w="0" w:type="auto"/>
            <w:vMerge w:val="continue"/>
            <w:tcBorders>
              <w:top w:val="nil"/>
              <w:left w:val="nil"/>
              <w:bottom w:val="single" w:color="auto" w:sz="4" w:space="0"/>
              <w:right w:val="single" w:color="auto" w:sz="4" w:space="0"/>
            </w:tcBorders>
            <w:vAlign w:val="center"/>
          </w:tcPr>
          <w:p w14:paraId="08738EFB">
            <w:pPr>
              <w:widowControl/>
              <w:spacing w:line="240" w:lineRule="auto"/>
              <w:jc w:val="left"/>
              <w:rPr>
                <w:rFonts w:cs="Times New Roman"/>
                <w:sz w:val="21"/>
                <w:szCs w:val="21"/>
                <w14:ligatures w14:val="none"/>
              </w:rPr>
            </w:pPr>
          </w:p>
        </w:tc>
      </w:tr>
    </w:tbl>
    <w:p w14:paraId="58CF53B6">
      <w:pPr>
        <w:rPr>
          <w:rFonts w:cs="Times New Roman"/>
          <w:spacing w:val="-3"/>
        </w:rPr>
      </w:pPr>
    </w:p>
    <w:p w14:paraId="24CB5B1D">
      <w:pPr>
        <w:pStyle w:val="4"/>
        <w:rPr>
          <w:rFonts w:hint="eastAsia"/>
        </w:rPr>
      </w:pPr>
      <w:bookmarkStart w:id="90" w:name="_Toc221056416"/>
      <w:bookmarkStart w:id="91" w:name="_Toc215670195"/>
      <w:bookmarkStart w:id="92" w:name="_Toc209720912"/>
      <w:r>
        <w:rPr>
          <w:rFonts w:hint="eastAsia"/>
        </w:rPr>
        <w:t>6.3.3</w:t>
      </w:r>
      <w:r>
        <w:t>地表水环境影响评价自查表</w:t>
      </w:r>
      <w:bookmarkEnd w:id="90"/>
      <w:bookmarkEnd w:id="91"/>
      <w:bookmarkEnd w:id="92"/>
    </w:p>
    <w:p w14:paraId="287333E4">
      <w:pPr>
        <w:pStyle w:val="82"/>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地表水环境影响评价自查表如表6.3-</w:t>
      </w:r>
      <w:r>
        <w:rPr>
          <w:rFonts w:hint="eastAsia" w:ascii="Times New Roman" w:hAnsi="Times New Roman" w:cs="Times New Roman"/>
          <w:color w:val="000000" w:themeColor="text1"/>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所示。</w:t>
      </w:r>
    </w:p>
    <w:p w14:paraId="669A68D3">
      <w:pPr>
        <w:rPr>
          <w:rFonts w:cs="Times New Roman"/>
          <w:spacing w:val="-3"/>
        </w:rPr>
      </w:pPr>
    </w:p>
    <w:p w14:paraId="4CB44CEE">
      <w:pPr>
        <w:rPr>
          <w:rFonts w:cs="Times New Roman"/>
          <w:spacing w:val="-3"/>
        </w:rPr>
        <w:sectPr>
          <w:pgSz w:w="11906" w:h="16838"/>
          <w:pgMar w:top="1418" w:right="1418" w:bottom="1418" w:left="1418" w:header="851" w:footer="992" w:gutter="0"/>
          <w:cols w:space="425" w:num="1"/>
          <w:docGrid w:type="lines" w:linePitch="326" w:charSpace="0"/>
        </w:sectPr>
      </w:pPr>
    </w:p>
    <w:p w14:paraId="3BF81DFA">
      <w:pPr>
        <w:pStyle w:val="28"/>
        <w:rPr>
          <w:rFonts w:hint="eastAsia"/>
        </w:rPr>
      </w:pPr>
      <w:r>
        <w:t>表</w:t>
      </w:r>
      <w:r>
        <w:rPr>
          <w:rFonts w:hint="eastAsia"/>
        </w:rPr>
        <w:t>6.3-3</w:t>
      </w:r>
      <w:r>
        <w:t xml:space="preserve">  地表水环境影响评价自查表</w:t>
      </w:r>
    </w:p>
    <w:tbl>
      <w:tblPr>
        <w:tblStyle w:val="36"/>
        <w:tblW w:w="1417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86"/>
        <w:gridCol w:w="2533"/>
        <w:gridCol w:w="2488"/>
        <w:gridCol w:w="200"/>
        <w:gridCol w:w="1941"/>
        <w:gridCol w:w="1036"/>
        <w:gridCol w:w="567"/>
        <w:gridCol w:w="2679"/>
        <w:gridCol w:w="439"/>
        <w:gridCol w:w="72"/>
        <w:gridCol w:w="1633"/>
      </w:tblGrid>
      <w:tr w14:paraId="307B4ED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119" w:type="dxa"/>
            <w:gridSpan w:val="2"/>
            <w:tcBorders>
              <w:top w:val="single" w:color="auto" w:sz="4" w:space="0"/>
              <w:left w:val="single" w:color="auto" w:sz="4" w:space="0"/>
              <w:bottom w:val="single" w:color="auto" w:sz="4" w:space="0"/>
              <w:right w:val="single" w:color="auto" w:sz="4" w:space="0"/>
              <w:tl2br w:val="nil"/>
              <w:tr2bl w:val="nil"/>
            </w:tcBorders>
            <w:noWrap/>
            <w:vAlign w:val="center"/>
          </w:tcPr>
          <w:p w14:paraId="38A2DFA8">
            <w:pPr>
              <w:pStyle w:val="64"/>
            </w:pPr>
            <w:r>
              <w:t>工作内容</w:t>
            </w:r>
          </w:p>
        </w:tc>
        <w:tc>
          <w:tcPr>
            <w:tcW w:w="11055" w:type="dxa"/>
            <w:gridSpan w:val="9"/>
            <w:tcBorders>
              <w:top w:val="single" w:color="auto" w:sz="4" w:space="0"/>
              <w:left w:val="single" w:color="auto" w:sz="4" w:space="0"/>
              <w:bottom w:val="single" w:color="auto" w:sz="4" w:space="0"/>
              <w:right w:val="single" w:color="auto" w:sz="4" w:space="0"/>
              <w:tl2br w:val="nil"/>
              <w:tr2bl w:val="nil"/>
            </w:tcBorders>
            <w:noWrap/>
            <w:vAlign w:val="center"/>
          </w:tcPr>
          <w:p w14:paraId="5B6AEFB8">
            <w:pPr>
              <w:pStyle w:val="64"/>
            </w:pPr>
            <w:r>
              <w:t>自查项目</w:t>
            </w:r>
          </w:p>
        </w:tc>
      </w:tr>
      <w:tr w14:paraId="3BDCA6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86" w:type="dxa"/>
            <w:vMerge w:val="restart"/>
            <w:tcBorders>
              <w:top w:val="single" w:color="auto" w:sz="4" w:space="0"/>
              <w:left w:val="single" w:color="auto" w:sz="4" w:space="0"/>
              <w:bottom w:val="single" w:color="auto" w:sz="4" w:space="0"/>
              <w:tl2br w:val="nil"/>
              <w:tr2bl w:val="nil"/>
            </w:tcBorders>
            <w:noWrap/>
            <w:vAlign w:val="center"/>
          </w:tcPr>
          <w:p w14:paraId="058B9420">
            <w:pPr>
              <w:pStyle w:val="64"/>
            </w:pPr>
            <w:r>
              <w:t>影响识别</w:t>
            </w:r>
          </w:p>
        </w:tc>
        <w:tc>
          <w:tcPr>
            <w:tcW w:w="2533" w:type="dxa"/>
            <w:tcBorders>
              <w:top w:val="single" w:color="auto" w:sz="4" w:space="0"/>
              <w:bottom w:val="single" w:color="auto" w:sz="4" w:space="0"/>
              <w:tl2br w:val="nil"/>
              <w:tr2bl w:val="nil"/>
            </w:tcBorders>
            <w:noWrap/>
            <w:vAlign w:val="center"/>
          </w:tcPr>
          <w:p w14:paraId="56BE4E30">
            <w:pPr>
              <w:pStyle w:val="64"/>
            </w:pPr>
            <w:r>
              <w:t>影响类型</w:t>
            </w:r>
          </w:p>
        </w:tc>
        <w:tc>
          <w:tcPr>
            <w:tcW w:w="11055" w:type="dxa"/>
            <w:gridSpan w:val="9"/>
            <w:tcBorders>
              <w:top w:val="single" w:color="auto" w:sz="4" w:space="0"/>
              <w:bottom w:val="single" w:color="auto" w:sz="4" w:space="0"/>
              <w:right w:val="single" w:color="auto" w:sz="4" w:space="0"/>
              <w:tl2br w:val="nil"/>
              <w:tr2bl w:val="nil"/>
            </w:tcBorders>
            <w:noWrap/>
            <w:vAlign w:val="center"/>
          </w:tcPr>
          <w:p w14:paraId="5DCA7AFA">
            <w:pPr>
              <w:pStyle w:val="64"/>
            </w:pPr>
            <w:r>
              <w:t>水污染影响型</w:t>
            </w:r>
            <w:r>
              <w:rPr/>
              <w:sym w:font="Wingdings" w:char="00FE"/>
            </w:r>
            <w:r>
              <w:t>；水文要素影响型</w:t>
            </w:r>
            <w:r>
              <w:rPr/>
              <w:sym w:font="Wingdings" w:char="00A8"/>
            </w:r>
          </w:p>
        </w:tc>
      </w:tr>
      <w:tr w14:paraId="4A50AD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86" w:type="dxa"/>
            <w:vMerge w:val="continue"/>
            <w:tcBorders>
              <w:top w:val="single" w:color="auto" w:sz="4" w:space="0"/>
              <w:left w:val="single" w:color="auto" w:sz="4" w:space="0"/>
              <w:bottom w:val="single" w:color="auto" w:sz="4" w:space="0"/>
              <w:tl2br w:val="nil"/>
              <w:tr2bl w:val="nil"/>
            </w:tcBorders>
            <w:noWrap/>
            <w:vAlign w:val="center"/>
          </w:tcPr>
          <w:p w14:paraId="1ADD391F">
            <w:pPr>
              <w:pStyle w:val="64"/>
            </w:pPr>
          </w:p>
        </w:tc>
        <w:tc>
          <w:tcPr>
            <w:tcW w:w="2533" w:type="dxa"/>
            <w:tcBorders>
              <w:top w:val="single" w:color="auto" w:sz="4" w:space="0"/>
              <w:bottom w:val="single" w:color="auto" w:sz="4" w:space="0"/>
              <w:tl2br w:val="nil"/>
              <w:tr2bl w:val="nil"/>
            </w:tcBorders>
            <w:noWrap/>
            <w:vAlign w:val="center"/>
          </w:tcPr>
          <w:p w14:paraId="33E50F89">
            <w:pPr>
              <w:pStyle w:val="64"/>
            </w:pPr>
            <w:r>
              <w:t>水环境保护目标</w:t>
            </w:r>
          </w:p>
        </w:tc>
        <w:tc>
          <w:tcPr>
            <w:tcW w:w="11055" w:type="dxa"/>
            <w:gridSpan w:val="9"/>
            <w:tcBorders>
              <w:top w:val="single" w:color="auto" w:sz="4" w:space="0"/>
              <w:bottom w:val="single" w:color="auto" w:sz="4" w:space="0"/>
              <w:right w:val="single" w:color="auto" w:sz="4" w:space="0"/>
              <w:tl2br w:val="nil"/>
              <w:tr2bl w:val="nil"/>
            </w:tcBorders>
            <w:noWrap/>
            <w:vAlign w:val="center"/>
          </w:tcPr>
          <w:p w14:paraId="7591DA3A">
            <w:pPr>
              <w:pStyle w:val="64"/>
            </w:pPr>
            <w:r>
              <w:t>饮用水水源保护区</w:t>
            </w:r>
            <w:r>
              <w:rPr/>
              <w:sym w:font="Wingdings" w:char="00A8"/>
            </w:r>
            <w:r>
              <w:t>；应用水取水口</w:t>
            </w:r>
            <w:r>
              <w:rPr/>
              <w:sym w:font="Wingdings" w:char="00A8"/>
            </w:r>
            <w:r>
              <w:t>；涉水的自然保护区</w:t>
            </w:r>
            <w:r>
              <w:rPr/>
              <w:sym w:font="Wingdings" w:char="00A8"/>
            </w:r>
            <w:r>
              <w:t>；重要湿地</w:t>
            </w:r>
            <w:r>
              <w:rPr/>
              <w:sym w:font="Wingdings" w:char="00A8"/>
            </w:r>
            <w:r>
              <w:t>；</w:t>
            </w:r>
          </w:p>
          <w:p w14:paraId="776DCCA4">
            <w:pPr>
              <w:pStyle w:val="64"/>
            </w:pPr>
            <w:r>
              <w:t>重点保护与珍惜水生生物的栖息地</w:t>
            </w:r>
            <w:r>
              <w:rPr/>
              <w:sym w:font="Wingdings" w:char="00A8"/>
            </w:r>
            <w:r>
              <w:t>；重要水生生物的自然产卵场及索饵场、越冬场和洄游通道、天然渔场等渔业水体</w:t>
            </w:r>
            <w:r>
              <w:rPr/>
              <w:sym w:font="Wingdings" w:char="00A8"/>
            </w:r>
            <w:r>
              <w:t>；涉水的风景名胜区</w:t>
            </w:r>
            <w:r>
              <w:rPr/>
              <w:sym w:font="Wingdings" w:char="00A8"/>
            </w:r>
            <w:r>
              <w:t>；其他</w:t>
            </w:r>
            <w:r>
              <w:rPr/>
              <w:sym w:font="Wingdings" w:char="00A8"/>
            </w:r>
          </w:p>
        </w:tc>
      </w:tr>
      <w:tr w14:paraId="162185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86" w:type="dxa"/>
            <w:vMerge w:val="continue"/>
            <w:tcBorders>
              <w:top w:val="single" w:color="auto" w:sz="4" w:space="0"/>
              <w:left w:val="single" w:color="auto" w:sz="4" w:space="0"/>
              <w:bottom w:val="single" w:color="auto" w:sz="4" w:space="0"/>
              <w:tl2br w:val="nil"/>
              <w:tr2bl w:val="nil"/>
            </w:tcBorders>
            <w:noWrap/>
            <w:vAlign w:val="center"/>
          </w:tcPr>
          <w:p w14:paraId="1412A1CE">
            <w:pPr>
              <w:pStyle w:val="64"/>
            </w:pPr>
          </w:p>
        </w:tc>
        <w:tc>
          <w:tcPr>
            <w:tcW w:w="2533" w:type="dxa"/>
            <w:vMerge w:val="restart"/>
            <w:tcBorders>
              <w:top w:val="single" w:color="auto" w:sz="4" w:space="0"/>
              <w:bottom w:val="single" w:color="auto" w:sz="4" w:space="0"/>
              <w:tl2br w:val="nil"/>
              <w:tr2bl w:val="nil"/>
            </w:tcBorders>
            <w:noWrap/>
            <w:vAlign w:val="center"/>
          </w:tcPr>
          <w:p w14:paraId="29D6087F">
            <w:pPr>
              <w:pStyle w:val="64"/>
            </w:pPr>
            <w:r>
              <w:t>影响途径</w:t>
            </w:r>
          </w:p>
        </w:tc>
        <w:tc>
          <w:tcPr>
            <w:tcW w:w="5665" w:type="dxa"/>
            <w:gridSpan w:val="4"/>
            <w:tcBorders>
              <w:top w:val="single" w:color="auto" w:sz="4" w:space="0"/>
              <w:bottom w:val="single" w:color="auto" w:sz="4" w:space="0"/>
              <w:tl2br w:val="nil"/>
              <w:tr2bl w:val="nil"/>
            </w:tcBorders>
            <w:noWrap/>
            <w:vAlign w:val="center"/>
          </w:tcPr>
          <w:p w14:paraId="1310AD82">
            <w:pPr>
              <w:pStyle w:val="64"/>
            </w:pPr>
            <w:r>
              <w:t>水污染影响型</w:t>
            </w:r>
          </w:p>
        </w:tc>
        <w:tc>
          <w:tcPr>
            <w:tcW w:w="5390" w:type="dxa"/>
            <w:gridSpan w:val="5"/>
            <w:tcBorders>
              <w:top w:val="single" w:color="auto" w:sz="4" w:space="0"/>
              <w:bottom w:val="single" w:color="auto" w:sz="4" w:space="0"/>
              <w:right w:val="single" w:color="auto" w:sz="4" w:space="0"/>
              <w:tl2br w:val="nil"/>
              <w:tr2bl w:val="nil"/>
            </w:tcBorders>
            <w:noWrap/>
            <w:vAlign w:val="center"/>
          </w:tcPr>
          <w:p w14:paraId="01DCFEA4">
            <w:pPr>
              <w:pStyle w:val="64"/>
              <w:rPr>
                <w:szCs w:val="21"/>
              </w:rPr>
            </w:pPr>
            <w:r>
              <w:rPr>
                <w:szCs w:val="21"/>
              </w:rPr>
              <w:t>水文要素影响型</w:t>
            </w:r>
          </w:p>
        </w:tc>
      </w:tr>
      <w:tr w14:paraId="28E4646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86" w:type="dxa"/>
            <w:vMerge w:val="continue"/>
            <w:tcBorders>
              <w:top w:val="single" w:color="auto" w:sz="4" w:space="0"/>
              <w:left w:val="single" w:color="auto" w:sz="4" w:space="0"/>
              <w:bottom w:val="single" w:color="auto" w:sz="4" w:space="0"/>
              <w:tl2br w:val="nil"/>
              <w:tr2bl w:val="nil"/>
            </w:tcBorders>
            <w:noWrap/>
            <w:vAlign w:val="center"/>
          </w:tcPr>
          <w:p w14:paraId="1F137070">
            <w:pPr>
              <w:pStyle w:val="64"/>
            </w:pPr>
          </w:p>
        </w:tc>
        <w:tc>
          <w:tcPr>
            <w:tcW w:w="2533" w:type="dxa"/>
            <w:vMerge w:val="continue"/>
            <w:tcBorders>
              <w:top w:val="single" w:color="auto" w:sz="4" w:space="0"/>
              <w:bottom w:val="single" w:color="auto" w:sz="4" w:space="0"/>
              <w:tl2br w:val="nil"/>
              <w:tr2bl w:val="nil"/>
            </w:tcBorders>
            <w:noWrap/>
            <w:vAlign w:val="center"/>
          </w:tcPr>
          <w:p w14:paraId="47CD3095">
            <w:pPr>
              <w:pStyle w:val="64"/>
            </w:pPr>
          </w:p>
        </w:tc>
        <w:tc>
          <w:tcPr>
            <w:tcW w:w="5665" w:type="dxa"/>
            <w:gridSpan w:val="4"/>
            <w:tcBorders>
              <w:top w:val="single" w:color="auto" w:sz="4" w:space="0"/>
              <w:bottom w:val="single" w:color="auto" w:sz="4" w:space="0"/>
              <w:tl2br w:val="nil"/>
              <w:tr2bl w:val="nil"/>
            </w:tcBorders>
            <w:noWrap/>
            <w:vAlign w:val="center"/>
          </w:tcPr>
          <w:p w14:paraId="25CDB14D">
            <w:pPr>
              <w:pStyle w:val="64"/>
            </w:pPr>
            <w:r>
              <w:t>直接排放</w:t>
            </w:r>
            <w:r>
              <w:rPr/>
              <w:sym w:font="Wingdings" w:char="00A8"/>
            </w:r>
            <w:r>
              <w:t>；间接排放</w:t>
            </w:r>
            <w:r>
              <w:rPr/>
              <w:sym w:font="Wingdings" w:char="00FE"/>
            </w:r>
            <w:r>
              <w:t>；其他</w:t>
            </w:r>
            <w:r>
              <w:rPr/>
              <w:sym w:font="Wingdings" w:char="00A8"/>
            </w:r>
          </w:p>
        </w:tc>
        <w:tc>
          <w:tcPr>
            <w:tcW w:w="5390" w:type="dxa"/>
            <w:gridSpan w:val="5"/>
            <w:tcBorders>
              <w:top w:val="single" w:color="auto" w:sz="4" w:space="0"/>
              <w:bottom w:val="single" w:color="auto" w:sz="4" w:space="0"/>
              <w:right w:val="single" w:color="auto" w:sz="4" w:space="0"/>
              <w:tl2br w:val="nil"/>
              <w:tr2bl w:val="nil"/>
            </w:tcBorders>
            <w:noWrap/>
            <w:vAlign w:val="center"/>
          </w:tcPr>
          <w:p w14:paraId="5F17A366">
            <w:pPr>
              <w:pStyle w:val="64"/>
              <w:rPr>
                <w:szCs w:val="21"/>
              </w:rPr>
            </w:pPr>
            <w:r>
              <w:rPr>
                <w:szCs w:val="21"/>
              </w:rPr>
              <w:t>水温</w:t>
            </w:r>
            <w:r>
              <w:rPr>
                <w:szCs w:val="21"/>
              </w:rPr>
              <w:sym w:font="Wingdings" w:char="00A8"/>
            </w:r>
            <w:r>
              <w:rPr>
                <w:szCs w:val="21"/>
              </w:rPr>
              <w:t>；径流</w:t>
            </w:r>
            <w:r>
              <w:rPr>
                <w:szCs w:val="21"/>
              </w:rPr>
              <w:sym w:font="Wingdings" w:char="00A8"/>
            </w:r>
            <w:r>
              <w:rPr>
                <w:szCs w:val="21"/>
              </w:rPr>
              <w:t>；水域面积</w:t>
            </w:r>
            <w:r>
              <w:rPr>
                <w:szCs w:val="21"/>
              </w:rPr>
              <w:sym w:font="Wingdings" w:char="00A8"/>
            </w:r>
          </w:p>
        </w:tc>
      </w:tr>
      <w:tr w14:paraId="327BF5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86" w:type="dxa"/>
            <w:vMerge w:val="continue"/>
            <w:tcBorders>
              <w:top w:val="single" w:color="auto" w:sz="4" w:space="0"/>
              <w:left w:val="single" w:color="auto" w:sz="4" w:space="0"/>
              <w:bottom w:val="single" w:color="auto" w:sz="4" w:space="0"/>
              <w:tl2br w:val="nil"/>
              <w:tr2bl w:val="nil"/>
            </w:tcBorders>
            <w:noWrap/>
            <w:vAlign w:val="center"/>
          </w:tcPr>
          <w:p w14:paraId="5CEBE5C2">
            <w:pPr>
              <w:pStyle w:val="64"/>
            </w:pPr>
          </w:p>
        </w:tc>
        <w:tc>
          <w:tcPr>
            <w:tcW w:w="2533" w:type="dxa"/>
            <w:tcBorders>
              <w:top w:val="single" w:color="auto" w:sz="4" w:space="0"/>
              <w:bottom w:val="single" w:color="auto" w:sz="4" w:space="0"/>
              <w:tl2br w:val="nil"/>
              <w:tr2bl w:val="nil"/>
            </w:tcBorders>
            <w:noWrap/>
            <w:vAlign w:val="center"/>
          </w:tcPr>
          <w:p w14:paraId="60DA1B5E">
            <w:pPr>
              <w:pStyle w:val="64"/>
            </w:pPr>
            <w:r>
              <w:t>影响因子</w:t>
            </w:r>
          </w:p>
        </w:tc>
        <w:tc>
          <w:tcPr>
            <w:tcW w:w="5665" w:type="dxa"/>
            <w:gridSpan w:val="4"/>
            <w:tcBorders>
              <w:top w:val="single" w:color="auto" w:sz="4" w:space="0"/>
              <w:bottom w:val="single" w:color="auto" w:sz="4" w:space="0"/>
              <w:tl2br w:val="nil"/>
              <w:tr2bl w:val="nil"/>
            </w:tcBorders>
            <w:noWrap/>
            <w:vAlign w:val="center"/>
          </w:tcPr>
          <w:p w14:paraId="2A58C176">
            <w:pPr>
              <w:pStyle w:val="64"/>
            </w:pPr>
            <w:r>
              <w:t>持久性污染物</w:t>
            </w:r>
            <w:r>
              <w:rPr/>
              <w:sym w:font="Wingdings" w:char="00A8"/>
            </w:r>
            <w:r>
              <w:t>；有毒有害污染物</w:t>
            </w:r>
            <w:r>
              <w:rPr/>
              <w:sym w:font="Wingdings" w:char="00A8"/>
            </w:r>
            <w:r>
              <w:t>；非持久性污染物</w:t>
            </w:r>
            <w:r>
              <w:rPr/>
              <w:sym w:font="Wingdings" w:char="00FE"/>
            </w:r>
            <w:r>
              <w:t>；</w:t>
            </w:r>
          </w:p>
          <w:p w14:paraId="2A029D51">
            <w:pPr>
              <w:pStyle w:val="64"/>
            </w:pPr>
            <w:r>
              <w:t>pH值</w:t>
            </w:r>
            <w:r>
              <w:rPr/>
              <w:sym w:font="Wingdings" w:char="00A8"/>
            </w:r>
            <w:r>
              <w:t>；热污染</w:t>
            </w:r>
            <w:r>
              <w:rPr/>
              <w:sym w:font="Wingdings" w:char="00A8"/>
            </w:r>
            <w:r>
              <w:t>；富营养化</w:t>
            </w:r>
            <w:r>
              <w:rPr/>
              <w:sym w:font="Wingdings" w:char="00A8"/>
            </w:r>
            <w:r>
              <w:t>；其他</w:t>
            </w:r>
            <w:r>
              <w:rPr/>
              <w:sym w:font="Wingdings" w:char="00A8"/>
            </w:r>
          </w:p>
        </w:tc>
        <w:tc>
          <w:tcPr>
            <w:tcW w:w="5390" w:type="dxa"/>
            <w:gridSpan w:val="5"/>
            <w:tcBorders>
              <w:top w:val="single" w:color="auto" w:sz="4" w:space="0"/>
              <w:bottom w:val="single" w:color="auto" w:sz="4" w:space="0"/>
              <w:right w:val="single" w:color="auto" w:sz="4" w:space="0"/>
              <w:tl2br w:val="nil"/>
              <w:tr2bl w:val="nil"/>
            </w:tcBorders>
            <w:noWrap/>
            <w:vAlign w:val="center"/>
          </w:tcPr>
          <w:p w14:paraId="4159F0E9">
            <w:pPr>
              <w:pStyle w:val="64"/>
              <w:rPr>
                <w:szCs w:val="21"/>
              </w:rPr>
            </w:pPr>
            <w:r>
              <w:rPr>
                <w:szCs w:val="21"/>
              </w:rPr>
              <w:t>水温</w:t>
            </w:r>
            <w:r>
              <w:rPr>
                <w:szCs w:val="21"/>
              </w:rPr>
              <w:sym w:font="Wingdings" w:char="00A8"/>
            </w:r>
            <w:r>
              <w:rPr>
                <w:szCs w:val="21"/>
              </w:rPr>
              <w:t>；水位(水深)</w:t>
            </w:r>
            <w:r>
              <w:rPr>
                <w:szCs w:val="21"/>
              </w:rPr>
              <w:sym w:font="Wingdings" w:char="00A8"/>
            </w:r>
            <w:r>
              <w:rPr>
                <w:szCs w:val="21"/>
              </w:rPr>
              <w:t>；流速</w:t>
            </w:r>
            <w:r>
              <w:rPr>
                <w:szCs w:val="21"/>
              </w:rPr>
              <w:sym w:font="Wingdings" w:char="00A8"/>
            </w:r>
            <w:r>
              <w:rPr>
                <w:szCs w:val="21"/>
              </w:rPr>
              <w:t>；流量</w:t>
            </w:r>
            <w:r>
              <w:rPr>
                <w:szCs w:val="21"/>
              </w:rPr>
              <w:sym w:font="Wingdings" w:char="00A8"/>
            </w:r>
            <w:r>
              <w:rPr>
                <w:szCs w:val="21"/>
              </w:rPr>
              <w:t>；其他</w:t>
            </w:r>
            <w:r>
              <w:rPr>
                <w:szCs w:val="21"/>
              </w:rPr>
              <w:sym w:font="Wingdings" w:char="00A8"/>
            </w:r>
          </w:p>
        </w:tc>
      </w:tr>
      <w:tr w14:paraId="66AD359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119" w:type="dxa"/>
            <w:gridSpan w:val="2"/>
            <w:vMerge w:val="restart"/>
            <w:tcBorders>
              <w:top w:val="single" w:color="auto" w:sz="4" w:space="0"/>
              <w:left w:val="single" w:color="auto" w:sz="4" w:space="0"/>
              <w:bottom w:val="single" w:color="auto" w:sz="4" w:space="0"/>
              <w:tl2br w:val="nil"/>
              <w:tr2bl w:val="nil"/>
            </w:tcBorders>
            <w:noWrap/>
            <w:vAlign w:val="center"/>
          </w:tcPr>
          <w:p w14:paraId="587BC96D">
            <w:pPr>
              <w:pStyle w:val="64"/>
            </w:pPr>
            <w:r>
              <w:t>评价等级</w:t>
            </w:r>
          </w:p>
        </w:tc>
        <w:tc>
          <w:tcPr>
            <w:tcW w:w="5665" w:type="dxa"/>
            <w:gridSpan w:val="4"/>
            <w:tcBorders>
              <w:top w:val="single" w:color="auto" w:sz="4" w:space="0"/>
              <w:bottom w:val="single" w:color="auto" w:sz="4" w:space="0"/>
              <w:tl2br w:val="nil"/>
              <w:tr2bl w:val="nil"/>
            </w:tcBorders>
            <w:noWrap/>
            <w:vAlign w:val="center"/>
          </w:tcPr>
          <w:p w14:paraId="1FEB3124">
            <w:pPr>
              <w:pStyle w:val="64"/>
            </w:pPr>
            <w:r>
              <w:t>水污染影响型</w:t>
            </w:r>
          </w:p>
        </w:tc>
        <w:tc>
          <w:tcPr>
            <w:tcW w:w="5390" w:type="dxa"/>
            <w:gridSpan w:val="5"/>
            <w:tcBorders>
              <w:top w:val="single" w:color="auto" w:sz="4" w:space="0"/>
              <w:bottom w:val="single" w:color="auto" w:sz="4" w:space="0"/>
              <w:right w:val="single" w:color="auto" w:sz="4" w:space="0"/>
              <w:tl2br w:val="nil"/>
              <w:tr2bl w:val="nil"/>
            </w:tcBorders>
            <w:noWrap/>
            <w:vAlign w:val="center"/>
          </w:tcPr>
          <w:p w14:paraId="1CC9040D">
            <w:pPr>
              <w:pStyle w:val="64"/>
              <w:rPr>
                <w:szCs w:val="21"/>
              </w:rPr>
            </w:pPr>
            <w:r>
              <w:rPr>
                <w:szCs w:val="21"/>
              </w:rPr>
              <w:t>水文要素影响型</w:t>
            </w:r>
          </w:p>
        </w:tc>
      </w:tr>
      <w:tr w14:paraId="3B0520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119" w:type="dxa"/>
            <w:gridSpan w:val="2"/>
            <w:vMerge w:val="continue"/>
            <w:tcBorders>
              <w:top w:val="single" w:color="auto" w:sz="4" w:space="0"/>
              <w:left w:val="single" w:color="auto" w:sz="4" w:space="0"/>
              <w:bottom w:val="single" w:color="auto" w:sz="4" w:space="0"/>
              <w:tl2br w:val="nil"/>
              <w:tr2bl w:val="nil"/>
            </w:tcBorders>
            <w:noWrap/>
            <w:vAlign w:val="center"/>
          </w:tcPr>
          <w:p w14:paraId="1DEEF8DE">
            <w:pPr>
              <w:pStyle w:val="64"/>
            </w:pPr>
          </w:p>
        </w:tc>
        <w:tc>
          <w:tcPr>
            <w:tcW w:w="5665" w:type="dxa"/>
            <w:gridSpan w:val="4"/>
            <w:tcBorders>
              <w:top w:val="single" w:color="auto" w:sz="4" w:space="0"/>
              <w:bottom w:val="single" w:color="auto" w:sz="4" w:space="0"/>
              <w:tl2br w:val="nil"/>
              <w:tr2bl w:val="nil"/>
            </w:tcBorders>
            <w:noWrap/>
            <w:vAlign w:val="center"/>
          </w:tcPr>
          <w:p w14:paraId="73CE29E6">
            <w:pPr>
              <w:pStyle w:val="64"/>
            </w:pPr>
            <w:r>
              <w:t>一级</w:t>
            </w:r>
            <w:r>
              <w:rPr/>
              <w:sym w:font="Wingdings" w:char="00A8"/>
            </w:r>
            <w:r>
              <w:t>；二级</w:t>
            </w:r>
            <w:r>
              <w:rPr/>
              <w:sym w:font="Wingdings" w:char="00A8"/>
            </w:r>
            <w:r>
              <w:t>；三级A</w:t>
            </w:r>
            <w:r>
              <w:rPr/>
              <w:sym w:font="Wingdings" w:char="00A8"/>
            </w:r>
            <w:r>
              <w:t>；三级B</w:t>
            </w:r>
            <w:r>
              <w:rPr/>
              <w:sym w:font="Wingdings" w:char="00FE"/>
            </w:r>
          </w:p>
        </w:tc>
        <w:tc>
          <w:tcPr>
            <w:tcW w:w="5390" w:type="dxa"/>
            <w:gridSpan w:val="5"/>
            <w:tcBorders>
              <w:top w:val="single" w:color="auto" w:sz="4" w:space="0"/>
              <w:bottom w:val="single" w:color="auto" w:sz="4" w:space="0"/>
              <w:right w:val="single" w:color="auto" w:sz="4" w:space="0"/>
              <w:tl2br w:val="nil"/>
              <w:tr2bl w:val="nil"/>
            </w:tcBorders>
            <w:noWrap/>
            <w:vAlign w:val="center"/>
          </w:tcPr>
          <w:p w14:paraId="472A40CF">
            <w:pPr>
              <w:pStyle w:val="64"/>
              <w:rPr>
                <w:szCs w:val="21"/>
              </w:rPr>
            </w:pPr>
            <w:r>
              <w:rPr>
                <w:szCs w:val="21"/>
              </w:rPr>
              <w:t>一级</w:t>
            </w:r>
            <w:r>
              <w:rPr>
                <w:szCs w:val="21"/>
              </w:rPr>
              <w:sym w:font="Wingdings" w:char="00A8"/>
            </w:r>
            <w:r>
              <w:rPr>
                <w:szCs w:val="21"/>
              </w:rPr>
              <w:t>；二级</w:t>
            </w:r>
            <w:r>
              <w:rPr>
                <w:szCs w:val="21"/>
              </w:rPr>
              <w:sym w:font="Wingdings" w:char="00A8"/>
            </w:r>
            <w:r>
              <w:rPr>
                <w:szCs w:val="21"/>
              </w:rPr>
              <w:t>；三级</w:t>
            </w:r>
            <w:r>
              <w:rPr>
                <w:szCs w:val="21"/>
              </w:rPr>
              <w:sym w:font="Wingdings" w:char="00A8"/>
            </w:r>
          </w:p>
        </w:tc>
      </w:tr>
      <w:tr w14:paraId="0EAE436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86" w:type="dxa"/>
            <w:vMerge w:val="restart"/>
            <w:tcBorders>
              <w:top w:val="single" w:color="auto" w:sz="4" w:space="0"/>
              <w:left w:val="single" w:color="auto" w:sz="4" w:space="0"/>
              <w:bottom w:val="single" w:color="auto" w:sz="4" w:space="0"/>
              <w:tl2br w:val="nil"/>
              <w:tr2bl w:val="nil"/>
            </w:tcBorders>
            <w:noWrap/>
            <w:vAlign w:val="center"/>
          </w:tcPr>
          <w:p w14:paraId="4EBE11B8">
            <w:pPr>
              <w:pStyle w:val="64"/>
            </w:pPr>
            <w:r>
              <w:t>现状调查</w:t>
            </w:r>
          </w:p>
        </w:tc>
        <w:tc>
          <w:tcPr>
            <w:tcW w:w="2533" w:type="dxa"/>
            <w:vMerge w:val="restart"/>
            <w:tcBorders>
              <w:top w:val="single" w:color="auto" w:sz="4" w:space="0"/>
              <w:bottom w:val="single" w:color="auto" w:sz="4" w:space="0"/>
              <w:tl2br w:val="nil"/>
              <w:tr2bl w:val="nil"/>
            </w:tcBorders>
            <w:noWrap/>
            <w:vAlign w:val="center"/>
          </w:tcPr>
          <w:p w14:paraId="6CBA9389">
            <w:pPr>
              <w:pStyle w:val="64"/>
            </w:pPr>
            <w:r>
              <w:t>区域污染源</w:t>
            </w:r>
          </w:p>
        </w:tc>
        <w:tc>
          <w:tcPr>
            <w:tcW w:w="5665" w:type="dxa"/>
            <w:gridSpan w:val="4"/>
            <w:tcBorders>
              <w:top w:val="single" w:color="auto" w:sz="4" w:space="0"/>
              <w:bottom w:val="single" w:color="auto" w:sz="4" w:space="0"/>
              <w:tl2br w:val="nil"/>
              <w:tr2bl w:val="nil"/>
            </w:tcBorders>
            <w:noWrap/>
            <w:vAlign w:val="center"/>
          </w:tcPr>
          <w:p w14:paraId="4CBAEADA">
            <w:pPr>
              <w:pStyle w:val="64"/>
            </w:pPr>
            <w:r>
              <w:t>调查项目</w:t>
            </w:r>
          </w:p>
        </w:tc>
        <w:tc>
          <w:tcPr>
            <w:tcW w:w="5390" w:type="dxa"/>
            <w:gridSpan w:val="5"/>
            <w:tcBorders>
              <w:top w:val="single" w:color="auto" w:sz="4" w:space="0"/>
              <w:bottom w:val="single" w:color="auto" w:sz="4" w:space="0"/>
              <w:right w:val="single" w:color="auto" w:sz="4" w:space="0"/>
              <w:tl2br w:val="nil"/>
              <w:tr2bl w:val="nil"/>
            </w:tcBorders>
            <w:noWrap/>
            <w:vAlign w:val="center"/>
          </w:tcPr>
          <w:p w14:paraId="39D07F3E">
            <w:pPr>
              <w:pStyle w:val="64"/>
              <w:rPr>
                <w:szCs w:val="21"/>
              </w:rPr>
            </w:pPr>
            <w:r>
              <w:rPr>
                <w:szCs w:val="21"/>
              </w:rPr>
              <w:t>数据来源</w:t>
            </w:r>
          </w:p>
        </w:tc>
      </w:tr>
      <w:tr w14:paraId="68D8C82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86" w:type="dxa"/>
            <w:vMerge w:val="continue"/>
            <w:tcBorders>
              <w:top w:val="single" w:color="auto" w:sz="4" w:space="0"/>
              <w:left w:val="single" w:color="auto" w:sz="4" w:space="0"/>
              <w:bottom w:val="single" w:color="auto" w:sz="4" w:space="0"/>
              <w:tl2br w:val="nil"/>
              <w:tr2bl w:val="nil"/>
            </w:tcBorders>
            <w:noWrap/>
            <w:vAlign w:val="center"/>
          </w:tcPr>
          <w:p w14:paraId="4E5C3350">
            <w:pPr>
              <w:pStyle w:val="64"/>
            </w:pPr>
          </w:p>
        </w:tc>
        <w:tc>
          <w:tcPr>
            <w:tcW w:w="2533" w:type="dxa"/>
            <w:vMerge w:val="continue"/>
            <w:tcBorders>
              <w:top w:val="single" w:color="auto" w:sz="4" w:space="0"/>
              <w:bottom w:val="single" w:color="auto" w:sz="4" w:space="0"/>
              <w:tl2br w:val="nil"/>
              <w:tr2bl w:val="nil"/>
            </w:tcBorders>
            <w:noWrap/>
            <w:vAlign w:val="center"/>
          </w:tcPr>
          <w:p w14:paraId="422951B0">
            <w:pPr>
              <w:pStyle w:val="64"/>
            </w:pPr>
          </w:p>
        </w:tc>
        <w:tc>
          <w:tcPr>
            <w:tcW w:w="2688" w:type="dxa"/>
            <w:gridSpan w:val="2"/>
            <w:tcBorders>
              <w:top w:val="single" w:color="auto" w:sz="4" w:space="0"/>
              <w:bottom w:val="single" w:color="auto" w:sz="4" w:space="0"/>
              <w:tl2br w:val="nil"/>
              <w:tr2bl w:val="nil"/>
            </w:tcBorders>
            <w:noWrap/>
            <w:vAlign w:val="center"/>
          </w:tcPr>
          <w:p w14:paraId="462FADAB">
            <w:pPr>
              <w:pStyle w:val="64"/>
            </w:pPr>
            <w:r>
              <w:t>已建</w:t>
            </w:r>
            <w:r>
              <w:rPr/>
              <w:sym w:font="Wingdings" w:char="00A8"/>
            </w:r>
            <w:r>
              <w:t>；在建</w:t>
            </w:r>
            <w:r>
              <w:rPr/>
              <w:sym w:font="Wingdings" w:char="00A8"/>
            </w:r>
            <w:r>
              <w:t>；改扩建</w:t>
            </w:r>
            <w:r>
              <w:rPr/>
              <w:sym w:font="Wingdings" w:char="00A8"/>
            </w:r>
            <w:r>
              <w:t>；其他</w:t>
            </w:r>
          </w:p>
        </w:tc>
        <w:tc>
          <w:tcPr>
            <w:tcW w:w="2977" w:type="dxa"/>
            <w:gridSpan w:val="2"/>
            <w:tcBorders>
              <w:top w:val="single" w:color="auto" w:sz="4" w:space="0"/>
              <w:bottom w:val="single" w:color="auto" w:sz="4" w:space="0"/>
              <w:tl2br w:val="nil"/>
              <w:tr2bl w:val="nil"/>
            </w:tcBorders>
            <w:noWrap/>
            <w:vAlign w:val="center"/>
          </w:tcPr>
          <w:p w14:paraId="2E266611">
            <w:pPr>
              <w:pStyle w:val="64"/>
            </w:pPr>
            <w:r>
              <w:t>拟替代的污染源</w:t>
            </w:r>
            <w:r>
              <w:rPr/>
              <w:sym w:font="Wingdings" w:char="00A8"/>
            </w:r>
          </w:p>
        </w:tc>
        <w:tc>
          <w:tcPr>
            <w:tcW w:w="5390" w:type="dxa"/>
            <w:gridSpan w:val="5"/>
            <w:tcBorders>
              <w:top w:val="single" w:color="auto" w:sz="4" w:space="0"/>
              <w:bottom w:val="single" w:color="auto" w:sz="4" w:space="0"/>
              <w:right w:val="single" w:color="auto" w:sz="4" w:space="0"/>
              <w:tl2br w:val="nil"/>
              <w:tr2bl w:val="nil"/>
            </w:tcBorders>
            <w:noWrap/>
            <w:vAlign w:val="center"/>
          </w:tcPr>
          <w:p w14:paraId="12267810">
            <w:pPr>
              <w:pStyle w:val="64"/>
              <w:rPr>
                <w:szCs w:val="21"/>
              </w:rPr>
            </w:pPr>
            <w:r>
              <w:rPr>
                <w:szCs w:val="21"/>
              </w:rPr>
              <w:t>排污许可证</w:t>
            </w:r>
            <w:r>
              <w:rPr>
                <w:szCs w:val="21"/>
              </w:rPr>
              <w:sym w:font="Wingdings" w:char="00A8"/>
            </w:r>
            <w:r>
              <w:rPr>
                <w:szCs w:val="21"/>
              </w:rPr>
              <w:t>；环评</w:t>
            </w:r>
            <w:r>
              <w:rPr>
                <w:szCs w:val="21"/>
              </w:rPr>
              <w:sym w:font="Wingdings" w:char="00A8"/>
            </w:r>
            <w:r>
              <w:rPr>
                <w:szCs w:val="21"/>
              </w:rPr>
              <w:t>；环保验收</w:t>
            </w:r>
            <w:r>
              <w:rPr>
                <w:szCs w:val="21"/>
              </w:rPr>
              <w:sym w:font="Wingdings" w:char="00A8"/>
            </w:r>
            <w:r>
              <w:rPr>
                <w:szCs w:val="21"/>
              </w:rPr>
              <w:t>；既有实测</w:t>
            </w:r>
            <w:r>
              <w:rPr>
                <w:szCs w:val="21"/>
              </w:rPr>
              <w:sym w:font="Wingdings" w:char="00A8"/>
            </w:r>
            <w:r>
              <w:rPr>
                <w:szCs w:val="21"/>
              </w:rPr>
              <w:t>；现场监测</w:t>
            </w:r>
            <w:r>
              <w:rPr>
                <w:szCs w:val="21"/>
              </w:rPr>
              <w:sym w:font="Wingdings" w:char="00A8"/>
            </w:r>
            <w:r>
              <w:rPr>
                <w:szCs w:val="21"/>
              </w:rPr>
              <w:t>；入河排放口数据</w:t>
            </w:r>
            <w:r>
              <w:rPr>
                <w:szCs w:val="21"/>
              </w:rPr>
              <w:sym w:font="Wingdings" w:char="00A8"/>
            </w:r>
            <w:r>
              <w:rPr>
                <w:szCs w:val="21"/>
              </w:rPr>
              <w:t>；其他</w:t>
            </w:r>
            <w:r>
              <w:rPr>
                <w:szCs w:val="21"/>
              </w:rPr>
              <w:sym w:font="Wingdings" w:char="00A8"/>
            </w:r>
          </w:p>
        </w:tc>
      </w:tr>
      <w:tr w14:paraId="1C4C24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86" w:type="dxa"/>
            <w:vMerge w:val="continue"/>
            <w:tcBorders>
              <w:top w:val="single" w:color="auto" w:sz="4" w:space="0"/>
              <w:left w:val="single" w:color="auto" w:sz="4" w:space="0"/>
              <w:bottom w:val="single" w:color="auto" w:sz="4" w:space="0"/>
              <w:tl2br w:val="nil"/>
              <w:tr2bl w:val="nil"/>
            </w:tcBorders>
            <w:noWrap/>
            <w:vAlign w:val="center"/>
          </w:tcPr>
          <w:p w14:paraId="5F82EE1C">
            <w:pPr>
              <w:pStyle w:val="64"/>
            </w:pPr>
          </w:p>
        </w:tc>
        <w:tc>
          <w:tcPr>
            <w:tcW w:w="2533" w:type="dxa"/>
            <w:vMerge w:val="restart"/>
            <w:tcBorders>
              <w:top w:val="single" w:color="auto" w:sz="4" w:space="0"/>
              <w:bottom w:val="single" w:color="auto" w:sz="4" w:space="0"/>
              <w:tl2br w:val="nil"/>
              <w:tr2bl w:val="nil"/>
            </w:tcBorders>
            <w:noWrap/>
            <w:vAlign w:val="center"/>
          </w:tcPr>
          <w:p w14:paraId="3CF58AA1">
            <w:pPr>
              <w:pStyle w:val="64"/>
            </w:pPr>
            <w:r>
              <w:t>受影响水体环境质量</w:t>
            </w:r>
          </w:p>
        </w:tc>
        <w:tc>
          <w:tcPr>
            <w:tcW w:w="5665" w:type="dxa"/>
            <w:gridSpan w:val="4"/>
            <w:tcBorders>
              <w:top w:val="single" w:color="auto" w:sz="4" w:space="0"/>
              <w:bottom w:val="single" w:color="auto" w:sz="4" w:space="0"/>
              <w:tl2br w:val="nil"/>
              <w:tr2bl w:val="nil"/>
            </w:tcBorders>
            <w:noWrap/>
            <w:vAlign w:val="center"/>
          </w:tcPr>
          <w:p w14:paraId="32D40FE4">
            <w:pPr>
              <w:pStyle w:val="64"/>
            </w:pPr>
            <w:r>
              <w:t>调查时期</w:t>
            </w:r>
          </w:p>
        </w:tc>
        <w:tc>
          <w:tcPr>
            <w:tcW w:w="5390" w:type="dxa"/>
            <w:gridSpan w:val="5"/>
            <w:tcBorders>
              <w:top w:val="single" w:color="auto" w:sz="4" w:space="0"/>
              <w:bottom w:val="single" w:color="auto" w:sz="4" w:space="0"/>
              <w:right w:val="single" w:color="auto" w:sz="4" w:space="0"/>
              <w:tl2br w:val="nil"/>
              <w:tr2bl w:val="nil"/>
            </w:tcBorders>
            <w:noWrap/>
            <w:vAlign w:val="center"/>
          </w:tcPr>
          <w:p w14:paraId="0C7269A9">
            <w:pPr>
              <w:pStyle w:val="64"/>
              <w:rPr>
                <w:szCs w:val="21"/>
              </w:rPr>
            </w:pPr>
            <w:r>
              <w:rPr>
                <w:szCs w:val="21"/>
              </w:rPr>
              <w:t>数据来源</w:t>
            </w:r>
          </w:p>
        </w:tc>
      </w:tr>
      <w:tr w14:paraId="164E72D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86" w:type="dxa"/>
            <w:vMerge w:val="continue"/>
            <w:tcBorders>
              <w:top w:val="single" w:color="auto" w:sz="4" w:space="0"/>
              <w:left w:val="single" w:color="auto" w:sz="4" w:space="0"/>
              <w:bottom w:val="single" w:color="auto" w:sz="4" w:space="0"/>
              <w:tl2br w:val="nil"/>
              <w:tr2bl w:val="nil"/>
            </w:tcBorders>
            <w:noWrap/>
            <w:vAlign w:val="center"/>
          </w:tcPr>
          <w:p w14:paraId="30336795">
            <w:pPr>
              <w:pStyle w:val="64"/>
            </w:pPr>
          </w:p>
        </w:tc>
        <w:tc>
          <w:tcPr>
            <w:tcW w:w="2533" w:type="dxa"/>
            <w:vMerge w:val="continue"/>
            <w:tcBorders>
              <w:top w:val="single" w:color="auto" w:sz="4" w:space="0"/>
              <w:bottom w:val="single" w:color="auto" w:sz="4" w:space="0"/>
              <w:tl2br w:val="nil"/>
              <w:tr2bl w:val="nil"/>
            </w:tcBorders>
            <w:noWrap/>
            <w:vAlign w:val="center"/>
          </w:tcPr>
          <w:p w14:paraId="3F199406">
            <w:pPr>
              <w:pStyle w:val="64"/>
            </w:pPr>
          </w:p>
        </w:tc>
        <w:tc>
          <w:tcPr>
            <w:tcW w:w="5665" w:type="dxa"/>
            <w:gridSpan w:val="4"/>
            <w:tcBorders>
              <w:top w:val="single" w:color="auto" w:sz="4" w:space="0"/>
              <w:bottom w:val="single" w:color="auto" w:sz="4" w:space="0"/>
              <w:tl2br w:val="nil"/>
              <w:tr2bl w:val="nil"/>
            </w:tcBorders>
            <w:noWrap/>
            <w:vAlign w:val="center"/>
          </w:tcPr>
          <w:p w14:paraId="53507C4D">
            <w:pPr>
              <w:pStyle w:val="64"/>
            </w:pPr>
            <w:r>
              <w:t>丰水期</w:t>
            </w:r>
            <w:r>
              <w:rPr/>
              <w:sym w:font="Wingdings" w:char="00A8"/>
            </w:r>
            <w:r>
              <w:t>；平水期</w:t>
            </w:r>
            <w:r>
              <w:rPr/>
              <w:sym w:font="Wingdings" w:char="00A8"/>
            </w:r>
            <w:r>
              <w:t>；枯水期</w:t>
            </w:r>
            <w:r>
              <w:rPr/>
              <w:sym w:font="Wingdings" w:char="00A8"/>
            </w:r>
            <w:r>
              <w:t>；冰封期</w:t>
            </w:r>
            <w:r>
              <w:rPr/>
              <w:sym w:font="Wingdings" w:char="00A8"/>
            </w:r>
          </w:p>
          <w:p w14:paraId="51BD72CF">
            <w:pPr>
              <w:pStyle w:val="64"/>
            </w:pPr>
            <w:r>
              <w:t>春季</w:t>
            </w:r>
            <w:r>
              <w:rPr/>
              <w:sym w:font="Wingdings" w:char="00A8"/>
            </w:r>
            <w:r>
              <w:t>；夏季</w:t>
            </w:r>
            <w:r>
              <w:rPr/>
              <w:sym w:font="Wingdings" w:char="00A8"/>
            </w:r>
            <w:r>
              <w:t>；秋季</w:t>
            </w:r>
            <w:r>
              <w:rPr/>
              <w:sym w:font="Wingdings" w:char="00A8"/>
            </w:r>
            <w:r>
              <w:t>；冬季</w:t>
            </w:r>
            <w:r>
              <w:rPr/>
              <w:sym w:font="Wingdings" w:char="00FE"/>
            </w:r>
          </w:p>
        </w:tc>
        <w:tc>
          <w:tcPr>
            <w:tcW w:w="5390" w:type="dxa"/>
            <w:gridSpan w:val="5"/>
            <w:tcBorders>
              <w:top w:val="single" w:color="auto" w:sz="4" w:space="0"/>
              <w:bottom w:val="single" w:color="auto" w:sz="4" w:space="0"/>
              <w:right w:val="single" w:color="auto" w:sz="4" w:space="0"/>
              <w:tl2br w:val="nil"/>
              <w:tr2bl w:val="nil"/>
            </w:tcBorders>
            <w:noWrap/>
            <w:vAlign w:val="center"/>
          </w:tcPr>
          <w:p w14:paraId="6BEA4B0F">
            <w:pPr>
              <w:pStyle w:val="64"/>
              <w:rPr>
                <w:szCs w:val="21"/>
              </w:rPr>
            </w:pPr>
            <w:r>
              <w:rPr>
                <w:szCs w:val="21"/>
              </w:rPr>
              <w:t>生态环境主管部门</w:t>
            </w:r>
            <w:r>
              <w:rPr>
                <w:szCs w:val="21"/>
              </w:rPr>
              <w:sym w:font="Wingdings" w:char="00A8"/>
            </w:r>
            <w:r>
              <w:rPr>
                <w:szCs w:val="21"/>
              </w:rPr>
              <w:t>；补充监测</w:t>
            </w:r>
            <w:r>
              <w:rPr>
                <w:szCs w:val="21"/>
              </w:rPr>
              <w:sym w:font="Wingdings" w:char="00A8"/>
            </w:r>
            <w:r>
              <w:rPr>
                <w:szCs w:val="21"/>
              </w:rPr>
              <w:t>；其他</w:t>
            </w:r>
            <w:r>
              <w:rPr>
                <w:szCs w:val="21"/>
              </w:rPr>
              <w:sym w:font="Wingdings" w:char="00FE"/>
            </w:r>
          </w:p>
        </w:tc>
      </w:tr>
      <w:tr w14:paraId="27C64A0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86" w:type="dxa"/>
            <w:vMerge w:val="continue"/>
            <w:tcBorders>
              <w:top w:val="single" w:color="auto" w:sz="4" w:space="0"/>
              <w:left w:val="single" w:color="auto" w:sz="4" w:space="0"/>
              <w:bottom w:val="single" w:color="auto" w:sz="4" w:space="0"/>
              <w:tl2br w:val="nil"/>
              <w:tr2bl w:val="nil"/>
            </w:tcBorders>
            <w:noWrap/>
            <w:vAlign w:val="center"/>
          </w:tcPr>
          <w:p w14:paraId="5A9772D9">
            <w:pPr>
              <w:pStyle w:val="64"/>
            </w:pPr>
          </w:p>
        </w:tc>
        <w:tc>
          <w:tcPr>
            <w:tcW w:w="2533" w:type="dxa"/>
            <w:tcBorders>
              <w:top w:val="single" w:color="auto" w:sz="4" w:space="0"/>
              <w:bottom w:val="single" w:color="auto" w:sz="4" w:space="0"/>
              <w:tl2br w:val="nil"/>
              <w:tr2bl w:val="nil"/>
            </w:tcBorders>
            <w:noWrap/>
            <w:vAlign w:val="center"/>
          </w:tcPr>
          <w:p w14:paraId="7F1DCE23">
            <w:pPr>
              <w:pStyle w:val="64"/>
            </w:pPr>
            <w:r>
              <w:t>区域水资源开发利用状况</w:t>
            </w:r>
          </w:p>
        </w:tc>
        <w:tc>
          <w:tcPr>
            <w:tcW w:w="11055" w:type="dxa"/>
            <w:gridSpan w:val="9"/>
            <w:tcBorders>
              <w:top w:val="single" w:color="auto" w:sz="4" w:space="0"/>
              <w:bottom w:val="single" w:color="auto" w:sz="4" w:space="0"/>
              <w:right w:val="single" w:color="auto" w:sz="4" w:space="0"/>
              <w:tl2br w:val="nil"/>
              <w:tr2bl w:val="nil"/>
            </w:tcBorders>
            <w:noWrap/>
            <w:vAlign w:val="center"/>
          </w:tcPr>
          <w:p w14:paraId="357A16B7">
            <w:pPr>
              <w:pStyle w:val="64"/>
            </w:pPr>
            <w:r>
              <w:t>未开发</w:t>
            </w:r>
            <w:r>
              <w:rPr/>
              <w:sym w:font="Wingdings" w:char="00A8"/>
            </w:r>
            <w:r>
              <w:t>；开发量40%以下</w:t>
            </w:r>
            <w:r>
              <w:rPr/>
              <w:sym w:font="Wingdings" w:char="00FE"/>
            </w:r>
            <w:r>
              <w:t>；开发量40%以上</w:t>
            </w:r>
            <w:r>
              <w:rPr/>
              <w:sym w:font="Wingdings" w:char="00A8"/>
            </w:r>
          </w:p>
        </w:tc>
      </w:tr>
      <w:tr w14:paraId="7873B3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86" w:type="dxa"/>
            <w:vMerge w:val="continue"/>
            <w:tcBorders>
              <w:top w:val="single" w:color="auto" w:sz="4" w:space="0"/>
              <w:left w:val="single" w:color="auto" w:sz="4" w:space="0"/>
              <w:bottom w:val="single" w:color="auto" w:sz="4" w:space="0"/>
              <w:tl2br w:val="nil"/>
              <w:tr2bl w:val="nil"/>
            </w:tcBorders>
            <w:noWrap/>
            <w:vAlign w:val="center"/>
          </w:tcPr>
          <w:p w14:paraId="7D1245A1">
            <w:pPr>
              <w:pStyle w:val="64"/>
            </w:pPr>
          </w:p>
        </w:tc>
        <w:tc>
          <w:tcPr>
            <w:tcW w:w="2533" w:type="dxa"/>
            <w:vMerge w:val="restart"/>
            <w:tcBorders>
              <w:top w:val="single" w:color="auto" w:sz="4" w:space="0"/>
              <w:bottom w:val="single" w:color="auto" w:sz="4" w:space="0"/>
              <w:tl2br w:val="nil"/>
              <w:tr2bl w:val="nil"/>
            </w:tcBorders>
            <w:noWrap/>
            <w:vAlign w:val="center"/>
          </w:tcPr>
          <w:p w14:paraId="41062AF3">
            <w:pPr>
              <w:pStyle w:val="64"/>
            </w:pPr>
            <w:r>
              <w:t>水文情势调查</w:t>
            </w:r>
          </w:p>
        </w:tc>
        <w:tc>
          <w:tcPr>
            <w:tcW w:w="5665" w:type="dxa"/>
            <w:gridSpan w:val="4"/>
            <w:tcBorders>
              <w:top w:val="single" w:color="auto" w:sz="4" w:space="0"/>
              <w:bottom w:val="single" w:color="auto" w:sz="4" w:space="0"/>
              <w:tl2br w:val="nil"/>
              <w:tr2bl w:val="nil"/>
            </w:tcBorders>
            <w:noWrap/>
            <w:vAlign w:val="center"/>
          </w:tcPr>
          <w:p w14:paraId="24AA70B0">
            <w:pPr>
              <w:pStyle w:val="64"/>
            </w:pPr>
            <w:r>
              <w:t>调查时期</w:t>
            </w:r>
          </w:p>
        </w:tc>
        <w:tc>
          <w:tcPr>
            <w:tcW w:w="5390" w:type="dxa"/>
            <w:gridSpan w:val="5"/>
            <w:tcBorders>
              <w:top w:val="single" w:color="auto" w:sz="4" w:space="0"/>
              <w:bottom w:val="single" w:color="auto" w:sz="4" w:space="0"/>
              <w:right w:val="single" w:color="auto" w:sz="4" w:space="0"/>
              <w:tl2br w:val="nil"/>
              <w:tr2bl w:val="nil"/>
            </w:tcBorders>
            <w:noWrap/>
            <w:vAlign w:val="center"/>
          </w:tcPr>
          <w:p w14:paraId="39B1E38F">
            <w:pPr>
              <w:pStyle w:val="64"/>
            </w:pPr>
            <w:r>
              <w:t>数据来源</w:t>
            </w:r>
          </w:p>
        </w:tc>
      </w:tr>
      <w:tr w14:paraId="765C41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86" w:type="dxa"/>
            <w:vMerge w:val="continue"/>
            <w:tcBorders>
              <w:top w:val="single" w:color="auto" w:sz="4" w:space="0"/>
              <w:left w:val="single" w:color="auto" w:sz="4" w:space="0"/>
              <w:bottom w:val="single" w:color="auto" w:sz="4" w:space="0"/>
              <w:tl2br w:val="nil"/>
              <w:tr2bl w:val="nil"/>
            </w:tcBorders>
            <w:noWrap/>
            <w:vAlign w:val="center"/>
          </w:tcPr>
          <w:p w14:paraId="09C1B033">
            <w:pPr>
              <w:pStyle w:val="64"/>
            </w:pPr>
          </w:p>
        </w:tc>
        <w:tc>
          <w:tcPr>
            <w:tcW w:w="2533" w:type="dxa"/>
            <w:vMerge w:val="continue"/>
            <w:tcBorders>
              <w:top w:val="single" w:color="auto" w:sz="4" w:space="0"/>
              <w:bottom w:val="single" w:color="auto" w:sz="4" w:space="0"/>
              <w:tl2br w:val="nil"/>
              <w:tr2bl w:val="nil"/>
            </w:tcBorders>
            <w:noWrap/>
            <w:vAlign w:val="center"/>
          </w:tcPr>
          <w:p w14:paraId="669143CE">
            <w:pPr>
              <w:pStyle w:val="64"/>
            </w:pPr>
          </w:p>
        </w:tc>
        <w:tc>
          <w:tcPr>
            <w:tcW w:w="5665" w:type="dxa"/>
            <w:gridSpan w:val="4"/>
            <w:tcBorders>
              <w:top w:val="single" w:color="auto" w:sz="4" w:space="0"/>
              <w:bottom w:val="single" w:color="auto" w:sz="4" w:space="0"/>
              <w:tl2br w:val="nil"/>
              <w:tr2bl w:val="nil"/>
            </w:tcBorders>
            <w:noWrap/>
            <w:vAlign w:val="center"/>
          </w:tcPr>
          <w:p w14:paraId="6DE32746">
            <w:pPr>
              <w:pStyle w:val="64"/>
            </w:pPr>
            <w:r>
              <w:t>丰水期</w:t>
            </w:r>
            <w:r>
              <w:rPr/>
              <w:sym w:font="Wingdings" w:char="00A8"/>
            </w:r>
            <w:r>
              <w:t>；平水期</w:t>
            </w:r>
            <w:r>
              <w:rPr/>
              <w:sym w:font="Wingdings" w:char="00A8"/>
            </w:r>
            <w:r>
              <w:t>；枯水期</w:t>
            </w:r>
            <w:r>
              <w:rPr/>
              <w:sym w:font="Wingdings" w:char="00A8"/>
            </w:r>
            <w:r>
              <w:t>；冰封期</w:t>
            </w:r>
            <w:r>
              <w:rPr/>
              <w:sym w:font="Wingdings" w:char="00A8"/>
            </w:r>
          </w:p>
          <w:p w14:paraId="3E66A8C8">
            <w:pPr>
              <w:pStyle w:val="64"/>
            </w:pPr>
            <w:r>
              <w:t>春季</w:t>
            </w:r>
            <w:r>
              <w:rPr/>
              <w:sym w:font="Wingdings" w:char="00A8"/>
            </w:r>
            <w:r>
              <w:t>；夏季</w:t>
            </w:r>
            <w:r>
              <w:rPr/>
              <w:sym w:font="Wingdings" w:char="00A8"/>
            </w:r>
            <w:r>
              <w:t>；秋季</w:t>
            </w:r>
            <w:r>
              <w:rPr/>
              <w:sym w:font="Wingdings" w:char="00A8"/>
            </w:r>
            <w:r>
              <w:t>；冬季</w:t>
            </w:r>
            <w:r>
              <w:rPr/>
              <w:sym w:font="Wingdings" w:char="00A8"/>
            </w:r>
          </w:p>
        </w:tc>
        <w:tc>
          <w:tcPr>
            <w:tcW w:w="5390" w:type="dxa"/>
            <w:gridSpan w:val="5"/>
            <w:tcBorders>
              <w:top w:val="single" w:color="auto" w:sz="4" w:space="0"/>
              <w:bottom w:val="single" w:color="auto" w:sz="4" w:space="0"/>
              <w:right w:val="single" w:color="auto" w:sz="4" w:space="0"/>
              <w:tl2br w:val="nil"/>
              <w:tr2bl w:val="nil"/>
            </w:tcBorders>
            <w:noWrap/>
            <w:vAlign w:val="center"/>
          </w:tcPr>
          <w:p w14:paraId="0365E058">
            <w:pPr>
              <w:pStyle w:val="64"/>
            </w:pPr>
            <w:r>
              <w:t>生态环境主管部门</w:t>
            </w:r>
            <w:r>
              <w:rPr/>
              <w:sym w:font="Wingdings" w:char="00A8"/>
            </w:r>
            <w:r>
              <w:t>；补充监测</w:t>
            </w:r>
            <w:r>
              <w:rPr/>
              <w:sym w:font="Wingdings" w:char="00A8"/>
            </w:r>
            <w:r>
              <w:t>；其他</w:t>
            </w:r>
            <w:r>
              <w:rPr/>
              <w:sym w:font="Wingdings" w:char="00A8"/>
            </w:r>
          </w:p>
        </w:tc>
      </w:tr>
      <w:tr w14:paraId="0B9FD2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86" w:type="dxa"/>
            <w:vMerge w:val="continue"/>
            <w:tcBorders>
              <w:top w:val="single" w:color="auto" w:sz="4" w:space="0"/>
              <w:left w:val="single" w:color="auto" w:sz="4" w:space="0"/>
              <w:bottom w:val="single" w:color="auto" w:sz="4" w:space="0"/>
              <w:tl2br w:val="nil"/>
              <w:tr2bl w:val="nil"/>
            </w:tcBorders>
            <w:noWrap/>
            <w:vAlign w:val="center"/>
          </w:tcPr>
          <w:p w14:paraId="4C52210F">
            <w:pPr>
              <w:pStyle w:val="64"/>
            </w:pPr>
          </w:p>
        </w:tc>
        <w:tc>
          <w:tcPr>
            <w:tcW w:w="2533" w:type="dxa"/>
            <w:vMerge w:val="restart"/>
            <w:tcBorders>
              <w:top w:val="single" w:color="auto" w:sz="4" w:space="0"/>
              <w:bottom w:val="single" w:color="auto" w:sz="4" w:space="0"/>
              <w:tl2br w:val="nil"/>
              <w:tr2bl w:val="nil"/>
            </w:tcBorders>
            <w:noWrap/>
            <w:vAlign w:val="center"/>
          </w:tcPr>
          <w:p w14:paraId="05CB27FA">
            <w:pPr>
              <w:pStyle w:val="64"/>
            </w:pPr>
            <w:r>
              <w:t>补充监测</w:t>
            </w:r>
          </w:p>
        </w:tc>
        <w:tc>
          <w:tcPr>
            <w:tcW w:w="5665" w:type="dxa"/>
            <w:gridSpan w:val="4"/>
            <w:tcBorders>
              <w:top w:val="single" w:color="auto" w:sz="4" w:space="0"/>
              <w:bottom w:val="single" w:color="auto" w:sz="4" w:space="0"/>
              <w:tl2br w:val="nil"/>
              <w:tr2bl w:val="nil"/>
            </w:tcBorders>
            <w:noWrap/>
            <w:vAlign w:val="center"/>
          </w:tcPr>
          <w:p w14:paraId="5DC94808">
            <w:pPr>
              <w:pStyle w:val="64"/>
            </w:pPr>
            <w:r>
              <w:t>监测时期</w:t>
            </w:r>
          </w:p>
        </w:tc>
        <w:tc>
          <w:tcPr>
            <w:tcW w:w="3685" w:type="dxa"/>
            <w:gridSpan w:val="3"/>
            <w:tcBorders>
              <w:bottom w:val="single" w:color="auto" w:sz="4" w:space="0"/>
              <w:tl2br w:val="nil"/>
              <w:tr2bl w:val="nil"/>
            </w:tcBorders>
            <w:noWrap/>
            <w:vAlign w:val="center"/>
          </w:tcPr>
          <w:p w14:paraId="0DDD4D2D">
            <w:pPr>
              <w:pStyle w:val="64"/>
            </w:pPr>
            <w:r>
              <w:t>监测因子</w:t>
            </w:r>
          </w:p>
        </w:tc>
        <w:tc>
          <w:tcPr>
            <w:tcW w:w="1705" w:type="dxa"/>
            <w:gridSpan w:val="2"/>
            <w:tcBorders>
              <w:top w:val="single" w:color="auto" w:sz="4" w:space="0"/>
              <w:bottom w:val="single" w:color="auto" w:sz="4" w:space="0"/>
              <w:right w:val="single" w:color="auto" w:sz="4" w:space="0"/>
              <w:tl2br w:val="nil"/>
              <w:tr2bl w:val="nil"/>
            </w:tcBorders>
            <w:noWrap/>
            <w:vAlign w:val="center"/>
          </w:tcPr>
          <w:p w14:paraId="7DE66AE5">
            <w:pPr>
              <w:pStyle w:val="64"/>
            </w:pPr>
            <w:r>
              <w:t>监测断面或点位</w:t>
            </w:r>
          </w:p>
        </w:tc>
      </w:tr>
      <w:tr w14:paraId="49E2A11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86" w:type="dxa"/>
            <w:vMerge w:val="continue"/>
            <w:tcBorders>
              <w:top w:val="single" w:color="auto" w:sz="4" w:space="0"/>
              <w:left w:val="single" w:color="auto" w:sz="4" w:space="0"/>
              <w:bottom w:val="single" w:color="auto" w:sz="4" w:space="0"/>
              <w:tl2br w:val="nil"/>
              <w:tr2bl w:val="nil"/>
            </w:tcBorders>
            <w:noWrap/>
            <w:vAlign w:val="center"/>
          </w:tcPr>
          <w:p w14:paraId="0D4F9D83">
            <w:pPr>
              <w:pStyle w:val="64"/>
            </w:pPr>
          </w:p>
        </w:tc>
        <w:tc>
          <w:tcPr>
            <w:tcW w:w="2533" w:type="dxa"/>
            <w:vMerge w:val="continue"/>
            <w:tcBorders>
              <w:top w:val="single" w:color="auto" w:sz="4" w:space="0"/>
              <w:bottom w:val="single" w:color="auto" w:sz="4" w:space="0"/>
              <w:tl2br w:val="nil"/>
              <w:tr2bl w:val="nil"/>
            </w:tcBorders>
            <w:noWrap/>
            <w:vAlign w:val="center"/>
          </w:tcPr>
          <w:p w14:paraId="425A59CB">
            <w:pPr>
              <w:pStyle w:val="64"/>
            </w:pPr>
          </w:p>
        </w:tc>
        <w:tc>
          <w:tcPr>
            <w:tcW w:w="5665" w:type="dxa"/>
            <w:gridSpan w:val="4"/>
            <w:tcBorders>
              <w:top w:val="single" w:color="auto" w:sz="4" w:space="0"/>
              <w:bottom w:val="single" w:color="auto" w:sz="4" w:space="0"/>
              <w:tl2br w:val="nil"/>
              <w:tr2bl w:val="nil"/>
            </w:tcBorders>
            <w:noWrap/>
            <w:vAlign w:val="center"/>
          </w:tcPr>
          <w:p w14:paraId="1F33AB39">
            <w:pPr>
              <w:pStyle w:val="64"/>
            </w:pPr>
            <w:r>
              <w:t>丰水期</w:t>
            </w:r>
            <w:r>
              <w:rPr/>
              <w:sym w:font="Wingdings" w:char="00A8"/>
            </w:r>
            <w:r>
              <w:t>；平水期</w:t>
            </w:r>
            <w:r>
              <w:rPr/>
              <w:sym w:font="Wingdings" w:char="00A8"/>
            </w:r>
            <w:r>
              <w:t>；枯水期</w:t>
            </w:r>
            <w:r>
              <w:rPr/>
              <w:sym w:font="Wingdings" w:char="00FE"/>
            </w:r>
            <w:r>
              <w:t>；冰封期</w:t>
            </w:r>
            <w:r>
              <w:rPr/>
              <w:sym w:font="Wingdings" w:char="00A8"/>
            </w:r>
          </w:p>
          <w:p w14:paraId="1C3C6175">
            <w:pPr>
              <w:pStyle w:val="64"/>
            </w:pPr>
            <w:r>
              <w:t>春季</w:t>
            </w:r>
            <w:r>
              <w:rPr/>
              <w:sym w:font="Wingdings" w:char="00A8"/>
            </w:r>
            <w:r>
              <w:t>；夏季</w:t>
            </w:r>
            <w:r>
              <w:rPr/>
              <w:sym w:font="Wingdings" w:char="00A8"/>
            </w:r>
            <w:r>
              <w:t>；秋季</w:t>
            </w:r>
            <w:r>
              <w:rPr/>
              <w:sym w:font="Wingdings" w:char="00A8"/>
            </w:r>
            <w:r>
              <w:t>；冬季</w:t>
            </w:r>
            <w:r>
              <w:rPr/>
              <w:sym w:font="Wingdings" w:char="00FE"/>
            </w:r>
          </w:p>
        </w:tc>
        <w:tc>
          <w:tcPr>
            <w:tcW w:w="3685" w:type="dxa"/>
            <w:gridSpan w:val="3"/>
            <w:tcBorders>
              <w:top w:val="single" w:color="auto" w:sz="4" w:space="0"/>
              <w:bottom w:val="single" w:color="auto" w:sz="4" w:space="0"/>
              <w:tl2br w:val="nil"/>
              <w:tr2bl w:val="nil"/>
            </w:tcBorders>
            <w:noWrap/>
            <w:vAlign w:val="center"/>
          </w:tcPr>
          <w:p w14:paraId="53737E60">
            <w:pPr>
              <w:pStyle w:val="64"/>
            </w:pPr>
            <w:r>
              <w:t>pH、水温、DO、COD、BOD</w:t>
            </w:r>
            <w:r>
              <w:rPr>
                <w:vertAlign w:val="subscript"/>
              </w:rPr>
              <w:t>5</w:t>
            </w:r>
            <w:r>
              <w:t>、氨氮、</w:t>
            </w:r>
            <w:r>
              <w:rPr>
                <w:rFonts w:hint="eastAsia"/>
              </w:rPr>
              <w:t>总磷、总氮、六价铬、铅、镍、砷、铜、锌、硫化物、氟化物、氰化物、石油类、阴离子表面活性剂</w:t>
            </w:r>
          </w:p>
        </w:tc>
        <w:tc>
          <w:tcPr>
            <w:tcW w:w="1705" w:type="dxa"/>
            <w:gridSpan w:val="2"/>
            <w:tcBorders>
              <w:top w:val="single" w:color="auto" w:sz="4" w:space="0"/>
              <w:bottom w:val="single" w:color="auto" w:sz="4" w:space="0"/>
              <w:right w:val="single" w:color="auto" w:sz="4" w:space="0"/>
              <w:tl2br w:val="nil"/>
              <w:tr2bl w:val="nil"/>
            </w:tcBorders>
            <w:noWrap/>
            <w:vAlign w:val="center"/>
          </w:tcPr>
          <w:p w14:paraId="10C3FD8C">
            <w:pPr>
              <w:pStyle w:val="64"/>
            </w:pPr>
            <w:r>
              <w:t>监测断面或点位个数</w:t>
            </w:r>
            <w:r>
              <w:rPr>
                <w:rFonts w:hint="eastAsia"/>
              </w:rPr>
              <w:t>8</w:t>
            </w:r>
            <w:r>
              <w:t>个</w:t>
            </w:r>
          </w:p>
        </w:tc>
      </w:tr>
      <w:tr w14:paraId="20A2D3E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86" w:type="dxa"/>
            <w:vMerge w:val="restart"/>
            <w:tcBorders>
              <w:top w:val="single" w:color="auto" w:sz="4" w:space="0"/>
              <w:left w:val="single" w:color="auto" w:sz="4" w:space="0"/>
              <w:bottom w:val="single" w:color="auto" w:sz="4" w:space="0"/>
              <w:tl2br w:val="nil"/>
              <w:tr2bl w:val="nil"/>
            </w:tcBorders>
            <w:noWrap/>
            <w:vAlign w:val="center"/>
          </w:tcPr>
          <w:p w14:paraId="164A3F1B">
            <w:pPr>
              <w:pStyle w:val="64"/>
            </w:pPr>
            <w:r>
              <w:t>现状评价</w:t>
            </w:r>
          </w:p>
        </w:tc>
        <w:tc>
          <w:tcPr>
            <w:tcW w:w="2533" w:type="dxa"/>
            <w:tcBorders>
              <w:top w:val="single" w:color="auto" w:sz="4" w:space="0"/>
              <w:bottom w:val="single" w:color="auto" w:sz="4" w:space="0"/>
              <w:tl2br w:val="nil"/>
              <w:tr2bl w:val="nil"/>
            </w:tcBorders>
            <w:noWrap/>
            <w:vAlign w:val="center"/>
          </w:tcPr>
          <w:p w14:paraId="3963A32F">
            <w:pPr>
              <w:pStyle w:val="64"/>
            </w:pPr>
            <w:r>
              <w:t>评价范围</w:t>
            </w:r>
          </w:p>
        </w:tc>
        <w:tc>
          <w:tcPr>
            <w:tcW w:w="11055" w:type="dxa"/>
            <w:gridSpan w:val="9"/>
            <w:tcBorders>
              <w:top w:val="single" w:color="auto" w:sz="4" w:space="0"/>
              <w:bottom w:val="single" w:color="auto" w:sz="4" w:space="0"/>
              <w:right w:val="single" w:color="auto" w:sz="4" w:space="0"/>
              <w:tl2br w:val="nil"/>
              <w:tr2bl w:val="nil"/>
            </w:tcBorders>
            <w:noWrap/>
            <w:vAlign w:val="center"/>
          </w:tcPr>
          <w:p w14:paraId="3E781AA4">
            <w:pPr>
              <w:pStyle w:val="64"/>
            </w:pPr>
            <w:r>
              <w:t>河流：长度( )km；湖库、河口及近岸海域：面积()km</w:t>
            </w:r>
            <w:r>
              <w:rPr>
                <w:vertAlign w:val="superscript"/>
              </w:rPr>
              <w:t>2</w:t>
            </w:r>
          </w:p>
        </w:tc>
      </w:tr>
      <w:tr w14:paraId="7B4F333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86" w:type="dxa"/>
            <w:vMerge w:val="continue"/>
            <w:tcBorders>
              <w:top w:val="single" w:color="auto" w:sz="4" w:space="0"/>
              <w:left w:val="single" w:color="auto" w:sz="4" w:space="0"/>
              <w:bottom w:val="single" w:color="auto" w:sz="4" w:space="0"/>
              <w:tl2br w:val="nil"/>
              <w:tr2bl w:val="nil"/>
            </w:tcBorders>
            <w:noWrap/>
            <w:vAlign w:val="center"/>
          </w:tcPr>
          <w:p w14:paraId="21A73176">
            <w:pPr>
              <w:pStyle w:val="64"/>
            </w:pPr>
          </w:p>
        </w:tc>
        <w:tc>
          <w:tcPr>
            <w:tcW w:w="2533" w:type="dxa"/>
            <w:tcBorders>
              <w:top w:val="single" w:color="auto" w:sz="4" w:space="0"/>
              <w:bottom w:val="single" w:color="auto" w:sz="4" w:space="0"/>
              <w:tl2br w:val="nil"/>
              <w:tr2bl w:val="nil"/>
            </w:tcBorders>
            <w:noWrap/>
            <w:vAlign w:val="center"/>
          </w:tcPr>
          <w:p w14:paraId="262143BA">
            <w:pPr>
              <w:pStyle w:val="64"/>
            </w:pPr>
            <w:r>
              <w:t>评价因子</w:t>
            </w:r>
          </w:p>
        </w:tc>
        <w:tc>
          <w:tcPr>
            <w:tcW w:w="11055" w:type="dxa"/>
            <w:gridSpan w:val="9"/>
            <w:tcBorders>
              <w:top w:val="single" w:color="auto" w:sz="4" w:space="0"/>
              <w:bottom w:val="single" w:color="auto" w:sz="4" w:space="0"/>
              <w:right w:val="single" w:color="auto" w:sz="4" w:space="0"/>
              <w:tl2br w:val="nil"/>
              <w:tr2bl w:val="nil"/>
            </w:tcBorders>
            <w:noWrap/>
            <w:vAlign w:val="center"/>
          </w:tcPr>
          <w:p w14:paraId="652FF176">
            <w:pPr>
              <w:pStyle w:val="64"/>
            </w:pPr>
            <w:r>
              <w:t>pH、水温、DO、COD、BOD</w:t>
            </w:r>
            <w:r>
              <w:rPr>
                <w:vertAlign w:val="subscript"/>
              </w:rPr>
              <w:t>5</w:t>
            </w:r>
            <w:r>
              <w:t>、氨氮、</w:t>
            </w:r>
            <w:r>
              <w:rPr>
                <w:rFonts w:hint="eastAsia"/>
              </w:rPr>
              <w:t>总磷、总氮、六价铬、铅、镍、砷、铜、锌、硫化物、氟化物、氰化物、石油类、阴离子表面活性剂</w:t>
            </w:r>
          </w:p>
        </w:tc>
      </w:tr>
      <w:tr w14:paraId="45B7A76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86" w:type="dxa"/>
            <w:vMerge w:val="continue"/>
            <w:tcBorders>
              <w:top w:val="single" w:color="auto" w:sz="4" w:space="0"/>
              <w:left w:val="single" w:color="auto" w:sz="4" w:space="0"/>
              <w:bottom w:val="single" w:color="auto" w:sz="4" w:space="0"/>
              <w:tl2br w:val="nil"/>
              <w:tr2bl w:val="nil"/>
            </w:tcBorders>
            <w:noWrap/>
            <w:vAlign w:val="center"/>
          </w:tcPr>
          <w:p w14:paraId="286D1F79">
            <w:pPr>
              <w:pStyle w:val="64"/>
            </w:pPr>
          </w:p>
        </w:tc>
        <w:tc>
          <w:tcPr>
            <w:tcW w:w="2533" w:type="dxa"/>
            <w:tcBorders>
              <w:top w:val="single" w:color="auto" w:sz="4" w:space="0"/>
              <w:bottom w:val="single" w:color="auto" w:sz="4" w:space="0"/>
              <w:tl2br w:val="nil"/>
              <w:tr2bl w:val="nil"/>
            </w:tcBorders>
            <w:noWrap/>
            <w:vAlign w:val="center"/>
          </w:tcPr>
          <w:p w14:paraId="7D5D31E8">
            <w:pPr>
              <w:pStyle w:val="64"/>
            </w:pPr>
            <w:r>
              <w:t>评价标准</w:t>
            </w:r>
          </w:p>
        </w:tc>
        <w:tc>
          <w:tcPr>
            <w:tcW w:w="11055" w:type="dxa"/>
            <w:gridSpan w:val="9"/>
            <w:tcBorders>
              <w:top w:val="single" w:color="auto" w:sz="4" w:space="0"/>
              <w:bottom w:val="single" w:color="auto" w:sz="4" w:space="0"/>
              <w:right w:val="single" w:color="auto" w:sz="4" w:space="0"/>
              <w:tl2br w:val="nil"/>
              <w:tr2bl w:val="nil"/>
            </w:tcBorders>
            <w:noWrap/>
            <w:vAlign w:val="center"/>
          </w:tcPr>
          <w:p w14:paraId="7B508006">
            <w:pPr>
              <w:pStyle w:val="64"/>
            </w:pPr>
            <w:r>
              <w:t>河流、湖库、河口：I类</w:t>
            </w:r>
            <w:r>
              <w:rPr/>
              <w:sym w:font="Wingdings" w:char="00A8"/>
            </w:r>
            <w:r>
              <w:t>；II类</w:t>
            </w:r>
            <w:r>
              <w:rPr/>
              <w:sym w:font="Wingdings" w:char="00A8"/>
            </w:r>
            <w:r>
              <w:t>；III类</w:t>
            </w:r>
            <w:r>
              <w:rPr/>
              <w:sym w:font="Wingdings" w:char="00FE"/>
            </w:r>
            <w:r>
              <w:t>；IV类</w:t>
            </w:r>
            <w:r>
              <w:rPr/>
              <w:sym w:font="Wingdings" w:char="00A8"/>
            </w:r>
            <w:r>
              <w:t>；V类</w:t>
            </w:r>
            <w:r>
              <w:rPr/>
              <w:sym w:font="Wingdings" w:char="00A8"/>
            </w:r>
          </w:p>
          <w:p w14:paraId="5A4C5200">
            <w:pPr>
              <w:pStyle w:val="64"/>
            </w:pPr>
            <w:r>
              <w:t>近岸海域：第一类</w:t>
            </w:r>
            <w:r>
              <w:rPr/>
              <w:sym w:font="Wingdings" w:char="00A8"/>
            </w:r>
            <w:r>
              <w:t>；第二类</w:t>
            </w:r>
            <w:r>
              <w:rPr/>
              <w:sym w:font="Wingdings" w:char="00A8"/>
            </w:r>
            <w:r>
              <w:t>；第三类</w:t>
            </w:r>
            <w:r>
              <w:rPr/>
              <w:sym w:font="Wingdings" w:char="00A8"/>
            </w:r>
            <w:r>
              <w:t>；第四类</w:t>
            </w:r>
            <w:r>
              <w:rPr/>
              <w:sym w:font="Wingdings" w:char="00A8"/>
            </w:r>
          </w:p>
          <w:p w14:paraId="3CF2B287">
            <w:pPr>
              <w:pStyle w:val="64"/>
            </w:pPr>
            <w:r>
              <w:t>规划年评价标准()</w:t>
            </w:r>
          </w:p>
        </w:tc>
      </w:tr>
      <w:tr w14:paraId="5BBCC0B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86" w:type="dxa"/>
            <w:vMerge w:val="continue"/>
            <w:tcBorders>
              <w:top w:val="single" w:color="auto" w:sz="4" w:space="0"/>
              <w:left w:val="single" w:color="auto" w:sz="4" w:space="0"/>
              <w:bottom w:val="single" w:color="auto" w:sz="4" w:space="0"/>
              <w:tl2br w:val="nil"/>
              <w:tr2bl w:val="nil"/>
            </w:tcBorders>
            <w:noWrap/>
            <w:vAlign w:val="center"/>
          </w:tcPr>
          <w:p w14:paraId="319EFE41">
            <w:pPr>
              <w:pStyle w:val="64"/>
            </w:pPr>
          </w:p>
        </w:tc>
        <w:tc>
          <w:tcPr>
            <w:tcW w:w="2533" w:type="dxa"/>
            <w:tcBorders>
              <w:top w:val="single" w:color="auto" w:sz="4" w:space="0"/>
              <w:bottom w:val="single" w:color="auto" w:sz="4" w:space="0"/>
              <w:tl2br w:val="nil"/>
              <w:tr2bl w:val="nil"/>
            </w:tcBorders>
            <w:noWrap/>
            <w:vAlign w:val="center"/>
          </w:tcPr>
          <w:p w14:paraId="3B8CCE8B">
            <w:pPr>
              <w:pStyle w:val="64"/>
            </w:pPr>
            <w:r>
              <w:t>评价时期</w:t>
            </w:r>
          </w:p>
        </w:tc>
        <w:tc>
          <w:tcPr>
            <w:tcW w:w="11055" w:type="dxa"/>
            <w:gridSpan w:val="9"/>
            <w:tcBorders>
              <w:top w:val="single" w:color="auto" w:sz="4" w:space="0"/>
              <w:bottom w:val="single" w:color="auto" w:sz="4" w:space="0"/>
              <w:right w:val="single" w:color="auto" w:sz="4" w:space="0"/>
              <w:tl2br w:val="nil"/>
              <w:tr2bl w:val="nil"/>
            </w:tcBorders>
            <w:noWrap/>
            <w:vAlign w:val="center"/>
          </w:tcPr>
          <w:p w14:paraId="23DC768D">
            <w:pPr>
              <w:pStyle w:val="64"/>
            </w:pPr>
            <w:r>
              <w:t>丰水期</w:t>
            </w:r>
            <w:r>
              <w:rPr/>
              <w:sym w:font="Wingdings" w:char="00A8"/>
            </w:r>
            <w:r>
              <w:t>；平水期</w:t>
            </w:r>
            <w:r>
              <w:rPr/>
              <w:sym w:font="Wingdings" w:char="00A8"/>
            </w:r>
            <w:r>
              <w:t>；枯水期</w:t>
            </w:r>
            <w:r>
              <w:rPr/>
              <w:sym w:font="Wingdings" w:char="00FE"/>
            </w:r>
            <w:r>
              <w:t>；冰封期</w:t>
            </w:r>
            <w:r>
              <w:rPr/>
              <w:sym w:font="Wingdings" w:char="00A8"/>
            </w:r>
            <w:r>
              <w:rPr>
                <w:rFonts w:hint="eastAsia"/>
              </w:rPr>
              <w:t>；</w:t>
            </w:r>
            <w:r>
              <w:t>春季</w:t>
            </w:r>
            <w:r>
              <w:rPr/>
              <w:sym w:font="Wingdings" w:char="00A8"/>
            </w:r>
            <w:r>
              <w:t>；夏季</w:t>
            </w:r>
            <w:r>
              <w:rPr/>
              <w:sym w:font="Wingdings" w:char="00A8"/>
            </w:r>
            <w:r>
              <w:t>；秋季</w:t>
            </w:r>
            <w:r>
              <w:rPr/>
              <w:sym w:font="Wingdings" w:char="00A8"/>
            </w:r>
            <w:r>
              <w:t>；冬季</w:t>
            </w:r>
            <w:r>
              <w:rPr/>
              <w:sym w:font="Wingdings" w:char="00FE"/>
            </w:r>
          </w:p>
        </w:tc>
      </w:tr>
      <w:tr w14:paraId="209B18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86" w:type="dxa"/>
            <w:vMerge w:val="continue"/>
            <w:tcBorders>
              <w:top w:val="single" w:color="auto" w:sz="4" w:space="0"/>
              <w:left w:val="single" w:color="auto" w:sz="4" w:space="0"/>
              <w:bottom w:val="single" w:color="auto" w:sz="4" w:space="0"/>
              <w:tl2br w:val="nil"/>
              <w:tr2bl w:val="nil"/>
            </w:tcBorders>
            <w:noWrap/>
            <w:vAlign w:val="center"/>
          </w:tcPr>
          <w:p w14:paraId="7339D683">
            <w:pPr>
              <w:pStyle w:val="64"/>
            </w:pPr>
          </w:p>
        </w:tc>
        <w:tc>
          <w:tcPr>
            <w:tcW w:w="2533" w:type="dxa"/>
            <w:tcBorders>
              <w:top w:val="single" w:color="auto" w:sz="4" w:space="0"/>
              <w:bottom w:val="single" w:color="auto" w:sz="4" w:space="0"/>
              <w:tl2br w:val="nil"/>
              <w:tr2bl w:val="nil"/>
            </w:tcBorders>
            <w:noWrap/>
            <w:vAlign w:val="center"/>
          </w:tcPr>
          <w:p w14:paraId="0CE75BF9">
            <w:pPr>
              <w:pStyle w:val="64"/>
            </w:pPr>
            <w:r>
              <w:t>评价结论</w:t>
            </w:r>
          </w:p>
        </w:tc>
        <w:tc>
          <w:tcPr>
            <w:tcW w:w="9422" w:type="dxa"/>
            <w:gridSpan w:val="8"/>
            <w:tcBorders>
              <w:top w:val="single" w:color="auto" w:sz="4" w:space="0"/>
              <w:bottom w:val="single" w:color="auto" w:sz="4" w:space="0"/>
              <w:tl2br w:val="nil"/>
              <w:tr2bl w:val="nil"/>
            </w:tcBorders>
            <w:noWrap/>
            <w:vAlign w:val="center"/>
          </w:tcPr>
          <w:p w14:paraId="22C02704">
            <w:pPr>
              <w:pStyle w:val="64"/>
            </w:pPr>
            <w:r>
              <w:t>水环境功能区或水功能区、近岸海域环境功能区水质达标状况</w:t>
            </w:r>
            <w:r>
              <w:rPr/>
              <w:sym w:font="Wingdings" w:char="00A8"/>
            </w:r>
            <w:r>
              <w:t>：达标</w:t>
            </w:r>
            <w:r>
              <w:rPr/>
              <w:sym w:font="Wingdings" w:char="00FE"/>
            </w:r>
            <w:r>
              <w:t>；不达标</w:t>
            </w:r>
            <w:r>
              <w:rPr/>
              <w:sym w:font="Wingdings" w:char="00A8"/>
            </w:r>
          </w:p>
          <w:p w14:paraId="40A589D6">
            <w:pPr>
              <w:pStyle w:val="64"/>
            </w:pPr>
            <w:r>
              <w:t>水环境控制单元或断面水质达标状况</w:t>
            </w:r>
            <w:r>
              <w:rPr/>
              <w:sym w:font="Wingdings" w:char="00A8"/>
            </w:r>
            <w:r>
              <w:t>：达标</w:t>
            </w:r>
            <w:r>
              <w:rPr/>
              <w:sym w:font="Wingdings" w:char="00FE"/>
            </w:r>
            <w:r>
              <w:t>；不达标</w:t>
            </w:r>
            <w:r>
              <w:rPr/>
              <w:sym w:font="Wingdings" w:char="00A8"/>
            </w:r>
          </w:p>
          <w:p w14:paraId="29A5B83A">
            <w:pPr>
              <w:pStyle w:val="64"/>
            </w:pPr>
            <w:r>
              <w:t>水环境保护目标质量状况</w:t>
            </w:r>
            <w:r>
              <w:rPr/>
              <w:sym w:font="Wingdings" w:char="00A8"/>
            </w:r>
            <w:r>
              <w:t>：达标</w:t>
            </w:r>
            <w:r>
              <w:rPr/>
              <w:sym w:font="Wingdings" w:char="00FE"/>
            </w:r>
            <w:r>
              <w:t>；不达标</w:t>
            </w:r>
            <w:r>
              <w:rPr/>
              <w:sym w:font="Wingdings" w:char="00A8"/>
            </w:r>
          </w:p>
          <w:p w14:paraId="5599489C">
            <w:pPr>
              <w:pStyle w:val="64"/>
            </w:pPr>
            <w:r>
              <w:t>对照断面、控制断面等代表性断面的水质状况</w:t>
            </w:r>
            <w:r>
              <w:rPr/>
              <w:sym w:font="Wingdings" w:char="00A8"/>
            </w:r>
            <w:r>
              <w:t>：达标</w:t>
            </w:r>
            <w:r>
              <w:rPr/>
              <w:sym w:font="Wingdings" w:char="00FE"/>
            </w:r>
            <w:r>
              <w:t>；不达标</w:t>
            </w:r>
            <w:r>
              <w:rPr/>
              <w:sym w:font="Wingdings" w:char="00A8"/>
            </w:r>
          </w:p>
          <w:p w14:paraId="748363B5">
            <w:pPr>
              <w:pStyle w:val="64"/>
            </w:pPr>
            <w:r>
              <w:t>底泥污染评价</w:t>
            </w:r>
            <w:r>
              <w:rPr/>
              <w:sym w:font="Wingdings" w:char="00A8"/>
            </w:r>
          </w:p>
          <w:p w14:paraId="6F950B31">
            <w:pPr>
              <w:pStyle w:val="64"/>
            </w:pPr>
            <w:r>
              <w:t>水资源与开发利用程度及其水文情势评价</w:t>
            </w:r>
            <w:r>
              <w:rPr/>
              <w:sym w:font="Wingdings" w:char="00A8"/>
            </w:r>
          </w:p>
          <w:p w14:paraId="43DB3B21">
            <w:pPr>
              <w:pStyle w:val="64"/>
            </w:pPr>
            <w:r>
              <w:t>水环境质量回顾性评价</w:t>
            </w:r>
            <w:r>
              <w:rPr/>
              <w:sym w:font="Wingdings" w:char="00A8"/>
            </w:r>
          </w:p>
          <w:p w14:paraId="4C784338">
            <w:pPr>
              <w:pStyle w:val="64"/>
            </w:pPr>
            <w:r>
              <w:t>流域(区域)水资源(包括水能资源)与开发利用总体状况、生态流量管理要求与现状满足程度、建设项目占用水域的水流状况与河湖演变状况</w:t>
            </w:r>
            <w:r>
              <w:rPr/>
              <w:sym w:font="Wingdings" w:char="00A8"/>
            </w:r>
          </w:p>
        </w:tc>
        <w:tc>
          <w:tcPr>
            <w:tcW w:w="1633" w:type="dxa"/>
            <w:tcBorders>
              <w:top w:val="single" w:color="auto" w:sz="4" w:space="0"/>
              <w:bottom w:val="single" w:color="auto" w:sz="4" w:space="0"/>
              <w:right w:val="single" w:color="auto" w:sz="4" w:space="0"/>
              <w:tl2br w:val="nil"/>
              <w:tr2bl w:val="nil"/>
            </w:tcBorders>
            <w:noWrap/>
            <w:vAlign w:val="center"/>
          </w:tcPr>
          <w:p w14:paraId="3CB79A34">
            <w:pPr>
              <w:pStyle w:val="64"/>
            </w:pPr>
            <w:r>
              <w:t>达标区</w:t>
            </w:r>
            <w:r>
              <w:rPr/>
              <w:sym w:font="Wingdings" w:char="00FE"/>
            </w:r>
          </w:p>
          <w:p w14:paraId="6AA39514">
            <w:pPr>
              <w:pStyle w:val="64"/>
            </w:pPr>
            <w:r>
              <w:t>不达标区</w:t>
            </w:r>
            <w:r>
              <w:rPr/>
              <w:sym w:font="Wingdings" w:char="00A8"/>
            </w:r>
          </w:p>
        </w:tc>
      </w:tr>
      <w:tr w14:paraId="6ED5D3F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86" w:type="dxa"/>
            <w:vMerge w:val="restart"/>
            <w:tcBorders>
              <w:top w:val="single" w:color="auto" w:sz="4" w:space="0"/>
              <w:left w:val="single" w:color="auto" w:sz="4" w:space="0"/>
              <w:bottom w:val="single" w:color="auto" w:sz="4" w:space="0"/>
              <w:tl2br w:val="nil"/>
              <w:tr2bl w:val="nil"/>
            </w:tcBorders>
            <w:noWrap/>
            <w:vAlign w:val="center"/>
          </w:tcPr>
          <w:p w14:paraId="7905DB1A">
            <w:pPr>
              <w:pStyle w:val="64"/>
            </w:pPr>
            <w:r>
              <w:t>影响预测</w:t>
            </w:r>
          </w:p>
        </w:tc>
        <w:tc>
          <w:tcPr>
            <w:tcW w:w="2533" w:type="dxa"/>
            <w:tcBorders>
              <w:top w:val="single" w:color="auto" w:sz="4" w:space="0"/>
              <w:bottom w:val="single" w:color="auto" w:sz="4" w:space="0"/>
              <w:tl2br w:val="nil"/>
              <w:tr2bl w:val="nil"/>
            </w:tcBorders>
            <w:noWrap/>
            <w:vAlign w:val="center"/>
          </w:tcPr>
          <w:p w14:paraId="70B360CA">
            <w:pPr>
              <w:pStyle w:val="64"/>
            </w:pPr>
            <w:r>
              <w:t>预测范围</w:t>
            </w:r>
          </w:p>
        </w:tc>
        <w:tc>
          <w:tcPr>
            <w:tcW w:w="11055" w:type="dxa"/>
            <w:gridSpan w:val="9"/>
            <w:tcBorders>
              <w:top w:val="single" w:color="auto" w:sz="4" w:space="0"/>
              <w:bottom w:val="single" w:color="auto" w:sz="4" w:space="0"/>
              <w:right w:val="single" w:color="auto" w:sz="4" w:space="0"/>
              <w:tl2br w:val="nil"/>
              <w:tr2bl w:val="nil"/>
            </w:tcBorders>
            <w:noWrap/>
            <w:vAlign w:val="center"/>
          </w:tcPr>
          <w:p w14:paraId="2C951866">
            <w:pPr>
              <w:pStyle w:val="64"/>
            </w:pPr>
            <w:r>
              <w:t>河流：长度()km；湖库、河口及近岸海域：面积()km</w:t>
            </w:r>
            <w:r>
              <w:rPr>
                <w:vertAlign w:val="superscript"/>
              </w:rPr>
              <w:t>2</w:t>
            </w:r>
          </w:p>
        </w:tc>
      </w:tr>
      <w:tr w14:paraId="69DD94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86" w:type="dxa"/>
            <w:vMerge w:val="continue"/>
            <w:tcBorders>
              <w:top w:val="single" w:color="auto" w:sz="4" w:space="0"/>
              <w:left w:val="single" w:color="auto" w:sz="4" w:space="0"/>
              <w:bottom w:val="single" w:color="auto" w:sz="4" w:space="0"/>
              <w:tl2br w:val="nil"/>
              <w:tr2bl w:val="nil"/>
            </w:tcBorders>
            <w:noWrap/>
            <w:vAlign w:val="center"/>
          </w:tcPr>
          <w:p w14:paraId="1C32E0C4">
            <w:pPr>
              <w:pStyle w:val="64"/>
            </w:pPr>
          </w:p>
        </w:tc>
        <w:tc>
          <w:tcPr>
            <w:tcW w:w="2533" w:type="dxa"/>
            <w:tcBorders>
              <w:top w:val="single" w:color="auto" w:sz="4" w:space="0"/>
              <w:bottom w:val="single" w:color="auto" w:sz="4" w:space="0"/>
              <w:tl2br w:val="nil"/>
              <w:tr2bl w:val="nil"/>
            </w:tcBorders>
            <w:noWrap/>
            <w:vAlign w:val="center"/>
          </w:tcPr>
          <w:p w14:paraId="66E56DE2">
            <w:pPr>
              <w:pStyle w:val="64"/>
            </w:pPr>
            <w:r>
              <w:t>预测因子</w:t>
            </w:r>
          </w:p>
        </w:tc>
        <w:tc>
          <w:tcPr>
            <w:tcW w:w="11055" w:type="dxa"/>
            <w:gridSpan w:val="9"/>
            <w:tcBorders>
              <w:top w:val="single" w:color="auto" w:sz="4" w:space="0"/>
              <w:bottom w:val="single" w:color="auto" w:sz="4" w:space="0"/>
              <w:right w:val="single" w:color="auto" w:sz="4" w:space="0"/>
              <w:tl2br w:val="nil"/>
              <w:tr2bl w:val="nil"/>
            </w:tcBorders>
            <w:noWrap/>
            <w:vAlign w:val="center"/>
          </w:tcPr>
          <w:p w14:paraId="0AB5572A">
            <w:pPr>
              <w:pStyle w:val="64"/>
            </w:pPr>
            <w:r>
              <w:t>()</w:t>
            </w:r>
          </w:p>
        </w:tc>
      </w:tr>
      <w:tr w14:paraId="19AB910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86" w:type="dxa"/>
            <w:vMerge w:val="continue"/>
            <w:tcBorders>
              <w:top w:val="single" w:color="auto" w:sz="4" w:space="0"/>
              <w:left w:val="single" w:color="auto" w:sz="4" w:space="0"/>
              <w:bottom w:val="single" w:color="auto" w:sz="4" w:space="0"/>
              <w:tl2br w:val="nil"/>
              <w:tr2bl w:val="nil"/>
            </w:tcBorders>
            <w:noWrap/>
            <w:vAlign w:val="center"/>
          </w:tcPr>
          <w:p w14:paraId="74965C05">
            <w:pPr>
              <w:pStyle w:val="64"/>
            </w:pPr>
          </w:p>
        </w:tc>
        <w:tc>
          <w:tcPr>
            <w:tcW w:w="2533" w:type="dxa"/>
            <w:tcBorders>
              <w:top w:val="single" w:color="auto" w:sz="4" w:space="0"/>
              <w:bottom w:val="single" w:color="auto" w:sz="4" w:space="0"/>
              <w:tl2br w:val="nil"/>
              <w:tr2bl w:val="nil"/>
            </w:tcBorders>
            <w:noWrap/>
            <w:vAlign w:val="center"/>
          </w:tcPr>
          <w:p w14:paraId="47551923">
            <w:pPr>
              <w:pStyle w:val="64"/>
            </w:pPr>
            <w:r>
              <w:t>预测时期</w:t>
            </w:r>
          </w:p>
        </w:tc>
        <w:tc>
          <w:tcPr>
            <w:tcW w:w="11055" w:type="dxa"/>
            <w:gridSpan w:val="9"/>
            <w:tcBorders>
              <w:top w:val="single" w:color="auto" w:sz="4" w:space="0"/>
              <w:bottom w:val="single" w:color="auto" w:sz="4" w:space="0"/>
              <w:right w:val="single" w:color="auto" w:sz="4" w:space="0"/>
              <w:tl2br w:val="nil"/>
              <w:tr2bl w:val="nil"/>
            </w:tcBorders>
            <w:noWrap/>
            <w:vAlign w:val="center"/>
          </w:tcPr>
          <w:p w14:paraId="26B22E28">
            <w:pPr>
              <w:pStyle w:val="64"/>
            </w:pPr>
            <w:r>
              <w:t>丰水期</w:t>
            </w:r>
            <w:r>
              <w:rPr/>
              <w:sym w:font="Wingdings" w:char="00A8"/>
            </w:r>
            <w:r>
              <w:t>；平水期</w:t>
            </w:r>
            <w:r>
              <w:rPr/>
              <w:sym w:font="Wingdings" w:char="00A8"/>
            </w:r>
            <w:r>
              <w:t>；枯水期</w:t>
            </w:r>
            <w:r>
              <w:rPr/>
              <w:sym w:font="Wingdings" w:char="00A8"/>
            </w:r>
            <w:r>
              <w:t>；冰封期</w:t>
            </w:r>
            <w:r>
              <w:rPr/>
              <w:sym w:font="Wingdings" w:char="00A8"/>
            </w:r>
          </w:p>
          <w:p w14:paraId="1CA1713A">
            <w:pPr>
              <w:pStyle w:val="64"/>
            </w:pPr>
            <w:r>
              <w:t>春季</w:t>
            </w:r>
            <w:r>
              <w:rPr/>
              <w:sym w:font="Wingdings" w:char="00A8"/>
            </w:r>
            <w:r>
              <w:t>；夏季</w:t>
            </w:r>
            <w:r>
              <w:rPr/>
              <w:sym w:font="Wingdings" w:char="00A8"/>
            </w:r>
            <w:r>
              <w:t>；秋季</w:t>
            </w:r>
            <w:r>
              <w:rPr/>
              <w:sym w:font="Wingdings" w:char="00A8"/>
            </w:r>
            <w:r>
              <w:t>；冬季</w:t>
            </w:r>
            <w:r>
              <w:rPr/>
              <w:sym w:font="Wingdings" w:char="00A8"/>
            </w:r>
          </w:p>
          <w:p w14:paraId="7881767D">
            <w:pPr>
              <w:pStyle w:val="64"/>
            </w:pPr>
            <w:r>
              <w:t>设计水文条件</w:t>
            </w:r>
            <w:r>
              <w:rPr/>
              <w:sym w:font="Wingdings" w:char="00A8"/>
            </w:r>
          </w:p>
        </w:tc>
      </w:tr>
      <w:tr w14:paraId="24E08C2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86" w:type="dxa"/>
            <w:vMerge w:val="continue"/>
            <w:tcBorders>
              <w:top w:val="single" w:color="auto" w:sz="4" w:space="0"/>
              <w:left w:val="single" w:color="auto" w:sz="4" w:space="0"/>
              <w:bottom w:val="single" w:color="auto" w:sz="4" w:space="0"/>
              <w:tl2br w:val="nil"/>
              <w:tr2bl w:val="nil"/>
            </w:tcBorders>
            <w:noWrap/>
            <w:vAlign w:val="center"/>
          </w:tcPr>
          <w:p w14:paraId="65E65C94">
            <w:pPr>
              <w:pStyle w:val="64"/>
            </w:pPr>
          </w:p>
        </w:tc>
        <w:tc>
          <w:tcPr>
            <w:tcW w:w="2533" w:type="dxa"/>
            <w:tcBorders>
              <w:top w:val="single" w:color="auto" w:sz="4" w:space="0"/>
              <w:bottom w:val="single" w:color="auto" w:sz="4" w:space="0"/>
              <w:tl2br w:val="nil"/>
              <w:tr2bl w:val="nil"/>
            </w:tcBorders>
            <w:noWrap/>
            <w:vAlign w:val="center"/>
          </w:tcPr>
          <w:p w14:paraId="517A80B7">
            <w:pPr>
              <w:pStyle w:val="64"/>
            </w:pPr>
            <w:r>
              <w:t>预测情景</w:t>
            </w:r>
          </w:p>
        </w:tc>
        <w:tc>
          <w:tcPr>
            <w:tcW w:w="11055" w:type="dxa"/>
            <w:gridSpan w:val="9"/>
            <w:tcBorders>
              <w:top w:val="single" w:color="auto" w:sz="4" w:space="0"/>
              <w:bottom w:val="single" w:color="auto" w:sz="4" w:space="0"/>
              <w:right w:val="single" w:color="auto" w:sz="4" w:space="0"/>
              <w:tl2br w:val="nil"/>
              <w:tr2bl w:val="nil"/>
            </w:tcBorders>
            <w:noWrap/>
            <w:vAlign w:val="center"/>
          </w:tcPr>
          <w:p w14:paraId="63A8DC59">
            <w:pPr>
              <w:pStyle w:val="64"/>
            </w:pPr>
            <w:r>
              <w:t>建设期</w:t>
            </w:r>
            <w:r>
              <w:rPr/>
              <w:sym w:font="Wingdings" w:char="00A8"/>
            </w:r>
            <w:r>
              <w:t>；生产运行期</w:t>
            </w:r>
            <w:r>
              <w:rPr/>
              <w:sym w:font="Wingdings" w:char="00A8"/>
            </w:r>
            <w:r>
              <w:t>；服务期满后</w:t>
            </w:r>
            <w:r>
              <w:rPr/>
              <w:sym w:font="Wingdings" w:char="00A8"/>
            </w:r>
          </w:p>
          <w:p w14:paraId="601A2370">
            <w:pPr>
              <w:pStyle w:val="64"/>
            </w:pPr>
            <w:r>
              <w:t>正常工况</w:t>
            </w:r>
            <w:r>
              <w:rPr/>
              <w:sym w:font="Wingdings" w:char="00A8"/>
            </w:r>
            <w:r>
              <w:t>；非正常工况</w:t>
            </w:r>
            <w:r>
              <w:rPr/>
              <w:sym w:font="Wingdings" w:char="00A8"/>
            </w:r>
          </w:p>
          <w:p w14:paraId="65CE691C">
            <w:pPr>
              <w:pStyle w:val="64"/>
            </w:pPr>
            <w:r>
              <w:t>污染控制和减缓措施方案</w:t>
            </w:r>
            <w:r>
              <w:rPr/>
              <w:sym w:font="Wingdings" w:char="00A8"/>
            </w:r>
          </w:p>
          <w:p w14:paraId="3AA346D1">
            <w:pPr>
              <w:pStyle w:val="64"/>
            </w:pPr>
            <w:r>
              <w:t>区(流)域环境质量改善目标要求情景</w:t>
            </w:r>
            <w:r>
              <w:rPr/>
              <w:sym w:font="Wingdings" w:char="00A8"/>
            </w:r>
          </w:p>
        </w:tc>
      </w:tr>
      <w:tr w14:paraId="40BAAE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86" w:type="dxa"/>
            <w:vMerge w:val="continue"/>
            <w:tcBorders>
              <w:top w:val="single" w:color="auto" w:sz="4" w:space="0"/>
              <w:left w:val="single" w:color="auto" w:sz="4" w:space="0"/>
              <w:bottom w:val="single" w:color="auto" w:sz="4" w:space="0"/>
              <w:tl2br w:val="nil"/>
              <w:tr2bl w:val="nil"/>
            </w:tcBorders>
            <w:noWrap/>
            <w:vAlign w:val="center"/>
          </w:tcPr>
          <w:p w14:paraId="556C9D69">
            <w:pPr>
              <w:pStyle w:val="64"/>
            </w:pPr>
          </w:p>
        </w:tc>
        <w:tc>
          <w:tcPr>
            <w:tcW w:w="2533" w:type="dxa"/>
            <w:tcBorders>
              <w:top w:val="single" w:color="auto" w:sz="4" w:space="0"/>
              <w:bottom w:val="single" w:color="auto" w:sz="4" w:space="0"/>
              <w:tl2br w:val="nil"/>
              <w:tr2bl w:val="nil"/>
            </w:tcBorders>
            <w:noWrap/>
            <w:vAlign w:val="center"/>
          </w:tcPr>
          <w:p w14:paraId="42DFB3AA">
            <w:pPr>
              <w:pStyle w:val="64"/>
            </w:pPr>
            <w:r>
              <w:t>预测方法</w:t>
            </w:r>
          </w:p>
        </w:tc>
        <w:tc>
          <w:tcPr>
            <w:tcW w:w="11055" w:type="dxa"/>
            <w:gridSpan w:val="9"/>
            <w:tcBorders>
              <w:top w:val="single" w:color="auto" w:sz="4" w:space="0"/>
              <w:bottom w:val="single" w:color="auto" w:sz="4" w:space="0"/>
              <w:right w:val="single" w:color="auto" w:sz="4" w:space="0"/>
              <w:tl2br w:val="nil"/>
              <w:tr2bl w:val="nil"/>
            </w:tcBorders>
            <w:noWrap/>
            <w:vAlign w:val="center"/>
          </w:tcPr>
          <w:p w14:paraId="1AFC5787">
            <w:pPr>
              <w:pStyle w:val="64"/>
            </w:pPr>
            <w:r>
              <w:t>数值解</w:t>
            </w:r>
            <w:r>
              <w:rPr/>
              <w:sym w:font="Wingdings" w:char="00A8"/>
            </w:r>
            <w:r>
              <w:t>；解析解</w:t>
            </w:r>
            <w:r>
              <w:rPr/>
              <w:sym w:font="Wingdings" w:char="00A8"/>
            </w:r>
            <w:r>
              <w:t>；其他</w:t>
            </w:r>
            <w:r>
              <w:rPr/>
              <w:sym w:font="Wingdings" w:char="00A8"/>
            </w:r>
          </w:p>
          <w:p w14:paraId="5DB6968E">
            <w:pPr>
              <w:pStyle w:val="64"/>
            </w:pPr>
            <w:r>
              <w:t>导则推荐模式</w:t>
            </w:r>
            <w:r>
              <w:rPr/>
              <w:sym w:font="Wingdings" w:char="00A8"/>
            </w:r>
            <w:r>
              <w:t>；其他</w:t>
            </w:r>
            <w:r>
              <w:rPr/>
              <w:sym w:font="Wingdings" w:char="00A8"/>
            </w:r>
          </w:p>
        </w:tc>
      </w:tr>
      <w:tr w14:paraId="1F3E6A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86" w:type="dxa"/>
            <w:vMerge w:val="restart"/>
            <w:tcBorders>
              <w:top w:val="single" w:color="auto" w:sz="4" w:space="0"/>
              <w:left w:val="single" w:color="auto" w:sz="4" w:space="0"/>
              <w:bottom w:val="single" w:color="auto" w:sz="4" w:space="0"/>
              <w:tl2br w:val="nil"/>
              <w:tr2bl w:val="nil"/>
            </w:tcBorders>
            <w:noWrap/>
            <w:vAlign w:val="center"/>
          </w:tcPr>
          <w:p w14:paraId="54C4B046">
            <w:pPr>
              <w:pStyle w:val="64"/>
            </w:pPr>
            <w:r>
              <w:t>影响评价</w:t>
            </w:r>
          </w:p>
        </w:tc>
        <w:tc>
          <w:tcPr>
            <w:tcW w:w="2533" w:type="dxa"/>
            <w:tcBorders>
              <w:top w:val="single" w:color="auto" w:sz="4" w:space="0"/>
              <w:bottom w:val="single" w:color="auto" w:sz="4" w:space="0"/>
              <w:tl2br w:val="nil"/>
              <w:tr2bl w:val="nil"/>
            </w:tcBorders>
            <w:noWrap/>
            <w:vAlign w:val="center"/>
          </w:tcPr>
          <w:p w14:paraId="18AB567B">
            <w:pPr>
              <w:pStyle w:val="64"/>
            </w:pPr>
            <w:r>
              <w:t>水污染控制和水环境影响减缓措施有效性评价</w:t>
            </w:r>
          </w:p>
        </w:tc>
        <w:tc>
          <w:tcPr>
            <w:tcW w:w="11055" w:type="dxa"/>
            <w:gridSpan w:val="9"/>
            <w:tcBorders>
              <w:top w:val="single" w:color="auto" w:sz="4" w:space="0"/>
              <w:bottom w:val="single" w:color="auto" w:sz="4" w:space="0"/>
              <w:right w:val="single" w:color="auto" w:sz="4" w:space="0"/>
              <w:tl2br w:val="nil"/>
              <w:tr2bl w:val="nil"/>
            </w:tcBorders>
            <w:noWrap/>
            <w:vAlign w:val="center"/>
          </w:tcPr>
          <w:p w14:paraId="0021797D">
            <w:pPr>
              <w:pStyle w:val="64"/>
            </w:pPr>
            <w:r>
              <w:t>区(流)域水环境质量改善目标</w:t>
            </w:r>
            <w:r>
              <w:rPr/>
              <w:sym w:font="Wingdings" w:char="00A8"/>
            </w:r>
            <w:r>
              <w:t>；替代削减源</w:t>
            </w:r>
            <w:r>
              <w:rPr/>
              <w:sym w:font="Wingdings" w:char="00A8"/>
            </w:r>
          </w:p>
        </w:tc>
      </w:tr>
      <w:tr w14:paraId="259224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86" w:type="dxa"/>
            <w:vMerge w:val="continue"/>
            <w:tcBorders>
              <w:top w:val="single" w:color="auto" w:sz="4" w:space="0"/>
              <w:left w:val="single" w:color="auto" w:sz="4" w:space="0"/>
              <w:bottom w:val="single" w:color="auto" w:sz="4" w:space="0"/>
              <w:tl2br w:val="nil"/>
              <w:tr2bl w:val="nil"/>
            </w:tcBorders>
            <w:noWrap/>
            <w:vAlign w:val="center"/>
          </w:tcPr>
          <w:p w14:paraId="3896211D">
            <w:pPr>
              <w:pStyle w:val="64"/>
            </w:pPr>
          </w:p>
        </w:tc>
        <w:tc>
          <w:tcPr>
            <w:tcW w:w="2533" w:type="dxa"/>
            <w:tcBorders>
              <w:top w:val="single" w:color="auto" w:sz="4" w:space="0"/>
              <w:bottom w:val="single" w:color="auto" w:sz="4" w:space="0"/>
              <w:tl2br w:val="nil"/>
              <w:tr2bl w:val="nil"/>
            </w:tcBorders>
            <w:noWrap/>
            <w:vAlign w:val="center"/>
          </w:tcPr>
          <w:p w14:paraId="72811752">
            <w:pPr>
              <w:pStyle w:val="64"/>
            </w:pPr>
            <w:r>
              <w:t>水环境影响评价</w:t>
            </w:r>
          </w:p>
        </w:tc>
        <w:tc>
          <w:tcPr>
            <w:tcW w:w="11055" w:type="dxa"/>
            <w:gridSpan w:val="9"/>
            <w:tcBorders>
              <w:top w:val="single" w:color="auto" w:sz="4" w:space="0"/>
              <w:bottom w:val="single" w:color="auto" w:sz="4" w:space="0"/>
              <w:right w:val="single" w:color="auto" w:sz="4" w:space="0"/>
              <w:tl2br w:val="nil"/>
              <w:tr2bl w:val="nil"/>
            </w:tcBorders>
            <w:noWrap/>
            <w:vAlign w:val="center"/>
          </w:tcPr>
          <w:p w14:paraId="5D68910F">
            <w:pPr>
              <w:pStyle w:val="64"/>
            </w:pPr>
            <w:r>
              <w:t>排放口混合区外满足水环境管理要求</w:t>
            </w:r>
            <w:r>
              <w:rPr/>
              <w:sym w:font="Wingdings" w:char="00A8"/>
            </w:r>
          </w:p>
          <w:p w14:paraId="0F91D86D">
            <w:pPr>
              <w:pStyle w:val="64"/>
            </w:pPr>
            <w:r>
              <w:t>水环境功能区或水功能区、近岸海域环境功能区水质达标</w:t>
            </w:r>
            <w:r>
              <w:rPr/>
              <w:sym w:font="Wingdings" w:char="00A8"/>
            </w:r>
          </w:p>
          <w:p w14:paraId="69287741">
            <w:pPr>
              <w:pStyle w:val="64"/>
            </w:pPr>
            <w:r>
              <w:t>满足水环境保护目标水域水环境质量要求</w:t>
            </w:r>
            <w:r>
              <w:rPr/>
              <w:sym w:font="Wingdings" w:char="00A8"/>
            </w:r>
          </w:p>
          <w:p w14:paraId="5073F884">
            <w:pPr>
              <w:pStyle w:val="64"/>
            </w:pPr>
            <w:r>
              <w:t>水环境控制单元或断面水质达标</w:t>
            </w:r>
            <w:r>
              <w:rPr/>
              <w:sym w:font="Wingdings" w:char="00A8"/>
            </w:r>
          </w:p>
          <w:p w14:paraId="0C11BC1E">
            <w:pPr>
              <w:pStyle w:val="64"/>
            </w:pPr>
            <w:r>
              <w:t>满足重点水污染物排放总量控制指标要求，重点行业建设项目，主要污染物排放满足等量或减量替代要求</w:t>
            </w:r>
            <w:r>
              <w:rPr/>
              <w:sym w:font="Wingdings" w:char="00A8"/>
            </w:r>
          </w:p>
          <w:p w14:paraId="1F6A8E69">
            <w:pPr>
              <w:pStyle w:val="64"/>
            </w:pPr>
            <w:r>
              <w:t>满足区(流)域水环境质量改善目标要求</w:t>
            </w:r>
            <w:r>
              <w:rPr/>
              <w:sym w:font="Wingdings" w:char="00A8"/>
            </w:r>
          </w:p>
          <w:p w14:paraId="55E61EDF">
            <w:pPr>
              <w:pStyle w:val="64"/>
            </w:pPr>
            <w:r>
              <w:t>水文要素影响型建设项目同时应包括水文情势变化评价、主要水文特征值影响评价、生态流量符合性评价</w:t>
            </w:r>
            <w:r>
              <w:rPr/>
              <w:sym w:font="Wingdings" w:char="00A8"/>
            </w:r>
          </w:p>
          <w:p w14:paraId="783B2AD9">
            <w:pPr>
              <w:pStyle w:val="64"/>
            </w:pPr>
            <w:r>
              <w:t>对于新设或调整入河(湖库、近岸海域)排放口的建设项目，应包括排放口设置的环境合理性评价</w:t>
            </w:r>
            <w:r>
              <w:rPr/>
              <w:sym w:font="Wingdings" w:char="00A8"/>
            </w:r>
          </w:p>
          <w:p w14:paraId="10E7BEDF">
            <w:pPr>
              <w:pStyle w:val="64"/>
            </w:pPr>
            <w:r>
              <w:t>满足生态保护红线、水环境质量底线、资源利用上线和环境准入清单管理要求</w:t>
            </w:r>
            <w:r>
              <w:rPr/>
              <w:sym w:font="Wingdings" w:char="00A8"/>
            </w:r>
          </w:p>
        </w:tc>
      </w:tr>
      <w:tr w14:paraId="3CA878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86" w:type="dxa"/>
            <w:vMerge w:val="continue"/>
            <w:tcBorders>
              <w:top w:val="single" w:color="auto" w:sz="4" w:space="0"/>
              <w:left w:val="single" w:color="auto" w:sz="4" w:space="0"/>
              <w:bottom w:val="single" w:color="auto" w:sz="4" w:space="0"/>
              <w:tl2br w:val="nil"/>
              <w:tr2bl w:val="nil"/>
            </w:tcBorders>
            <w:noWrap/>
            <w:vAlign w:val="center"/>
          </w:tcPr>
          <w:p w14:paraId="72832199">
            <w:pPr>
              <w:pStyle w:val="64"/>
            </w:pPr>
          </w:p>
        </w:tc>
        <w:tc>
          <w:tcPr>
            <w:tcW w:w="2533" w:type="dxa"/>
            <w:vMerge w:val="restart"/>
            <w:tcBorders>
              <w:top w:val="single" w:color="auto" w:sz="4" w:space="0"/>
              <w:bottom w:val="single" w:color="auto" w:sz="4" w:space="0"/>
              <w:tl2br w:val="nil"/>
              <w:tr2bl w:val="nil"/>
            </w:tcBorders>
            <w:noWrap/>
            <w:vAlign w:val="center"/>
          </w:tcPr>
          <w:p w14:paraId="2BACD475">
            <w:pPr>
              <w:pStyle w:val="64"/>
            </w:pPr>
            <w:r>
              <w:t>污染源排放量核算</w:t>
            </w:r>
          </w:p>
        </w:tc>
        <w:tc>
          <w:tcPr>
            <w:tcW w:w="2688" w:type="dxa"/>
            <w:gridSpan w:val="2"/>
            <w:tcBorders>
              <w:top w:val="single" w:color="auto" w:sz="4" w:space="0"/>
              <w:bottom w:val="single" w:color="auto" w:sz="4" w:space="0"/>
              <w:tl2br w:val="nil"/>
              <w:tr2bl w:val="nil"/>
            </w:tcBorders>
            <w:noWrap/>
            <w:vAlign w:val="center"/>
          </w:tcPr>
          <w:p w14:paraId="205F594F">
            <w:pPr>
              <w:pStyle w:val="64"/>
            </w:pPr>
            <w:r>
              <w:t>污染物名称</w:t>
            </w:r>
          </w:p>
        </w:tc>
        <w:tc>
          <w:tcPr>
            <w:tcW w:w="3544" w:type="dxa"/>
            <w:gridSpan w:val="3"/>
            <w:tcBorders>
              <w:tl2br w:val="nil"/>
              <w:tr2bl w:val="nil"/>
            </w:tcBorders>
            <w:noWrap/>
            <w:vAlign w:val="center"/>
          </w:tcPr>
          <w:p w14:paraId="04F1E626">
            <w:pPr>
              <w:pStyle w:val="64"/>
            </w:pPr>
            <w:r>
              <w:t>排放量/(t/a)</w:t>
            </w:r>
          </w:p>
        </w:tc>
        <w:tc>
          <w:tcPr>
            <w:tcW w:w="4823" w:type="dxa"/>
            <w:gridSpan w:val="4"/>
            <w:tcBorders>
              <w:tl2br w:val="nil"/>
              <w:tr2bl w:val="nil"/>
            </w:tcBorders>
            <w:noWrap/>
            <w:vAlign w:val="center"/>
          </w:tcPr>
          <w:p w14:paraId="4F16E6FE">
            <w:pPr>
              <w:pStyle w:val="64"/>
            </w:pPr>
            <w:r>
              <w:t>排放浓度/(mg/L)</w:t>
            </w:r>
          </w:p>
        </w:tc>
      </w:tr>
      <w:tr w14:paraId="01E052A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86" w:type="dxa"/>
            <w:vMerge w:val="continue"/>
            <w:tcBorders>
              <w:top w:val="single" w:color="auto" w:sz="4" w:space="0"/>
              <w:left w:val="single" w:color="auto" w:sz="4" w:space="0"/>
              <w:bottom w:val="single" w:color="auto" w:sz="4" w:space="0"/>
              <w:tl2br w:val="nil"/>
              <w:tr2bl w:val="nil"/>
            </w:tcBorders>
            <w:noWrap/>
            <w:vAlign w:val="center"/>
          </w:tcPr>
          <w:p w14:paraId="2611E257">
            <w:pPr>
              <w:pStyle w:val="64"/>
            </w:pPr>
          </w:p>
        </w:tc>
        <w:tc>
          <w:tcPr>
            <w:tcW w:w="2533" w:type="dxa"/>
            <w:vMerge w:val="continue"/>
            <w:tcBorders>
              <w:top w:val="single" w:color="auto" w:sz="4" w:space="0"/>
              <w:bottom w:val="single" w:color="auto" w:sz="4" w:space="0"/>
              <w:tl2br w:val="nil"/>
              <w:tr2bl w:val="nil"/>
            </w:tcBorders>
            <w:noWrap/>
            <w:vAlign w:val="center"/>
          </w:tcPr>
          <w:p w14:paraId="1724DAC1">
            <w:pPr>
              <w:pStyle w:val="64"/>
            </w:pPr>
          </w:p>
        </w:tc>
        <w:tc>
          <w:tcPr>
            <w:tcW w:w="2688" w:type="dxa"/>
            <w:gridSpan w:val="2"/>
            <w:tcBorders>
              <w:top w:val="single" w:color="auto" w:sz="4" w:space="0"/>
              <w:bottom w:val="single" w:color="auto" w:sz="4" w:space="0"/>
              <w:tl2br w:val="nil"/>
              <w:tr2bl w:val="nil"/>
            </w:tcBorders>
            <w:noWrap/>
            <w:vAlign w:val="center"/>
          </w:tcPr>
          <w:p w14:paraId="7BE8EBF6">
            <w:pPr>
              <w:pStyle w:val="64"/>
            </w:pPr>
            <w:r>
              <w:t>(COD)</w:t>
            </w:r>
          </w:p>
        </w:tc>
        <w:tc>
          <w:tcPr>
            <w:tcW w:w="3544" w:type="dxa"/>
            <w:gridSpan w:val="3"/>
            <w:tcBorders>
              <w:tl2br w:val="nil"/>
              <w:tr2bl w:val="nil"/>
            </w:tcBorders>
            <w:noWrap/>
            <w:vAlign w:val="center"/>
          </w:tcPr>
          <w:p w14:paraId="31B13201">
            <w:pPr>
              <w:pStyle w:val="64"/>
            </w:pPr>
            <w:r>
              <w:rPr>
                <w:rFonts w:hint="eastAsia"/>
              </w:rPr>
              <w:t>1.31</w:t>
            </w:r>
          </w:p>
        </w:tc>
        <w:tc>
          <w:tcPr>
            <w:tcW w:w="4823" w:type="dxa"/>
            <w:gridSpan w:val="4"/>
            <w:tcBorders>
              <w:tl2br w:val="nil"/>
              <w:tr2bl w:val="nil"/>
            </w:tcBorders>
            <w:noWrap/>
            <w:vAlign w:val="center"/>
          </w:tcPr>
          <w:p w14:paraId="75D83118">
            <w:pPr>
              <w:pStyle w:val="64"/>
            </w:pPr>
            <w:r>
              <w:t>50.00</w:t>
            </w:r>
          </w:p>
        </w:tc>
      </w:tr>
      <w:tr w14:paraId="26A488A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86" w:type="dxa"/>
            <w:vMerge w:val="continue"/>
            <w:tcBorders>
              <w:top w:val="single" w:color="auto" w:sz="4" w:space="0"/>
              <w:left w:val="single" w:color="auto" w:sz="4" w:space="0"/>
              <w:bottom w:val="single" w:color="auto" w:sz="4" w:space="0"/>
              <w:tl2br w:val="nil"/>
              <w:tr2bl w:val="nil"/>
            </w:tcBorders>
            <w:noWrap/>
            <w:vAlign w:val="center"/>
          </w:tcPr>
          <w:p w14:paraId="15D021CC">
            <w:pPr>
              <w:pStyle w:val="64"/>
            </w:pPr>
          </w:p>
        </w:tc>
        <w:tc>
          <w:tcPr>
            <w:tcW w:w="2533" w:type="dxa"/>
            <w:vMerge w:val="continue"/>
            <w:tcBorders>
              <w:top w:val="single" w:color="auto" w:sz="4" w:space="0"/>
              <w:bottom w:val="single" w:color="auto" w:sz="4" w:space="0"/>
              <w:tl2br w:val="nil"/>
              <w:tr2bl w:val="nil"/>
            </w:tcBorders>
            <w:noWrap/>
            <w:vAlign w:val="center"/>
          </w:tcPr>
          <w:p w14:paraId="6CAD4103">
            <w:pPr>
              <w:pStyle w:val="64"/>
            </w:pPr>
          </w:p>
        </w:tc>
        <w:tc>
          <w:tcPr>
            <w:tcW w:w="2688" w:type="dxa"/>
            <w:gridSpan w:val="2"/>
            <w:tcBorders>
              <w:top w:val="single" w:color="auto" w:sz="4" w:space="0"/>
              <w:bottom w:val="single" w:color="auto" w:sz="4" w:space="0"/>
              <w:tl2br w:val="nil"/>
              <w:tr2bl w:val="nil"/>
            </w:tcBorders>
            <w:noWrap/>
            <w:vAlign w:val="center"/>
          </w:tcPr>
          <w:p w14:paraId="4DA3FFE2">
            <w:pPr>
              <w:pStyle w:val="64"/>
            </w:pPr>
            <w:r>
              <w:t>(NH</w:t>
            </w:r>
            <w:r>
              <w:rPr>
                <w:vertAlign w:val="subscript"/>
              </w:rPr>
              <w:t>3</w:t>
            </w:r>
            <w:r>
              <w:t>-N)</w:t>
            </w:r>
          </w:p>
        </w:tc>
        <w:tc>
          <w:tcPr>
            <w:tcW w:w="3544" w:type="dxa"/>
            <w:gridSpan w:val="3"/>
            <w:tcBorders>
              <w:tl2br w:val="nil"/>
              <w:tr2bl w:val="nil"/>
            </w:tcBorders>
            <w:noWrap/>
            <w:vAlign w:val="center"/>
          </w:tcPr>
          <w:p w14:paraId="279C5B3E">
            <w:pPr>
              <w:pStyle w:val="64"/>
            </w:pPr>
            <w:r>
              <w:rPr>
                <w:rFonts w:hint="eastAsia"/>
              </w:rPr>
              <w:t>0.131</w:t>
            </w:r>
          </w:p>
        </w:tc>
        <w:tc>
          <w:tcPr>
            <w:tcW w:w="4823" w:type="dxa"/>
            <w:gridSpan w:val="4"/>
            <w:tcBorders>
              <w:tl2br w:val="nil"/>
              <w:tr2bl w:val="nil"/>
            </w:tcBorders>
            <w:noWrap/>
            <w:vAlign w:val="center"/>
          </w:tcPr>
          <w:p w14:paraId="346520B5">
            <w:pPr>
              <w:pStyle w:val="64"/>
            </w:pPr>
            <w:r>
              <w:rPr>
                <w:rFonts w:hint="eastAsia"/>
              </w:rPr>
              <w:t>5</w:t>
            </w:r>
            <w:r>
              <w:t>.00</w:t>
            </w:r>
          </w:p>
        </w:tc>
      </w:tr>
      <w:tr w14:paraId="6C490E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86" w:type="dxa"/>
            <w:vMerge w:val="continue"/>
            <w:tcBorders>
              <w:top w:val="single" w:color="auto" w:sz="4" w:space="0"/>
              <w:left w:val="single" w:color="auto" w:sz="4" w:space="0"/>
              <w:bottom w:val="single" w:color="auto" w:sz="4" w:space="0"/>
              <w:tl2br w:val="nil"/>
              <w:tr2bl w:val="nil"/>
            </w:tcBorders>
            <w:noWrap/>
            <w:vAlign w:val="center"/>
          </w:tcPr>
          <w:p w14:paraId="111B8B1F">
            <w:pPr>
              <w:pStyle w:val="64"/>
            </w:pPr>
          </w:p>
        </w:tc>
        <w:tc>
          <w:tcPr>
            <w:tcW w:w="2533" w:type="dxa"/>
            <w:vMerge w:val="restart"/>
            <w:tcBorders>
              <w:top w:val="single" w:color="auto" w:sz="4" w:space="0"/>
              <w:bottom w:val="single" w:color="auto" w:sz="4" w:space="0"/>
              <w:tl2br w:val="nil"/>
              <w:tr2bl w:val="nil"/>
            </w:tcBorders>
            <w:noWrap/>
            <w:vAlign w:val="center"/>
          </w:tcPr>
          <w:p w14:paraId="68B4E1ED">
            <w:pPr>
              <w:pStyle w:val="64"/>
            </w:pPr>
            <w:r>
              <w:t>替代原排放情况</w:t>
            </w:r>
          </w:p>
        </w:tc>
        <w:tc>
          <w:tcPr>
            <w:tcW w:w="2488" w:type="dxa"/>
            <w:tcBorders>
              <w:top w:val="single" w:color="auto" w:sz="4" w:space="0"/>
              <w:bottom w:val="single" w:color="auto" w:sz="4" w:space="0"/>
              <w:tl2br w:val="nil"/>
              <w:tr2bl w:val="nil"/>
            </w:tcBorders>
            <w:noWrap/>
            <w:vAlign w:val="center"/>
          </w:tcPr>
          <w:p w14:paraId="7E4C2DBD">
            <w:pPr>
              <w:pStyle w:val="64"/>
            </w:pPr>
            <w:r>
              <w:t>污染源名称</w:t>
            </w:r>
          </w:p>
        </w:tc>
        <w:tc>
          <w:tcPr>
            <w:tcW w:w="2141" w:type="dxa"/>
            <w:gridSpan w:val="2"/>
            <w:tcBorders>
              <w:top w:val="single" w:color="auto" w:sz="4" w:space="0"/>
              <w:bottom w:val="single" w:color="auto" w:sz="4" w:space="0"/>
              <w:tl2br w:val="nil"/>
              <w:tr2bl w:val="nil"/>
            </w:tcBorders>
            <w:noWrap/>
            <w:vAlign w:val="center"/>
          </w:tcPr>
          <w:p w14:paraId="4B83BA66">
            <w:pPr>
              <w:pStyle w:val="64"/>
            </w:pPr>
            <w:r>
              <w:t>排污许可证编号</w:t>
            </w:r>
          </w:p>
        </w:tc>
        <w:tc>
          <w:tcPr>
            <w:tcW w:w="1603" w:type="dxa"/>
            <w:gridSpan w:val="2"/>
            <w:tcBorders>
              <w:tl2br w:val="nil"/>
              <w:tr2bl w:val="nil"/>
            </w:tcBorders>
            <w:noWrap/>
            <w:vAlign w:val="center"/>
          </w:tcPr>
          <w:p w14:paraId="1792B5F2">
            <w:pPr>
              <w:pStyle w:val="64"/>
            </w:pPr>
            <w:r>
              <w:t>污染物名称</w:t>
            </w:r>
          </w:p>
        </w:tc>
        <w:tc>
          <w:tcPr>
            <w:tcW w:w="2679" w:type="dxa"/>
            <w:tcBorders>
              <w:tl2br w:val="nil"/>
              <w:tr2bl w:val="nil"/>
            </w:tcBorders>
            <w:noWrap/>
            <w:vAlign w:val="center"/>
          </w:tcPr>
          <w:p w14:paraId="725AC50D">
            <w:pPr>
              <w:pStyle w:val="64"/>
            </w:pPr>
            <w:r>
              <w:t>排放量/(t/a)</w:t>
            </w:r>
          </w:p>
        </w:tc>
        <w:tc>
          <w:tcPr>
            <w:tcW w:w="2144" w:type="dxa"/>
            <w:gridSpan w:val="3"/>
            <w:tcBorders>
              <w:tl2br w:val="nil"/>
              <w:tr2bl w:val="nil"/>
            </w:tcBorders>
            <w:noWrap/>
            <w:vAlign w:val="center"/>
          </w:tcPr>
          <w:p w14:paraId="1F467025">
            <w:pPr>
              <w:pStyle w:val="64"/>
            </w:pPr>
            <w:r>
              <w:t>排放浓度/(mg/L)</w:t>
            </w:r>
          </w:p>
        </w:tc>
      </w:tr>
      <w:tr w14:paraId="47ABFFF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86" w:type="dxa"/>
            <w:vMerge w:val="continue"/>
            <w:tcBorders>
              <w:top w:val="single" w:color="auto" w:sz="4" w:space="0"/>
              <w:left w:val="single" w:color="auto" w:sz="4" w:space="0"/>
              <w:bottom w:val="single" w:color="auto" w:sz="4" w:space="0"/>
              <w:tl2br w:val="nil"/>
              <w:tr2bl w:val="nil"/>
            </w:tcBorders>
            <w:noWrap/>
            <w:vAlign w:val="center"/>
          </w:tcPr>
          <w:p w14:paraId="49D0C7B1">
            <w:pPr>
              <w:pStyle w:val="64"/>
            </w:pPr>
          </w:p>
        </w:tc>
        <w:tc>
          <w:tcPr>
            <w:tcW w:w="2533" w:type="dxa"/>
            <w:vMerge w:val="continue"/>
            <w:tcBorders>
              <w:top w:val="single" w:color="auto" w:sz="4" w:space="0"/>
              <w:bottom w:val="single" w:color="auto" w:sz="4" w:space="0"/>
              <w:tl2br w:val="nil"/>
              <w:tr2bl w:val="nil"/>
            </w:tcBorders>
            <w:noWrap/>
            <w:vAlign w:val="center"/>
          </w:tcPr>
          <w:p w14:paraId="6989ABBD">
            <w:pPr>
              <w:pStyle w:val="64"/>
            </w:pPr>
          </w:p>
        </w:tc>
        <w:tc>
          <w:tcPr>
            <w:tcW w:w="2488" w:type="dxa"/>
            <w:tcBorders>
              <w:top w:val="single" w:color="auto" w:sz="4" w:space="0"/>
              <w:bottom w:val="single" w:color="auto" w:sz="4" w:space="0"/>
              <w:tl2br w:val="nil"/>
              <w:tr2bl w:val="nil"/>
            </w:tcBorders>
            <w:noWrap/>
            <w:vAlign w:val="center"/>
          </w:tcPr>
          <w:p w14:paraId="618E54B7">
            <w:pPr>
              <w:pStyle w:val="64"/>
            </w:pPr>
            <w:r>
              <w:t>()</w:t>
            </w:r>
          </w:p>
        </w:tc>
        <w:tc>
          <w:tcPr>
            <w:tcW w:w="2141" w:type="dxa"/>
            <w:gridSpan w:val="2"/>
            <w:tcBorders>
              <w:top w:val="single" w:color="auto" w:sz="4" w:space="0"/>
              <w:bottom w:val="single" w:color="auto" w:sz="4" w:space="0"/>
              <w:tl2br w:val="nil"/>
              <w:tr2bl w:val="nil"/>
            </w:tcBorders>
            <w:noWrap/>
            <w:vAlign w:val="center"/>
          </w:tcPr>
          <w:p w14:paraId="2C54CF44">
            <w:pPr>
              <w:pStyle w:val="64"/>
            </w:pPr>
            <w:r>
              <w:t>()</w:t>
            </w:r>
          </w:p>
        </w:tc>
        <w:tc>
          <w:tcPr>
            <w:tcW w:w="1603" w:type="dxa"/>
            <w:gridSpan w:val="2"/>
            <w:tcBorders>
              <w:tl2br w:val="nil"/>
              <w:tr2bl w:val="nil"/>
            </w:tcBorders>
            <w:noWrap/>
            <w:vAlign w:val="center"/>
          </w:tcPr>
          <w:p w14:paraId="4CA034ED">
            <w:pPr>
              <w:pStyle w:val="64"/>
            </w:pPr>
            <w:r>
              <w:t>()</w:t>
            </w:r>
          </w:p>
        </w:tc>
        <w:tc>
          <w:tcPr>
            <w:tcW w:w="2679" w:type="dxa"/>
            <w:tcBorders>
              <w:tl2br w:val="nil"/>
              <w:tr2bl w:val="nil"/>
            </w:tcBorders>
            <w:noWrap/>
            <w:vAlign w:val="center"/>
          </w:tcPr>
          <w:p w14:paraId="391B3E0B">
            <w:pPr>
              <w:pStyle w:val="64"/>
            </w:pPr>
            <w:r>
              <w:t>()</w:t>
            </w:r>
          </w:p>
        </w:tc>
        <w:tc>
          <w:tcPr>
            <w:tcW w:w="2144" w:type="dxa"/>
            <w:gridSpan w:val="3"/>
            <w:tcBorders>
              <w:tl2br w:val="nil"/>
              <w:tr2bl w:val="nil"/>
            </w:tcBorders>
            <w:noWrap/>
            <w:vAlign w:val="center"/>
          </w:tcPr>
          <w:p w14:paraId="6527EC95">
            <w:pPr>
              <w:pStyle w:val="64"/>
            </w:pPr>
            <w:r>
              <w:t>()</w:t>
            </w:r>
          </w:p>
        </w:tc>
      </w:tr>
      <w:tr w14:paraId="1B56861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86" w:type="dxa"/>
            <w:vMerge w:val="continue"/>
            <w:tcBorders>
              <w:top w:val="single" w:color="auto" w:sz="4" w:space="0"/>
              <w:left w:val="single" w:color="auto" w:sz="4" w:space="0"/>
              <w:bottom w:val="single" w:color="auto" w:sz="4" w:space="0"/>
              <w:tl2br w:val="nil"/>
              <w:tr2bl w:val="nil"/>
            </w:tcBorders>
            <w:noWrap/>
            <w:vAlign w:val="center"/>
          </w:tcPr>
          <w:p w14:paraId="2C88BABF">
            <w:pPr>
              <w:pStyle w:val="64"/>
            </w:pPr>
          </w:p>
        </w:tc>
        <w:tc>
          <w:tcPr>
            <w:tcW w:w="2533" w:type="dxa"/>
            <w:tcBorders>
              <w:top w:val="single" w:color="auto" w:sz="4" w:space="0"/>
              <w:bottom w:val="single" w:color="auto" w:sz="4" w:space="0"/>
              <w:tl2br w:val="nil"/>
              <w:tr2bl w:val="nil"/>
            </w:tcBorders>
            <w:noWrap/>
            <w:vAlign w:val="center"/>
          </w:tcPr>
          <w:p w14:paraId="1470F473">
            <w:pPr>
              <w:pStyle w:val="64"/>
            </w:pPr>
            <w:r>
              <w:t>生态流量确定</w:t>
            </w:r>
          </w:p>
        </w:tc>
        <w:tc>
          <w:tcPr>
            <w:tcW w:w="11055" w:type="dxa"/>
            <w:gridSpan w:val="9"/>
            <w:tcBorders>
              <w:top w:val="single" w:color="auto" w:sz="4" w:space="0"/>
              <w:bottom w:val="single" w:color="auto" w:sz="4" w:space="0"/>
              <w:right w:val="single" w:color="auto" w:sz="4" w:space="0"/>
              <w:tl2br w:val="nil"/>
              <w:tr2bl w:val="nil"/>
            </w:tcBorders>
            <w:noWrap/>
            <w:vAlign w:val="center"/>
          </w:tcPr>
          <w:p w14:paraId="4C5EA90F">
            <w:pPr>
              <w:pStyle w:val="64"/>
            </w:pPr>
            <w:r>
              <w:t>生态流量：一般水期( )m</w:t>
            </w:r>
            <w:r>
              <w:rPr>
                <w:vertAlign w:val="superscript"/>
              </w:rPr>
              <w:t>3</w:t>
            </w:r>
            <w:r>
              <w:t>/s；鱼类繁殖期( )m</w:t>
            </w:r>
            <w:r>
              <w:rPr>
                <w:vertAlign w:val="superscript"/>
              </w:rPr>
              <w:t>3</w:t>
            </w:r>
            <w:r>
              <w:t>/s；其他( )m</w:t>
            </w:r>
            <w:r>
              <w:rPr>
                <w:vertAlign w:val="superscript"/>
              </w:rPr>
              <w:t>3</w:t>
            </w:r>
            <w:r>
              <w:t>/s</w:t>
            </w:r>
          </w:p>
          <w:p w14:paraId="668870A6">
            <w:pPr>
              <w:pStyle w:val="64"/>
            </w:pPr>
            <w:r>
              <w:t>生态水位：一般水期( )m；鱼类繁殖期( )m；其他( )m</w:t>
            </w:r>
          </w:p>
        </w:tc>
      </w:tr>
      <w:tr w14:paraId="2E0FA68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86" w:type="dxa"/>
            <w:vMerge w:val="restart"/>
            <w:tcBorders>
              <w:top w:val="single" w:color="auto" w:sz="4" w:space="0"/>
              <w:left w:val="single" w:color="auto" w:sz="4" w:space="0"/>
              <w:bottom w:val="single" w:color="auto" w:sz="4" w:space="0"/>
              <w:tl2br w:val="nil"/>
              <w:tr2bl w:val="nil"/>
            </w:tcBorders>
            <w:noWrap/>
            <w:vAlign w:val="center"/>
          </w:tcPr>
          <w:p w14:paraId="61630EDF">
            <w:pPr>
              <w:pStyle w:val="64"/>
            </w:pPr>
            <w:r>
              <w:t>防治措施</w:t>
            </w:r>
          </w:p>
        </w:tc>
        <w:tc>
          <w:tcPr>
            <w:tcW w:w="2533" w:type="dxa"/>
            <w:tcBorders>
              <w:top w:val="single" w:color="auto" w:sz="4" w:space="0"/>
              <w:bottom w:val="single" w:color="auto" w:sz="4" w:space="0"/>
              <w:tl2br w:val="nil"/>
              <w:tr2bl w:val="nil"/>
            </w:tcBorders>
            <w:noWrap/>
            <w:vAlign w:val="center"/>
          </w:tcPr>
          <w:p w14:paraId="303E7E25">
            <w:pPr>
              <w:pStyle w:val="64"/>
            </w:pPr>
            <w:r>
              <w:t>环保措施</w:t>
            </w:r>
          </w:p>
        </w:tc>
        <w:tc>
          <w:tcPr>
            <w:tcW w:w="11055" w:type="dxa"/>
            <w:gridSpan w:val="9"/>
            <w:tcBorders>
              <w:top w:val="single" w:color="auto" w:sz="4" w:space="0"/>
              <w:bottom w:val="single" w:color="auto" w:sz="4" w:space="0"/>
              <w:right w:val="single" w:color="auto" w:sz="4" w:space="0"/>
              <w:tl2br w:val="nil"/>
              <w:tr2bl w:val="nil"/>
            </w:tcBorders>
            <w:noWrap/>
            <w:vAlign w:val="center"/>
          </w:tcPr>
          <w:p w14:paraId="687A11F4">
            <w:pPr>
              <w:pStyle w:val="64"/>
            </w:pPr>
            <w:r>
              <w:t>污水处理设施</w:t>
            </w:r>
            <w:r>
              <w:rPr/>
              <w:sym w:font="Wingdings" w:char="00FE"/>
            </w:r>
            <w:r>
              <w:t>；水文减缓设施</w:t>
            </w:r>
            <w:r>
              <w:rPr/>
              <w:sym w:font="Wingdings" w:char="00A8"/>
            </w:r>
            <w:r>
              <w:t>；生态流量保障设施</w:t>
            </w:r>
            <w:r>
              <w:rPr/>
              <w:sym w:font="Wingdings" w:char="00A8"/>
            </w:r>
            <w:r>
              <w:t>；区域削减</w:t>
            </w:r>
            <w:r>
              <w:rPr/>
              <w:sym w:font="Wingdings" w:char="00A8"/>
            </w:r>
            <w:r>
              <w:t>；依托其他工程措施</w:t>
            </w:r>
            <w:r>
              <w:rPr/>
              <w:sym w:font="Wingdings" w:char="00FE"/>
            </w:r>
            <w:r>
              <w:t>；其他</w:t>
            </w:r>
            <w:r>
              <w:rPr/>
              <w:sym w:font="Wingdings" w:char="00A8"/>
            </w:r>
          </w:p>
        </w:tc>
      </w:tr>
      <w:tr w14:paraId="309EA2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86" w:type="dxa"/>
            <w:vMerge w:val="continue"/>
            <w:tcBorders>
              <w:top w:val="single" w:color="auto" w:sz="4" w:space="0"/>
              <w:left w:val="single" w:color="auto" w:sz="4" w:space="0"/>
              <w:bottom w:val="single" w:color="auto" w:sz="4" w:space="0"/>
              <w:tl2br w:val="nil"/>
              <w:tr2bl w:val="nil"/>
            </w:tcBorders>
            <w:noWrap/>
            <w:vAlign w:val="center"/>
          </w:tcPr>
          <w:p w14:paraId="2974E15D">
            <w:pPr>
              <w:pStyle w:val="64"/>
            </w:pPr>
          </w:p>
        </w:tc>
        <w:tc>
          <w:tcPr>
            <w:tcW w:w="2533" w:type="dxa"/>
            <w:vMerge w:val="restart"/>
            <w:tcBorders>
              <w:top w:val="single" w:color="auto" w:sz="4" w:space="0"/>
              <w:bottom w:val="single" w:color="auto" w:sz="4" w:space="0"/>
              <w:tl2br w:val="nil"/>
              <w:tr2bl w:val="nil"/>
            </w:tcBorders>
            <w:noWrap/>
            <w:vAlign w:val="center"/>
          </w:tcPr>
          <w:p w14:paraId="03F66F7A">
            <w:pPr>
              <w:pStyle w:val="64"/>
            </w:pPr>
            <w:r>
              <w:t>监测计划</w:t>
            </w:r>
          </w:p>
        </w:tc>
        <w:tc>
          <w:tcPr>
            <w:tcW w:w="2688" w:type="dxa"/>
            <w:gridSpan w:val="2"/>
            <w:tcBorders>
              <w:top w:val="single" w:color="auto" w:sz="4" w:space="0"/>
              <w:bottom w:val="single" w:color="auto" w:sz="4" w:space="0"/>
              <w:tl2br w:val="nil"/>
              <w:tr2bl w:val="nil"/>
            </w:tcBorders>
            <w:noWrap/>
            <w:vAlign w:val="center"/>
          </w:tcPr>
          <w:p w14:paraId="201F41C3">
            <w:pPr>
              <w:pStyle w:val="64"/>
            </w:pPr>
          </w:p>
        </w:tc>
        <w:tc>
          <w:tcPr>
            <w:tcW w:w="3544" w:type="dxa"/>
            <w:gridSpan w:val="3"/>
            <w:tcBorders>
              <w:tl2br w:val="nil"/>
              <w:tr2bl w:val="nil"/>
            </w:tcBorders>
            <w:noWrap/>
            <w:vAlign w:val="center"/>
          </w:tcPr>
          <w:p w14:paraId="6A2A9048">
            <w:pPr>
              <w:pStyle w:val="64"/>
            </w:pPr>
            <w:r>
              <w:t>环境质量</w:t>
            </w:r>
          </w:p>
        </w:tc>
        <w:tc>
          <w:tcPr>
            <w:tcW w:w="4823" w:type="dxa"/>
            <w:gridSpan w:val="4"/>
            <w:tcBorders>
              <w:tl2br w:val="nil"/>
              <w:tr2bl w:val="nil"/>
            </w:tcBorders>
            <w:noWrap/>
            <w:vAlign w:val="center"/>
          </w:tcPr>
          <w:p w14:paraId="7DEE0E11">
            <w:pPr>
              <w:pStyle w:val="64"/>
            </w:pPr>
            <w:r>
              <w:t>污染源</w:t>
            </w:r>
          </w:p>
        </w:tc>
      </w:tr>
      <w:tr w14:paraId="0D5C79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86" w:type="dxa"/>
            <w:vMerge w:val="continue"/>
            <w:tcBorders>
              <w:top w:val="single" w:color="auto" w:sz="4" w:space="0"/>
              <w:left w:val="single" w:color="auto" w:sz="4" w:space="0"/>
              <w:bottom w:val="single" w:color="auto" w:sz="4" w:space="0"/>
              <w:tl2br w:val="nil"/>
              <w:tr2bl w:val="nil"/>
            </w:tcBorders>
            <w:noWrap/>
            <w:vAlign w:val="center"/>
          </w:tcPr>
          <w:p w14:paraId="50C55530">
            <w:pPr>
              <w:pStyle w:val="64"/>
            </w:pPr>
          </w:p>
        </w:tc>
        <w:tc>
          <w:tcPr>
            <w:tcW w:w="2533" w:type="dxa"/>
            <w:vMerge w:val="continue"/>
            <w:tcBorders>
              <w:top w:val="single" w:color="auto" w:sz="4" w:space="0"/>
              <w:bottom w:val="single" w:color="auto" w:sz="4" w:space="0"/>
              <w:tl2br w:val="nil"/>
              <w:tr2bl w:val="nil"/>
            </w:tcBorders>
            <w:noWrap/>
            <w:vAlign w:val="center"/>
          </w:tcPr>
          <w:p w14:paraId="3D61FDE3">
            <w:pPr>
              <w:pStyle w:val="64"/>
            </w:pPr>
          </w:p>
        </w:tc>
        <w:tc>
          <w:tcPr>
            <w:tcW w:w="2688" w:type="dxa"/>
            <w:gridSpan w:val="2"/>
            <w:tcBorders>
              <w:top w:val="single" w:color="auto" w:sz="4" w:space="0"/>
              <w:bottom w:val="single" w:color="auto" w:sz="4" w:space="0"/>
              <w:tl2br w:val="nil"/>
              <w:tr2bl w:val="nil"/>
            </w:tcBorders>
            <w:noWrap/>
            <w:vAlign w:val="center"/>
          </w:tcPr>
          <w:p w14:paraId="7355B312">
            <w:pPr>
              <w:pStyle w:val="64"/>
            </w:pPr>
            <w:r>
              <w:t>监测方式</w:t>
            </w:r>
          </w:p>
        </w:tc>
        <w:tc>
          <w:tcPr>
            <w:tcW w:w="3544" w:type="dxa"/>
            <w:gridSpan w:val="3"/>
            <w:tcBorders>
              <w:tl2br w:val="nil"/>
              <w:tr2bl w:val="nil"/>
            </w:tcBorders>
            <w:noWrap/>
            <w:vAlign w:val="center"/>
          </w:tcPr>
          <w:p w14:paraId="39C3AFED">
            <w:pPr>
              <w:pStyle w:val="64"/>
            </w:pPr>
            <w:r>
              <w:t>手动</w:t>
            </w:r>
            <w:r>
              <w:rPr/>
              <w:sym w:font="Wingdings" w:char="00A8"/>
            </w:r>
            <w:r>
              <w:t>；自动</w:t>
            </w:r>
            <w:r>
              <w:rPr/>
              <w:sym w:font="Wingdings" w:char="00A8"/>
            </w:r>
            <w:r>
              <w:t>；无监测</w:t>
            </w:r>
            <w:r>
              <w:rPr/>
              <w:sym w:font="Wingdings" w:char="00FE"/>
            </w:r>
          </w:p>
        </w:tc>
        <w:tc>
          <w:tcPr>
            <w:tcW w:w="4823" w:type="dxa"/>
            <w:gridSpan w:val="4"/>
            <w:tcBorders>
              <w:tl2br w:val="nil"/>
              <w:tr2bl w:val="nil"/>
            </w:tcBorders>
            <w:noWrap/>
            <w:vAlign w:val="center"/>
          </w:tcPr>
          <w:p w14:paraId="2340F0A4">
            <w:pPr>
              <w:pStyle w:val="64"/>
            </w:pPr>
            <w:r>
              <w:t>手动</w:t>
            </w:r>
            <w:r>
              <w:rPr/>
              <w:sym w:font="Wingdings" w:char="00FE"/>
            </w:r>
            <w:r>
              <w:t>；自动</w:t>
            </w:r>
            <w:r>
              <w:rPr/>
              <w:sym w:font="Wingdings" w:char="00FE"/>
            </w:r>
            <w:r>
              <w:t>无监测</w:t>
            </w:r>
            <w:r>
              <w:rPr/>
              <w:sym w:font="Wingdings" w:char="00A8"/>
            </w:r>
          </w:p>
        </w:tc>
      </w:tr>
      <w:tr w14:paraId="045F4D6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86" w:type="dxa"/>
            <w:vMerge w:val="continue"/>
            <w:tcBorders>
              <w:top w:val="single" w:color="auto" w:sz="4" w:space="0"/>
              <w:left w:val="single" w:color="auto" w:sz="4" w:space="0"/>
              <w:bottom w:val="single" w:color="auto" w:sz="4" w:space="0"/>
              <w:tl2br w:val="nil"/>
              <w:tr2bl w:val="nil"/>
            </w:tcBorders>
            <w:noWrap/>
            <w:vAlign w:val="center"/>
          </w:tcPr>
          <w:p w14:paraId="2FA941C0">
            <w:pPr>
              <w:pStyle w:val="64"/>
            </w:pPr>
          </w:p>
        </w:tc>
        <w:tc>
          <w:tcPr>
            <w:tcW w:w="2533" w:type="dxa"/>
            <w:vMerge w:val="continue"/>
            <w:tcBorders>
              <w:top w:val="single" w:color="auto" w:sz="4" w:space="0"/>
              <w:bottom w:val="single" w:color="auto" w:sz="4" w:space="0"/>
              <w:tl2br w:val="nil"/>
              <w:tr2bl w:val="nil"/>
            </w:tcBorders>
            <w:noWrap/>
            <w:vAlign w:val="center"/>
          </w:tcPr>
          <w:p w14:paraId="0B4C2F7B">
            <w:pPr>
              <w:pStyle w:val="64"/>
            </w:pPr>
          </w:p>
        </w:tc>
        <w:tc>
          <w:tcPr>
            <w:tcW w:w="2688" w:type="dxa"/>
            <w:gridSpan w:val="2"/>
            <w:tcBorders>
              <w:top w:val="single" w:color="auto" w:sz="4" w:space="0"/>
              <w:bottom w:val="single" w:color="auto" w:sz="4" w:space="0"/>
              <w:tl2br w:val="nil"/>
              <w:tr2bl w:val="nil"/>
            </w:tcBorders>
            <w:noWrap/>
            <w:vAlign w:val="center"/>
          </w:tcPr>
          <w:p w14:paraId="04C6352A">
            <w:pPr>
              <w:pStyle w:val="64"/>
            </w:pPr>
            <w:r>
              <w:t>监测点位</w:t>
            </w:r>
          </w:p>
        </w:tc>
        <w:tc>
          <w:tcPr>
            <w:tcW w:w="3544" w:type="dxa"/>
            <w:gridSpan w:val="3"/>
            <w:tcBorders>
              <w:tl2br w:val="nil"/>
              <w:tr2bl w:val="nil"/>
            </w:tcBorders>
            <w:noWrap/>
            <w:vAlign w:val="center"/>
          </w:tcPr>
          <w:p w14:paraId="42F23791">
            <w:pPr>
              <w:pStyle w:val="64"/>
            </w:pPr>
            <w:r>
              <w:t>()</w:t>
            </w:r>
          </w:p>
        </w:tc>
        <w:tc>
          <w:tcPr>
            <w:tcW w:w="4823" w:type="dxa"/>
            <w:gridSpan w:val="4"/>
            <w:tcBorders>
              <w:tl2br w:val="nil"/>
              <w:tr2bl w:val="nil"/>
            </w:tcBorders>
            <w:noWrap/>
            <w:vAlign w:val="center"/>
          </w:tcPr>
          <w:p w14:paraId="614A8F10">
            <w:pPr>
              <w:pStyle w:val="64"/>
            </w:pPr>
            <w:r>
              <w:t>(总排口)</w:t>
            </w:r>
          </w:p>
        </w:tc>
      </w:tr>
      <w:tr w14:paraId="7AF9A1B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86" w:type="dxa"/>
            <w:vMerge w:val="continue"/>
            <w:tcBorders>
              <w:top w:val="single" w:color="auto" w:sz="4" w:space="0"/>
              <w:left w:val="single" w:color="auto" w:sz="4" w:space="0"/>
              <w:bottom w:val="single" w:color="auto" w:sz="4" w:space="0"/>
              <w:tl2br w:val="nil"/>
              <w:tr2bl w:val="nil"/>
            </w:tcBorders>
            <w:noWrap/>
            <w:vAlign w:val="center"/>
          </w:tcPr>
          <w:p w14:paraId="5729342B">
            <w:pPr>
              <w:pStyle w:val="64"/>
            </w:pPr>
          </w:p>
        </w:tc>
        <w:tc>
          <w:tcPr>
            <w:tcW w:w="2533" w:type="dxa"/>
            <w:vMerge w:val="continue"/>
            <w:tcBorders>
              <w:top w:val="single" w:color="auto" w:sz="4" w:space="0"/>
              <w:bottom w:val="single" w:color="auto" w:sz="4" w:space="0"/>
              <w:tl2br w:val="nil"/>
              <w:tr2bl w:val="nil"/>
            </w:tcBorders>
            <w:noWrap/>
            <w:vAlign w:val="center"/>
          </w:tcPr>
          <w:p w14:paraId="62C347F6">
            <w:pPr>
              <w:pStyle w:val="64"/>
            </w:pPr>
          </w:p>
        </w:tc>
        <w:tc>
          <w:tcPr>
            <w:tcW w:w="2688" w:type="dxa"/>
            <w:gridSpan w:val="2"/>
            <w:tcBorders>
              <w:top w:val="single" w:color="auto" w:sz="4" w:space="0"/>
              <w:bottom w:val="single" w:color="auto" w:sz="4" w:space="0"/>
              <w:tl2br w:val="nil"/>
              <w:tr2bl w:val="nil"/>
            </w:tcBorders>
            <w:noWrap/>
            <w:vAlign w:val="center"/>
          </w:tcPr>
          <w:p w14:paraId="78AC893F">
            <w:pPr>
              <w:pStyle w:val="64"/>
            </w:pPr>
            <w:r>
              <w:t>监测因子</w:t>
            </w:r>
          </w:p>
        </w:tc>
        <w:tc>
          <w:tcPr>
            <w:tcW w:w="3544" w:type="dxa"/>
            <w:gridSpan w:val="3"/>
            <w:tcBorders>
              <w:tl2br w:val="nil"/>
              <w:tr2bl w:val="nil"/>
            </w:tcBorders>
            <w:noWrap/>
            <w:vAlign w:val="center"/>
          </w:tcPr>
          <w:p w14:paraId="0E1A30C6">
            <w:pPr>
              <w:pStyle w:val="64"/>
            </w:pPr>
            <w:r>
              <w:t>()</w:t>
            </w:r>
          </w:p>
        </w:tc>
        <w:tc>
          <w:tcPr>
            <w:tcW w:w="4823" w:type="dxa"/>
            <w:gridSpan w:val="4"/>
            <w:tcBorders>
              <w:tl2br w:val="nil"/>
              <w:tr2bl w:val="nil"/>
            </w:tcBorders>
            <w:noWrap/>
            <w:vAlign w:val="center"/>
          </w:tcPr>
          <w:p w14:paraId="1DCDCB36">
            <w:pPr>
              <w:pStyle w:val="64"/>
            </w:pPr>
            <w:r>
              <w:t>(</w:t>
            </w:r>
            <w:r>
              <w:rPr>
                <w:rFonts w:hint="eastAsia"/>
              </w:rPr>
              <w:t>流量、</w:t>
            </w:r>
            <w:r>
              <w:t>pH、COD、</w:t>
            </w:r>
            <w:r>
              <w:rPr>
                <w:rFonts w:hint="eastAsia"/>
              </w:rPr>
              <w:t>BOD</w:t>
            </w:r>
            <w:r>
              <w:rPr>
                <w:rFonts w:hint="eastAsia"/>
                <w:vertAlign w:val="subscript"/>
              </w:rPr>
              <w:t>5</w:t>
            </w:r>
            <w:r>
              <w:rPr>
                <w:rFonts w:hint="eastAsia"/>
              </w:rPr>
              <w:t>、</w:t>
            </w:r>
            <w:r>
              <w:t>氨氮</w:t>
            </w:r>
            <w:r>
              <w:rPr>
                <w:rFonts w:hint="eastAsia"/>
              </w:rPr>
              <w:t>、挥发酚等</w:t>
            </w:r>
            <w:r>
              <w:t>)</w:t>
            </w:r>
          </w:p>
        </w:tc>
      </w:tr>
      <w:tr w14:paraId="11CD1F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86" w:type="dxa"/>
            <w:vMerge w:val="continue"/>
            <w:tcBorders>
              <w:top w:val="single" w:color="auto" w:sz="4" w:space="0"/>
              <w:left w:val="single" w:color="auto" w:sz="4" w:space="0"/>
              <w:bottom w:val="single" w:color="auto" w:sz="4" w:space="0"/>
              <w:tl2br w:val="nil"/>
              <w:tr2bl w:val="nil"/>
            </w:tcBorders>
            <w:noWrap/>
            <w:vAlign w:val="center"/>
          </w:tcPr>
          <w:p w14:paraId="55BD03A7">
            <w:pPr>
              <w:pStyle w:val="64"/>
            </w:pPr>
          </w:p>
        </w:tc>
        <w:tc>
          <w:tcPr>
            <w:tcW w:w="2533" w:type="dxa"/>
            <w:tcBorders>
              <w:top w:val="single" w:color="auto" w:sz="4" w:space="0"/>
              <w:bottom w:val="single" w:color="auto" w:sz="4" w:space="0"/>
              <w:tl2br w:val="nil"/>
              <w:tr2bl w:val="nil"/>
            </w:tcBorders>
            <w:noWrap/>
            <w:vAlign w:val="center"/>
          </w:tcPr>
          <w:p w14:paraId="4F41FD5A">
            <w:pPr>
              <w:pStyle w:val="64"/>
            </w:pPr>
            <w:r>
              <w:t>污染物排放清单</w:t>
            </w:r>
          </w:p>
        </w:tc>
        <w:tc>
          <w:tcPr>
            <w:tcW w:w="11055" w:type="dxa"/>
            <w:gridSpan w:val="9"/>
            <w:tcBorders>
              <w:top w:val="single" w:color="auto" w:sz="4" w:space="0"/>
              <w:bottom w:val="single" w:color="auto" w:sz="4" w:space="0"/>
              <w:right w:val="single" w:color="auto" w:sz="4" w:space="0"/>
              <w:tl2br w:val="nil"/>
              <w:tr2bl w:val="nil"/>
            </w:tcBorders>
            <w:noWrap/>
            <w:vAlign w:val="center"/>
          </w:tcPr>
          <w:p w14:paraId="31A13DD0">
            <w:pPr>
              <w:pStyle w:val="64"/>
            </w:pPr>
            <w:r>
              <w:rPr/>
              <w:sym w:font="Wingdings" w:char="00FE"/>
            </w:r>
          </w:p>
        </w:tc>
      </w:tr>
      <w:tr w14:paraId="7AB5F30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119" w:type="dxa"/>
            <w:gridSpan w:val="2"/>
            <w:tcBorders>
              <w:top w:val="single" w:color="auto" w:sz="4" w:space="0"/>
              <w:left w:val="single" w:color="auto" w:sz="4" w:space="0"/>
              <w:bottom w:val="single" w:color="auto" w:sz="4" w:space="0"/>
              <w:right w:val="single" w:color="auto" w:sz="4" w:space="0"/>
              <w:tl2br w:val="nil"/>
              <w:tr2bl w:val="nil"/>
            </w:tcBorders>
            <w:noWrap/>
            <w:vAlign w:val="center"/>
          </w:tcPr>
          <w:p w14:paraId="053B10F5">
            <w:pPr>
              <w:pStyle w:val="64"/>
            </w:pPr>
            <w:r>
              <w:t>评价结论</w:t>
            </w:r>
          </w:p>
        </w:tc>
        <w:tc>
          <w:tcPr>
            <w:tcW w:w="11055" w:type="dxa"/>
            <w:gridSpan w:val="9"/>
            <w:tcBorders>
              <w:top w:val="single" w:color="auto" w:sz="4" w:space="0"/>
              <w:left w:val="single" w:color="auto" w:sz="4" w:space="0"/>
              <w:bottom w:val="single" w:color="auto" w:sz="4" w:space="0"/>
              <w:right w:val="single" w:color="auto" w:sz="4" w:space="0"/>
              <w:tl2br w:val="nil"/>
              <w:tr2bl w:val="nil"/>
            </w:tcBorders>
            <w:noWrap/>
            <w:vAlign w:val="center"/>
          </w:tcPr>
          <w:p w14:paraId="46064C9D">
            <w:pPr>
              <w:pStyle w:val="64"/>
            </w:pPr>
            <w:r>
              <w:t>可以接受</w:t>
            </w:r>
            <w:r>
              <w:rPr/>
              <w:sym w:font="Wingdings" w:char="00FE"/>
            </w:r>
            <w:r>
              <w:t>；不可以接受</w:t>
            </w:r>
            <w:r>
              <w:rPr/>
              <w:sym w:font="Wingdings" w:char="00A8"/>
            </w:r>
          </w:p>
        </w:tc>
      </w:tr>
      <w:tr w14:paraId="278149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4174" w:type="dxa"/>
            <w:gridSpan w:val="11"/>
            <w:tcBorders>
              <w:top w:val="single" w:color="auto" w:sz="4" w:space="0"/>
              <w:left w:val="single" w:color="auto" w:sz="4" w:space="0"/>
              <w:bottom w:val="single" w:color="auto" w:sz="4" w:space="0"/>
              <w:right w:val="single" w:color="auto" w:sz="4" w:space="0"/>
              <w:tl2br w:val="nil"/>
              <w:tr2bl w:val="nil"/>
            </w:tcBorders>
            <w:noWrap/>
            <w:vAlign w:val="center"/>
          </w:tcPr>
          <w:p w14:paraId="313A5FFD">
            <w:pPr>
              <w:pStyle w:val="64"/>
            </w:pPr>
            <w:r>
              <w:t>注：“</w:t>
            </w:r>
            <w:r>
              <w:rPr/>
              <w:sym w:font="Wingdings" w:char="00A8"/>
            </w:r>
            <w:r>
              <w:t>”为勾选项，可√；“()”为内容填写项；“备注”为其他补充内容</w:t>
            </w:r>
          </w:p>
        </w:tc>
      </w:tr>
    </w:tbl>
    <w:p w14:paraId="25E00149">
      <w:pPr>
        <w:rPr>
          <w:rFonts w:cs="Times New Roman"/>
          <w:spacing w:val="-3"/>
        </w:rPr>
        <w:sectPr>
          <w:pgSz w:w="16838" w:h="11906" w:orient="landscape"/>
          <w:pgMar w:top="1418" w:right="1418" w:bottom="1418" w:left="1418" w:header="851" w:footer="992" w:gutter="0"/>
          <w:cols w:space="425" w:num="1"/>
          <w:docGrid w:type="lines" w:linePitch="326" w:charSpace="0"/>
        </w:sectPr>
      </w:pPr>
    </w:p>
    <w:p w14:paraId="1D9E1621">
      <w:pPr>
        <w:pStyle w:val="3"/>
        <w:spacing w:before="326"/>
        <w:rPr>
          <w:rFonts w:hint="eastAsia"/>
        </w:rPr>
      </w:pPr>
      <w:bookmarkStart w:id="93" w:name="_Toc221056417"/>
      <w:bookmarkStart w:id="94" w:name="_Toc195624999"/>
      <w:r>
        <w:rPr>
          <w:rFonts w:hint="eastAsia"/>
        </w:rPr>
        <w:t>6.4运营期声环境影响分析</w:t>
      </w:r>
      <w:bookmarkEnd w:id="93"/>
      <w:bookmarkEnd w:id="94"/>
    </w:p>
    <w:p w14:paraId="54C3A3D6">
      <w:pPr>
        <w:pStyle w:val="4"/>
        <w:rPr>
          <w:rFonts w:hint="eastAsia"/>
        </w:rPr>
      </w:pPr>
      <w:bookmarkStart w:id="95" w:name="_Toc195625000"/>
      <w:bookmarkStart w:id="96" w:name="_Toc221056418"/>
      <w:r>
        <w:rPr>
          <w:rFonts w:hint="eastAsia"/>
        </w:rPr>
        <w:t>6</w:t>
      </w:r>
      <w:r>
        <w:t>.4.1噪声源强</w:t>
      </w:r>
      <w:bookmarkEnd w:id="95"/>
      <w:bookmarkEnd w:id="96"/>
    </w:p>
    <w:p w14:paraId="70713D41">
      <w:pPr>
        <w:ind w:firstLine="480" w:firstLineChars="200"/>
      </w:pPr>
      <w:r>
        <w:t>项目生产过程中，主要噪声源主要机械设备、泵类及其它配套设施等，各类声源的噪声级一般在80-95dB(A)之间，项目</w:t>
      </w:r>
      <w:r>
        <w:rPr>
          <w:rFonts w:hint="eastAsia"/>
        </w:rPr>
        <w:t>新增</w:t>
      </w:r>
      <w:r>
        <w:t>噪声源强详见表</w:t>
      </w:r>
      <w:r>
        <w:rPr>
          <w:rFonts w:hint="eastAsia"/>
        </w:rPr>
        <w:t>4</w:t>
      </w:r>
      <w:r>
        <w:t>.</w:t>
      </w:r>
      <w:r>
        <w:rPr>
          <w:rFonts w:hint="eastAsia"/>
        </w:rPr>
        <w:t>3</w:t>
      </w:r>
      <w:r>
        <w:t>-</w:t>
      </w:r>
      <w:r>
        <w:rPr>
          <w:rFonts w:hint="eastAsia"/>
        </w:rPr>
        <w:t>7</w:t>
      </w:r>
      <w:r>
        <w:t>所示。</w:t>
      </w:r>
    </w:p>
    <w:p w14:paraId="4347D1C3">
      <w:pPr>
        <w:pStyle w:val="4"/>
        <w:rPr>
          <w:rFonts w:hint="eastAsia"/>
        </w:rPr>
      </w:pPr>
      <w:bookmarkStart w:id="97" w:name="_Toc195625001"/>
      <w:bookmarkStart w:id="98" w:name="_Toc221056419"/>
      <w:r>
        <w:rPr>
          <w:rFonts w:hint="eastAsia"/>
        </w:rPr>
        <w:t>6</w:t>
      </w:r>
      <w:r>
        <w:t>.4.2预测模型及方法</w:t>
      </w:r>
      <w:bookmarkEnd w:id="97"/>
      <w:bookmarkEnd w:id="98"/>
    </w:p>
    <w:p w14:paraId="3546F617">
      <w:pPr>
        <w:ind w:firstLine="480" w:firstLineChars="200"/>
      </w:pPr>
      <w:r>
        <w:t>以厂界预测点为原点，选择一个坐标系，确定各噪声源位置，并测量各噪声源到预测点的距离，将各噪声源视为半自由状态噪声源，按声能量在空气传播中衰减模式可计算出某噪声源在预测点的声压级，预测模式如下。</w:t>
      </w:r>
    </w:p>
    <w:p w14:paraId="7E5B986F">
      <w:pPr>
        <w:ind w:firstLine="480" w:firstLineChars="200"/>
      </w:pPr>
      <w:r>
        <w:t>(1)室外噪声源</w:t>
      </w:r>
    </w:p>
    <w:p w14:paraId="1AF3D07D">
      <w:pPr>
        <w:ind w:firstLine="480" w:firstLineChars="200"/>
      </w:pPr>
      <w:r>
        <w:t>计算某个点源在预测点的倍频带声压级</w:t>
      </w:r>
    </w:p>
    <w:p w14:paraId="1692101F">
      <w:pPr>
        <w:spacing w:line="240" w:lineRule="auto"/>
        <w:jc w:val="center"/>
      </w:pPr>
      <w:r>
        <w:drawing>
          <wp:inline distT="0" distB="0" distL="0" distR="0">
            <wp:extent cx="3667125" cy="390525"/>
            <wp:effectExtent l="0" t="0" r="9525" b="9525"/>
            <wp:docPr id="2020054505"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0054505" name="图片 1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a:xfrm>
                      <a:off x="0" y="0"/>
                      <a:ext cx="3667125" cy="390525"/>
                    </a:xfrm>
                    <a:prstGeom prst="rect">
                      <a:avLst/>
                    </a:prstGeom>
                    <a:noFill/>
                    <a:ln>
                      <a:noFill/>
                    </a:ln>
                  </pic:spPr>
                </pic:pic>
              </a:graphicData>
            </a:graphic>
          </wp:inline>
        </w:drawing>
      </w:r>
    </w:p>
    <w:p w14:paraId="7C813E63">
      <w:pPr>
        <w:ind w:firstLine="480" w:firstLineChars="200"/>
      </w:pPr>
      <w:r>
        <w:t>式中：L</w:t>
      </w:r>
      <w:r>
        <w:rPr>
          <w:vertAlign w:val="subscript"/>
        </w:rPr>
        <w:t>oct</w:t>
      </w:r>
      <w:r>
        <w:t>(r)</w:t>
      </w:r>
      <w:r>
        <w:rPr>
          <w:rFonts w:hint="eastAsia"/>
        </w:rPr>
        <w:t>—</w:t>
      </w:r>
      <w:r>
        <w:t>点声源在预测点产生的倍频带声压级；</w:t>
      </w:r>
    </w:p>
    <w:p w14:paraId="054366F6">
      <w:pPr>
        <w:ind w:firstLine="1200" w:firstLineChars="500"/>
      </w:pPr>
      <w:r>
        <w:t>L</w:t>
      </w:r>
      <w:r>
        <w:rPr>
          <w:vertAlign w:val="subscript"/>
        </w:rPr>
        <w:t>oct</w:t>
      </w:r>
      <w:r>
        <w:t>(r</w:t>
      </w:r>
      <w:r>
        <w:rPr>
          <w:vertAlign w:val="subscript"/>
        </w:rPr>
        <w:t>0</w:t>
      </w:r>
      <w:r>
        <w:t>)—参考位置r</w:t>
      </w:r>
      <w:r>
        <w:rPr>
          <w:vertAlign w:val="subscript"/>
        </w:rPr>
        <w:t>0</w:t>
      </w:r>
      <w:r>
        <w:t>处的倍频带声压级；</w:t>
      </w:r>
    </w:p>
    <w:p w14:paraId="05D19CC0">
      <w:pPr>
        <w:ind w:firstLine="1200" w:firstLineChars="500"/>
      </w:pPr>
      <w:r>
        <w:t>r—预测点距声源的距离，m；</w:t>
      </w:r>
    </w:p>
    <w:p w14:paraId="557719C3">
      <w:pPr>
        <w:ind w:firstLine="1200" w:firstLineChars="500"/>
      </w:pPr>
      <w:r>
        <w:t>r</w:t>
      </w:r>
      <w:r>
        <w:rPr>
          <w:vertAlign w:val="subscript"/>
        </w:rPr>
        <w:t>0</w:t>
      </w:r>
      <w:r>
        <w:t>—参考位置距声源的距离，m；</w:t>
      </w:r>
    </w:p>
    <w:p w14:paraId="55242787">
      <w:pPr>
        <w:ind w:firstLine="1200" w:firstLineChars="500"/>
      </w:pPr>
      <w:r>
        <w:t>ΔL</w:t>
      </w:r>
      <w:r>
        <w:rPr>
          <w:vertAlign w:val="subscript"/>
        </w:rPr>
        <w:t>oc</w:t>
      </w:r>
      <w:r>
        <w:t>t</w:t>
      </w:r>
      <w:r>
        <w:rPr>
          <w:rFonts w:hint="eastAsia"/>
        </w:rPr>
        <w:t>—</w:t>
      </w:r>
      <w:r>
        <w:t>各种因素引起的衰减量，包括声屏障、遮挡物、空气吸收和地面效应引起的衰减量。</w:t>
      </w:r>
    </w:p>
    <w:p w14:paraId="670D5024">
      <w:pPr>
        <w:ind w:firstLine="480" w:firstLineChars="200"/>
      </w:pPr>
      <w:r>
        <w:t>如果已知声源的倍频带声功率级L</w:t>
      </w:r>
      <w:r>
        <w:rPr>
          <w:vertAlign w:val="subscript"/>
        </w:rPr>
        <w:t>wcot</w:t>
      </w:r>
      <w:r>
        <w:t>，且声源可看作是位于地面上的，则：</w:t>
      </w:r>
    </w:p>
    <w:p w14:paraId="04C856B7">
      <w:pPr>
        <w:spacing w:line="240" w:lineRule="auto"/>
        <w:jc w:val="center"/>
      </w:pPr>
      <w:r>
        <w:drawing>
          <wp:inline distT="0" distB="0" distL="0" distR="0">
            <wp:extent cx="2152650" cy="361950"/>
            <wp:effectExtent l="0" t="0" r="0" b="0"/>
            <wp:docPr id="1739624000"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9624000" name="图片 1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a:xfrm>
                      <a:off x="0" y="0"/>
                      <a:ext cx="2152650" cy="361950"/>
                    </a:xfrm>
                    <a:prstGeom prst="rect">
                      <a:avLst/>
                    </a:prstGeom>
                    <a:noFill/>
                    <a:ln>
                      <a:noFill/>
                    </a:ln>
                  </pic:spPr>
                </pic:pic>
              </a:graphicData>
            </a:graphic>
          </wp:inline>
        </w:drawing>
      </w:r>
    </w:p>
    <w:p w14:paraId="14B35199">
      <w:pPr>
        <w:ind w:firstLine="480" w:firstLineChars="200"/>
      </w:pPr>
      <w:r>
        <w:t>由各倍频带声压级合成计算出该声源产生的A声级L</w:t>
      </w:r>
      <w:r>
        <w:rPr>
          <w:vertAlign w:val="subscript"/>
        </w:rPr>
        <w:t>A</w:t>
      </w:r>
      <w:r>
        <w:t>。</w:t>
      </w:r>
    </w:p>
    <w:p w14:paraId="3E4E0704">
      <w:pPr>
        <w:ind w:firstLine="480" w:firstLineChars="200"/>
      </w:pPr>
      <w:r>
        <w:t>(2)室内声源</w:t>
      </w:r>
    </w:p>
    <w:p w14:paraId="526FF347">
      <w:pPr>
        <w:ind w:firstLine="480" w:firstLineChars="200"/>
      </w:pPr>
      <w:r>
        <w:rPr>
          <w:rFonts w:ascii="Cambria Math" w:hAnsi="Cambria Math" w:cs="Cambria Math"/>
        </w:rPr>
        <w:t>①</w:t>
      </w:r>
      <w:r>
        <w:t>首先计算出某个室内靠近围护结构处的倍频带声压级：</w:t>
      </w:r>
    </w:p>
    <w:p w14:paraId="2BD4C7EE">
      <w:pPr>
        <w:spacing w:line="240" w:lineRule="auto"/>
        <w:jc w:val="center"/>
      </w:pPr>
      <w:r>
        <w:drawing>
          <wp:inline distT="0" distB="0" distL="0" distR="0">
            <wp:extent cx="2343150" cy="628650"/>
            <wp:effectExtent l="0" t="0" r="0" b="0"/>
            <wp:docPr id="172285018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850180" name="图片 1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a:xfrm>
                      <a:off x="0" y="0"/>
                      <a:ext cx="2343150" cy="628650"/>
                    </a:xfrm>
                    <a:prstGeom prst="rect">
                      <a:avLst/>
                    </a:prstGeom>
                    <a:noFill/>
                    <a:ln>
                      <a:noFill/>
                    </a:ln>
                  </pic:spPr>
                </pic:pic>
              </a:graphicData>
            </a:graphic>
          </wp:inline>
        </w:drawing>
      </w:r>
    </w:p>
    <w:p w14:paraId="1D06C6D6">
      <w:pPr>
        <w:ind w:firstLine="480" w:firstLineChars="200"/>
      </w:pPr>
      <w:r>
        <w:t>式中：L</w:t>
      </w:r>
      <w:r>
        <w:rPr>
          <w:vertAlign w:val="subscript"/>
        </w:rPr>
        <w:t>oct，1</w:t>
      </w:r>
      <w:r>
        <w:t>为某个室内声源在靠近围护结构处产生的倍频带声压级，L</w:t>
      </w:r>
      <w:r>
        <w:rPr>
          <w:vertAlign w:val="subscript"/>
        </w:rPr>
        <w:t>woct</w:t>
      </w:r>
      <w:r>
        <w:t>为某个声源的倍频带声功率级，r为室内某源距离围护结构的距离，R为房间常数，Q为方向性因子。</w:t>
      </w:r>
    </w:p>
    <w:p w14:paraId="2806BD43">
      <w:pPr>
        <w:spacing w:line="240" w:lineRule="auto"/>
        <w:jc w:val="center"/>
      </w:pPr>
      <w:r>
        <w:drawing>
          <wp:inline distT="0" distB="0" distL="0" distR="0">
            <wp:extent cx="1905000" cy="1076325"/>
            <wp:effectExtent l="0" t="0" r="0" b="9525"/>
            <wp:docPr id="14723703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370315" name="图片 1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a:xfrm>
                      <a:off x="0" y="0"/>
                      <a:ext cx="1905000" cy="1076325"/>
                    </a:xfrm>
                    <a:prstGeom prst="rect">
                      <a:avLst/>
                    </a:prstGeom>
                    <a:noFill/>
                    <a:ln>
                      <a:noFill/>
                    </a:ln>
                  </pic:spPr>
                </pic:pic>
              </a:graphicData>
            </a:graphic>
          </wp:inline>
        </w:drawing>
      </w:r>
    </w:p>
    <w:p w14:paraId="25976BB0">
      <w:pPr>
        <w:ind w:firstLine="480" w:firstLineChars="200"/>
      </w:pPr>
      <w:r>
        <w:rPr>
          <w:rFonts w:ascii="Cambria Math" w:hAnsi="Cambria Math" w:cs="Cambria Math"/>
        </w:rPr>
        <w:t>②</w:t>
      </w:r>
      <w:r>
        <w:t>再计算出所有室内声源在靠近围护结构处产生的总倍频带声压级：</w:t>
      </w:r>
    </w:p>
    <w:p w14:paraId="3D0B0931">
      <w:pPr>
        <w:spacing w:line="240" w:lineRule="auto"/>
        <w:jc w:val="center"/>
      </w:pPr>
      <w:r>
        <w:drawing>
          <wp:inline distT="0" distB="0" distL="0" distR="0">
            <wp:extent cx="2266950" cy="504825"/>
            <wp:effectExtent l="0" t="0" r="0" b="9525"/>
            <wp:docPr id="163213530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135307" name="图片 1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a:xfrm>
                      <a:off x="0" y="0"/>
                      <a:ext cx="2266950" cy="504825"/>
                    </a:xfrm>
                    <a:prstGeom prst="rect">
                      <a:avLst/>
                    </a:prstGeom>
                    <a:noFill/>
                    <a:ln>
                      <a:noFill/>
                    </a:ln>
                  </pic:spPr>
                </pic:pic>
              </a:graphicData>
            </a:graphic>
          </wp:inline>
        </w:drawing>
      </w:r>
    </w:p>
    <w:p w14:paraId="6B6C76DD">
      <w:pPr>
        <w:ind w:firstLine="480" w:firstLineChars="200"/>
      </w:pPr>
      <w:r>
        <w:rPr>
          <w:rFonts w:ascii="Cambria Math" w:hAnsi="Cambria Math" w:cs="Cambria Math"/>
        </w:rPr>
        <w:t>③</w:t>
      </w:r>
      <w:r>
        <w:t>计算出室外靠近围护结构处的声压级：</w:t>
      </w:r>
    </w:p>
    <w:p w14:paraId="3B18E2DD">
      <w:pPr>
        <w:spacing w:line="240" w:lineRule="auto"/>
        <w:jc w:val="center"/>
      </w:pPr>
      <w:r>
        <w:drawing>
          <wp:inline distT="0" distB="0" distL="0" distR="0">
            <wp:extent cx="2286000" cy="361950"/>
            <wp:effectExtent l="0" t="0" r="0" b="0"/>
            <wp:docPr id="109735468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354687" name="图片 1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a:xfrm>
                      <a:off x="0" y="0"/>
                      <a:ext cx="2286000" cy="361950"/>
                    </a:xfrm>
                    <a:prstGeom prst="rect">
                      <a:avLst/>
                    </a:prstGeom>
                    <a:noFill/>
                    <a:ln>
                      <a:noFill/>
                    </a:ln>
                  </pic:spPr>
                </pic:pic>
              </a:graphicData>
            </a:graphic>
          </wp:inline>
        </w:drawing>
      </w:r>
    </w:p>
    <w:p w14:paraId="44C40563">
      <w:pPr>
        <w:ind w:firstLine="480" w:firstLineChars="200"/>
      </w:pPr>
      <w:r>
        <w:rPr>
          <w:rFonts w:ascii="Cambria Math" w:hAnsi="Cambria Math" w:cs="Cambria Math"/>
        </w:rPr>
        <w:t>④</w:t>
      </w:r>
      <w:r>
        <w:t>将室外声级L</w:t>
      </w:r>
      <w:r>
        <w:rPr>
          <w:vertAlign w:val="subscript"/>
        </w:rPr>
        <w:t>oct，2</w:t>
      </w:r>
      <w:r>
        <w:t>(T)和透声面积换算成等效的室外声源，计算出等效声源第i个倍频带的声功率级L</w:t>
      </w:r>
      <w:r>
        <w:rPr>
          <w:vertAlign w:val="subscript"/>
        </w:rPr>
        <w:t>woct</w:t>
      </w:r>
      <w:r>
        <w:t>：</w:t>
      </w:r>
    </w:p>
    <w:p w14:paraId="2F0F7D49">
      <w:pPr>
        <w:spacing w:line="240" w:lineRule="auto"/>
        <w:jc w:val="center"/>
      </w:pPr>
      <w:r>
        <w:drawing>
          <wp:inline distT="0" distB="0" distL="0" distR="0">
            <wp:extent cx="2028825" cy="438150"/>
            <wp:effectExtent l="0" t="0" r="9525" b="0"/>
            <wp:docPr id="13825909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59099" name="图片 1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a:xfrm>
                      <a:off x="0" y="0"/>
                      <a:ext cx="2028825" cy="438150"/>
                    </a:xfrm>
                    <a:prstGeom prst="rect">
                      <a:avLst/>
                    </a:prstGeom>
                    <a:noFill/>
                    <a:ln>
                      <a:noFill/>
                    </a:ln>
                  </pic:spPr>
                </pic:pic>
              </a:graphicData>
            </a:graphic>
          </wp:inline>
        </w:drawing>
      </w:r>
    </w:p>
    <w:p w14:paraId="00461697">
      <w:pPr>
        <w:ind w:firstLine="480" w:firstLineChars="200"/>
      </w:pPr>
      <w:r>
        <w:t>式中：S为透声面积，m</w:t>
      </w:r>
      <w:r>
        <w:rPr>
          <w:vertAlign w:val="superscript"/>
        </w:rPr>
        <w:t>2</w:t>
      </w:r>
      <w:r>
        <w:t>。</w:t>
      </w:r>
    </w:p>
    <w:p w14:paraId="1BDD53C2">
      <w:pPr>
        <w:ind w:firstLine="480" w:firstLineChars="200"/>
      </w:pPr>
      <w:r>
        <w:rPr>
          <w:rFonts w:ascii="Cambria Math" w:hAnsi="Cambria Math" w:cs="Cambria Math"/>
        </w:rPr>
        <w:t>⑤</w:t>
      </w:r>
      <w:r>
        <w:t>等效室外声源的位置为围护结构的位置，其倍频带声功率级为L</w:t>
      </w:r>
      <w:r>
        <w:rPr>
          <w:vertAlign w:val="subscript"/>
        </w:rPr>
        <w:t>woct</w:t>
      </w:r>
      <w:r>
        <w:t>，由此按室外声源方法计算等效室外声源在预测点产生的声级。</w:t>
      </w:r>
    </w:p>
    <w:p w14:paraId="14E2F619">
      <w:pPr>
        <w:ind w:firstLine="480" w:firstLineChars="200"/>
      </w:pPr>
      <w:r>
        <w:t>由上述各式可计算出周围声环境因该项目设备新增加的声级值，综合该区内的声环境背景值，再按声能量迭加模式预测出某点的总声压级值，预测模式如下：</w:t>
      </w:r>
    </w:p>
    <w:p w14:paraId="6207DCEB">
      <w:pPr>
        <w:spacing w:line="240" w:lineRule="auto"/>
        <w:jc w:val="center"/>
      </w:pPr>
      <w:r>
        <w:drawing>
          <wp:inline distT="0" distB="0" distL="0" distR="0">
            <wp:extent cx="3467100" cy="561975"/>
            <wp:effectExtent l="0" t="0" r="0" b="9525"/>
            <wp:docPr id="152107715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077153" name="图片 1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a:xfrm>
                      <a:off x="0" y="0"/>
                      <a:ext cx="3467100" cy="561975"/>
                    </a:xfrm>
                    <a:prstGeom prst="rect">
                      <a:avLst/>
                    </a:prstGeom>
                    <a:noFill/>
                    <a:ln>
                      <a:noFill/>
                    </a:ln>
                  </pic:spPr>
                </pic:pic>
              </a:graphicData>
            </a:graphic>
          </wp:inline>
        </w:drawing>
      </w:r>
    </w:p>
    <w:p w14:paraId="62B31A48">
      <w:pPr>
        <w:ind w:firstLine="480" w:firstLineChars="200"/>
      </w:pPr>
      <w:r>
        <w:t>式中：Leq</w:t>
      </w:r>
      <w:r>
        <w:rPr>
          <w:vertAlign w:val="subscript"/>
        </w:rPr>
        <w:t>总</w:t>
      </w:r>
      <w:r>
        <w:t>—某预测点总声压级，dB(A)；</w:t>
      </w:r>
    </w:p>
    <w:p w14:paraId="0C04201D">
      <w:pPr>
        <w:ind w:firstLine="1200" w:firstLineChars="500"/>
      </w:pPr>
      <w:r>
        <w:t>n—为室外声源个数；</w:t>
      </w:r>
    </w:p>
    <w:p w14:paraId="1550B7DA">
      <w:pPr>
        <w:ind w:firstLine="1200" w:firstLineChars="500"/>
      </w:pPr>
      <w:r>
        <w:t>m—为等效室外声源个数；</w:t>
      </w:r>
    </w:p>
    <w:p w14:paraId="54A9EC54">
      <w:pPr>
        <w:ind w:firstLine="1200" w:firstLineChars="500"/>
      </w:pPr>
      <w:r>
        <w:t>T—为计算等效声级时间。</w:t>
      </w:r>
    </w:p>
    <w:p w14:paraId="15DC2CF5">
      <w:pPr>
        <w:pStyle w:val="4"/>
        <w:rPr>
          <w:rFonts w:hint="eastAsia"/>
        </w:rPr>
      </w:pPr>
      <w:bookmarkStart w:id="99" w:name="_Toc195625002"/>
      <w:bookmarkStart w:id="100" w:name="_Toc221056420"/>
      <w:r>
        <w:rPr>
          <w:rFonts w:hint="eastAsia"/>
        </w:rPr>
        <w:t>6</w:t>
      </w:r>
      <w:r>
        <w:t>.4.3预测结果及评价</w:t>
      </w:r>
      <w:bookmarkEnd w:id="99"/>
      <w:bookmarkEnd w:id="100"/>
    </w:p>
    <w:p w14:paraId="3AB56FB2">
      <w:pPr>
        <w:ind w:firstLine="480" w:firstLineChars="200"/>
      </w:pPr>
      <w:r>
        <w:t>在考虑各噪声源经过消声、车间隔音等消声降噪后，</w:t>
      </w:r>
      <w:r>
        <w:rPr>
          <w:rFonts w:hint="eastAsia"/>
        </w:rPr>
        <w:t>新增噪声源叠加现状后，</w:t>
      </w:r>
      <w:r>
        <w:t>噪声预测结果见表</w:t>
      </w:r>
      <w:r>
        <w:rPr>
          <w:rFonts w:hint="eastAsia"/>
        </w:rPr>
        <w:t>6</w:t>
      </w:r>
      <w:r>
        <w:t>.4-1。</w:t>
      </w:r>
    </w:p>
    <w:p w14:paraId="5D8ADE72">
      <w:pPr>
        <w:pStyle w:val="82"/>
        <w:ind w:firstLine="480"/>
        <w:rPr>
          <w:rFonts w:hint="eastAsia"/>
          <w:color w:val="000000" w:themeColor="text1"/>
          <w14:textFill>
            <w14:solidFill>
              <w14:schemeClr w14:val="tx1"/>
            </w14:solidFill>
          </w14:textFill>
        </w:rPr>
      </w:pPr>
    </w:p>
    <w:p w14:paraId="3384B300">
      <w:pPr>
        <w:jc w:val="center"/>
        <w:rPr>
          <w:rFonts w:hint="eastAsia" w:ascii="黑体" w:hAnsi="黑体" w:eastAsia="黑体" w:cs="Times New Roman"/>
        </w:rPr>
      </w:pPr>
      <w:r>
        <w:rPr>
          <w:rFonts w:ascii="黑体" w:hAnsi="黑体" w:eastAsia="黑体" w:cs="Times New Roman"/>
        </w:rPr>
        <w:t>表</w:t>
      </w:r>
      <w:r>
        <w:rPr>
          <w:rFonts w:hint="eastAsia" w:ascii="黑体" w:hAnsi="黑体" w:eastAsia="黑体" w:cs="Times New Roman"/>
        </w:rPr>
        <w:t>6.</w:t>
      </w:r>
      <w:r>
        <w:rPr>
          <w:rFonts w:ascii="黑体" w:hAnsi="黑体" w:eastAsia="黑体" w:cs="Times New Roman"/>
        </w:rPr>
        <w:t>4-1  本项目噪声预测结果表(单位：dB(A))</w:t>
      </w:r>
    </w:p>
    <w:tbl>
      <w:tblPr>
        <w:tblStyle w:val="3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42"/>
        <w:gridCol w:w="1033"/>
        <w:gridCol w:w="1471"/>
        <w:gridCol w:w="1471"/>
        <w:gridCol w:w="1471"/>
        <w:gridCol w:w="1471"/>
        <w:gridCol w:w="1227"/>
      </w:tblGrid>
      <w:tr w14:paraId="3D04D8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15" w:type="pct"/>
            <w:tcBorders>
              <w:top w:val="single" w:color="auto" w:sz="4" w:space="0"/>
              <w:left w:val="single" w:color="auto" w:sz="4" w:space="0"/>
              <w:bottom w:val="single" w:color="auto" w:sz="4" w:space="0"/>
              <w:right w:val="single" w:color="auto" w:sz="4" w:space="0"/>
            </w:tcBorders>
            <w:vAlign w:val="center"/>
          </w:tcPr>
          <w:p w14:paraId="04D3DCF2">
            <w:pPr>
              <w:spacing w:line="240" w:lineRule="auto"/>
              <w:jc w:val="center"/>
              <w:rPr>
                <w:rFonts w:cs="Times New Roman"/>
                <w:bCs/>
                <w:sz w:val="21"/>
                <w:szCs w:val="21"/>
              </w:rPr>
            </w:pPr>
            <w:r>
              <w:rPr>
                <w:rFonts w:cs="Times New Roman"/>
                <w:bCs/>
                <w:sz w:val="21"/>
                <w:szCs w:val="21"/>
              </w:rPr>
              <w:t>预测方位</w:t>
            </w:r>
          </w:p>
        </w:tc>
        <w:tc>
          <w:tcPr>
            <w:tcW w:w="556" w:type="pct"/>
            <w:tcBorders>
              <w:top w:val="single" w:color="auto" w:sz="4" w:space="0"/>
              <w:left w:val="nil"/>
              <w:bottom w:val="single" w:color="auto" w:sz="4" w:space="0"/>
              <w:right w:val="single" w:color="auto" w:sz="4" w:space="0"/>
            </w:tcBorders>
            <w:vAlign w:val="center"/>
          </w:tcPr>
          <w:p w14:paraId="4ECFF080">
            <w:pPr>
              <w:spacing w:line="240" w:lineRule="auto"/>
              <w:jc w:val="center"/>
              <w:rPr>
                <w:rFonts w:cs="Times New Roman"/>
                <w:bCs/>
                <w:sz w:val="21"/>
                <w:szCs w:val="21"/>
              </w:rPr>
            </w:pPr>
            <w:r>
              <w:rPr>
                <w:rFonts w:cs="Times New Roman"/>
                <w:bCs/>
                <w:sz w:val="21"/>
                <w:szCs w:val="21"/>
              </w:rPr>
              <w:t>时段</w:t>
            </w:r>
          </w:p>
        </w:tc>
        <w:tc>
          <w:tcPr>
            <w:tcW w:w="792" w:type="pct"/>
            <w:tcBorders>
              <w:top w:val="single" w:color="auto" w:sz="4" w:space="0"/>
              <w:left w:val="nil"/>
              <w:bottom w:val="single" w:color="auto" w:sz="4" w:space="0"/>
              <w:right w:val="single" w:color="auto" w:sz="4" w:space="0"/>
            </w:tcBorders>
            <w:vAlign w:val="center"/>
          </w:tcPr>
          <w:p w14:paraId="1A4A4E5F">
            <w:pPr>
              <w:spacing w:line="240" w:lineRule="auto"/>
              <w:jc w:val="center"/>
              <w:rPr>
                <w:rFonts w:cs="Times New Roman"/>
                <w:bCs/>
                <w:sz w:val="21"/>
                <w:szCs w:val="21"/>
              </w:rPr>
            </w:pPr>
            <w:r>
              <w:rPr>
                <w:rFonts w:cs="Times New Roman"/>
                <w:bCs/>
                <w:sz w:val="21"/>
                <w:szCs w:val="21"/>
              </w:rPr>
              <w:t>贡献值(dB(A))</w:t>
            </w:r>
          </w:p>
        </w:tc>
        <w:tc>
          <w:tcPr>
            <w:tcW w:w="792" w:type="pct"/>
          </w:tcPr>
          <w:p w14:paraId="2FAD4D42">
            <w:pPr>
              <w:spacing w:line="240" w:lineRule="auto"/>
              <w:jc w:val="center"/>
              <w:rPr>
                <w:rFonts w:cs="Times New Roman"/>
                <w:bCs/>
                <w:sz w:val="21"/>
                <w:szCs w:val="21"/>
              </w:rPr>
            </w:pPr>
            <w:r>
              <w:rPr>
                <w:rFonts w:hint="eastAsia" w:cs="Times New Roman"/>
                <w:bCs/>
                <w:sz w:val="21"/>
                <w:szCs w:val="21"/>
              </w:rPr>
              <w:t>背景值</w:t>
            </w:r>
            <w:r>
              <w:rPr>
                <w:rFonts w:cs="Times New Roman"/>
                <w:bCs/>
                <w:sz w:val="21"/>
                <w:szCs w:val="21"/>
              </w:rPr>
              <w:t>(dB(A))</w:t>
            </w:r>
          </w:p>
        </w:tc>
        <w:tc>
          <w:tcPr>
            <w:tcW w:w="792" w:type="pct"/>
          </w:tcPr>
          <w:p w14:paraId="2679A00A">
            <w:pPr>
              <w:spacing w:line="240" w:lineRule="auto"/>
              <w:jc w:val="center"/>
              <w:rPr>
                <w:rFonts w:cs="Times New Roman"/>
                <w:bCs/>
                <w:sz w:val="21"/>
                <w:szCs w:val="21"/>
              </w:rPr>
            </w:pPr>
            <w:r>
              <w:rPr>
                <w:rFonts w:hint="eastAsia" w:cs="Times New Roman"/>
                <w:bCs/>
                <w:sz w:val="21"/>
                <w:szCs w:val="21"/>
              </w:rPr>
              <w:t>叠加后预测值</w:t>
            </w:r>
            <w:r>
              <w:rPr>
                <w:rFonts w:cs="Times New Roman"/>
                <w:bCs/>
                <w:sz w:val="21"/>
                <w:szCs w:val="21"/>
              </w:rPr>
              <w:t>(dB(A))</w:t>
            </w:r>
          </w:p>
        </w:tc>
        <w:tc>
          <w:tcPr>
            <w:tcW w:w="792" w:type="pct"/>
            <w:tcBorders>
              <w:top w:val="single" w:color="auto" w:sz="4" w:space="0"/>
              <w:left w:val="nil"/>
              <w:bottom w:val="single" w:color="auto" w:sz="4" w:space="0"/>
              <w:right w:val="single" w:color="auto" w:sz="4" w:space="0"/>
            </w:tcBorders>
            <w:vAlign w:val="center"/>
          </w:tcPr>
          <w:p w14:paraId="22FD68EA">
            <w:pPr>
              <w:spacing w:line="240" w:lineRule="auto"/>
              <w:jc w:val="center"/>
              <w:rPr>
                <w:rFonts w:cs="Times New Roman"/>
                <w:bCs/>
                <w:sz w:val="21"/>
                <w:szCs w:val="21"/>
              </w:rPr>
            </w:pPr>
            <w:r>
              <w:rPr>
                <w:rFonts w:cs="Times New Roman"/>
                <w:bCs/>
                <w:sz w:val="21"/>
                <w:szCs w:val="21"/>
              </w:rPr>
              <w:t>标准限值(dB(A))</w:t>
            </w:r>
          </w:p>
        </w:tc>
        <w:tc>
          <w:tcPr>
            <w:tcW w:w="660" w:type="pct"/>
            <w:tcBorders>
              <w:top w:val="single" w:color="auto" w:sz="4" w:space="0"/>
              <w:left w:val="nil"/>
              <w:bottom w:val="single" w:color="auto" w:sz="4" w:space="0"/>
              <w:right w:val="single" w:color="auto" w:sz="4" w:space="0"/>
            </w:tcBorders>
            <w:vAlign w:val="center"/>
          </w:tcPr>
          <w:p w14:paraId="6EAEA535">
            <w:pPr>
              <w:spacing w:line="240" w:lineRule="auto"/>
              <w:jc w:val="center"/>
              <w:rPr>
                <w:rFonts w:cs="Times New Roman"/>
                <w:bCs/>
                <w:sz w:val="21"/>
                <w:szCs w:val="21"/>
              </w:rPr>
            </w:pPr>
            <w:r>
              <w:rPr>
                <w:rFonts w:cs="Times New Roman"/>
                <w:bCs/>
                <w:sz w:val="21"/>
                <w:szCs w:val="21"/>
              </w:rPr>
              <w:t>达标情况</w:t>
            </w:r>
          </w:p>
        </w:tc>
      </w:tr>
      <w:tr w14:paraId="2938A7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15" w:type="pct"/>
            <w:vMerge w:val="restart"/>
            <w:tcBorders>
              <w:top w:val="nil"/>
              <w:left w:val="single" w:color="auto" w:sz="4" w:space="0"/>
              <w:bottom w:val="single" w:color="auto" w:sz="4" w:space="0"/>
              <w:right w:val="single" w:color="auto" w:sz="4" w:space="0"/>
            </w:tcBorders>
            <w:shd w:val="clear" w:color="auto" w:fill="FFFFFF"/>
            <w:vAlign w:val="center"/>
          </w:tcPr>
          <w:p w14:paraId="7DE0E626">
            <w:pPr>
              <w:spacing w:line="240" w:lineRule="auto"/>
              <w:jc w:val="center"/>
              <w:rPr>
                <w:rFonts w:cs="Times New Roman"/>
                <w:sz w:val="21"/>
                <w:szCs w:val="21"/>
              </w:rPr>
            </w:pPr>
            <w:r>
              <w:rPr>
                <w:rFonts w:cs="Times New Roman"/>
                <w:sz w:val="21"/>
                <w:szCs w:val="21"/>
              </w:rPr>
              <w:t>东侧</w:t>
            </w:r>
          </w:p>
        </w:tc>
        <w:tc>
          <w:tcPr>
            <w:tcW w:w="556" w:type="pct"/>
            <w:tcBorders>
              <w:top w:val="single" w:color="auto" w:sz="4" w:space="0"/>
              <w:left w:val="nil"/>
              <w:bottom w:val="single" w:color="auto" w:sz="4" w:space="0"/>
              <w:right w:val="single" w:color="auto" w:sz="4" w:space="0"/>
            </w:tcBorders>
            <w:shd w:val="clear" w:color="auto" w:fill="FFFFFF"/>
            <w:vAlign w:val="center"/>
          </w:tcPr>
          <w:p w14:paraId="37EA3CF0">
            <w:pPr>
              <w:spacing w:line="240" w:lineRule="auto"/>
              <w:jc w:val="center"/>
              <w:rPr>
                <w:rFonts w:cs="Times New Roman"/>
                <w:sz w:val="21"/>
                <w:szCs w:val="21"/>
              </w:rPr>
            </w:pPr>
            <w:r>
              <w:rPr>
                <w:rFonts w:cs="Times New Roman"/>
                <w:sz w:val="21"/>
                <w:szCs w:val="21"/>
              </w:rPr>
              <w:t>昼间</w:t>
            </w:r>
          </w:p>
        </w:tc>
        <w:tc>
          <w:tcPr>
            <w:tcW w:w="792" w:type="pct"/>
            <w:tcBorders>
              <w:top w:val="single" w:color="auto" w:sz="4" w:space="0"/>
              <w:left w:val="nil"/>
              <w:bottom w:val="single" w:color="auto" w:sz="4" w:space="0"/>
              <w:right w:val="single" w:color="auto" w:sz="4" w:space="0"/>
            </w:tcBorders>
            <w:shd w:val="clear" w:color="auto" w:fill="FFFFFF"/>
            <w:vAlign w:val="center"/>
          </w:tcPr>
          <w:p w14:paraId="303083DA">
            <w:pPr>
              <w:spacing w:line="240" w:lineRule="auto"/>
              <w:jc w:val="center"/>
              <w:rPr>
                <w:rFonts w:cs="Times New Roman"/>
                <w:sz w:val="21"/>
                <w:szCs w:val="21"/>
              </w:rPr>
            </w:pPr>
            <w:r>
              <w:rPr>
                <w:rFonts w:hint="eastAsia" w:cs="Times New Roman"/>
                <w:sz w:val="21"/>
                <w:szCs w:val="21"/>
              </w:rPr>
              <w:t>51.0</w:t>
            </w:r>
          </w:p>
        </w:tc>
        <w:tc>
          <w:tcPr>
            <w:tcW w:w="792" w:type="pct"/>
            <w:shd w:val="clear" w:color="auto" w:fill="FFFFFF"/>
            <w:vAlign w:val="center"/>
          </w:tcPr>
          <w:p w14:paraId="503F12AB">
            <w:pPr>
              <w:spacing w:line="240" w:lineRule="auto"/>
              <w:jc w:val="center"/>
              <w:rPr>
                <w:rFonts w:cs="Times New Roman"/>
                <w:sz w:val="21"/>
                <w:szCs w:val="21"/>
              </w:rPr>
            </w:pPr>
            <w:r>
              <w:rPr>
                <w:rFonts w:hint="eastAsia"/>
                <w:sz w:val="21"/>
                <w:szCs w:val="21"/>
              </w:rPr>
              <w:t>57.5</w:t>
            </w:r>
          </w:p>
        </w:tc>
        <w:tc>
          <w:tcPr>
            <w:tcW w:w="792" w:type="pct"/>
            <w:shd w:val="clear" w:color="auto" w:fill="FFFFFF"/>
            <w:vAlign w:val="center"/>
          </w:tcPr>
          <w:p w14:paraId="1EBC071C">
            <w:pPr>
              <w:spacing w:line="240" w:lineRule="auto"/>
              <w:jc w:val="center"/>
              <w:rPr>
                <w:rFonts w:cs="Times New Roman"/>
                <w:sz w:val="21"/>
                <w:szCs w:val="21"/>
              </w:rPr>
            </w:pPr>
            <w:r>
              <w:rPr>
                <w:rFonts w:hint="eastAsia"/>
                <w:sz w:val="21"/>
                <w:szCs w:val="21"/>
              </w:rPr>
              <w:t>57.6</w:t>
            </w:r>
          </w:p>
        </w:tc>
        <w:tc>
          <w:tcPr>
            <w:tcW w:w="792" w:type="pct"/>
            <w:tcBorders>
              <w:top w:val="single" w:color="auto" w:sz="4" w:space="0"/>
              <w:left w:val="nil"/>
              <w:bottom w:val="single" w:color="auto" w:sz="4" w:space="0"/>
              <w:right w:val="single" w:color="auto" w:sz="4" w:space="0"/>
            </w:tcBorders>
            <w:shd w:val="clear" w:color="auto" w:fill="FFFFFF"/>
            <w:vAlign w:val="center"/>
          </w:tcPr>
          <w:p w14:paraId="2E69809C">
            <w:pPr>
              <w:spacing w:line="240" w:lineRule="auto"/>
              <w:jc w:val="center"/>
              <w:rPr>
                <w:rFonts w:cs="Times New Roman"/>
                <w:sz w:val="21"/>
                <w:szCs w:val="21"/>
              </w:rPr>
            </w:pPr>
            <w:r>
              <w:rPr>
                <w:rFonts w:cs="Times New Roman"/>
                <w:sz w:val="21"/>
                <w:szCs w:val="21"/>
              </w:rPr>
              <w:t>65</w:t>
            </w:r>
          </w:p>
        </w:tc>
        <w:tc>
          <w:tcPr>
            <w:tcW w:w="660" w:type="pct"/>
            <w:tcBorders>
              <w:top w:val="single" w:color="auto" w:sz="4" w:space="0"/>
              <w:left w:val="nil"/>
              <w:bottom w:val="single" w:color="auto" w:sz="4" w:space="0"/>
              <w:right w:val="single" w:color="auto" w:sz="4" w:space="0"/>
            </w:tcBorders>
            <w:shd w:val="clear" w:color="auto" w:fill="FFFFFF"/>
            <w:vAlign w:val="center"/>
          </w:tcPr>
          <w:p w14:paraId="2077A66F">
            <w:pPr>
              <w:spacing w:line="240" w:lineRule="auto"/>
              <w:jc w:val="center"/>
              <w:rPr>
                <w:rFonts w:cs="Times New Roman"/>
                <w:sz w:val="21"/>
                <w:szCs w:val="21"/>
              </w:rPr>
            </w:pPr>
            <w:r>
              <w:rPr>
                <w:rFonts w:cs="Times New Roman"/>
                <w:sz w:val="21"/>
                <w:szCs w:val="21"/>
              </w:rPr>
              <w:t>达标</w:t>
            </w:r>
          </w:p>
        </w:tc>
      </w:tr>
      <w:tr w14:paraId="2CB9F6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15" w:type="pct"/>
            <w:vMerge w:val="continue"/>
            <w:tcBorders>
              <w:top w:val="nil"/>
              <w:left w:val="single" w:color="auto" w:sz="4" w:space="0"/>
              <w:bottom w:val="single" w:color="auto" w:sz="4" w:space="0"/>
              <w:right w:val="single" w:color="auto" w:sz="4" w:space="0"/>
            </w:tcBorders>
            <w:vAlign w:val="center"/>
          </w:tcPr>
          <w:p w14:paraId="7D8EDA07">
            <w:pPr>
              <w:spacing w:line="240" w:lineRule="auto"/>
              <w:jc w:val="center"/>
              <w:rPr>
                <w:rFonts w:cs="Times New Roman"/>
                <w:sz w:val="21"/>
                <w:szCs w:val="21"/>
              </w:rPr>
            </w:pPr>
          </w:p>
        </w:tc>
        <w:tc>
          <w:tcPr>
            <w:tcW w:w="556" w:type="pct"/>
            <w:tcBorders>
              <w:top w:val="single" w:color="auto" w:sz="4" w:space="0"/>
              <w:left w:val="nil"/>
              <w:bottom w:val="single" w:color="auto" w:sz="4" w:space="0"/>
              <w:right w:val="single" w:color="auto" w:sz="4" w:space="0"/>
            </w:tcBorders>
            <w:shd w:val="clear" w:color="auto" w:fill="FFFFFF"/>
            <w:vAlign w:val="center"/>
          </w:tcPr>
          <w:p w14:paraId="6C4F41D1">
            <w:pPr>
              <w:spacing w:line="240" w:lineRule="auto"/>
              <w:jc w:val="center"/>
              <w:rPr>
                <w:rFonts w:cs="Times New Roman"/>
                <w:sz w:val="21"/>
                <w:szCs w:val="21"/>
              </w:rPr>
            </w:pPr>
            <w:r>
              <w:rPr>
                <w:rFonts w:cs="Times New Roman"/>
                <w:sz w:val="21"/>
                <w:szCs w:val="21"/>
              </w:rPr>
              <w:t>夜间</w:t>
            </w:r>
          </w:p>
        </w:tc>
        <w:tc>
          <w:tcPr>
            <w:tcW w:w="792" w:type="pct"/>
            <w:tcBorders>
              <w:top w:val="single" w:color="auto" w:sz="4" w:space="0"/>
              <w:left w:val="nil"/>
              <w:bottom w:val="single" w:color="auto" w:sz="4" w:space="0"/>
              <w:right w:val="single" w:color="auto" w:sz="4" w:space="0"/>
            </w:tcBorders>
            <w:shd w:val="clear" w:color="auto" w:fill="FFFFFF"/>
            <w:vAlign w:val="center"/>
          </w:tcPr>
          <w:p w14:paraId="379CD1C2">
            <w:pPr>
              <w:spacing w:line="240" w:lineRule="auto"/>
              <w:jc w:val="center"/>
              <w:rPr>
                <w:rFonts w:cs="Times New Roman"/>
                <w:sz w:val="21"/>
                <w:szCs w:val="21"/>
              </w:rPr>
            </w:pPr>
            <w:r>
              <w:rPr>
                <w:rFonts w:hint="eastAsia" w:cs="Times New Roman"/>
                <w:sz w:val="21"/>
                <w:szCs w:val="21"/>
              </w:rPr>
              <w:t>51.0</w:t>
            </w:r>
          </w:p>
        </w:tc>
        <w:tc>
          <w:tcPr>
            <w:tcW w:w="792" w:type="pct"/>
            <w:shd w:val="clear" w:color="auto" w:fill="FFFFFF"/>
            <w:vAlign w:val="center"/>
          </w:tcPr>
          <w:p w14:paraId="1627C96F">
            <w:pPr>
              <w:spacing w:line="240" w:lineRule="auto"/>
              <w:jc w:val="center"/>
              <w:rPr>
                <w:rFonts w:cs="Times New Roman"/>
                <w:sz w:val="21"/>
                <w:szCs w:val="21"/>
              </w:rPr>
            </w:pPr>
            <w:r>
              <w:rPr>
                <w:rFonts w:hint="eastAsia" w:cs="Times New Roman"/>
                <w:sz w:val="21"/>
                <w:szCs w:val="21"/>
              </w:rPr>
              <w:t>53.6</w:t>
            </w:r>
          </w:p>
        </w:tc>
        <w:tc>
          <w:tcPr>
            <w:tcW w:w="792" w:type="pct"/>
            <w:shd w:val="clear" w:color="auto" w:fill="FFFFFF"/>
            <w:vAlign w:val="center"/>
          </w:tcPr>
          <w:p w14:paraId="0F676585">
            <w:pPr>
              <w:spacing w:line="240" w:lineRule="auto"/>
              <w:jc w:val="center"/>
              <w:rPr>
                <w:rFonts w:cs="Times New Roman"/>
                <w:sz w:val="21"/>
                <w:szCs w:val="21"/>
              </w:rPr>
            </w:pPr>
            <w:r>
              <w:rPr>
                <w:rFonts w:hint="eastAsia" w:cs="Times New Roman"/>
                <w:sz w:val="21"/>
                <w:szCs w:val="21"/>
              </w:rPr>
              <w:t>53.7</w:t>
            </w:r>
          </w:p>
        </w:tc>
        <w:tc>
          <w:tcPr>
            <w:tcW w:w="792" w:type="pct"/>
            <w:tcBorders>
              <w:top w:val="single" w:color="auto" w:sz="4" w:space="0"/>
              <w:left w:val="nil"/>
              <w:bottom w:val="single" w:color="auto" w:sz="4" w:space="0"/>
              <w:right w:val="single" w:color="auto" w:sz="4" w:space="0"/>
            </w:tcBorders>
            <w:shd w:val="clear" w:color="auto" w:fill="FFFFFF"/>
            <w:vAlign w:val="center"/>
          </w:tcPr>
          <w:p w14:paraId="0CAE49A8">
            <w:pPr>
              <w:spacing w:line="240" w:lineRule="auto"/>
              <w:jc w:val="center"/>
              <w:rPr>
                <w:rFonts w:cs="Times New Roman"/>
                <w:sz w:val="21"/>
                <w:szCs w:val="21"/>
              </w:rPr>
            </w:pPr>
            <w:r>
              <w:rPr>
                <w:rFonts w:cs="Times New Roman"/>
                <w:sz w:val="21"/>
                <w:szCs w:val="21"/>
              </w:rPr>
              <w:t>55</w:t>
            </w:r>
          </w:p>
        </w:tc>
        <w:tc>
          <w:tcPr>
            <w:tcW w:w="660" w:type="pct"/>
            <w:tcBorders>
              <w:top w:val="single" w:color="auto" w:sz="4" w:space="0"/>
              <w:left w:val="nil"/>
              <w:bottom w:val="single" w:color="auto" w:sz="4" w:space="0"/>
              <w:right w:val="single" w:color="auto" w:sz="4" w:space="0"/>
            </w:tcBorders>
            <w:shd w:val="clear" w:color="auto" w:fill="FFFFFF"/>
            <w:vAlign w:val="center"/>
          </w:tcPr>
          <w:p w14:paraId="154C5733">
            <w:pPr>
              <w:spacing w:line="240" w:lineRule="auto"/>
              <w:jc w:val="center"/>
              <w:rPr>
                <w:rFonts w:cs="Times New Roman"/>
                <w:sz w:val="21"/>
                <w:szCs w:val="21"/>
              </w:rPr>
            </w:pPr>
            <w:r>
              <w:rPr>
                <w:rFonts w:cs="Times New Roman"/>
                <w:sz w:val="21"/>
                <w:szCs w:val="21"/>
              </w:rPr>
              <w:t>达标</w:t>
            </w:r>
          </w:p>
        </w:tc>
      </w:tr>
      <w:tr w14:paraId="682FC9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15" w:type="pct"/>
            <w:vMerge w:val="restart"/>
            <w:tcBorders>
              <w:top w:val="nil"/>
              <w:left w:val="single" w:color="auto" w:sz="4" w:space="0"/>
              <w:bottom w:val="single" w:color="auto" w:sz="4" w:space="0"/>
              <w:right w:val="single" w:color="auto" w:sz="4" w:space="0"/>
            </w:tcBorders>
            <w:shd w:val="clear" w:color="auto" w:fill="FFFFFF"/>
            <w:vAlign w:val="center"/>
          </w:tcPr>
          <w:p w14:paraId="753638D3">
            <w:pPr>
              <w:spacing w:line="240" w:lineRule="auto"/>
              <w:jc w:val="center"/>
              <w:rPr>
                <w:rFonts w:cs="Times New Roman"/>
                <w:sz w:val="21"/>
                <w:szCs w:val="21"/>
              </w:rPr>
            </w:pPr>
            <w:r>
              <w:rPr>
                <w:rFonts w:cs="Times New Roman"/>
                <w:sz w:val="21"/>
                <w:szCs w:val="21"/>
              </w:rPr>
              <w:t>南侧</w:t>
            </w:r>
          </w:p>
        </w:tc>
        <w:tc>
          <w:tcPr>
            <w:tcW w:w="556" w:type="pct"/>
            <w:tcBorders>
              <w:top w:val="single" w:color="auto" w:sz="4" w:space="0"/>
              <w:left w:val="nil"/>
              <w:bottom w:val="single" w:color="auto" w:sz="4" w:space="0"/>
              <w:right w:val="single" w:color="auto" w:sz="4" w:space="0"/>
            </w:tcBorders>
            <w:shd w:val="clear" w:color="auto" w:fill="FFFFFF"/>
            <w:vAlign w:val="center"/>
          </w:tcPr>
          <w:p w14:paraId="3C2EF069">
            <w:pPr>
              <w:spacing w:line="240" w:lineRule="auto"/>
              <w:jc w:val="center"/>
              <w:rPr>
                <w:rFonts w:cs="Times New Roman"/>
                <w:sz w:val="21"/>
                <w:szCs w:val="21"/>
              </w:rPr>
            </w:pPr>
            <w:r>
              <w:rPr>
                <w:rFonts w:cs="Times New Roman"/>
                <w:sz w:val="21"/>
                <w:szCs w:val="21"/>
              </w:rPr>
              <w:t>昼间</w:t>
            </w:r>
          </w:p>
        </w:tc>
        <w:tc>
          <w:tcPr>
            <w:tcW w:w="792" w:type="pct"/>
            <w:tcBorders>
              <w:top w:val="single" w:color="auto" w:sz="4" w:space="0"/>
              <w:left w:val="nil"/>
              <w:bottom w:val="single" w:color="auto" w:sz="4" w:space="0"/>
              <w:right w:val="single" w:color="auto" w:sz="4" w:space="0"/>
            </w:tcBorders>
            <w:shd w:val="clear" w:color="auto" w:fill="FFFFFF"/>
            <w:vAlign w:val="center"/>
          </w:tcPr>
          <w:p w14:paraId="6FC9CC6D">
            <w:pPr>
              <w:spacing w:line="240" w:lineRule="auto"/>
              <w:jc w:val="center"/>
              <w:rPr>
                <w:rFonts w:cs="Times New Roman"/>
                <w:sz w:val="21"/>
                <w:szCs w:val="21"/>
              </w:rPr>
            </w:pPr>
            <w:r>
              <w:rPr>
                <w:rFonts w:hint="eastAsia" w:cs="Times New Roman"/>
                <w:sz w:val="21"/>
                <w:szCs w:val="21"/>
              </w:rPr>
              <w:t>44.3</w:t>
            </w:r>
          </w:p>
        </w:tc>
        <w:tc>
          <w:tcPr>
            <w:tcW w:w="792" w:type="pct"/>
            <w:shd w:val="clear" w:color="auto" w:fill="FFFFFF"/>
            <w:vAlign w:val="center"/>
          </w:tcPr>
          <w:p w14:paraId="2BB45B19">
            <w:pPr>
              <w:spacing w:line="240" w:lineRule="auto"/>
              <w:jc w:val="center"/>
              <w:rPr>
                <w:rFonts w:cs="Times New Roman"/>
                <w:sz w:val="21"/>
                <w:szCs w:val="21"/>
              </w:rPr>
            </w:pPr>
            <w:r>
              <w:rPr>
                <w:rFonts w:hint="eastAsia" w:cs="Times New Roman"/>
                <w:sz w:val="21"/>
                <w:szCs w:val="21"/>
              </w:rPr>
              <w:t>53.2</w:t>
            </w:r>
          </w:p>
        </w:tc>
        <w:tc>
          <w:tcPr>
            <w:tcW w:w="792" w:type="pct"/>
            <w:shd w:val="clear" w:color="auto" w:fill="FFFFFF"/>
            <w:vAlign w:val="center"/>
          </w:tcPr>
          <w:p w14:paraId="41179E55">
            <w:pPr>
              <w:spacing w:line="240" w:lineRule="auto"/>
              <w:jc w:val="center"/>
              <w:rPr>
                <w:rFonts w:cs="Times New Roman"/>
                <w:sz w:val="21"/>
                <w:szCs w:val="21"/>
              </w:rPr>
            </w:pPr>
            <w:r>
              <w:rPr>
                <w:rFonts w:hint="eastAsia" w:cs="Times New Roman"/>
                <w:sz w:val="21"/>
                <w:szCs w:val="21"/>
              </w:rPr>
              <w:t>53.2</w:t>
            </w:r>
          </w:p>
        </w:tc>
        <w:tc>
          <w:tcPr>
            <w:tcW w:w="792" w:type="pct"/>
            <w:tcBorders>
              <w:top w:val="single" w:color="auto" w:sz="4" w:space="0"/>
              <w:left w:val="nil"/>
              <w:bottom w:val="single" w:color="auto" w:sz="4" w:space="0"/>
              <w:right w:val="single" w:color="auto" w:sz="4" w:space="0"/>
            </w:tcBorders>
            <w:shd w:val="clear" w:color="auto" w:fill="FFFFFF"/>
            <w:vAlign w:val="center"/>
          </w:tcPr>
          <w:p w14:paraId="4221EAF6">
            <w:pPr>
              <w:spacing w:line="240" w:lineRule="auto"/>
              <w:jc w:val="center"/>
              <w:rPr>
                <w:rFonts w:cs="Times New Roman"/>
                <w:sz w:val="21"/>
                <w:szCs w:val="21"/>
              </w:rPr>
            </w:pPr>
            <w:r>
              <w:rPr>
                <w:rFonts w:cs="Times New Roman"/>
                <w:sz w:val="21"/>
                <w:szCs w:val="21"/>
              </w:rPr>
              <w:t>65</w:t>
            </w:r>
          </w:p>
        </w:tc>
        <w:tc>
          <w:tcPr>
            <w:tcW w:w="660" w:type="pct"/>
            <w:tcBorders>
              <w:top w:val="single" w:color="auto" w:sz="4" w:space="0"/>
              <w:left w:val="nil"/>
              <w:bottom w:val="single" w:color="auto" w:sz="4" w:space="0"/>
              <w:right w:val="single" w:color="auto" w:sz="4" w:space="0"/>
            </w:tcBorders>
            <w:shd w:val="clear" w:color="auto" w:fill="FFFFFF"/>
            <w:vAlign w:val="center"/>
          </w:tcPr>
          <w:p w14:paraId="2A3FAF2B">
            <w:pPr>
              <w:spacing w:line="240" w:lineRule="auto"/>
              <w:jc w:val="center"/>
              <w:rPr>
                <w:rFonts w:cs="Times New Roman"/>
                <w:sz w:val="21"/>
                <w:szCs w:val="21"/>
              </w:rPr>
            </w:pPr>
            <w:r>
              <w:rPr>
                <w:rFonts w:cs="Times New Roman"/>
                <w:sz w:val="21"/>
                <w:szCs w:val="21"/>
              </w:rPr>
              <w:t>达标</w:t>
            </w:r>
          </w:p>
        </w:tc>
      </w:tr>
      <w:tr w14:paraId="489E30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15" w:type="pct"/>
            <w:vMerge w:val="continue"/>
            <w:tcBorders>
              <w:top w:val="nil"/>
              <w:left w:val="single" w:color="auto" w:sz="4" w:space="0"/>
              <w:bottom w:val="single" w:color="auto" w:sz="4" w:space="0"/>
              <w:right w:val="single" w:color="auto" w:sz="4" w:space="0"/>
            </w:tcBorders>
            <w:vAlign w:val="center"/>
          </w:tcPr>
          <w:p w14:paraId="0C48AB24">
            <w:pPr>
              <w:spacing w:line="240" w:lineRule="auto"/>
              <w:jc w:val="center"/>
              <w:rPr>
                <w:rFonts w:cs="Times New Roman"/>
                <w:sz w:val="21"/>
                <w:szCs w:val="21"/>
              </w:rPr>
            </w:pPr>
          </w:p>
        </w:tc>
        <w:tc>
          <w:tcPr>
            <w:tcW w:w="556" w:type="pct"/>
            <w:tcBorders>
              <w:top w:val="single" w:color="auto" w:sz="4" w:space="0"/>
              <w:left w:val="nil"/>
              <w:bottom w:val="single" w:color="auto" w:sz="4" w:space="0"/>
              <w:right w:val="single" w:color="auto" w:sz="4" w:space="0"/>
            </w:tcBorders>
            <w:shd w:val="clear" w:color="auto" w:fill="FFFFFF"/>
            <w:vAlign w:val="center"/>
          </w:tcPr>
          <w:p w14:paraId="5ADA4677">
            <w:pPr>
              <w:spacing w:line="240" w:lineRule="auto"/>
              <w:jc w:val="center"/>
              <w:rPr>
                <w:rFonts w:cs="Times New Roman"/>
                <w:sz w:val="21"/>
                <w:szCs w:val="21"/>
              </w:rPr>
            </w:pPr>
            <w:r>
              <w:rPr>
                <w:rFonts w:cs="Times New Roman"/>
                <w:sz w:val="21"/>
                <w:szCs w:val="21"/>
              </w:rPr>
              <w:t>夜间</w:t>
            </w:r>
          </w:p>
        </w:tc>
        <w:tc>
          <w:tcPr>
            <w:tcW w:w="792" w:type="pct"/>
            <w:tcBorders>
              <w:top w:val="single" w:color="auto" w:sz="4" w:space="0"/>
              <w:left w:val="nil"/>
              <w:bottom w:val="single" w:color="auto" w:sz="4" w:space="0"/>
              <w:right w:val="single" w:color="auto" w:sz="4" w:space="0"/>
            </w:tcBorders>
            <w:shd w:val="clear" w:color="auto" w:fill="FFFFFF"/>
            <w:vAlign w:val="center"/>
          </w:tcPr>
          <w:p w14:paraId="02CE1A87">
            <w:pPr>
              <w:spacing w:line="240" w:lineRule="auto"/>
              <w:jc w:val="center"/>
              <w:rPr>
                <w:rFonts w:cs="Times New Roman"/>
                <w:sz w:val="21"/>
                <w:szCs w:val="21"/>
              </w:rPr>
            </w:pPr>
            <w:r>
              <w:rPr>
                <w:rFonts w:hint="eastAsia" w:cs="Times New Roman"/>
                <w:sz w:val="21"/>
                <w:szCs w:val="21"/>
              </w:rPr>
              <w:t>44.3</w:t>
            </w:r>
          </w:p>
        </w:tc>
        <w:tc>
          <w:tcPr>
            <w:tcW w:w="792" w:type="pct"/>
            <w:shd w:val="clear" w:color="auto" w:fill="FFFFFF"/>
            <w:vAlign w:val="center"/>
          </w:tcPr>
          <w:p w14:paraId="37DC519C">
            <w:pPr>
              <w:spacing w:line="240" w:lineRule="auto"/>
              <w:jc w:val="center"/>
              <w:rPr>
                <w:rFonts w:cs="Times New Roman"/>
                <w:sz w:val="21"/>
                <w:szCs w:val="21"/>
              </w:rPr>
            </w:pPr>
            <w:r>
              <w:rPr>
                <w:rFonts w:hint="eastAsia" w:cs="Times New Roman"/>
                <w:sz w:val="21"/>
                <w:szCs w:val="21"/>
              </w:rPr>
              <w:t>47.6</w:t>
            </w:r>
          </w:p>
        </w:tc>
        <w:tc>
          <w:tcPr>
            <w:tcW w:w="792" w:type="pct"/>
            <w:shd w:val="clear" w:color="auto" w:fill="FFFFFF"/>
            <w:vAlign w:val="center"/>
          </w:tcPr>
          <w:p w14:paraId="1A3399BB">
            <w:pPr>
              <w:spacing w:line="240" w:lineRule="auto"/>
              <w:jc w:val="center"/>
              <w:rPr>
                <w:rFonts w:cs="Times New Roman"/>
                <w:sz w:val="21"/>
                <w:szCs w:val="21"/>
              </w:rPr>
            </w:pPr>
            <w:r>
              <w:rPr>
                <w:rFonts w:hint="eastAsia" w:cs="Times New Roman"/>
                <w:sz w:val="21"/>
                <w:szCs w:val="21"/>
              </w:rPr>
              <w:t>47.7</w:t>
            </w:r>
          </w:p>
        </w:tc>
        <w:tc>
          <w:tcPr>
            <w:tcW w:w="792" w:type="pct"/>
            <w:tcBorders>
              <w:top w:val="single" w:color="auto" w:sz="4" w:space="0"/>
              <w:left w:val="nil"/>
              <w:bottom w:val="single" w:color="auto" w:sz="4" w:space="0"/>
              <w:right w:val="single" w:color="auto" w:sz="4" w:space="0"/>
            </w:tcBorders>
            <w:shd w:val="clear" w:color="auto" w:fill="FFFFFF"/>
            <w:vAlign w:val="center"/>
          </w:tcPr>
          <w:p w14:paraId="489D4D0F">
            <w:pPr>
              <w:spacing w:line="240" w:lineRule="auto"/>
              <w:jc w:val="center"/>
              <w:rPr>
                <w:rFonts w:cs="Times New Roman"/>
                <w:sz w:val="21"/>
                <w:szCs w:val="21"/>
              </w:rPr>
            </w:pPr>
            <w:r>
              <w:rPr>
                <w:rFonts w:cs="Times New Roman"/>
                <w:sz w:val="21"/>
                <w:szCs w:val="21"/>
              </w:rPr>
              <w:t>55</w:t>
            </w:r>
          </w:p>
        </w:tc>
        <w:tc>
          <w:tcPr>
            <w:tcW w:w="660" w:type="pct"/>
            <w:tcBorders>
              <w:top w:val="single" w:color="auto" w:sz="4" w:space="0"/>
              <w:left w:val="nil"/>
              <w:bottom w:val="single" w:color="auto" w:sz="4" w:space="0"/>
              <w:right w:val="single" w:color="auto" w:sz="4" w:space="0"/>
            </w:tcBorders>
            <w:shd w:val="clear" w:color="auto" w:fill="FFFFFF"/>
            <w:vAlign w:val="center"/>
          </w:tcPr>
          <w:p w14:paraId="55A22625">
            <w:pPr>
              <w:spacing w:line="240" w:lineRule="auto"/>
              <w:jc w:val="center"/>
              <w:rPr>
                <w:rFonts w:cs="Times New Roman"/>
                <w:sz w:val="21"/>
                <w:szCs w:val="21"/>
              </w:rPr>
            </w:pPr>
            <w:r>
              <w:rPr>
                <w:rFonts w:cs="Times New Roman"/>
                <w:sz w:val="21"/>
                <w:szCs w:val="21"/>
              </w:rPr>
              <w:t>达标</w:t>
            </w:r>
          </w:p>
        </w:tc>
      </w:tr>
      <w:tr w14:paraId="1AB81F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15" w:type="pct"/>
            <w:vMerge w:val="restart"/>
            <w:tcBorders>
              <w:top w:val="nil"/>
              <w:left w:val="single" w:color="auto" w:sz="4" w:space="0"/>
              <w:bottom w:val="single" w:color="auto" w:sz="4" w:space="0"/>
              <w:right w:val="single" w:color="auto" w:sz="4" w:space="0"/>
            </w:tcBorders>
            <w:shd w:val="clear" w:color="auto" w:fill="FFFFFF"/>
            <w:vAlign w:val="center"/>
          </w:tcPr>
          <w:p w14:paraId="77AF2800">
            <w:pPr>
              <w:spacing w:line="240" w:lineRule="auto"/>
              <w:jc w:val="center"/>
              <w:rPr>
                <w:rFonts w:cs="Times New Roman"/>
                <w:sz w:val="21"/>
                <w:szCs w:val="21"/>
              </w:rPr>
            </w:pPr>
            <w:r>
              <w:rPr>
                <w:rFonts w:cs="Times New Roman"/>
                <w:sz w:val="21"/>
                <w:szCs w:val="21"/>
              </w:rPr>
              <w:t>西侧</w:t>
            </w:r>
          </w:p>
        </w:tc>
        <w:tc>
          <w:tcPr>
            <w:tcW w:w="556" w:type="pct"/>
            <w:tcBorders>
              <w:top w:val="single" w:color="auto" w:sz="4" w:space="0"/>
              <w:left w:val="nil"/>
              <w:bottom w:val="single" w:color="auto" w:sz="4" w:space="0"/>
              <w:right w:val="single" w:color="auto" w:sz="4" w:space="0"/>
            </w:tcBorders>
            <w:shd w:val="clear" w:color="auto" w:fill="FFFFFF"/>
            <w:vAlign w:val="center"/>
          </w:tcPr>
          <w:p w14:paraId="159E6CC8">
            <w:pPr>
              <w:spacing w:line="240" w:lineRule="auto"/>
              <w:jc w:val="center"/>
              <w:rPr>
                <w:rFonts w:cs="Times New Roman"/>
                <w:sz w:val="21"/>
                <w:szCs w:val="21"/>
              </w:rPr>
            </w:pPr>
            <w:r>
              <w:rPr>
                <w:rFonts w:cs="Times New Roman"/>
                <w:sz w:val="21"/>
                <w:szCs w:val="21"/>
              </w:rPr>
              <w:t>昼间</w:t>
            </w:r>
          </w:p>
        </w:tc>
        <w:tc>
          <w:tcPr>
            <w:tcW w:w="792" w:type="pct"/>
            <w:tcBorders>
              <w:top w:val="single" w:color="auto" w:sz="4" w:space="0"/>
              <w:left w:val="nil"/>
              <w:bottom w:val="single" w:color="auto" w:sz="4" w:space="0"/>
              <w:right w:val="single" w:color="auto" w:sz="4" w:space="0"/>
            </w:tcBorders>
            <w:shd w:val="clear" w:color="auto" w:fill="FFFFFF"/>
            <w:vAlign w:val="center"/>
          </w:tcPr>
          <w:p w14:paraId="79BFF3F8">
            <w:pPr>
              <w:spacing w:line="240" w:lineRule="auto"/>
              <w:jc w:val="center"/>
              <w:rPr>
                <w:rFonts w:cs="Times New Roman"/>
                <w:sz w:val="21"/>
                <w:szCs w:val="21"/>
              </w:rPr>
            </w:pPr>
            <w:r>
              <w:rPr>
                <w:rFonts w:hint="eastAsia" w:cs="Times New Roman"/>
                <w:sz w:val="21"/>
                <w:szCs w:val="21"/>
              </w:rPr>
              <w:t>29.8</w:t>
            </w:r>
          </w:p>
        </w:tc>
        <w:tc>
          <w:tcPr>
            <w:tcW w:w="792" w:type="pct"/>
            <w:shd w:val="clear" w:color="auto" w:fill="FFFFFF"/>
            <w:vAlign w:val="center"/>
          </w:tcPr>
          <w:p w14:paraId="53FF5D97">
            <w:pPr>
              <w:spacing w:line="240" w:lineRule="auto"/>
              <w:jc w:val="center"/>
              <w:rPr>
                <w:rFonts w:cs="Times New Roman"/>
                <w:sz w:val="21"/>
                <w:szCs w:val="21"/>
              </w:rPr>
            </w:pPr>
            <w:r>
              <w:rPr>
                <w:rFonts w:hint="eastAsia" w:cs="Times New Roman"/>
                <w:sz w:val="21"/>
                <w:szCs w:val="21"/>
              </w:rPr>
              <w:t>62.5</w:t>
            </w:r>
          </w:p>
        </w:tc>
        <w:tc>
          <w:tcPr>
            <w:tcW w:w="792" w:type="pct"/>
            <w:shd w:val="clear" w:color="auto" w:fill="FFFFFF"/>
            <w:vAlign w:val="center"/>
          </w:tcPr>
          <w:p w14:paraId="06B6444C">
            <w:pPr>
              <w:spacing w:line="240" w:lineRule="auto"/>
              <w:jc w:val="center"/>
              <w:rPr>
                <w:rFonts w:cs="Times New Roman"/>
                <w:sz w:val="21"/>
                <w:szCs w:val="21"/>
              </w:rPr>
            </w:pPr>
            <w:r>
              <w:rPr>
                <w:rFonts w:hint="eastAsia" w:cs="Times New Roman"/>
                <w:sz w:val="21"/>
                <w:szCs w:val="21"/>
              </w:rPr>
              <w:t>62.5</w:t>
            </w:r>
          </w:p>
        </w:tc>
        <w:tc>
          <w:tcPr>
            <w:tcW w:w="792" w:type="pct"/>
            <w:tcBorders>
              <w:top w:val="single" w:color="auto" w:sz="4" w:space="0"/>
              <w:left w:val="nil"/>
              <w:bottom w:val="single" w:color="auto" w:sz="4" w:space="0"/>
              <w:right w:val="single" w:color="auto" w:sz="4" w:space="0"/>
            </w:tcBorders>
            <w:shd w:val="clear" w:color="auto" w:fill="FFFFFF"/>
            <w:vAlign w:val="center"/>
          </w:tcPr>
          <w:p w14:paraId="1966D44E">
            <w:pPr>
              <w:spacing w:line="240" w:lineRule="auto"/>
              <w:jc w:val="center"/>
              <w:rPr>
                <w:rFonts w:cs="Times New Roman"/>
                <w:sz w:val="21"/>
                <w:szCs w:val="21"/>
              </w:rPr>
            </w:pPr>
            <w:r>
              <w:rPr>
                <w:rFonts w:cs="Times New Roman"/>
                <w:sz w:val="21"/>
                <w:szCs w:val="21"/>
              </w:rPr>
              <w:t>65</w:t>
            </w:r>
          </w:p>
        </w:tc>
        <w:tc>
          <w:tcPr>
            <w:tcW w:w="660" w:type="pct"/>
            <w:tcBorders>
              <w:top w:val="single" w:color="auto" w:sz="4" w:space="0"/>
              <w:left w:val="nil"/>
              <w:bottom w:val="single" w:color="auto" w:sz="4" w:space="0"/>
              <w:right w:val="single" w:color="auto" w:sz="4" w:space="0"/>
            </w:tcBorders>
            <w:shd w:val="clear" w:color="auto" w:fill="FFFFFF"/>
            <w:vAlign w:val="center"/>
          </w:tcPr>
          <w:p w14:paraId="18EB6CC2">
            <w:pPr>
              <w:spacing w:line="240" w:lineRule="auto"/>
              <w:jc w:val="center"/>
              <w:rPr>
                <w:rFonts w:cs="Times New Roman"/>
                <w:sz w:val="21"/>
                <w:szCs w:val="21"/>
              </w:rPr>
            </w:pPr>
            <w:r>
              <w:rPr>
                <w:rFonts w:cs="Times New Roman"/>
                <w:sz w:val="21"/>
                <w:szCs w:val="21"/>
              </w:rPr>
              <w:t>达标</w:t>
            </w:r>
          </w:p>
        </w:tc>
      </w:tr>
      <w:tr w14:paraId="7F4E3C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15" w:type="pct"/>
            <w:vMerge w:val="continue"/>
            <w:tcBorders>
              <w:top w:val="nil"/>
              <w:left w:val="single" w:color="auto" w:sz="4" w:space="0"/>
              <w:bottom w:val="single" w:color="auto" w:sz="4" w:space="0"/>
              <w:right w:val="single" w:color="auto" w:sz="4" w:space="0"/>
            </w:tcBorders>
            <w:vAlign w:val="center"/>
          </w:tcPr>
          <w:p w14:paraId="24A4EBF9">
            <w:pPr>
              <w:spacing w:line="240" w:lineRule="auto"/>
              <w:jc w:val="center"/>
              <w:rPr>
                <w:rFonts w:cs="Times New Roman"/>
                <w:sz w:val="21"/>
                <w:szCs w:val="21"/>
              </w:rPr>
            </w:pPr>
          </w:p>
        </w:tc>
        <w:tc>
          <w:tcPr>
            <w:tcW w:w="556" w:type="pct"/>
            <w:tcBorders>
              <w:top w:val="single" w:color="auto" w:sz="4" w:space="0"/>
              <w:left w:val="nil"/>
              <w:bottom w:val="single" w:color="auto" w:sz="4" w:space="0"/>
              <w:right w:val="single" w:color="auto" w:sz="4" w:space="0"/>
            </w:tcBorders>
            <w:shd w:val="clear" w:color="auto" w:fill="FFFFFF"/>
            <w:vAlign w:val="center"/>
          </w:tcPr>
          <w:p w14:paraId="65FD700B">
            <w:pPr>
              <w:spacing w:line="240" w:lineRule="auto"/>
              <w:jc w:val="center"/>
              <w:rPr>
                <w:rFonts w:cs="Times New Roman"/>
                <w:sz w:val="21"/>
                <w:szCs w:val="21"/>
              </w:rPr>
            </w:pPr>
            <w:r>
              <w:rPr>
                <w:rFonts w:cs="Times New Roman"/>
                <w:sz w:val="21"/>
                <w:szCs w:val="21"/>
              </w:rPr>
              <w:t>夜间</w:t>
            </w:r>
          </w:p>
        </w:tc>
        <w:tc>
          <w:tcPr>
            <w:tcW w:w="792" w:type="pct"/>
            <w:tcBorders>
              <w:top w:val="single" w:color="auto" w:sz="4" w:space="0"/>
              <w:left w:val="nil"/>
              <w:bottom w:val="single" w:color="auto" w:sz="4" w:space="0"/>
              <w:right w:val="single" w:color="auto" w:sz="4" w:space="0"/>
            </w:tcBorders>
            <w:shd w:val="clear" w:color="auto" w:fill="FFFFFF"/>
            <w:vAlign w:val="center"/>
          </w:tcPr>
          <w:p w14:paraId="46C045DD">
            <w:pPr>
              <w:spacing w:line="240" w:lineRule="auto"/>
              <w:jc w:val="center"/>
              <w:rPr>
                <w:rFonts w:cs="Times New Roman"/>
                <w:sz w:val="21"/>
                <w:szCs w:val="21"/>
              </w:rPr>
            </w:pPr>
            <w:r>
              <w:rPr>
                <w:rFonts w:hint="eastAsia" w:cs="Times New Roman"/>
                <w:sz w:val="21"/>
                <w:szCs w:val="21"/>
              </w:rPr>
              <w:t>29.8</w:t>
            </w:r>
          </w:p>
        </w:tc>
        <w:tc>
          <w:tcPr>
            <w:tcW w:w="792" w:type="pct"/>
            <w:shd w:val="clear" w:color="auto" w:fill="FFFFFF"/>
            <w:vAlign w:val="center"/>
          </w:tcPr>
          <w:p w14:paraId="59451064">
            <w:pPr>
              <w:spacing w:line="240" w:lineRule="auto"/>
              <w:jc w:val="center"/>
              <w:rPr>
                <w:rFonts w:cs="Times New Roman"/>
                <w:sz w:val="21"/>
                <w:szCs w:val="21"/>
              </w:rPr>
            </w:pPr>
            <w:r>
              <w:rPr>
                <w:rFonts w:hint="eastAsia" w:cs="Times New Roman"/>
                <w:sz w:val="21"/>
                <w:szCs w:val="21"/>
              </w:rPr>
              <w:t>53.9</w:t>
            </w:r>
          </w:p>
        </w:tc>
        <w:tc>
          <w:tcPr>
            <w:tcW w:w="792" w:type="pct"/>
            <w:shd w:val="clear" w:color="auto" w:fill="FFFFFF"/>
            <w:vAlign w:val="center"/>
          </w:tcPr>
          <w:p w14:paraId="4992B5C1">
            <w:pPr>
              <w:spacing w:line="240" w:lineRule="auto"/>
              <w:jc w:val="center"/>
              <w:rPr>
                <w:rFonts w:cs="Times New Roman"/>
                <w:sz w:val="21"/>
                <w:szCs w:val="21"/>
              </w:rPr>
            </w:pPr>
            <w:r>
              <w:rPr>
                <w:rFonts w:hint="eastAsia" w:cs="Times New Roman"/>
                <w:sz w:val="21"/>
                <w:szCs w:val="21"/>
              </w:rPr>
              <w:t>53.9</w:t>
            </w:r>
          </w:p>
        </w:tc>
        <w:tc>
          <w:tcPr>
            <w:tcW w:w="792" w:type="pct"/>
            <w:tcBorders>
              <w:top w:val="single" w:color="auto" w:sz="4" w:space="0"/>
              <w:left w:val="nil"/>
              <w:bottom w:val="single" w:color="auto" w:sz="4" w:space="0"/>
              <w:right w:val="single" w:color="auto" w:sz="4" w:space="0"/>
            </w:tcBorders>
            <w:shd w:val="clear" w:color="auto" w:fill="FFFFFF"/>
            <w:vAlign w:val="center"/>
          </w:tcPr>
          <w:p w14:paraId="1C537665">
            <w:pPr>
              <w:spacing w:line="240" w:lineRule="auto"/>
              <w:jc w:val="center"/>
              <w:rPr>
                <w:rFonts w:cs="Times New Roman"/>
                <w:sz w:val="21"/>
                <w:szCs w:val="21"/>
              </w:rPr>
            </w:pPr>
            <w:r>
              <w:rPr>
                <w:rFonts w:cs="Times New Roman"/>
                <w:sz w:val="21"/>
                <w:szCs w:val="21"/>
              </w:rPr>
              <w:t>55</w:t>
            </w:r>
          </w:p>
        </w:tc>
        <w:tc>
          <w:tcPr>
            <w:tcW w:w="660" w:type="pct"/>
            <w:tcBorders>
              <w:top w:val="single" w:color="auto" w:sz="4" w:space="0"/>
              <w:left w:val="nil"/>
              <w:bottom w:val="single" w:color="auto" w:sz="4" w:space="0"/>
              <w:right w:val="single" w:color="auto" w:sz="4" w:space="0"/>
            </w:tcBorders>
            <w:shd w:val="clear" w:color="auto" w:fill="FFFFFF"/>
            <w:vAlign w:val="center"/>
          </w:tcPr>
          <w:p w14:paraId="48F1CCE5">
            <w:pPr>
              <w:spacing w:line="240" w:lineRule="auto"/>
              <w:jc w:val="center"/>
              <w:rPr>
                <w:rFonts w:cs="Times New Roman"/>
                <w:sz w:val="21"/>
                <w:szCs w:val="21"/>
              </w:rPr>
            </w:pPr>
            <w:r>
              <w:rPr>
                <w:rFonts w:cs="Times New Roman"/>
                <w:sz w:val="21"/>
                <w:szCs w:val="21"/>
              </w:rPr>
              <w:t>达标</w:t>
            </w:r>
          </w:p>
        </w:tc>
      </w:tr>
      <w:tr w14:paraId="3D066D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15" w:type="pct"/>
            <w:vMerge w:val="restart"/>
            <w:tcBorders>
              <w:top w:val="nil"/>
              <w:left w:val="single" w:color="auto" w:sz="4" w:space="0"/>
              <w:bottom w:val="single" w:color="auto" w:sz="4" w:space="0"/>
              <w:right w:val="single" w:color="auto" w:sz="4" w:space="0"/>
            </w:tcBorders>
            <w:shd w:val="clear" w:color="auto" w:fill="FFFFFF"/>
            <w:vAlign w:val="center"/>
          </w:tcPr>
          <w:p w14:paraId="7778418D">
            <w:pPr>
              <w:spacing w:line="240" w:lineRule="auto"/>
              <w:jc w:val="center"/>
              <w:rPr>
                <w:rFonts w:cs="Times New Roman"/>
                <w:sz w:val="21"/>
                <w:szCs w:val="21"/>
              </w:rPr>
            </w:pPr>
            <w:r>
              <w:rPr>
                <w:rFonts w:cs="Times New Roman"/>
                <w:sz w:val="21"/>
                <w:szCs w:val="21"/>
              </w:rPr>
              <w:t>北侧</w:t>
            </w:r>
          </w:p>
        </w:tc>
        <w:tc>
          <w:tcPr>
            <w:tcW w:w="556" w:type="pct"/>
            <w:tcBorders>
              <w:top w:val="single" w:color="auto" w:sz="4" w:space="0"/>
              <w:left w:val="nil"/>
              <w:bottom w:val="single" w:color="auto" w:sz="4" w:space="0"/>
              <w:right w:val="single" w:color="auto" w:sz="4" w:space="0"/>
            </w:tcBorders>
            <w:shd w:val="clear" w:color="auto" w:fill="FFFFFF"/>
            <w:vAlign w:val="center"/>
          </w:tcPr>
          <w:p w14:paraId="5B77BB6D">
            <w:pPr>
              <w:spacing w:line="240" w:lineRule="auto"/>
              <w:jc w:val="center"/>
              <w:rPr>
                <w:rFonts w:cs="Times New Roman"/>
                <w:sz w:val="21"/>
                <w:szCs w:val="21"/>
              </w:rPr>
            </w:pPr>
            <w:r>
              <w:rPr>
                <w:rFonts w:cs="Times New Roman"/>
                <w:sz w:val="21"/>
                <w:szCs w:val="21"/>
              </w:rPr>
              <w:t>昼间</w:t>
            </w:r>
          </w:p>
        </w:tc>
        <w:tc>
          <w:tcPr>
            <w:tcW w:w="792" w:type="pct"/>
            <w:tcBorders>
              <w:top w:val="single" w:color="auto" w:sz="4" w:space="0"/>
              <w:left w:val="nil"/>
              <w:bottom w:val="single" w:color="auto" w:sz="4" w:space="0"/>
              <w:right w:val="single" w:color="auto" w:sz="4" w:space="0"/>
            </w:tcBorders>
            <w:shd w:val="clear" w:color="auto" w:fill="FFFFFF"/>
            <w:vAlign w:val="center"/>
          </w:tcPr>
          <w:p w14:paraId="1B5E3285">
            <w:pPr>
              <w:spacing w:line="240" w:lineRule="auto"/>
              <w:jc w:val="center"/>
              <w:rPr>
                <w:rFonts w:cs="Times New Roman"/>
                <w:sz w:val="21"/>
                <w:szCs w:val="21"/>
              </w:rPr>
            </w:pPr>
            <w:r>
              <w:rPr>
                <w:rFonts w:hint="eastAsia" w:cs="Times New Roman"/>
                <w:sz w:val="21"/>
                <w:szCs w:val="21"/>
              </w:rPr>
              <w:t>42.6</w:t>
            </w:r>
          </w:p>
        </w:tc>
        <w:tc>
          <w:tcPr>
            <w:tcW w:w="792" w:type="pct"/>
            <w:shd w:val="clear" w:color="auto" w:fill="FFFFFF"/>
            <w:vAlign w:val="center"/>
          </w:tcPr>
          <w:p w14:paraId="07C4DDB4">
            <w:pPr>
              <w:spacing w:line="240" w:lineRule="auto"/>
              <w:jc w:val="center"/>
              <w:rPr>
                <w:rFonts w:cs="Times New Roman"/>
                <w:sz w:val="21"/>
                <w:szCs w:val="21"/>
              </w:rPr>
            </w:pPr>
            <w:r>
              <w:rPr>
                <w:rFonts w:hint="eastAsia" w:cs="Times New Roman"/>
                <w:sz w:val="21"/>
                <w:szCs w:val="21"/>
              </w:rPr>
              <w:t>50.8</w:t>
            </w:r>
          </w:p>
        </w:tc>
        <w:tc>
          <w:tcPr>
            <w:tcW w:w="792" w:type="pct"/>
            <w:shd w:val="clear" w:color="auto" w:fill="FFFFFF"/>
            <w:vAlign w:val="center"/>
          </w:tcPr>
          <w:p w14:paraId="2679FD83">
            <w:pPr>
              <w:spacing w:line="240" w:lineRule="auto"/>
              <w:jc w:val="center"/>
              <w:rPr>
                <w:rFonts w:cs="Times New Roman"/>
                <w:sz w:val="21"/>
                <w:szCs w:val="21"/>
              </w:rPr>
            </w:pPr>
            <w:r>
              <w:rPr>
                <w:rFonts w:hint="eastAsia" w:cs="Times New Roman"/>
                <w:sz w:val="21"/>
                <w:szCs w:val="21"/>
              </w:rPr>
              <w:t>50.8</w:t>
            </w:r>
          </w:p>
        </w:tc>
        <w:tc>
          <w:tcPr>
            <w:tcW w:w="792" w:type="pct"/>
            <w:tcBorders>
              <w:top w:val="single" w:color="auto" w:sz="4" w:space="0"/>
              <w:left w:val="nil"/>
              <w:bottom w:val="single" w:color="auto" w:sz="4" w:space="0"/>
              <w:right w:val="single" w:color="auto" w:sz="4" w:space="0"/>
            </w:tcBorders>
            <w:shd w:val="clear" w:color="auto" w:fill="FFFFFF"/>
            <w:vAlign w:val="center"/>
          </w:tcPr>
          <w:p w14:paraId="30FF4A21">
            <w:pPr>
              <w:spacing w:line="240" w:lineRule="auto"/>
              <w:jc w:val="center"/>
              <w:rPr>
                <w:rFonts w:cs="Times New Roman"/>
                <w:sz w:val="21"/>
                <w:szCs w:val="21"/>
              </w:rPr>
            </w:pPr>
            <w:r>
              <w:rPr>
                <w:rFonts w:cs="Times New Roman"/>
                <w:sz w:val="21"/>
                <w:szCs w:val="21"/>
              </w:rPr>
              <w:t>65</w:t>
            </w:r>
          </w:p>
        </w:tc>
        <w:tc>
          <w:tcPr>
            <w:tcW w:w="660" w:type="pct"/>
            <w:tcBorders>
              <w:top w:val="single" w:color="auto" w:sz="4" w:space="0"/>
              <w:left w:val="nil"/>
              <w:bottom w:val="single" w:color="auto" w:sz="4" w:space="0"/>
              <w:right w:val="single" w:color="auto" w:sz="4" w:space="0"/>
            </w:tcBorders>
            <w:shd w:val="clear" w:color="auto" w:fill="FFFFFF"/>
            <w:vAlign w:val="center"/>
          </w:tcPr>
          <w:p w14:paraId="4CCBAF07">
            <w:pPr>
              <w:spacing w:line="240" w:lineRule="auto"/>
              <w:jc w:val="center"/>
              <w:rPr>
                <w:rFonts w:cs="Times New Roman"/>
                <w:sz w:val="21"/>
                <w:szCs w:val="21"/>
              </w:rPr>
            </w:pPr>
            <w:r>
              <w:rPr>
                <w:rFonts w:cs="Times New Roman"/>
                <w:sz w:val="21"/>
                <w:szCs w:val="21"/>
              </w:rPr>
              <w:t>达标</w:t>
            </w:r>
          </w:p>
        </w:tc>
      </w:tr>
      <w:tr w14:paraId="65A0DC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15" w:type="pct"/>
            <w:vMerge w:val="continue"/>
            <w:tcBorders>
              <w:top w:val="nil"/>
              <w:left w:val="single" w:color="auto" w:sz="4" w:space="0"/>
              <w:bottom w:val="single" w:color="auto" w:sz="4" w:space="0"/>
              <w:right w:val="single" w:color="auto" w:sz="4" w:space="0"/>
            </w:tcBorders>
            <w:vAlign w:val="center"/>
          </w:tcPr>
          <w:p w14:paraId="3AA82A94">
            <w:pPr>
              <w:spacing w:line="240" w:lineRule="auto"/>
              <w:jc w:val="center"/>
              <w:rPr>
                <w:rFonts w:cs="Times New Roman"/>
                <w:sz w:val="21"/>
                <w:szCs w:val="21"/>
              </w:rPr>
            </w:pPr>
          </w:p>
        </w:tc>
        <w:tc>
          <w:tcPr>
            <w:tcW w:w="556" w:type="pct"/>
            <w:tcBorders>
              <w:top w:val="single" w:color="auto" w:sz="4" w:space="0"/>
              <w:left w:val="nil"/>
              <w:bottom w:val="single" w:color="auto" w:sz="4" w:space="0"/>
              <w:right w:val="single" w:color="auto" w:sz="4" w:space="0"/>
            </w:tcBorders>
            <w:shd w:val="clear" w:color="auto" w:fill="FFFFFF"/>
            <w:vAlign w:val="center"/>
          </w:tcPr>
          <w:p w14:paraId="607643FC">
            <w:pPr>
              <w:spacing w:line="240" w:lineRule="auto"/>
              <w:jc w:val="center"/>
              <w:rPr>
                <w:rFonts w:cs="Times New Roman"/>
                <w:sz w:val="21"/>
                <w:szCs w:val="21"/>
              </w:rPr>
            </w:pPr>
            <w:r>
              <w:rPr>
                <w:rFonts w:cs="Times New Roman"/>
                <w:sz w:val="21"/>
                <w:szCs w:val="21"/>
              </w:rPr>
              <w:t>夜间</w:t>
            </w:r>
          </w:p>
        </w:tc>
        <w:tc>
          <w:tcPr>
            <w:tcW w:w="792" w:type="pct"/>
            <w:tcBorders>
              <w:top w:val="single" w:color="auto" w:sz="4" w:space="0"/>
              <w:left w:val="nil"/>
              <w:bottom w:val="single" w:color="auto" w:sz="4" w:space="0"/>
              <w:right w:val="single" w:color="auto" w:sz="4" w:space="0"/>
            </w:tcBorders>
            <w:shd w:val="clear" w:color="auto" w:fill="FFFFFF"/>
            <w:vAlign w:val="center"/>
          </w:tcPr>
          <w:p w14:paraId="341AFAAE">
            <w:pPr>
              <w:spacing w:line="240" w:lineRule="auto"/>
              <w:jc w:val="center"/>
              <w:rPr>
                <w:rFonts w:cs="Times New Roman"/>
                <w:sz w:val="21"/>
                <w:szCs w:val="21"/>
              </w:rPr>
            </w:pPr>
            <w:r>
              <w:rPr>
                <w:rFonts w:hint="eastAsia" w:cs="Times New Roman"/>
                <w:sz w:val="21"/>
                <w:szCs w:val="21"/>
              </w:rPr>
              <w:t>42.6</w:t>
            </w:r>
          </w:p>
        </w:tc>
        <w:tc>
          <w:tcPr>
            <w:tcW w:w="792" w:type="pct"/>
            <w:shd w:val="clear" w:color="auto" w:fill="FFFFFF"/>
            <w:vAlign w:val="center"/>
          </w:tcPr>
          <w:p w14:paraId="0A0FC0C7">
            <w:pPr>
              <w:spacing w:line="240" w:lineRule="auto"/>
              <w:jc w:val="center"/>
              <w:rPr>
                <w:rFonts w:cs="Times New Roman"/>
                <w:sz w:val="21"/>
                <w:szCs w:val="21"/>
              </w:rPr>
            </w:pPr>
            <w:r>
              <w:rPr>
                <w:rFonts w:hint="eastAsia" w:cs="Times New Roman"/>
                <w:sz w:val="21"/>
                <w:szCs w:val="21"/>
              </w:rPr>
              <w:t>53.9</w:t>
            </w:r>
          </w:p>
        </w:tc>
        <w:tc>
          <w:tcPr>
            <w:tcW w:w="792" w:type="pct"/>
            <w:shd w:val="clear" w:color="auto" w:fill="FFFFFF"/>
            <w:vAlign w:val="center"/>
          </w:tcPr>
          <w:p w14:paraId="1963446C">
            <w:pPr>
              <w:spacing w:line="240" w:lineRule="auto"/>
              <w:jc w:val="center"/>
              <w:rPr>
                <w:rFonts w:cs="Times New Roman"/>
                <w:sz w:val="21"/>
                <w:szCs w:val="21"/>
              </w:rPr>
            </w:pPr>
            <w:r>
              <w:rPr>
                <w:rFonts w:hint="eastAsia" w:cs="Times New Roman"/>
                <w:sz w:val="21"/>
                <w:szCs w:val="21"/>
              </w:rPr>
              <w:t>53.9</w:t>
            </w:r>
          </w:p>
        </w:tc>
        <w:tc>
          <w:tcPr>
            <w:tcW w:w="792" w:type="pct"/>
            <w:tcBorders>
              <w:top w:val="single" w:color="auto" w:sz="4" w:space="0"/>
              <w:left w:val="nil"/>
              <w:bottom w:val="single" w:color="auto" w:sz="4" w:space="0"/>
              <w:right w:val="single" w:color="auto" w:sz="4" w:space="0"/>
            </w:tcBorders>
            <w:shd w:val="clear" w:color="auto" w:fill="FFFFFF"/>
            <w:vAlign w:val="center"/>
          </w:tcPr>
          <w:p w14:paraId="1044AA92">
            <w:pPr>
              <w:spacing w:line="240" w:lineRule="auto"/>
              <w:jc w:val="center"/>
              <w:rPr>
                <w:rFonts w:cs="Times New Roman"/>
                <w:sz w:val="21"/>
                <w:szCs w:val="21"/>
              </w:rPr>
            </w:pPr>
            <w:r>
              <w:rPr>
                <w:rFonts w:cs="Times New Roman"/>
                <w:sz w:val="21"/>
                <w:szCs w:val="21"/>
              </w:rPr>
              <w:t>55</w:t>
            </w:r>
          </w:p>
        </w:tc>
        <w:tc>
          <w:tcPr>
            <w:tcW w:w="660" w:type="pct"/>
            <w:tcBorders>
              <w:top w:val="single" w:color="auto" w:sz="4" w:space="0"/>
              <w:left w:val="nil"/>
              <w:bottom w:val="single" w:color="auto" w:sz="4" w:space="0"/>
              <w:right w:val="single" w:color="auto" w:sz="4" w:space="0"/>
            </w:tcBorders>
            <w:shd w:val="clear" w:color="auto" w:fill="FFFFFF"/>
            <w:vAlign w:val="center"/>
          </w:tcPr>
          <w:p w14:paraId="35505385">
            <w:pPr>
              <w:spacing w:line="240" w:lineRule="auto"/>
              <w:jc w:val="center"/>
              <w:rPr>
                <w:rFonts w:cs="Times New Roman"/>
                <w:sz w:val="21"/>
                <w:szCs w:val="21"/>
              </w:rPr>
            </w:pPr>
            <w:r>
              <w:rPr>
                <w:rFonts w:cs="Times New Roman"/>
                <w:sz w:val="21"/>
                <w:szCs w:val="21"/>
              </w:rPr>
              <w:t>达标</w:t>
            </w:r>
          </w:p>
        </w:tc>
      </w:tr>
    </w:tbl>
    <w:p w14:paraId="674362E3"/>
    <w:p w14:paraId="1F358412">
      <w:pPr>
        <w:ind w:firstLine="480" w:firstLineChars="200"/>
      </w:pPr>
      <w:r>
        <w:t>由噪声影响预测结果可知，项目运营后经采取本评价提出的噪声防治措施并经减震、厂房隔声、距离衰减后，各厂界的噪声均可满足《工业企业厂界环境噪声排放标准》(GB12348-2008)中3类标准限值要求。</w:t>
      </w:r>
    </w:p>
    <w:p w14:paraId="631865B4">
      <w:pPr>
        <w:pStyle w:val="4"/>
        <w:rPr>
          <w:rFonts w:hint="eastAsia"/>
        </w:rPr>
      </w:pPr>
      <w:bookmarkStart w:id="101" w:name="_Toc221056421"/>
      <w:bookmarkStart w:id="102" w:name="_Toc195625003"/>
      <w:r>
        <w:rPr>
          <w:rFonts w:hint="eastAsia"/>
        </w:rPr>
        <w:t>6</w:t>
      </w:r>
      <w:r>
        <w:t>.4.4声环境影响评价自查表</w:t>
      </w:r>
      <w:bookmarkEnd w:id="101"/>
      <w:bookmarkEnd w:id="102"/>
    </w:p>
    <w:p w14:paraId="3A0288F3">
      <w:pPr>
        <w:ind w:firstLine="480" w:firstLineChars="200"/>
      </w:pPr>
      <w:r>
        <w:t>本项目声环境影响评价自查表见表</w:t>
      </w:r>
      <w:r>
        <w:rPr>
          <w:rFonts w:hint="eastAsia"/>
        </w:rPr>
        <w:t>6</w:t>
      </w:r>
      <w:r>
        <w:t>.4-2。</w:t>
      </w:r>
    </w:p>
    <w:p w14:paraId="0E4CB4F6">
      <w:pPr>
        <w:jc w:val="center"/>
        <w:rPr>
          <w:rFonts w:hint="eastAsia" w:ascii="黑体" w:hAnsi="黑体" w:eastAsia="黑体" w:cs="Times New Roman"/>
        </w:rPr>
      </w:pPr>
      <w:r>
        <w:rPr>
          <w:rFonts w:ascii="黑体" w:hAnsi="黑体" w:eastAsia="黑体" w:cs="Times New Roman"/>
        </w:rPr>
        <w:t>表</w:t>
      </w:r>
      <w:r>
        <w:rPr>
          <w:rFonts w:hint="eastAsia" w:ascii="黑体" w:hAnsi="黑体" w:eastAsia="黑体" w:cs="Times New Roman"/>
        </w:rPr>
        <w:t>6</w:t>
      </w:r>
      <w:r>
        <w:rPr>
          <w:rFonts w:ascii="黑体" w:hAnsi="黑体" w:eastAsia="黑体" w:cs="Times New Roman"/>
        </w:rPr>
        <w:t>.4-2  声环境影响评价自查表</w:t>
      </w:r>
    </w:p>
    <w:tbl>
      <w:tblPr>
        <w:tblStyle w:val="36"/>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1624"/>
        <w:gridCol w:w="1696"/>
        <w:gridCol w:w="1549"/>
        <w:gridCol w:w="361"/>
        <w:gridCol w:w="363"/>
        <w:gridCol w:w="1257"/>
        <w:gridCol w:w="1347"/>
        <w:gridCol w:w="205"/>
        <w:gridCol w:w="207"/>
        <w:gridCol w:w="471"/>
      </w:tblGrid>
      <w:tr w14:paraId="4E0B001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6" w:hRule="atLeast"/>
        </w:trPr>
        <w:tc>
          <w:tcPr>
            <w:tcW w:w="1828" w:type="pct"/>
            <w:gridSpan w:val="2"/>
            <w:tcBorders>
              <w:top w:val="single" w:color="000000" w:sz="4" w:space="0"/>
              <w:left w:val="single" w:color="000000" w:sz="4" w:space="0"/>
              <w:bottom w:val="single" w:color="000000" w:sz="4" w:space="0"/>
              <w:right w:val="single" w:color="000000" w:sz="4" w:space="0"/>
            </w:tcBorders>
            <w:vAlign w:val="center"/>
          </w:tcPr>
          <w:p w14:paraId="2FC6FD50">
            <w:pPr>
              <w:spacing w:line="240" w:lineRule="auto"/>
              <w:jc w:val="center"/>
              <w:rPr>
                <w:sz w:val="21"/>
                <w:szCs w:val="21"/>
              </w:rPr>
            </w:pPr>
            <w:r>
              <w:rPr>
                <w:sz w:val="21"/>
                <w:szCs w:val="21"/>
              </w:rPr>
              <w:t>工作内容</w:t>
            </w:r>
          </w:p>
        </w:tc>
        <w:tc>
          <w:tcPr>
            <w:tcW w:w="3172" w:type="pct"/>
            <w:gridSpan w:val="8"/>
            <w:tcBorders>
              <w:top w:val="single" w:color="000000" w:sz="4" w:space="0"/>
              <w:left w:val="single" w:color="000000" w:sz="4" w:space="0"/>
              <w:bottom w:val="single" w:color="000000" w:sz="4" w:space="0"/>
              <w:right w:val="single" w:color="000000" w:sz="4" w:space="0"/>
            </w:tcBorders>
            <w:vAlign w:val="center"/>
          </w:tcPr>
          <w:p w14:paraId="7FF0A586">
            <w:pPr>
              <w:spacing w:line="240" w:lineRule="auto"/>
              <w:jc w:val="center"/>
              <w:rPr>
                <w:sz w:val="21"/>
                <w:szCs w:val="21"/>
              </w:rPr>
            </w:pPr>
            <w:r>
              <w:rPr>
                <w:sz w:val="21"/>
                <w:szCs w:val="21"/>
              </w:rPr>
              <w:t>自查项目</w:t>
            </w:r>
          </w:p>
        </w:tc>
      </w:tr>
      <w:tr w14:paraId="2C29E33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5" w:hRule="atLeast"/>
        </w:trPr>
        <w:tc>
          <w:tcPr>
            <w:tcW w:w="894" w:type="pct"/>
            <w:vMerge w:val="restart"/>
            <w:tcBorders>
              <w:top w:val="nil"/>
              <w:left w:val="single" w:color="000000" w:sz="4" w:space="0"/>
              <w:bottom w:val="single" w:color="000000" w:sz="4" w:space="0"/>
              <w:right w:val="single" w:color="000000" w:sz="4" w:space="0"/>
            </w:tcBorders>
            <w:vAlign w:val="center"/>
          </w:tcPr>
          <w:p w14:paraId="17102AE2">
            <w:pPr>
              <w:spacing w:line="240" w:lineRule="auto"/>
              <w:jc w:val="center"/>
              <w:rPr>
                <w:sz w:val="21"/>
                <w:szCs w:val="21"/>
              </w:rPr>
            </w:pPr>
            <w:r>
              <w:rPr>
                <w:sz w:val="21"/>
                <w:szCs w:val="21"/>
              </w:rPr>
              <w:t>评价等级与范围</w:t>
            </w:r>
          </w:p>
        </w:tc>
        <w:tc>
          <w:tcPr>
            <w:tcW w:w="934" w:type="pct"/>
            <w:tcBorders>
              <w:top w:val="single" w:color="000000" w:sz="4" w:space="0"/>
              <w:left w:val="single" w:color="000000" w:sz="4" w:space="0"/>
              <w:bottom w:val="single" w:color="000000" w:sz="4" w:space="0"/>
              <w:right w:val="single" w:color="000000" w:sz="4" w:space="0"/>
            </w:tcBorders>
            <w:vAlign w:val="center"/>
          </w:tcPr>
          <w:p w14:paraId="6249EB7A">
            <w:pPr>
              <w:spacing w:line="240" w:lineRule="auto"/>
              <w:jc w:val="center"/>
              <w:rPr>
                <w:sz w:val="21"/>
                <w:szCs w:val="21"/>
              </w:rPr>
            </w:pPr>
            <w:r>
              <w:rPr>
                <w:sz w:val="21"/>
                <w:szCs w:val="21"/>
              </w:rPr>
              <w:t>评价等级</w:t>
            </w:r>
          </w:p>
        </w:tc>
        <w:tc>
          <w:tcPr>
            <w:tcW w:w="3172" w:type="pct"/>
            <w:gridSpan w:val="8"/>
            <w:tcBorders>
              <w:top w:val="single" w:color="000000" w:sz="4" w:space="0"/>
              <w:left w:val="single" w:color="000000" w:sz="4" w:space="0"/>
              <w:bottom w:val="single" w:color="000000" w:sz="4" w:space="0"/>
              <w:right w:val="single" w:color="000000" w:sz="4" w:space="0"/>
            </w:tcBorders>
            <w:vAlign w:val="center"/>
          </w:tcPr>
          <w:p w14:paraId="48DB9D2F">
            <w:pPr>
              <w:spacing w:line="240" w:lineRule="auto"/>
              <w:jc w:val="center"/>
              <w:rPr>
                <w:sz w:val="21"/>
                <w:szCs w:val="21"/>
              </w:rPr>
            </w:pPr>
            <w:r>
              <w:rPr>
                <w:sz w:val="21"/>
                <w:szCs w:val="21"/>
              </w:rPr>
              <w:t>一级□              二级□                 三级</w:t>
            </w:r>
            <w:r>
              <w:rPr>
                <w:rFonts w:ascii="Segoe UI Symbol" w:hAnsi="Segoe UI Symbol" w:cs="Segoe UI Symbol"/>
                <w:sz w:val="21"/>
                <w:szCs w:val="21"/>
              </w:rPr>
              <w:t>☑</w:t>
            </w:r>
          </w:p>
        </w:tc>
      </w:tr>
      <w:tr w14:paraId="7BB0630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4" w:hRule="atLeast"/>
        </w:trPr>
        <w:tc>
          <w:tcPr>
            <w:tcW w:w="894" w:type="pct"/>
            <w:vMerge w:val="continue"/>
            <w:tcBorders>
              <w:top w:val="nil"/>
              <w:left w:val="single" w:color="000000" w:sz="4" w:space="0"/>
              <w:bottom w:val="single" w:color="000000" w:sz="4" w:space="0"/>
              <w:right w:val="single" w:color="000000" w:sz="4" w:space="0"/>
            </w:tcBorders>
            <w:vAlign w:val="center"/>
          </w:tcPr>
          <w:p w14:paraId="5DFDEE2C">
            <w:pPr>
              <w:spacing w:line="240" w:lineRule="auto"/>
              <w:jc w:val="center"/>
              <w:rPr>
                <w:sz w:val="21"/>
                <w:szCs w:val="21"/>
              </w:rPr>
            </w:pPr>
          </w:p>
        </w:tc>
        <w:tc>
          <w:tcPr>
            <w:tcW w:w="934" w:type="pct"/>
            <w:tcBorders>
              <w:top w:val="single" w:color="000000" w:sz="4" w:space="0"/>
              <w:left w:val="single" w:color="000000" w:sz="4" w:space="0"/>
              <w:bottom w:val="single" w:color="000000" w:sz="4" w:space="0"/>
              <w:right w:val="single" w:color="000000" w:sz="4" w:space="0"/>
            </w:tcBorders>
            <w:vAlign w:val="center"/>
          </w:tcPr>
          <w:p w14:paraId="71A6F53C">
            <w:pPr>
              <w:spacing w:line="240" w:lineRule="auto"/>
              <w:jc w:val="center"/>
              <w:rPr>
                <w:sz w:val="21"/>
                <w:szCs w:val="21"/>
              </w:rPr>
            </w:pPr>
            <w:r>
              <w:rPr>
                <w:sz w:val="21"/>
                <w:szCs w:val="21"/>
              </w:rPr>
              <w:t>评价范围</w:t>
            </w:r>
          </w:p>
        </w:tc>
        <w:tc>
          <w:tcPr>
            <w:tcW w:w="3172" w:type="pct"/>
            <w:gridSpan w:val="8"/>
            <w:tcBorders>
              <w:top w:val="single" w:color="000000" w:sz="4" w:space="0"/>
              <w:left w:val="single" w:color="000000" w:sz="4" w:space="0"/>
              <w:bottom w:val="single" w:color="000000" w:sz="4" w:space="0"/>
              <w:right w:val="single" w:color="000000" w:sz="4" w:space="0"/>
            </w:tcBorders>
            <w:vAlign w:val="center"/>
          </w:tcPr>
          <w:p w14:paraId="2D1AE42D">
            <w:pPr>
              <w:spacing w:line="240" w:lineRule="auto"/>
              <w:jc w:val="center"/>
              <w:rPr>
                <w:sz w:val="21"/>
                <w:szCs w:val="21"/>
              </w:rPr>
            </w:pPr>
            <w:r>
              <w:rPr>
                <w:sz w:val="21"/>
                <w:szCs w:val="21"/>
              </w:rPr>
              <w:t>200m</w:t>
            </w:r>
            <w:r>
              <w:rPr>
                <w:rFonts w:ascii="Segoe UI Symbol" w:hAnsi="Segoe UI Symbol" w:cs="Segoe UI Symbol"/>
                <w:sz w:val="21"/>
                <w:szCs w:val="21"/>
              </w:rPr>
              <w:t>☑</w:t>
            </w:r>
            <w:r>
              <w:rPr>
                <w:sz w:val="21"/>
                <w:szCs w:val="21"/>
              </w:rPr>
              <w:t xml:space="preserve">           大于 200m□          小于200m□</w:t>
            </w:r>
          </w:p>
        </w:tc>
      </w:tr>
      <w:tr w14:paraId="0C3D4ED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72" w:hRule="atLeast"/>
        </w:trPr>
        <w:tc>
          <w:tcPr>
            <w:tcW w:w="894" w:type="pct"/>
            <w:tcBorders>
              <w:top w:val="single" w:color="000000" w:sz="4" w:space="0"/>
              <w:left w:val="single" w:color="000000" w:sz="4" w:space="0"/>
              <w:bottom w:val="single" w:color="000000" w:sz="4" w:space="0"/>
              <w:right w:val="single" w:color="000000" w:sz="4" w:space="0"/>
            </w:tcBorders>
            <w:vAlign w:val="center"/>
          </w:tcPr>
          <w:p w14:paraId="38D48EE3">
            <w:pPr>
              <w:spacing w:line="240" w:lineRule="auto"/>
              <w:jc w:val="center"/>
              <w:rPr>
                <w:sz w:val="21"/>
                <w:szCs w:val="21"/>
              </w:rPr>
            </w:pPr>
            <w:r>
              <w:rPr>
                <w:sz w:val="21"/>
                <w:szCs w:val="21"/>
              </w:rPr>
              <w:t>评价因子</w:t>
            </w:r>
          </w:p>
        </w:tc>
        <w:tc>
          <w:tcPr>
            <w:tcW w:w="934" w:type="pct"/>
            <w:tcBorders>
              <w:top w:val="single" w:color="000000" w:sz="4" w:space="0"/>
              <w:left w:val="single" w:color="000000" w:sz="4" w:space="0"/>
              <w:bottom w:val="single" w:color="000000" w:sz="4" w:space="0"/>
              <w:right w:val="single" w:color="000000" w:sz="4" w:space="0"/>
            </w:tcBorders>
            <w:vAlign w:val="center"/>
          </w:tcPr>
          <w:p w14:paraId="4D7A77E6">
            <w:pPr>
              <w:spacing w:line="240" w:lineRule="auto"/>
              <w:jc w:val="center"/>
              <w:rPr>
                <w:sz w:val="21"/>
                <w:szCs w:val="21"/>
              </w:rPr>
            </w:pPr>
            <w:r>
              <w:rPr>
                <w:sz w:val="21"/>
                <w:szCs w:val="21"/>
              </w:rPr>
              <w:t>评价因子</w:t>
            </w:r>
          </w:p>
        </w:tc>
        <w:tc>
          <w:tcPr>
            <w:tcW w:w="3172" w:type="pct"/>
            <w:gridSpan w:val="8"/>
            <w:tcBorders>
              <w:top w:val="single" w:color="000000" w:sz="4" w:space="0"/>
              <w:left w:val="single" w:color="000000" w:sz="4" w:space="0"/>
              <w:bottom w:val="single" w:color="000000" w:sz="4" w:space="0"/>
              <w:right w:val="single" w:color="000000" w:sz="4" w:space="0"/>
            </w:tcBorders>
            <w:vAlign w:val="center"/>
          </w:tcPr>
          <w:p w14:paraId="6E569FCC">
            <w:pPr>
              <w:spacing w:line="240" w:lineRule="auto"/>
              <w:jc w:val="center"/>
              <w:rPr>
                <w:sz w:val="21"/>
                <w:szCs w:val="21"/>
              </w:rPr>
            </w:pPr>
            <w:r>
              <w:rPr>
                <w:sz w:val="21"/>
                <w:szCs w:val="21"/>
              </w:rPr>
              <w:t>等效连续A声级</w:t>
            </w:r>
            <w:r>
              <w:rPr>
                <w:rFonts w:ascii="Segoe UI Symbol" w:hAnsi="Segoe UI Symbol" w:cs="Segoe UI Symbol"/>
                <w:sz w:val="21"/>
                <w:szCs w:val="21"/>
              </w:rPr>
              <w:t>☑</w:t>
            </w:r>
            <w:r>
              <w:rPr>
                <w:sz w:val="21"/>
                <w:szCs w:val="21"/>
              </w:rPr>
              <w:t xml:space="preserve"> 最大A声级□ 计权等效连续感觉噪声级□</w:t>
            </w:r>
          </w:p>
        </w:tc>
      </w:tr>
      <w:tr w14:paraId="66FE1B7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70" w:hRule="atLeast"/>
        </w:trPr>
        <w:tc>
          <w:tcPr>
            <w:tcW w:w="894" w:type="pct"/>
            <w:tcBorders>
              <w:top w:val="single" w:color="000000" w:sz="4" w:space="0"/>
              <w:left w:val="single" w:color="000000" w:sz="4" w:space="0"/>
              <w:bottom w:val="single" w:color="000000" w:sz="4" w:space="0"/>
              <w:right w:val="single" w:color="000000" w:sz="4" w:space="0"/>
            </w:tcBorders>
            <w:vAlign w:val="center"/>
          </w:tcPr>
          <w:p w14:paraId="27077AEF">
            <w:pPr>
              <w:spacing w:line="240" w:lineRule="auto"/>
              <w:jc w:val="center"/>
              <w:rPr>
                <w:sz w:val="21"/>
                <w:szCs w:val="21"/>
              </w:rPr>
            </w:pPr>
            <w:r>
              <w:rPr>
                <w:sz w:val="21"/>
                <w:szCs w:val="21"/>
              </w:rPr>
              <w:t>评价标准</w:t>
            </w:r>
          </w:p>
        </w:tc>
        <w:tc>
          <w:tcPr>
            <w:tcW w:w="934" w:type="pct"/>
            <w:tcBorders>
              <w:top w:val="single" w:color="000000" w:sz="4" w:space="0"/>
              <w:left w:val="single" w:color="000000" w:sz="4" w:space="0"/>
              <w:bottom w:val="single" w:color="000000" w:sz="4" w:space="0"/>
              <w:right w:val="single" w:color="000000" w:sz="4" w:space="0"/>
            </w:tcBorders>
            <w:vAlign w:val="center"/>
          </w:tcPr>
          <w:p w14:paraId="6503E5F5">
            <w:pPr>
              <w:spacing w:line="240" w:lineRule="auto"/>
              <w:jc w:val="center"/>
              <w:rPr>
                <w:sz w:val="21"/>
                <w:szCs w:val="21"/>
              </w:rPr>
            </w:pPr>
            <w:r>
              <w:rPr>
                <w:sz w:val="21"/>
                <w:szCs w:val="21"/>
              </w:rPr>
              <w:t>评价标准</w:t>
            </w:r>
          </w:p>
        </w:tc>
        <w:tc>
          <w:tcPr>
            <w:tcW w:w="3172" w:type="pct"/>
            <w:gridSpan w:val="8"/>
            <w:tcBorders>
              <w:top w:val="single" w:color="000000" w:sz="4" w:space="0"/>
              <w:left w:val="single" w:color="000000" w:sz="4" w:space="0"/>
              <w:bottom w:val="single" w:color="000000" w:sz="4" w:space="0"/>
              <w:right w:val="single" w:color="000000" w:sz="4" w:space="0"/>
            </w:tcBorders>
            <w:vAlign w:val="center"/>
          </w:tcPr>
          <w:p w14:paraId="6199DE9D">
            <w:pPr>
              <w:spacing w:line="240" w:lineRule="auto"/>
              <w:jc w:val="center"/>
              <w:rPr>
                <w:sz w:val="21"/>
                <w:szCs w:val="21"/>
              </w:rPr>
            </w:pPr>
            <w:r>
              <w:rPr>
                <w:sz w:val="21"/>
                <w:szCs w:val="21"/>
              </w:rPr>
              <w:t>国家标准</w:t>
            </w:r>
            <w:r>
              <w:rPr>
                <w:rFonts w:ascii="Segoe UI Symbol" w:hAnsi="Segoe UI Symbol" w:cs="Segoe UI Symbol"/>
                <w:sz w:val="21"/>
                <w:szCs w:val="21"/>
              </w:rPr>
              <w:t>☑</w:t>
            </w:r>
            <w:r>
              <w:rPr>
                <w:sz w:val="21"/>
                <w:szCs w:val="21"/>
              </w:rPr>
              <w:t xml:space="preserve">          地方标准□            国外标准□</w:t>
            </w:r>
          </w:p>
        </w:tc>
      </w:tr>
      <w:tr w14:paraId="24F956C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7" w:hRule="atLeast"/>
        </w:trPr>
        <w:tc>
          <w:tcPr>
            <w:tcW w:w="894" w:type="pct"/>
            <w:vMerge w:val="restart"/>
            <w:tcBorders>
              <w:top w:val="nil"/>
              <w:left w:val="single" w:color="000000" w:sz="4" w:space="0"/>
              <w:bottom w:val="single" w:color="000000" w:sz="4" w:space="0"/>
              <w:right w:val="single" w:color="000000" w:sz="4" w:space="0"/>
            </w:tcBorders>
            <w:vAlign w:val="center"/>
          </w:tcPr>
          <w:p w14:paraId="3D710D7C">
            <w:pPr>
              <w:spacing w:line="240" w:lineRule="auto"/>
              <w:jc w:val="center"/>
              <w:rPr>
                <w:sz w:val="21"/>
                <w:szCs w:val="21"/>
              </w:rPr>
            </w:pPr>
            <w:r>
              <w:rPr>
                <w:sz w:val="21"/>
                <w:szCs w:val="21"/>
              </w:rPr>
              <w:t>现状评价</w:t>
            </w:r>
          </w:p>
        </w:tc>
        <w:tc>
          <w:tcPr>
            <w:tcW w:w="934" w:type="pct"/>
            <w:tcBorders>
              <w:top w:val="single" w:color="000000" w:sz="4" w:space="0"/>
              <w:left w:val="single" w:color="000000" w:sz="4" w:space="0"/>
              <w:bottom w:val="single" w:color="000000" w:sz="4" w:space="0"/>
              <w:right w:val="single" w:color="000000" w:sz="4" w:space="0"/>
            </w:tcBorders>
            <w:vAlign w:val="center"/>
          </w:tcPr>
          <w:p w14:paraId="351F12AF">
            <w:pPr>
              <w:spacing w:line="240" w:lineRule="auto"/>
              <w:jc w:val="center"/>
              <w:rPr>
                <w:sz w:val="21"/>
                <w:szCs w:val="21"/>
              </w:rPr>
            </w:pPr>
            <w:r>
              <w:rPr>
                <w:sz w:val="21"/>
                <w:szCs w:val="21"/>
              </w:rPr>
              <w:t>环境功能区</w:t>
            </w:r>
          </w:p>
        </w:tc>
        <w:tc>
          <w:tcPr>
            <w:tcW w:w="853" w:type="pct"/>
            <w:tcBorders>
              <w:top w:val="single" w:color="000000" w:sz="4" w:space="0"/>
              <w:left w:val="single" w:color="000000" w:sz="4" w:space="0"/>
              <w:bottom w:val="single" w:color="000000" w:sz="4" w:space="0"/>
              <w:right w:val="single" w:color="000000" w:sz="4" w:space="0"/>
            </w:tcBorders>
            <w:vAlign w:val="center"/>
          </w:tcPr>
          <w:p w14:paraId="041C85BD">
            <w:pPr>
              <w:spacing w:line="240" w:lineRule="auto"/>
              <w:jc w:val="center"/>
              <w:rPr>
                <w:sz w:val="21"/>
                <w:szCs w:val="21"/>
              </w:rPr>
            </w:pPr>
            <w:r>
              <w:rPr>
                <w:sz w:val="21"/>
                <w:szCs w:val="21"/>
              </w:rPr>
              <w:t>0类区□</w:t>
            </w:r>
          </w:p>
        </w:tc>
        <w:tc>
          <w:tcPr>
            <w:tcW w:w="399" w:type="pct"/>
            <w:gridSpan w:val="2"/>
            <w:tcBorders>
              <w:top w:val="single" w:color="000000" w:sz="4" w:space="0"/>
              <w:left w:val="single" w:color="000000" w:sz="4" w:space="0"/>
              <w:bottom w:val="single" w:color="000000" w:sz="4" w:space="0"/>
              <w:right w:val="single" w:color="000000" w:sz="4" w:space="0"/>
            </w:tcBorders>
            <w:vAlign w:val="center"/>
          </w:tcPr>
          <w:p w14:paraId="5543660C">
            <w:pPr>
              <w:spacing w:line="240" w:lineRule="auto"/>
              <w:jc w:val="center"/>
              <w:rPr>
                <w:sz w:val="21"/>
                <w:szCs w:val="21"/>
              </w:rPr>
            </w:pPr>
            <w:r>
              <w:rPr>
                <w:sz w:val="21"/>
                <w:szCs w:val="21"/>
              </w:rPr>
              <w:t>1类区□</w:t>
            </w:r>
          </w:p>
        </w:tc>
        <w:tc>
          <w:tcPr>
            <w:tcW w:w="692" w:type="pct"/>
            <w:tcBorders>
              <w:top w:val="single" w:color="000000" w:sz="4" w:space="0"/>
              <w:left w:val="single" w:color="000000" w:sz="4" w:space="0"/>
              <w:bottom w:val="single" w:color="000000" w:sz="4" w:space="0"/>
              <w:right w:val="single" w:color="000000" w:sz="4" w:space="0"/>
            </w:tcBorders>
            <w:vAlign w:val="center"/>
          </w:tcPr>
          <w:p w14:paraId="15AEB1A7">
            <w:pPr>
              <w:spacing w:line="240" w:lineRule="auto"/>
              <w:jc w:val="center"/>
              <w:rPr>
                <w:sz w:val="21"/>
                <w:szCs w:val="21"/>
              </w:rPr>
            </w:pPr>
            <w:r>
              <w:rPr>
                <w:sz w:val="21"/>
                <w:szCs w:val="21"/>
              </w:rPr>
              <w:t>2类区□</w:t>
            </w:r>
          </w:p>
        </w:tc>
        <w:tc>
          <w:tcPr>
            <w:tcW w:w="742" w:type="pct"/>
            <w:tcBorders>
              <w:top w:val="single" w:color="000000" w:sz="4" w:space="0"/>
              <w:left w:val="single" w:color="000000" w:sz="4" w:space="0"/>
              <w:bottom w:val="single" w:color="000000" w:sz="4" w:space="0"/>
              <w:right w:val="single" w:color="000000" w:sz="4" w:space="0"/>
            </w:tcBorders>
            <w:vAlign w:val="center"/>
          </w:tcPr>
          <w:p w14:paraId="69E21E98">
            <w:pPr>
              <w:spacing w:line="240" w:lineRule="auto"/>
              <w:jc w:val="center"/>
              <w:rPr>
                <w:sz w:val="21"/>
                <w:szCs w:val="21"/>
              </w:rPr>
            </w:pPr>
            <w:r>
              <w:rPr>
                <w:sz w:val="21"/>
                <w:szCs w:val="21"/>
              </w:rPr>
              <w:t>3类区</w:t>
            </w:r>
            <w:r>
              <w:rPr>
                <w:rFonts w:ascii="Segoe UI Symbol" w:hAnsi="Segoe UI Symbol" w:cs="Segoe UI Symbol"/>
                <w:sz w:val="21"/>
                <w:szCs w:val="21"/>
              </w:rPr>
              <w:t>☑</w:t>
            </w:r>
          </w:p>
        </w:tc>
        <w:tc>
          <w:tcPr>
            <w:tcW w:w="227" w:type="pct"/>
            <w:gridSpan w:val="2"/>
            <w:tcBorders>
              <w:top w:val="single" w:color="000000" w:sz="4" w:space="0"/>
              <w:left w:val="single" w:color="000000" w:sz="4" w:space="0"/>
              <w:bottom w:val="single" w:color="000000" w:sz="4" w:space="0"/>
              <w:right w:val="single" w:color="000000" w:sz="4" w:space="0"/>
            </w:tcBorders>
            <w:vAlign w:val="center"/>
          </w:tcPr>
          <w:p w14:paraId="22BC9FA3">
            <w:pPr>
              <w:spacing w:line="240" w:lineRule="auto"/>
              <w:jc w:val="center"/>
              <w:rPr>
                <w:sz w:val="21"/>
                <w:szCs w:val="21"/>
              </w:rPr>
            </w:pPr>
            <w:r>
              <w:rPr>
                <w:sz w:val="21"/>
                <w:szCs w:val="21"/>
              </w:rPr>
              <w:t>4a类区□</w:t>
            </w:r>
          </w:p>
        </w:tc>
        <w:tc>
          <w:tcPr>
            <w:tcW w:w="259" w:type="pct"/>
            <w:tcBorders>
              <w:top w:val="single" w:color="000000" w:sz="4" w:space="0"/>
              <w:left w:val="single" w:color="000000" w:sz="4" w:space="0"/>
              <w:bottom w:val="single" w:color="000000" w:sz="4" w:space="0"/>
              <w:right w:val="single" w:color="000000" w:sz="4" w:space="0"/>
            </w:tcBorders>
            <w:vAlign w:val="center"/>
          </w:tcPr>
          <w:p w14:paraId="3944F1B4">
            <w:pPr>
              <w:spacing w:line="240" w:lineRule="auto"/>
              <w:jc w:val="center"/>
              <w:rPr>
                <w:sz w:val="21"/>
                <w:szCs w:val="21"/>
              </w:rPr>
            </w:pPr>
            <w:r>
              <w:rPr>
                <w:sz w:val="21"/>
                <w:szCs w:val="21"/>
              </w:rPr>
              <w:t>4b类区□</w:t>
            </w:r>
          </w:p>
        </w:tc>
      </w:tr>
      <w:tr w14:paraId="75E02B0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4" w:hRule="atLeast"/>
        </w:trPr>
        <w:tc>
          <w:tcPr>
            <w:tcW w:w="894" w:type="pct"/>
            <w:vMerge w:val="continue"/>
            <w:tcBorders>
              <w:top w:val="nil"/>
              <w:left w:val="single" w:color="000000" w:sz="4" w:space="0"/>
              <w:bottom w:val="single" w:color="000000" w:sz="4" w:space="0"/>
              <w:right w:val="single" w:color="000000" w:sz="4" w:space="0"/>
            </w:tcBorders>
            <w:vAlign w:val="center"/>
          </w:tcPr>
          <w:p w14:paraId="0C835967">
            <w:pPr>
              <w:spacing w:line="240" w:lineRule="auto"/>
              <w:jc w:val="center"/>
              <w:rPr>
                <w:sz w:val="21"/>
                <w:szCs w:val="21"/>
              </w:rPr>
            </w:pPr>
          </w:p>
        </w:tc>
        <w:tc>
          <w:tcPr>
            <w:tcW w:w="934" w:type="pct"/>
            <w:tcBorders>
              <w:top w:val="single" w:color="000000" w:sz="4" w:space="0"/>
              <w:left w:val="single" w:color="000000" w:sz="4" w:space="0"/>
              <w:bottom w:val="single" w:color="000000" w:sz="4" w:space="0"/>
              <w:right w:val="single" w:color="000000" w:sz="4" w:space="0"/>
            </w:tcBorders>
            <w:vAlign w:val="center"/>
          </w:tcPr>
          <w:p w14:paraId="26098BFA">
            <w:pPr>
              <w:spacing w:line="240" w:lineRule="auto"/>
              <w:jc w:val="center"/>
              <w:rPr>
                <w:sz w:val="21"/>
                <w:szCs w:val="21"/>
              </w:rPr>
            </w:pPr>
            <w:r>
              <w:rPr>
                <w:sz w:val="21"/>
                <w:szCs w:val="21"/>
              </w:rPr>
              <w:t>评价年度</w:t>
            </w:r>
          </w:p>
        </w:tc>
        <w:tc>
          <w:tcPr>
            <w:tcW w:w="1052" w:type="pct"/>
            <w:gridSpan w:val="2"/>
            <w:tcBorders>
              <w:top w:val="single" w:color="000000" w:sz="4" w:space="0"/>
              <w:left w:val="single" w:color="000000" w:sz="4" w:space="0"/>
              <w:bottom w:val="single" w:color="000000" w:sz="4" w:space="0"/>
              <w:right w:val="single" w:color="000000" w:sz="4" w:space="0"/>
            </w:tcBorders>
            <w:vAlign w:val="center"/>
          </w:tcPr>
          <w:p w14:paraId="574BBB34">
            <w:pPr>
              <w:spacing w:line="240" w:lineRule="auto"/>
              <w:jc w:val="center"/>
              <w:rPr>
                <w:sz w:val="21"/>
                <w:szCs w:val="21"/>
              </w:rPr>
            </w:pPr>
            <w:r>
              <w:rPr>
                <w:sz w:val="21"/>
                <w:szCs w:val="21"/>
              </w:rPr>
              <w:t>初期□</w:t>
            </w:r>
          </w:p>
        </w:tc>
        <w:tc>
          <w:tcPr>
            <w:tcW w:w="891" w:type="pct"/>
            <w:gridSpan w:val="2"/>
            <w:tcBorders>
              <w:top w:val="single" w:color="000000" w:sz="4" w:space="0"/>
              <w:left w:val="single" w:color="000000" w:sz="4" w:space="0"/>
              <w:bottom w:val="single" w:color="000000" w:sz="4" w:space="0"/>
              <w:right w:val="single" w:color="000000" w:sz="4" w:space="0"/>
            </w:tcBorders>
            <w:vAlign w:val="center"/>
          </w:tcPr>
          <w:p w14:paraId="0F599B60">
            <w:pPr>
              <w:spacing w:line="240" w:lineRule="auto"/>
              <w:jc w:val="center"/>
              <w:rPr>
                <w:sz w:val="21"/>
                <w:szCs w:val="21"/>
              </w:rPr>
            </w:pPr>
            <w:r>
              <w:rPr>
                <w:sz w:val="21"/>
                <w:szCs w:val="21"/>
              </w:rPr>
              <w:t>近期</w:t>
            </w:r>
            <w:r>
              <w:rPr>
                <w:rFonts w:ascii="Segoe UI Symbol" w:hAnsi="Segoe UI Symbol" w:cs="Segoe UI Symbol"/>
                <w:sz w:val="21"/>
                <w:szCs w:val="21"/>
              </w:rPr>
              <w:t>☑</w:t>
            </w:r>
          </w:p>
        </w:tc>
        <w:tc>
          <w:tcPr>
            <w:tcW w:w="969" w:type="pct"/>
            <w:gridSpan w:val="3"/>
            <w:tcBorders>
              <w:top w:val="single" w:color="000000" w:sz="4" w:space="0"/>
              <w:left w:val="single" w:color="000000" w:sz="4" w:space="0"/>
              <w:bottom w:val="single" w:color="000000" w:sz="4" w:space="0"/>
              <w:right w:val="single" w:color="000000" w:sz="4" w:space="0"/>
            </w:tcBorders>
            <w:vAlign w:val="center"/>
          </w:tcPr>
          <w:p w14:paraId="7BAA7169">
            <w:pPr>
              <w:spacing w:line="240" w:lineRule="auto"/>
              <w:jc w:val="center"/>
              <w:rPr>
                <w:sz w:val="21"/>
                <w:szCs w:val="21"/>
              </w:rPr>
            </w:pPr>
            <w:r>
              <w:rPr>
                <w:sz w:val="21"/>
                <w:szCs w:val="21"/>
              </w:rPr>
              <w:t>中期□</w:t>
            </w:r>
          </w:p>
        </w:tc>
        <w:tc>
          <w:tcPr>
            <w:tcW w:w="259" w:type="pct"/>
            <w:tcBorders>
              <w:top w:val="single" w:color="000000" w:sz="4" w:space="0"/>
              <w:left w:val="single" w:color="000000" w:sz="4" w:space="0"/>
              <w:bottom w:val="single" w:color="000000" w:sz="4" w:space="0"/>
              <w:right w:val="single" w:color="000000" w:sz="4" w:space="0"/>
            </w:tcBorders>
            <w:vAlign w:val="center"/>
          </w:tcPr>
          <w:p w14:paraId="54CDCA8B">
            <w:pPr>
              <w:spacing w:line="240" w:lineRule="auto"/>
              <w:jc w:val="center"/>
              <w:rPr>
                <w:sz w:val="21"/>
                <w:szCs w:val="21"/>
              </w:rPr>
            </w:pPr>
            <w:r>
              <w:rPr>
                <w:sz w:val="21"/>
                <w:szCs w:val="21"/>
              </w:rPr>
              <w:t>远期□</w:t>
            </w:r>
          </w:p>
        </w:tc>
      </w:tr>
      <w:tr w14:paraId="5CCC920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82" w:hRule="atLeast"/>
        </w:trPr>
        <w:tc>
          <w:tcPr>
            <w:tcW w:w="894" w:type="pct"/>
            <w:vMerge w:val="continue"/>
            <w:tcBorders>
              <w:top w:val="nil"/>
              <w:left w:val="single" w:color="000000" w:sz="4" w:space="0"/>
              <w:bottom w:val="single" w:color="000000" w:sz="4" w:space="0"/>
              <w:right w:val="single" w:color="000000" w:sz="4" w:space="0"/>
            </w:tcBorders>
            <w:vAlign w:val="center"/>
          </w:tcPr>
          <w:p w14:paraId="33DED6E0">
            <w:pPr>
              <w:spacing w:line="240" w:lineRule="auto"/>
              <w:jc w:val="center"/>
              <w:rPr>
                <w:sz w:val="21"/>
                <w:szCs w:val="21"/>
              </w:rPr>
            </w:pPr>
          </w:p>
        </w:tc>
        <w:tc>
          <w:tcPr>
            <w:tcW w:w="934" w:type="pct"/>
            <w:tcBorders>
              <w:top w:val="single" w:color="000000" w:sz="4" w:space="0"/>
              <w:left w:val="single" w:color="000000" w:sz="4" w:space="0"/>
              <w:bottom w:val="single" w:color="000000" w:sz="4" w:space="0"/>
              <w:right w:val="single" w:color="000000" w:sz="4" w:space="0"/>
            </w:tcBorders>
            <w:vAlign w:val="center"/>
          </w:tcPr>
          <w:p w14:paraId="06E61FA1">
            <w:pPr>
              <w:spacing w:line="240" w:lineRule="auto"/>
              <w:jc w:val="center"/>
              <w:rPr>
                <w:sz w:val="21"/>
                <w:szCs w:val="21"/>
              </w:rPr>
            </w:pPr>
            <w:r>
              <w:rPr>
                <w:sz w:val="21"/>
                <w:szCs w:val="21"/>
              </w:rPr>
              <w:t>现状调查方法</w:t>
            </w:r>
          </w:p>
        </w:tc>
        <w:tc>
          <w:tcPr>
            <w:tcW w:w="3172" w:type="pct"/>
            <w:gridSpan w:val="8"/>
            <w:tcBorders>
              <w:top w:val="single" w:color="000000" w:sz="4" w:space="0"/>
              <w:left w:val="single" w:color="000000" w:sz="4" w:space="0"/>
              <w:bottom w:val="single" w:color="000000" w:sz="4" w:space="0"/>
              <w:right w:val="single" w:color="000000" w:sz="4" w:space="0"/>
            </w:tcBorders>
            <w:vAlign w:val="center"/>
          </w:tcPr>
          <w:p w14:paraId="45580535">
            <w:pPr>
              <w:spacing w:line="240" w:lineRule="auto"/>
              <w:jc w:val="center"/>
              <w:rPr>
                <w:sz w:val="21"/>
                <w:szCs w:val="21"/>
              </w:rPr>
            </w:pPr>
            <w:r>
              <w:rPr>
                <w:sz w:val="21"/>
                <w:szCs w:val="21"/>
              </w:rPr>
              <w:t>现场实测法</w:t>
            </w:r>
            <w:r>
              <w:rPr>
                <w:rFonts w:ascii="Segoe UI Symbol" w:hAnsi="Segoe UI Symbol" w:cs="Segoe UI Symbol"/>
                <w:sz w:val="21"/>
                <w:szCs w:val="21"/>
              </w:rPr>
              <w:t>☑</w:t>
            </w:r>
            <w:r>
              <w:rPr>
                <w:sz w:val="21"/>
                <w:szCs w:val="21"/>
              </w:rPr>
              <w:t xml:space="preserve">     现场实测加模型计算法□    收集资料□</w:t>
            </w:r>
          </w:p>
        </w:tc>
      </w:tr>
      <w:tr w14:paraId="5438D18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4" w:hRule="atLeast"/>
        </w:trPr>
        <w:tc>
          <w:tcPr>
            <w:tcW w:w="894" w:type="pct"/>
            <w:vMerge w:val="continue"/>
            <w:tcBorders>
              <w:top w:val="nil"/>
              <w:left w:val="single" w:color="000000" w:sz="4" w:space="0"/>
              <w:bottom w:val="single" w:color="000000" w:sz="4" w:space="0"/>
              <w:right w:val="single" w:color="000000" w:sz="4" w:space="0"/>
            </w:tcBorders>
            <w:vAlign w:val="center"/>
          </w:tcPr>
          <w:p w14:paraId="2F0BE7B9">
            <w:pPr>
              <w:spacing w:line="240" w:lineRule="auto"/>
              <w:jc w:val="center"/>
              <w:rPr>
                <w:sz w:val="21"/>
                <w:szCs w:val="21"/>
              </w:rPr>
            </w:pPr>
          </w:p>
        </w:tc>
        <w:tc>
          <w:tcPr>
            <w:tcW w:w="934" w:type="pct"/>
            <w:tcBorders>
              <w:top w:val="single" w:color="000000" w:sz="4" w:space="0"/>
              <w:left w:val="single" w:color="000000" w:sz="4" w:space="0"/>
              <w:bottom w:val="single" w:color="000000" w:sz="4" w:space="0"/>
              <w:right w:val="single" w:color="000000" w:sz="4" w:space="0"/>
            </w:tcBorders>
            <w:vAlign w:val="center"/>
          </w:tcPr>
          <w:p w14:paraId="76C5665E">
            <w:pPr>
              <w:spacing w:line="240" w:lineRule="auto"/>
              <w:jc w:val="center"/>
              <w:rPr>
                <w:sz w:val="21"/>
                <w:szCs w:val="21"/>
              </w:rPr>
            </w:pPr>
            <w:r>
              <w:rPr>
                <w:sz w:val="21"/>
                <w:szCs w:val="21"/>
              </w:rPr>
              <w:t>现状评价</w:t>
            </w:r>
          </w:p>
        </w:tc>
        <w:tc>
          <w:tcPr>
            <w:tcW w:w="1252" w:type="pct"/>
            <w:gridSpan w:val="3"/>
            <w:tcBorders>
              <w:top w:val="single" w:color="000000" w:sz="4" w:space="0"/>
              <w:left w:val="single" w:color="000000" w:sz="4" w:space="0"/>
              <w:bottom w:val="single" w:color="000000" w:sz="4" w:space="0"/>
              <w:right w:val="single" w:color="000000" w:sz="4" w:space="0"/>
            </w:tcBorders>
            <w:vAlign w:val="center"/>
          </w:tcPr>
          <w:p w14:paraId="0DF50CE7">
            <w:pPr>
              <w:spacing w:line="240" w:lineRule="auto"/>
              <w:jc w:val="center"/>
              <w:rPr>
                <w:sz w:val="21"/>
                <w:szCs w:val="21"/>
              </w:rPr>
            </w:pPr>
            <w:r>
              <w:rPr>
                <w:sz w:val="21"/>
                <w:szCs w:val="21"/>
              </w:rPr>
              <w:t>达标百分比</w:t>
            </w:r>
          </w:p>
        </w:tc>
        <w:tc>
          <w:tcPr>
            <w:tcW w:w="1920" w:type="pct"/>
            <w:gridSpan w:val="5"/>
            <w:tcBorders>
              <w:top w:val="single" w:color="000000" w:sz="4" w:space="0"/>
              <w:left w:val="single" w:color="000000" w:sz="4" w:space="0"/>
              <w:bottom w:val="single" w:color="000000" w:sz="4" w:space="0"/>
              <w:right w:val="single" w:color="000000" w:sz="4" w:space="0"/>
            </w:tcBorders>
            <w:vAlign w:val="center"/>
          </w:tcPr>
          <w:p w14:paraId="0CFCAB00">
            <w:pPr>
              <w:spacing w:line="240" w:lineRule="auto"/>
              <w:jc w:val="center"/>
              <w:rPr>
                <w:sz w:val="21"/>
                <w:szCs w:val="21"/>
              </w:rPr>
            </w:pPr>
            <w:r>
              <w:rPr>
                <w:sz w:val="21"/>
                <w:szCs w:val="21"/>
              </w:rPr>
              <w:t>100%</w:t>
            </w:r>
          </w:p>
        </w:tc>
      </w:tr>
      <w:tr w14:paraId="657C4A8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2" w:hRule="atLeast"/>
        </w:trPr>
        <w:tc>
          <w:tcPr>
            <w:tcW w:w="894" w:type="pct"/>
            <w:tcBorders>
              <w:top w:val="single" w:color="000000" w:sz="4" w:space="0"/>
              <w:left w:val="single" w:color="000000" w:sz="4" w:space="0"/>
              <w:bottom w:val="single" w:color="000000" w:sz="4" w:space="0"/>
              <w:right w:val="single" w:color="000000" w:sz="4" w:space="0"/>
            </w:tcBorders>
            <w:vAlign w:val="center"/>
          </w:tcPr>
          <w:p w14:paraId="22CA05AD">
            <w:pPr>
              <w:spacing w:line="240" w:lineRule="auto"/>
              <w:jc w:val="center"/>
              <w:rPr>
                <w:sz w:val="21"/>
                <w:szCs w:val="21"/>
              </w:rPr>
            </w:pPr>
            <w:r>
              <w:rPr>
                <w:sz w:val="21"/>
                <w:szCs w:val="21"/>
              </w:rPr>
              <w:t>噪声源调查</w:t>
            </w:r>
          </w:p>
        </w:tc>
        <w:tc>
          <w:tcPr>
            <w:tcW w:w="934" w:type="pct"/>
            <w:tcBorders>
              <w:top w:val="single" w:color="000000" w:sz="4" w:space="0"/>
              <w:left w:val="single" w:color="000000" w:sz="4" w:space="0"/>
              <w:bottom w:val="single" w:color="000000" w:sz="4" w:space="0"/>
              <w:right w:val="single" w:color="000000" w:sz="4" w:space="0"/>
            </w:tcBorders>
            <w:vAlign w:val="center"/>
          </w:tcPr>
          <w:p w14:paraId="3B488016">
            <w:pPr>
              <w:spacing w:line="240" w:lineRule="auto"/>
              <w:jc w:val="center"/>
              <w:rPr>
                <w:sz w:val="21"/>
                <w:szCs w:val="21"/>
              </w:rPr>
            </w:pPr>
            <w:r>
              <w:rPr>
                <w:sz w:val="21"/>
                <w:szCs w:val="21"/>
              </w:rPr>
              <w:t>噪声源调查方法</w:t>
            </w:r>
          </w:p>
        </w:tc>
        <w:tc>
          <w:tcPr>
            <w:tcW w:w="3172" w:type="pct"/>
            <w:gridSpan w:val="8"/>
            <w:tcBorders>
              <w:top w:val="single" w:color="000000" w:sz="4" w:space="0"/>
              <w:left w:val="single" w:color="000000" w:sz="4" w:space="0"/>
              <w:bottom w:val="single" w:color="000000" w:sz="4" w:space="0"/>
              <w:right w:val="single" w:color="000000" w:sz="4" w:space="0"/>
            </w:tcBorders>
            <w:vAlign w:val="center"/>
          </w:tcPr>
          <w:p w14:paraId="67669558">
            <w:pPr>
              <w:spacing w:line="240" w:lineRule="auto"/>
              <w:jc w:val="center"/>
              <w:rPr>
                <w:sz w:val="21"/>
                <w:szCs w:val="21"/>
              </w:rPr>
            </w:pPr>
            <w:r>
              <w:rPr>
                <w:sz w:val="21"/>
                <w:szCs w:val="21"/>
              </w:rPr>
              <w:t>现场实测□         已有资料</w:t>
            </w:r>
            <w:r>
              <w:rPr>
                <w:rFonts w:ascii="Segoe UI Symbol" w:hAnsi="Segoe UI Symbol" w:cs="Segoe UI Symbol"/>
                <w:sz w:val="21"/>
                <w:szCs w:val="21"/>
              </w:rPr>
              <w:t>☑</w:t>
            </w:r>
            <w:r>
              <w:rPr>
                <w:sz w:val="21"/>
                <w:szCs w:val="21"/>
              </w:rPr>
              <w:t xml:space="preserve">           研究成果□</w:t>
            </w:r>
          </w:p>
        </w:tc>
      </w:tr>
      <w:tr w14:paraId="496A281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1" w:hRule="atLeast"/>
        </w:trPr>
        <w:tc>
          <w:tcPr>
            <w:tcW w:w="894" w:type="pct"/>
            <w:vMerge w:val="restart"/>
            <w:tcBorders>
              <w:top w:val="nil"/>
              <w:left w:val="single" w:color="000000" w:sz="4" w:space="0"/>
              <w:bottom w:val="single" w:color="000000" w:sz="4" w:space="0"/>
              <w:right w:val="single" w:color="000000" w:sz="4" w:space="0"/>
            </w:tcBorders>
            <w:vAlign w:val="center"/>
          </w:tcPr>
          <w:p w14:paraId="6C43022A">
            <w:pPr>
              <w:spacing w:line="240" w:lineRule="auto"/>
              <w:jc w:val="center"/>
              <w:rPr>
                <w:sz w:val="21"/>
                <w:szCs w:val="21"/>
              </w:rPr>
            </w:pPr>
            <w:r>
              <w:rPr>
                <w:sz w:val="21"/>
                <w:szCs w:val="21"/>
              </w:rPr>
              <w:t>声环境影响预测与评价</w:t>
            </w:r>
          </w:p>
        </w:tc>
        <w:tc>
          <w:tcPr>
            <w:tcW w:w="934" w:type="pct"/>
            <w:tcBorders>
              <w:top w:val="single" w:color="000000" w:sz="4" w:space="0"/>
              <w:left w:val="single" w:color="000000" w:sz="4" w:space="0"/>
              <w:bottom w:val="single" w:color="000000" w:sz="4" w:space="0"/>
              <w:right w:val="single" w:color="000000" w:sz="4" w:space="0"/>
            </w:tcBorders>
            <w:vAlign w:val="center"/>
          </w:tcPr>
          <w:p w14:paraId="61B6F426">
            <w:pPr>
              <w:spacing w:line="240" w:lineRule="auto"/>
              <w:jc w:val="center"/>
              <w:rPr>
                <w:sz w:val="21"/>
                <w:szCs w:val="21"/>
              </w:rPr>
            </w:pPr>
            <w:r>
              <w:rPr>
                <w:sz w:val="21"/>
                <w:szCs w:val="21"/>
              </w:rPr>
              <w:t>预测模型</w:t>
            </w:r>
          </w:p>
        </w:tc>
        <w:tc>
          <w:tcPr>
            <w:tcW w:w="2685" w:type="pct"/>
            <w:gridSpan w:val="5"/>
            <w:tcBorders>
              <w:top w:val="single" w:color="000000" w:sz="4" w:space="0"/>
              <w:left w:val="single" w:color="000000" w:sz="4" w:space="0"/>
              <w:bottom w:val="single" w:color="000000" w:sz="4" w:space="0"/>
              <w:right w:val="single" w:color="000000" w:sz="4" w:space="0"/>
            </w:tcBorders>
            <w:vAlign w:val="center"/>
          </w:tcPr>
          <w:p w14:paraId="42C14F6A">
            <w:pPr>
              <w:spacing w:line="240" w:lineRule="auto"/>
              <w:jc w:val="center"/>
              <w:rPr>
                <w:sz w:val="21"/>
                <w:szCs w:val="21"/>
              </w:rPr>
            </w:pPr>
            <w:r>
              <w:rPr>
                <w:sz w:val="21"/>
                <w:szCs w:val="21"/>
              </w:rPr>
              <w:t>导则推荐模型</w:t>
            </w:r>
            <w:r>
              <w:rPr>
                <w:rFonts w:ascii="Segoe UI Symbol" w:hAnsi="Segoe UI Symbol" w:cs="Segoe UI Symbol"/>
                <w:sz w:val="21"/>
                <w:szCs w:val="21"/>
              </w:rPr>
              <w:t>☑</w:t>
            </w:r>
          </w:p>
        </w:tc>
        <w:tc>
          <w:tcPr>
            <w:tcW w:w="487" w:type="pct"/>
            <w:gridSpan w:val="3"/>
            <w:tcBorders>
              <w:top w:val="single" w:color="000000" w:sz="4" w:space="0"/>
              <w:left w:val="single" w:color="000000" w:sz="4" w:space="0"/>
              <w:bottom w:val="single" w:color="000000" w:sz="4" w:space="0"/>
              <w:right w:val="single" w:color="000000" w:sz="4" w:space="0"/>
            </w:tcBorders>
            <w:vAlign w:val="center"/>
          </w:tcPr>
          <w:p w14:paraId="0D1067C8">
            <w:pPr>
              <w:spacing w:line="240" w:lineRule="auto"/>
              <w:jc w:val="center"/>
              <w:rPr>
                <w:sz w:val="21"/>
                <w:szCs w:val="21"/>
              </w:rPr>
            </w:pPr>
            <w:r>
              <w:rPr>
                <w:sz w:val="21"/>
                <w:szCs w:val="21"/>
              </w:rPr>
              <w:t>其他□</w:t>
            </w:r>
          </w:p>
        </w:tc>
      </w:tr>
      <w:tr w14:paraId="3E7E00D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4" w:hRule="atLeast"/>
        </w:trPr>
        <w:tc>
          <w:tcPr>
            <w:tcW w:w="894" w:type="pct"/>
            <w:vMerge w:val="continue"/>
            <w:tcBorders>
              <w:top w:val="nil"/>
              <w:left w:val="single" w:color="000000" w:sz="4" w:space="0"/>
              <w:bottom w:val="single" w:color="000000" w:sz="4" w:space="0"/>
              <w:right w:val="single" w:color="000000" w:sz="4" w:space="0"/>
            </w:tcBorders>
            <w:vAlign w:val="center"/>
          </w:tcPr>
          <w:p w14:paraId="088FE7CD">
            <w:pPr>
              <w:spacing w:line="240" w:lineRule="auto"/>
              <w:jc w:val="center"/>
              <w:rPr>
                <w:sz w:val="21"/>
                <w:szCs w:val="21"/>
              </w:rPr>
            </w:pPr>
          </w:p>
        </w:tc>
        <w:tc>
          <w:tcPr>
            <w:tcW w:w="934" w:type="pct"/>
            <w:tcBorders>
              <w:top w:val="single" w:color="000000" w:sz="4" w:space="0"/>
              <w:left w:val="single" w:color="000000" w:sz="4" w:space="0"/>
              <w:bottom w:val="single" w:color="000000" w:sz="4" w:space="0"/>
              <w:right w:val="single" w:color="000000" w:sz="4" w:space="0"/>
            </w:tcBorders>
            <w:vAlign w:val="center"/>
          </w:tcPr>
          <w:p w14:paraId="13BC4BDD">
            <w:pPr>
              <w:spacing w:line="240" w:lineRule="auto"/>
              <w:jc w:val="center"/>
              <w:rPr>
                <w:sz w:val="21"/>
                <w:szCs w:val="21"/>
              </w:rPr>
            </w:pPr>
            <w:r>
              <w:rPr>
                <w:sz w:val="21"/>
                <w:szCs w:val="21"/>
              </w:rPr>
              <w:t>预测范围</w:t>
            </w:r>
          </w:p>
        </w:tc>
        <w:tc>
          <w:tcPr>
            <w:tcW w:w="3172" w:type="pct"/>
            <w:gridSpan w:val="8"/>
            <w:tcBorders>
              <w:top w:val="single" w:color="000000" w:sz="4" w:space="0"/>
              <w:left w:val="single" w:color="000000" w:sz="4" w:space="0"/>
              <w:bottom w:val="single" w:color="000000" w:sz="4" w:space="0"/>
              <w:right w:val="single" w:color="000000" w:sz="4" w:space="0"/>
            </w:tcBorders>
            <w:vAlign w:val="center"/>
          </w:tcPr>
          <w:p w14:paraId="39B70D17">
            <w:pPr>
              <w:spacing w:line="240" w:lineRule="auto"/>
              <w:jc w:val="center"/>
              <w:rPr>
                <w:sz w:val="21"/>
                <w:szCs w:val="21"/>
              </w:rPr>
            </w:pPr>
            <w:r>
              <w:rPr>
                <w:sz w:val="21"/>
                <w:szCs w:val="21"/>
              </w:rPr>
              <w:t>200m</w:t>
            </w:r>
            <w:r>
              <w:rPr>
                <w:rFonts w:ascii="Segoe UI Symbol" w:hAnsi="Segoe UI Symbol" w:cs="Segoe UI Symbol"/>
                <w:sz w:val="21"/>
                <w:szCs w:val="21"/>
              </w:rPr>
              <w:t>☑</w:t>
            </w:r>
            <w:r>
              <w:rPr>
                <w:sz w:val="21"/>
                <w:szCs w:val="21"/>
              </w:rPr>
              <w:t xml:space="preserve">          大于200m□           小于200m□</w:t>
            </w:r>
          </w:p>
        </w:tc>
      </w:tr>
      <w:tr w14:paraId="481CF61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4" w:hRule="atLeast"/>
        </w:trPr>
        <w:tc>
          <w:tcPr>
            <w:tcW w:w="894" w:type="pct"/>
            <w:vMerge w:val="continue"/>
            <w:tcBorders>
              <w:top w:val="nil"/>
              <w:left w:val="single" w:color="000000" w:sz="4" w:space="0"/>
              <w:bottom w:val="single" w:color="000000" w:sz="4" w:space="0"/>
              <w:right w:val="single" w:color="000000" w:sz="4" w:space="0"/>
            </w:tcBorders>
            <w:vAlign w:val="center"/>
          </w:tcPr>
          <w:p w14:paraId="02F36857">
            <w:pPr>
              <w:spacing w:line="240" w:lineRule="auto"/>
              <w:jc w:val="center"/>
              <w:rPr>
                <w:sz w:val="21"/>
                <w:szCs w:val="21"/>
              </w:rPr>
            </w:pPr>
          </w:p>
        </w:tc>
        <w:tc>
          <w:tcPr>
            <w:tcW w:w="934" w:type="pct"/>
            <w:tcBorders>
              <w:top w:val="single" w:color="000000" w:sz="4" w:space="0"/>
              <w:left w:val="single" w:color="000000" w:sz="4" w:space="0"/>
              <w:bottom w:val="single" w:color="000000" w:sz="4" w:space="0"/>
              <w:right w:val="single" w:color="000000" w:sz="4" w:space="0"/>
            </w:tcBorders>
            <w:vAlign w:val="center"/>
          </w:tcPr>
          <w:p w14:paraId="4EF68D79">
            <w:pPr>
              <w:spacing w:line="240" w:lineRule="auto"/>
              <w:jc w:val="center"/>
              <w:rPr>
                <w:sz w:val="21"/>
                <w:szCs w:val="21"/>
              </w:rPr>
            </w:pPr>
            <w:r>
              <w:rPr>
                <w:sz w:val="21"/>
                <w:szCs w:val="21"/>
              </w:rPr>
              <w:t>预测因子</w:t>
            </w:r>
          </w:p>
        </w:tc>
        <w:tc>
          <w:tcPr>
            <w:tcW w:w="3172" w:type="pct"/>
            <w:gridSpan w:val="8"/>
            <w:tcBorders>
              <w:top w:val="single" w:color="000000" w:sz="4" w:space="0"/>
              <w:left w:val="single" w:color="000000" w:sz="4" w:space="0"/>
              <w:bottom w:val="single" w:color="000000" w:sz="4" w:space="0"/>
              <w:right w:val="single" w:color="000000" w:sz="4" w:space="0"/>
            </w:tcBorders>
            <w:vAlign w:val="center"/>
          </w:tcPr>
          <w:p w14:paraId="639E39D1">
            <w:pPr>
              <w:spacing w:line="240" w:lineRule="auto"/>
              <w:jc w:val="center"/>
              <w:rPr>
                <w:sz w:val="21"/>
                <w:szCs w:val="21"/>
              </w:rPr>
            </w:pPr>
            <w:r>
              <w:rPr>
                <w:sz w:val="21"/>
                <w:szCs w:val="21"/>
              </w:rPr>
              <w:t>等效连续A声级</w:t>
            </w:r>
            <w:r>
              <w:rPr>
                <w:rFonts w:ascii="Segoe UI Symbol" w:hAnsi="Segoe UI Symbol" w:cs="Segoe UI Symbol"/>
                <w:sz w:val="21"/>
                <w:szCs w:val="21"/>
              </w:rPr>
              <w:t>☑</w:t>
            </w:r>
            <w:r>
              <w:rPr>
                <w:sz w:val="21"/>
                <w:szCs w:val="21"/>
              </w:rPr>
              <w:t xml:space="preserve"> 最大A声级□ 计权等效连续感觉噪声级□</w:t>
            </w:r>
          </w:p>
        </w:tc>
      </w:tr>
      <w:tr w14:paraId="59E66EE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30" w:hRule="atLeast"/>
        </w:trPr>
        <w:tc>
          <w:tcPr>
            <w:tcW w:w="894" w:type="pct"/>
            <w:vMerge w:val="continue"/>
            <w:tcBorders>
              <w:top w:val="nil"/>
              <w:left w:val="single" w:color="000000" w:sz="4" w:space="0"/>
              <w:bottom w:val="single" w:color="000000" w:sz="4" w:space="0"/>
              <w:right w:val="single" w:color="000000" w:sz="4" w:space="0"/>
            </w:tcBorders>
            <w:vAlign w:val="center"/>
          </w:tcPr>
          <w:p w14:paraId="1A1ACC05">
            <w:pPr>
              <w:spacing w:line="240" w:lineRule="auto"/>
              <w:jc w:val="center"/>
              <w:rPr>
                <w:sz w:val="21"/>
                <w:szCs w:val="21"/>
              </w:rPr>
            </w:pPr>
          </w:p>
        </w:tc>
        <w:tc>
          <w:tcPr>
            <w:tcW w:w="934" w:type="pct"/>
            <w:tcBorders>
              <w:top w:val="single" w:color="000000" w:sz="4" w:space="0"/>
              <w:left w:val="single" w:color="000000" w:sz="4" w:space="0"/>
              <w:bottom w:val="single" w:color="000000" w:sz="4" w:space="0"/>
              <w:right w:val="single" w:color="000000" w:sz="4" w:space="0"/>
            </w:tcBorders>
            <w:vAlign w:val="center"/>
          </w:tcPr>
          <w:p w14:paraId="11119D9B">
            <w:pPr>
              <w:spacing w:line="240" w:lineRule="auto"/>
              <w:jc w:val="center"/>
              <w:rPr>
                <w:sz w:val="21"/>
                <w:szCs w:val="21"/>
              </w:rPr>
            </w:pPr>
            <w:r>
              <w:rPr>
                <w:sz w:val="21"/>
                <w:szCs w:val="21"/>
              </w:rPr>
              <w:t>厂界噪声贡献值</w:t>
            </w:r>
          </w:p>
        </w:tc>
        <w:tc>
          <w:tcPr>
            <w:tcW w:w="3172" w:type="pct"/>
            <w:gridSpan w:val="8"/>
            <w:tcBorders>
              <w:top w:val="single" w:color="000000" w:sz="4" w:space="0"/>
              <w:left w:val="single" w:color="000000" w:sz="4" w:space="0"/>
              <w:bottom w:val="single" w:color="000000" w:sz="4" w:space="0"/>
              <w:right w:val="single" w:color="000000" w:sz="4" w:space="0"/>
            </w:tcBorders>
            <w:vAlign w:val="center"/>
          </w:tcPr>
          <w:p w14:paraId="6BD80937">
            <w:pPr>
              <w:spacing w:line="240" w:lineRule="auto"/>
              <w:jc w:val="center"/>
              <w:rPr>
                <w:sz w:val="21"/>
                <w:szCs w:val="21"/>
              </w:rPr>
            </w:pPr>
            <w:r>
              <w:rPr>
                <w:sz w:val="21"/>
                <w:szCs w:val="21"/>
              </w:rPr>
              <w:t>达标</w:t>
            </w:r>
            <w:r>
              <w:rPr>
                <w:rFonts w:ascii="Segoe UI Symbol" w:hAnsi="Segoe UI Symbol" w:cs="Segoe UI Symbol"/>
                <w:sz w:val="21"/>
                <w:szCs w:val="21"/>
              </w:rPr>
              <w:t>☑</w:t>
            </w:r>
            <w:r>
              <w:rPr>
                <w:sz w:val="21"/>
                <w:szCs w:val="21"/>
              </w:rPr>
              <w:t xml:space="preserve">                           不达标□</w:t>
            </w:r>
          </w:p>
        </w:tc>
      </w:tr>
      <w:tr w14:paraId="256F13D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27" w:hRule="atLeast"/>
        </w:trPr>
        <w:tc>
          <w:tcPr>
            <w:tcW w:w="894" w:type="pct"/>
            <w:vMerge w:val="continue"/>
            <w:tcBorders>
              <w:top w:val="nil"/>
              <w:left w:val="single" w:color="000000" w:sz="4" w:space="0"/>
              <w:bottom w:val="single" w:color="000000" w:sz="4" w:space="0"/>
              <w:right w:val="single" w:color="000000" w:sz="4" w:space="0"/>
            </w:tcBorders>
            <w:vAlign w:val="center"/>
          </w:tcPr>
          <w:p w14:paraId="783876CA">
            <w:pPr>
              <w:spacing w:line="240" w:lineRule="auto"/>
              <w:jc w:val="center"/>
              <w:rPr>
                <w:sz w:val="21"/>
                <w:szCs w:val="21"/>
              </w:rPr>
            </w:pPr>
          </w:p>
        </w:tc>
        <w:tc>
          <w:tcPr>
            <w:tcW w:w="934" w:type="pct"/>
            <w:tcBorders>
              <w:top w:val="single" w:color="000000" w:sz="4" w:space="0"/>
              <w:left w:val="single" w:color="000000" w:sz="4" w:space="0"/>
              <w:bottom w:val="single" w:color="000000" w:sz="4" w:space="0"/>
              <w:right w:val="single" w:color="000000" w:sz="4" w:space="0"/>
            </w:tcBorders>
            <w:vAlign w:val="center"/>
          </w:tcPr>
          <w:p w14:paraId="29322768">
            <w:pPr>
              <w:spacing w:line="240" w:lineRule="auto"/>
              <w:jc w:val="center"/>
              <w:rPr>
                <w:sz w:val="21"/>
                <w:szCs w:val="21"/>
              </w:rPr>
            </w:pPr>
            <w:r>
              <w:rPr>
                <w:sz w:val="21"/>
                <w:szCs w:val="21"/>
              </w:rPr>
              <w:t>声环境保护目标处噪声值</w:t>
            </w:r>
          </w:p>
        </w:tc>
        <w:tc>
          <w:tcPr>
            <w:tcW w:w="3172" w:type="pct"/>
            <w:gridSpan w:val="8"/>
            <w:tcBorders>
              <w:top w:val="single" w:color="000000" w:sz="4" w:space="0"/>
              <w:left w:val="single" w:color="000000" w:sz="4" w:space="0"/>
              <w:bottom w:val="single" w:color="000000" w:sz="4" w:space="0"/>
              <w:right w:val="single" w:color="000000" w:sz="4" w:space="0"/>
            </w:tcBorders>
            <w:vAlign w:val="center"/>
          </w:tcPr>
          <w:p w14:paraId="041E9CB9">
            <w:pPr>
              <w:spacing w:line="240" w:lineRule="auto"/>
              <w:jc w:val="center"/>
              <w:rPr>
                <w:sz w:val="21"/>
                <w:szCs w:val="21"/>
              </w:rPr>
            </w:pPr>
            <w:r>
              <w:rPr>
                <w:sz w:val="21"/>
                <w:szCs w:val="21"/>
              </w:rPr>
              <w:t>达标□                           不达标□</w:t>
            </w:r>
          </w:p>
        </w:tc>
      </w:tr>
      <w:tr w14:paraId="097F2F9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7" w:hRule="atLeast"/>
        </w:trPr>
        <w:tc>
          <w:tcPr>
            <w:tcW w:w="894" w:type="pct"/>
            <w:vMerge w:val="restart"/>
            <w:tcBorders>
              <w:top w:val="nil"/>
              <w:left w:val="single" w:color="000000" w:sz="4" w:space="0"/>
              <w:bottom w:val="single" w:color="000000" w:sz="4" w:space="0"/>
              <w:right w:val="single" w:color="000000" w:sz="4" w:space="0"/>
            </w:tcBorders>
            <w:vAlign w:val="center"/>
          </w:tcPr>
          <w:p w14:paraId="3157EBA7">
            <w:pPr>
              <w:spacing w:line="240" w:lineRule="auto"/>
              <w:jc w:val="center"/>
              <w:rPr>
                <w:sz w:val="21"/>
                <w:szCs w:val="21"/>
              </w:rPr>
            </w:pPr>
            <w:r>
              <w:rPr>
                <w:sz w:val="21"/>
                <w:szCs w:val="21"/>
              </w:rPr>
              <w:t>环境监测计划</w:t>
            </w:r>
          </w:p>
        </w:tc>
        <w:tc>
          <w:tcPr>
            <w:tcW w:w="934" w:type="pct"/>
            <w:tcBorders>
              <w:top w:val="single" w:color="000000" w:sz="4" w:space="0"/>
              <w:left w:val="single" w:color="000000" w:sz="4" w:space="0"/>
              <w:bottom w:val="single" w:color="000000" w:sz="4" w:space="0"/>
              <w:right w:val="single" w:color="000000" w:sz="4" w:space="0"/>
            </w:tcBorders>
            <w:vAlign w:val="center"/>
          </w:tcPr>
          <w:p w14:paraId="14F83E63">
            <w:pPr>
              <w:spacing w:line="240" w:lineRule="auto"/>
              <w:jc w:val="center"/>
              <w:rPr>
                <w:sz w:val="21"/>
                <w:szCs w:val="21"/>
              </w:rPr>
            </w:pPr>
            <w:r>
              <w:rPr>
                <w:sz w:val="21"/>
                <w:szCs w:val="21"/>
              </w:rPr>
              <w:t>排放监测</w:t>
            </w:r>
          </w:p>
        </w:tc>
        <w:tc>
          <w:tcPr>
            <w:tcW w:w="3172" w:type="pct"/>
            <w:gridSpan w:val="8"/>
            <w:tcBorders>
              <w:top w:val="single" w:color="000000" w:sz="4" w:space="0"/>
              <w:left w:val="single" w:color="000000" w:sz="4" w:space="0"/>
              <w:bottom w:val="single" w:color="000000" w:sz="4" w:space="0"/>
              <w:right w:val="single" w:color="000000" w:sz="4" w:space="0"/>
            </w:tcBorders>
            <w:vAlign w:val="center"/>
          </w:tcPr>
          <w:p w14:paraId="127E11D7">
            <w:pPr>
              <w:spacing w:line="240" w:lineRule="auto"/>
              <w:jc w:val="center"/>
              <w:rPr>
                <w:sz w:val="21"/>
                <w:szCs w:val="21"/>
              </w:rPr>
            </w:pPr>
            <w:r>
              <w:rPr>
                <w:sz w:val="21"/>
                <w:szCs w:val="21"/>
              </w:rPr>
              <w:t>厂界监测</w:t>
            </w:r>
            <w:r>
              <w:rPr>
                <w:rFonts w:ascii="Segoe UI Symbol" w:hAnsi="Segoe UI Symbol" w:cs="Segoe UI Symbol"/>
                <w:sz w:val="21"/>
                <w:szCs w:val="21"/>
              </w:rPr>
              <w:t>☑</w:t>
            </w:r>
            <w:r>
              <w:rPr>
                <w:sz w:val="21"/>
                <w:szCs w:val="21"/>
              </w:rPr>
              <w:tab/>
            </w:r>
            <w:r>
              <w:rPr>
                <w:sz w:val="21"/>
                <w:szCs w:val="21"/>
              </w:rPr>
              <w:t>固定位置监测□ 自动监测□ 手动监测□ 无监测□</w:t>
            </w:r>
          </w:p>
        </w:tc>
      </w:tr>
      <w:tr w14:paraId="7880EE3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28" w:hRule="atLeast"/>
        </w:trPr>
        <w:tc>
          <w:tcPr>
            <w:tcW w:w="894" w:type="pct"/>
            <w:vMerge w:val="continue"/>
            <w:tcBorders>
              <w:top w:val="nil"/>
              <w:left w:val="single" w:color="000000" w:sz="4" w:space="0"/>
              <w:bottom w:val="single" w:color="000000" w:sz="4" w:space="0"/>
              <w:right w:val="single" w:color="000000" w:sz="4" w:space="0"/>
            </w:tcBorders>
            <w:vAlign w:val="center"/>
          </w:tcPr>
          <w:p w14:paraId="6F515618">
            <w:pPr>
              <w:spacing w:line="240" w:lineRule="auto"/>
              <w:jc w:val="center"/>
              <w:rPr>
                <w:sz w:val="21"/>
                <w:szCs w:val="21"/>
              </w:rPr>
            </w:pPr>
          </w:p>
        </w:tc>
        <w:tc>
          <w:tcPr>
            <w:tcW w:w="934" w:type="pct"/>
            <w:tcBorders>
              <w:top w:val="single" w:color="000000" w:sz="4" w:space="0"/>
              <w:left w:val="single" w:color="000000" w:sz="4" w:space="0"/>
              <w:bottom w:val="single" w:color="000000" w:sz="4" w:space="0"/>
              <w:right w:val="single" w:color="000000" w:sz="4" w:space="0"/>
            </w:tcBorders>
            <w:vAlign w:val="center"/>
          </w:tcPr>
          <w:p w14:paraId="1E60D74C">
            <w:pPr>
              <w:spacing w:line="240" w:lineRule="auto"/>
              <w:jc w:val="center"/>
              <w:rPr>
                <w:sz w:val="21"/>
                <w:szCs w:val="21"/>
              </w:rPr>
            </w:pPr>
            <w:r>
              <w:rPr>
                <w:sz w:val="21"/>
                <w:szCs w:val="21"/>
              </w:rPr>
              <w:t>声环境保护目标处噪声监测</w:t>
            </w:r>
          </w:p>
        </w:tc>
        <w:tc>
          <w:tcPr>
            <w:tcW w:w="1944" w:type="pct"/>
            <w:gridSpan w:val="4"/>
            <w:tcBorders>
              <w:top w:val="single" w:color="000000" w:sz="4" w:space="0"/>
              <w:left w:val="single" w:color="000000" w:sz="4" w:space="0"/>
              <w:bottom w:val="single" w:color="000000" w:sz="4" w:space="0"/>
              <w:right w:val="single" w:color="000000" w:sz="4" w:space="0"/>
            </w:tcBorders>
            <w:vAlign w:val="center"/>
          </w:tcPr>
          <w:p w14:paraId="04304CC3">
            <w:pPr>
              <w:spacing w:line="240" w:lineRule="auto"/>
              <w:jc w:val="center"/>
              <w:rPr>
                <w:sz w:val="21"/>
                <w:szCs w:val="21"/>
              </w:rPr>
            </w:pPr>
            <w:r>
              <w:rPr>
                <w:sz w:val="21"/>
                <w:szCs w:val="21"/>
              </w:rPr>
              <w:t>监测因子：(等效连续A声级)</w:t>
            </w:r>
          </w:p>
        </w:tc>
        <w:tc>
          <w:tcPr>
            <w:tcW w:w="855" w:type="pct"/>
            <w:gridSpan w:val="2"/>
            <w:tcBorders>
              <w:top w:val="single" w:color="000000" w:sz="4" w:space="0"/>
              <w:left w:val="single" w:color="000000" w:sz="4" w:space="0"/>
              <w:bottom w:val="single" w:color="000000" w:sz="4" w:space="0"/>
              <w:right w:val="single" w:color="000000" w:sz="4" w:space="0"/>
            </w:tcBorders>
            <w:vAlign w:val="center"/>
          </w:tcPr>
          <w:p w14:paraId="4BFD99A0">
            <w:pPr>
              <w:spacing w:line="240" w:lineRule="auto"/>
              <w:jc w:val="center"/>
              <w:rPr>
                <w:sz w:val="21"/>
                <w:szCs w:val="21"/>
              </w:rPr>
            </w:pPr>
            <w:r>
              <w:rPr>
                <w:sz w:val="21"/>
                <w:szCs w:val="21"/>
              </w:rPr>
              <w:t>监测点位数(4)</w:t>
            </w:r>
          </w:p>
        </w:tc>
        <w:tc>
          <w:tcPr>
            <w:tcW w:w="373" w:type="pct"/>
            <w:gridSpan w:val="2"/>
            <w:tcBorders>
              <w:top w:val="single" w:color="000000" w:sz="4" w:space="0"/>
              <w:left w:val="single" w:color="000000" w:sz="4" w:space="0"/>
              <w:bottom w:val="single" w:color="000000" w:sz="4" w:space="0"/>
              <w:right w:val="single" w:color="000000" w:sz="4" w:space="0"/>
            </w:tcBorders>
            <w:vAlign w:val="center"/>
          </w:tcPr>
          <w:p w14:paraId="5AFB5F39">
            <w:pPr>
              <w:spacing w:line="240" w:lineRule="auto"/>
              <w:jc w:val="center"/>
              <w:rPr>
                <w:sz w:val="21"/>
                <w:szCs w:val="21"/>
              </w:rPr>
            </w:pPr>
            <w:r>
              <w:rPr>
                <w:sz w:val="21"/>
                <w:szCs w:val="21"/>
              </w:rPr>
              <w:t>无监测□</w:t>
            </w:r>
          </w:p>
        </w:tc>
      </w:tr>
      <w:tr w14:paraId="726BF5E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4" w:hRule="atLeast"/>
        </w:trPr>
        <w:tc>
          <w:tcPr>
            <w:tcW w:w="894" w:type="pct"/>
            <w:tcBorders>
              <w:top w:val="single" w:color="000000" w:sz="4" w:space="0"/>
              <w:left w:val="single" w:color="000000" w:sz="4" w:space="0"/>
              <w:bottom w:val="single" w:color="000000" w:sz="4" w:space="0"/>
              <w:right w:val="single" w:color="000000" w:sz="4" w:space="0"/>
            </w:tcBorders>
            <w:vAlign w:val="center"/>
          </w:tcPr>
          <w:p w14:paraId="053F8C06">
            <w:pPr>
              <w:spacing w:line="240" w:lineRule="auto"/>
              <w:jc w:val="center"/>
              <w:rPr>
                <w:sz w:val="21"/>
                <w:szCs w:val="21"/>
              </w:rPr>
            </w:pPr>
            <w:r>
              <w:rPr>
                <w:sz w:val="21"/>
                <w:szCs w:val="21"/>
              </w:rPr>
              <w:t>评价结论</w:t>
            </w:r>
          </w:p>
        </w:tc>
        <w:tc>
          <w:tcPr>
            <w:tcW w:w="934" w:type="pct"/>
            <w:tcBorders>
              <w:top w:val="single" w:color="000000" w:sz="4" w:space="0"/>
              <w:left w:val="single" w:color="000000" w:sz="4" w:space="0"/>
              <w:bottom w:val="single" w:color="000000" w:sz="4" w:space="0"/>
              <w:right w:val="single" w:color="000000" w:sz="4" w:space="0"/>
            </w:tcBorders>
            <w:vAlign w:val="center"/>
          </w:tcPr>
          <w:p w14:paraId="71EB8623">
            <w:pPr>
              <w:spacing w:line="240" w:lineRule="auto"/>
              <w:jc w:val="center"/>
              <w:rPr>
                <w:sz w:val="21"/>
                <w:szCs w:val="21"/>
              </w:rPr>
            </w:pPr>
            <w:r>
              <w:rPr>
                <w:sz w:val="21"/>
                <w:szCs w:val="21"/>
              </w:rPr>
              <w:t>环境影响</w:t>
            </w:r>
          </w:p>
        </w:tc>
        <w:tc>
          <w:tcPr>
            <w:tcW w:w="3172" w:type="pct"/>
            <w:gridSpan w:val="8"/>
            <w:tcBorders>
              <w:top w:val="single" w:color="000000" w:sz="4" w:space="0"/>
              <w:left w:val="single" w:color="000000" w:sz="4" w:space="0"/>
              <w:bottom w:val="single" w:color="000000" w:sz="4" w:space="0"/>
              <w:right w:val="single" w:color="000000" w:sz="4" w:space="0"/>
            </w:tcBorders>
            <w:vAlign w:val="center"/>
          </w:tcPr>
          <w:p w14:paraId="7385E340">
            <w:pPr>
              <w:spacing w:line="240" w:lineRule="auto"/>
              <w:jc w:val="center"/>
              <w:rPr>
                <w:sz w:val="21"/>
                <w:szCs w:val="21"/>
              </w:rPr>
            </w:pPr>
            <w:r>
              <w:rPr>
                <w:sz w:val="21"/>
                <w:szCs w:val="21"/>
              </w:rPr>
              <w:t>可行</w:t>
            </w:r>
            <w:r>
              <w:rPr>
                <w:rFonts w:ascii="Segoe UI Symbol" w:hAnsi="Segoe UI Symbol" w:cs="Segoe UI Symbol"/>
                <w:sz w:val="21"/>
                <w:szCs w:val="21"/>
              </w:rPr>
              <w:t>☑</w:t>
            </w:r>
            <w:r>
              <w:rPr>
                <w:sz w:val="21"/>
                <w:szCs w:val="21"/>
              </w:rPr>
              <w:tab/>
            </w:r>
            <w:r>
              <w:rPr>
                <w:sz w:val="21"/>
                <w:szCs w:val="21"/>
              </w:rPr>
              <w:t>不可行□</w:t>
            </w:r>
          </w:p>
        </w:tc>
      </w:tr>
      <w:tr w14:paraId="35AEBDC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6" w:hRule="atLeast"/>
        </w:trPr>
        <w:tc>
          <w:tcPr>
            <w:tcW w:w="5000" w:type="pct"/>
            <w:gridSpan w:val="10"/>
            <w:tcBorders>
              <w:top w:val="single" w:color="000000" w:sz="4" w:space="0"/>
              <w:left w:val="single" w:color="000000" w:sz="4" w:space="0"/>
              <w:bottom w:val="single" w:color="000000" w:sz="4" w:space="0"/>
              <w:right w:val="single" w:color="000000" w:sz="4" w:space="0"/>
            </w:tcBorders>
            <w:vAlign w:val="center"/>
          </w:tcPr>
          <w:p w14:paraId="32C4744F">
            <w:pPr>
              <w:spacing w:line="240" w:lineRule="auto"/>
              <w:jc w:val="center"/>
              <w:rPr>
                <w:sz w:val="21"/>
                <w:szCs w:val="21"/>
              </w:rPr>
            </w:pPr>
            <w:r>
              <w:rPr>
                <w:sz w:val="21"/>
                <w:szCs w:val="21"/>
              </w:rPr>
              <w:t>注“□”为勾选项，可√；“()”为内容填写项。</w:t>
            </w:r>
          </w:p>
        </w:tc>
      </w:tr>
    </w:tbl>
    <w:p w14:paraId="0BB2AB20">
      <w:pPr>
        <w:rPr>
          <w:rFonts w:cs="Times New Roman"/>
          <w:spacing w:val="-3"/>
        </w:rPr>
      </w:pPr>
    </w:p>
    <w:p w14:paraId="605B9076">
      <w:pPr>
        <w:pStyle w:val="3"/>
        <w:spacing w:before="326"/>
        <w:rPr>
          <w:rFonts w:hint="eastAsia"/>
        </w:rPr>
      </w:pPr>
      <w:bookmarkStart w:id="103" w:name="_Toc221056422"/>
      <w:r>
        <w:rPr>
          <w:rFonts w:hint="eastAsia"/>
        </w:rPr>
        <w:t>6.5运营期固体废物环境影响分析</w:t>
      </w:r>
      <w:bookmarkEnd w:id="103"/>
    </w:p>
    <w:p w14:paraId="33C1F4A8">
      <w:pPr>
        <w:pStyle w:val="4"/>
        <w:rPr>
          <w:rFonts w:hint="eastAsia"/>
        </w:rPr>
      </w:pPr>
      <w:bookmarkStart w:id="104" w:name="_Toc221056423"/>
      <w:r>
        <w:rPr>
          <w:rFonts w:hint="eastAsia"/>
        </w:rPr>
        <w:t>6.5.1固体废物产生处置情况</w:t>
      </w:r>
      <w:bookmarkEnd w:id="104"/>
    </w:p>
    <w:p w14:paraId="32D39930">
      <w:pPr>
        <w:ind w:firstLine="468" w:firstLineChars="200"/>
        <w:rPr>
          <w:rFonts w:cs="Times New Roman"/>
          <w:spacing w:val="-3"/>
        </w:rPr>
      </w:pPr>
      <w:r>
        <w:rPr>
          <w:rFonts w:hint="eastAsia" w:cs="Times New Roman"/>
          <w:spacing w:val="-3"/>
        </w:rPr>
        <w:t>本项目产生的固废废物主要为</w:t>
      </w:r>
      <w:r>
        <w:rPr>
          <w:rFonts w:hint="eastAsia"/>
        </w:rPr>
        <w:t>各精馏塔产生的精馏残渣和生活垃圾，</w:t>
      </w:r>
      <w:r>
        <w:rPr>
          <w:rFonts w:hint="eastAsia" w:cs="Times New Roman"/>
          <w:spacing w:val="-3"/>
        </w:rPr>
        <w:t>具体固废污染源见表6.5-1。技改项目实施后，各类固体废物都能够做到妥善处理处置。</w:t>
      </w:r>
    </w:p>
    <w:p w14:paraId="7AA89D34">
      <w:pPr>
        <w:jc w:val="center"/>
        <w:rPr>
          <w:rFonts w:hint="eastAsia" w:ascii="黑体" w:hAnsi="黑体" w:eastAsia="黑体"/>
        </w:rPr>
      </w:pPr>
      <w:r>
        <w:rPr>
          <w:rFonts w:hint="eastAsia" w:ascii="黑体" w:hAnsi="黑体" w:eastAsia="黑体"/>
        </w:rPr>
        <w:t>表6</w:t>
      </w:r>
      <w:r>
        <w:rPr>
          <w:rFonts w:ascii="黑体" w:hAnsi="黑体" w:eastAsia="黑体"/>
        </w:rPr>
        <w:t>.</w:t>
      </w:r>
      <w:r>
        <w:rPr>
          <w:rFonts w:hint="eastAsia" w:ascii="黑体" w:hAnsi="黑体" w:eastAsia="黑体"/>
        </w:rPr>
        <w:t>5</w:t>
      </w:r>
      <w:r>
        <w:rPr>
          <w:rFonts w:ascii="黑体" w:hAnsi="黑体" w:eastAsia="黑体"/>
        </w:rPr>
        <w:t>-</w:t>
      </w:r>
      <w:r>
        <w:rPr>
          <w:rFonts w:hint="eastAsia" w:ascii="黑体" w:hAnsi="黑体" w:eastAsia="黑体"/>
        </w:rPr>
        <w:t xml:space="preserve">1 </w:t>
      </w:r>
      <w:r>
        <w:rPr>
          <w:rFonts w:ascii="黑体" w:hAnsi="黑体" w:eastAsia="黑体"/>
        </w:rPr>
        <w:t xml:space="preserve"> </w:t>
      </w:r>
      <w:r>
        <w:rPr>
          <w:rFonts w:hint="eastAsia" w:ascii="黑体" w:hAnsi="黑体" w:eastAsia="黑体"/>
        </w:rPr>
        <w:t>间甲酚车间技改后固体废物产生及处置情况一览表</w:t>
      </w:r>
    </w:p>
    <w:tbl>
      <w:tblPr>
        <w:tblStyle w:val="3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4"/>
        <w:gridCol w:w="1276"/>
        <w:gridCol w:w="992"/>
        <w:gridCol w:w="1276"/>
        <w:gridCol w:w="1276"/>
        <w:gridCol w:w="946"/>
        <w:gridCol w:w="1295"/>
        <w:gridCol w:w="1295"/>
      </w:tblGrid>
      <w:tr w14:paraId="337859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vMerge w:val="restart"/>
            <w:vAlign w:val="center"/>
          </w:tcPr>
          <w:p w14:paraId="31A3BAC5">
            <w:pPr>
              <w:pStyle w:val="64"/>
            </w:pPr>
            <w:r>
              <w:t>序号</w:t>
            </w:r>
          </w:p>
        </w:tc>
        <w:tc>
          <w:tcPr>
            <w:tcW w:w="1276" w:type="dxa"/>
            <w:vMerge w:val="restart"/>
            <w:vAlign w:val="center"/>
          </w:tcPr>
          <w:p w14:paraId="7140DA2D">
            <w:pPr>
              <w:pStyle w:val="64"/>
            </w:pPr>
            <w:r>
              <w:t>装置</w:t>
            </w:r>
          </w:p>
          <w:p w14:paraId="5FFEDC8B">
            <w:pPr>
              <w:pStyle w:val="64"/>
            </w:pPr>
            <w:r>
              <w:t>名称</w:t>
            </w:r>
          </w:p>
        </w:tc>
        <w:tc>
          <w:tcPr>
            <w:tcW w:w="992" w:type="dxa"/>
            <w:vMerge w:val="restart"/>
            <w:vAlign w:val="center"/>
          </w:tcPr>
          <w:p w14:paraId="4F5FA56D">
            <w:pPr>
              <w:pStyle w:val="64"/>
            </w:pPr>
            <w:r>
              <w:t>固废</w:t>
            </w:r>
          </w:p>
          <w:p w14:paraId="235A13C7">
            <w:pPr>
              <w:pStyle w:val="64"/>
            </w:pPr>
            <w:r>
              <w:t>名称</w:t>
            </w:r>
          </w:p>
        </w:tc>
        <w:tc>
          <w:tcPr>
            <w:tcW w:w="2552" w:type="dxa"/>
            <w:gridSpan w:val="2"/>
            <w:vAlign w:val="center"/>
          </w:tcPr>
          <w:p w14:paraId="51B57037">
            <w:pPr>
              <w:pStyle w:val="64"/>
            </w:pPr>
            <w:r>
              <w:t>产生量(t/a)</w:t>
            </w:r>
          </w:p>
        </w:tc>
        <w:tc>
          <w:tcPr>
            <w:tcW w:w="946" w:type="dxa"/>
            <w:vMerge w:val="restart"/>
            <w:vAlign w:val="center"/>
          </w:tcPr>
          <w:p w14:paraId="389ECD4A">
            <w:pPr>
              <w:pStyle w:val="64"/>
            </w:pPr>
            <w:r>
              <w:t>合计</w:t>
            </w:r>
          </w:p>
          <w:p w14:paraId="3F366B85">
            <w:pPr>
              <w:pStyle w:val="64"/>
            </w:pPr>
            <w:r>
              <w:t>(t/a)</w:t>
            </w:r>
          </w:p>
        </w:tc>
        <w:tc>
          <w:tcPr>
            <w:tcW w:w="1295" w:type="dxa"/>
            <w:vMerge w:val="restart"/>
            <w:vAlign w:val="center"/>
          </w:tcPr>
          <w:p w14:paraId="25C7ACC7">
            <w:pPr>
              <w:pStyle w:val="64"/>
            </w:pPr>
            <w:r>
              <w:t>性质</w:t>
            </w:r>
          </w:p>
        </w:tc>
        <w:tc>
          <w:tcPr>
            <w:tcW w:w="1295" w:type="dxa"/>
            <w:vMerge w:val="restart"/>
            <w:vAlign w:val="center"/>
          </w:tcPr>
          <w:p w14:paraId="783C1180">
            <w:pPr>
              <w:pStyle w:val="64"/>
            </w:pPr>
            <w:r>
              <w:t>处置去向</w:t>
            </w:r>
          </w:p>
        </w:tc>
      </w:tr>
      <w:tr w14:paraId="7A0C21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vMerge w:val="continue"/>
            <w:vAlign w:val="center"/>
          </w:tcPr>
          <w:p w14:paraId="2AFE3E97">
            <w:pPr>
              <w:pStyle w:val="64"/>
            </w:pPr>
          </w:p>
        </w:tc>
        <w:tc>
          <w:tcPr>
            <w:tcW w:w="1276" w:type="dxa"/>
            <w:vMerge w:val="continue"/>
            <w:vAlign w:val="center"/>
          </w:tcPr>
          <w:p w14:paraId="76B3F707">
            <w:pPr>
              <w:pStyle w:val="64"/>
            </w:pPr>
          </w:p>
        </w:tc>
        <w:tc>
          <w:tcPr>
            <w:tcW w:w="992" w:type="dxa"/>
            <w:vMerge w:val="continue"/>
            <w:vAlign w:val="center"/>
          </w:tcPr>
          <w:p w14:paraId="7118AF04">
            <w:pPr>
              <w:pStyle w:val="64"/>
            </w:pPr>
          </w:p>
        </w:tc>
        <w:tc>
          <w:tcPr>
            <w:tcW w:w="1276" w:type="dxa"/>
            <w:vAlign w:val="center"/>
          </w:tcPr>
          <w:p w14:paraId="5AFF26CF">
            <w:pPr>
              <w:pStyle w:val="64"/>
            </w:pPr>
            <w:r>
              <w:t>浅度烷基化</w:t>
            </w:r>
          </w:p>
        </w:tc>
        <w:tc>
          <w:tcPr>
            <w:tcW w:w="1276" w:type="dxa"/>
            <w:vAlign w:val="center"/>
          </w:tcPr>
          <w:p w14:paraId="0980C4DE">
            <w:pPr>
              <w:pStyle w:val="64"/>
            </w:pPr>
            <w:r>
              <w:t>深度烷基化</w:t>
            </w:r>
          </w:p>
        </w:tc>
        <w:tc>
          <w:tcPr>
            <w:tcW w:w="946" w:type="dxa"/>
            <w:vMerge w:val="continue"/>
            <w:vAlign w:val="center"/>
          </w:tcPr>
          <w:p w14:paraId="2C0D412E">
            <w:pPr>
              <w:pStyle w:val="64"/>
            </w:pPr>
          </w:p>
        </w:tc>
        <w:tc>
          <w:tcPr>
            <w:tcW w:w="1295" w:type="dxa"/>
            <w:vMerge w:val="continue"/>
            <w:vAlign w:val="center"/>
          </w:tcPr>
          <w:p w14:paraId="138A54F6">
            <w:pPr>
              <w:pStyle w:val="64"/>
            </w:pPr>
          </w:p>
        </w:tc>
        <w:tc>
          <w:tcPr>
            <w:tcW w:w="1295" w:type="dxa"/>
            <w:vMerge w:val="continue"/>
            <w:vAlign w:val="center"/>
          </w:tcPr>
          <w:p w14:paraId="3CEA0D47">
            <w:pPr>
              <w:pStyle w:val="64"/>
            </w:pPr>
          </w:p>
        </w:tc>
      </w:tr>
      <w:tr w14:paraId="1796E6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vAlign w:val="center"/>
          </w:tcPr>
          <w:p w14:paraId="3E629B83">
            <w:pPr>
              <w:pStyle w:val="64"/>
            </w:pPr>
            <w:r>
              <w:t>1</w:t>
            </w:r>
          </w:p>
        </w:tc>
        <w:tc>
          <w:tcPr>
            <w:tcW w:w="1276" w:type="dxa"/>
            <w:vAlign w:val="center"/>
          </w:tcPr>
          <w:p w14:paraId="67F4BF56">
            <w:pPr>
              <w:pStyle w:val="64"/>
            </w:pPr>
            <w:r>
              <w:t>脱焦塔</w:t>
            </w:r>
          </w:p>
        </w:tc>
        <w:tc>
          <w:tcPr>
            <w:tcW w:w="992" w:type="dxa"/>
            <w:vMerge w:val="restart"/>
            <w:vAlign w:val="center"/>
          </w:tcPr>
          <w:p w14:paraId="335D42C6">
            <w:pPr>
              <w:pStyle w:val="64"/>
            </w:pPr>
            <w:r>
              <w:t>精馏</w:t>
            </w:r>
          </w:p>
          <w:p w14:paraId="1BD77B6D">
            <w:pPr>
              <w:pStyle w:val="64"/>
            </w:pPr>
            <w:r>
              <w:t>残渣</w:t>
            </w:r>
          </w:p>
        </w:tc>
        <w:tc>
          <w:tcPr>
            <w:tcW w:w="1276" w:type="dxa"/>
            <w:vAlign w:val="center"/>
          </w:tcPr>
          <w:p w14:paraId="34A6C1BD">
            <w:pPr>
              <w:pStyle w:val="64"/>
            </w:pPr>
            <w:r>
              <w:t>98.5</w:t>
            </w:r>
          </w:p>
        </w:tc>
        <w:tc>
          <w:tcPr>
            <w:tcW w:w="1276" w:type="dxa"/>
            <w:vAlign w:val="center"/>
          </w:tcPr>
          <w:p w14:paraId="7C6351E3">
            <w:pPr>
              <w:pStyle w:val="64"/>
            </w:pPr>
            <w:r>
              <w:t>102</w:t>
            </w:r>
          </w:p>
        </w:tc>
        <w:tc>
          <w:tcPr>
            <w:tcW w:w="946" w:type="dxa"/>
            <w:vAlign w:val="bottom"/>
          </w:tcPr>
          <w:p w14:paraId="094976B1">
            <w:pPr>
              <w:pStyle w:val="64"/>
            </w:pPr>
            <w:r>
              <w:t>200.5</w:t>
            </w:r>
          </w:p>
        </w:tc>
        <w:tc>
          <w:tcPr>
            <w:tcW w:w="1295" w:type="dxa"/>
            <w:vMerge w:val="restart"/>
            <w:vAlign w:val="center"/>
          </w:tcPr>
          <w:p w14:paraId="625B1647">
            <w:pPr>
              <w:pStyle w:val="64"/>
            </w:pPr>
            <w:r>
              <w:t>危险废物(HW39)</w:t>
            </w:r>
          </w:p>
          <w:p w14:paraId="5B72818D">
            <w:pPr>
              <w:pStyle w:val="64"/>
            </w:pPr>
            <w:r>
              <w:t>261-071-39</w:t>
            </w:r>
          </w:p>
        </w:tc>
        <w:tc>
          <w:tcPr>
            <w:tcW w:w="1295" w:type="dxa"/>
            <w:vMerge w:val="restart"/>
            <w:vAlign w:val="center"/>
          </w:tcPr>
          <w:p w14:paraId="52E0DD4E">
            <w:pPr>
              <w:pStyle w:val="64"/>
            </w:pPr>
            <w:r>
              <w:rPr>
                <w:rFonts w:hint="eastAsia"/>
              </w:rPr>
              <w:t>委托</w:t>
            </w:r>
            <w:r>
              <w:t>有资质单位处理处置</w:t>
            </w:r>
          </w:p>
        </w:tc>
      </w:tr>
      <w:tr w14:paraId="3CC9C0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vAlign w:val="center"/>
          </w:tcPr>
          <w:p w14:paraId="1312F5C9">
            <w:pPr>
              <w:pStyle w:val="64"/>
            </w:pPr>
            <w:r>
              <w:t>2</w:t>
            </w:r>
          </w:p>
        </w:tc>
        <w:tc>
          <w:tcPr>
            <w:tcW w:w="1276" w:type="dxa"/>
            <w:vAlign w:val="center"/>
          </w:tcPr>
          <w:p w14:paraId="596BE21B">
            <w:pPr>
              <w:pStyle w:val="64"/>
            </w:pPr>
            <w:r>
              <w:t>4#脱烯塔</w:t>
            </w:r>
          </w:p>
        </w:tc>
        <w:tc>
          <w:tcPr>
            <w:tcW w:w="992" w:type="dxa"/>
            <w:vMerge w:val="continue"/>
            <w:vAlign w:val="center"/>
          </w:tcPr>
          <w:p w14:paraId="1ACE0798">
            <w:pPr>
              <w:pStyle w:val="64"/>
            </w:pPr>
          </w:p>
        </w:tc>
        <w:tc>
          <w:tcPr>
            <w:tcW w:w="1276" w:type="dxa"/>
            <w:vAlign w:val="center"/>
          </w:tcPr>
          <w:p w14:paraId="6D060744">
            <w:pPr>
              <w:pStyle w:val="64"/>
            </w:pPr>
            <w:r>
              <w:t>18.4</w:t>
            </w:r>
          </w:p>
        </w:tc>
        <w:tc>
          <w:tcPr>
            <w:tcW w:w="1276" w:type="dxa"/>
            <w:vAlign w:val="center"/>
          </w:tcPr>
          <w:p w14:paraId="1B51AC9F">
            <w:pPr>
              <w:pStyle w:val="64"/>
            </w:pPr>
            <w:r>
              <w:t>233.5</w:t>
            </w:r>
          </w:p>
        </w:tc>
        <w:tc>
          <w:tcPr>
            <w:tcW w:w="946" w:type="dxa"/>
            <w:vAlign w:val="bottom"/>
          </w:tcPr>
          <w:p w14:paraId="27581F6A">
            <w:pPr>
              <w:pStyle w:val="64"/>
            </w:pPr>
            <w:r>
              <w:t>251.9</w:t>
            </w:r>
          </w:p>
        </w:tc>
        <w:tc>
          <w:tcPr>
            <w:tcW w:w="1295" w:type="dxa"/>
            <w:vMerge w:val="continue"/>
            <w:vAlign w:val="center"/>
          </w:tcPr>
          <w:p w14:paraId="7AB9DC34">
            <w:pPr>
              <w:pStyle w:val="64"/>
            </w:pPr>
          </w:p>
        </w:tc>
        <w:tc>
          <w:tcPr>
            <w:tcW w:w="1295" w:type="dxa"/>
            <w:vMerge w:val="continue"/>
            <w:vAlign w:val="center"/>
          </w:tcPr>
          <w:p w14:paraId="4741A7A8">
            <w:pPr>
              <w:pStyle w:val="64"/>
            </w:pPr>
          </w:p>
        </w:tc>
      </w:tr>
      <w:tr w14:paraId="71A2B1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vAlign w:val="center"/>
          </w:tcPr>
          <w:p w14:paraId="22DBB11D">
            <w:pPr>
              <w:pStyle w:val="64"/>
            </w:pPr>
            <w:r>
              <w:t>3</w:t>
            </w:r>
          </w:p>
        </w:tc>
        <w:tc>
          <w:tcPr>
            <w:tcW w:w="1276" w:type="dxa"/>
            <w:vAlign w:val="center"/>
          </w:tcPr>
          <w:p w14:paraId="61266F30">
            <w:pPr>
              <w:pStyle w:val="64"/>
            </w:pPr>
            <w:r>
              <w:t>12#精馏塔</w:t>
            </w:r>
          </w:p>
        </w:tc>
        <w:tc>
          <w:tcPr>
            <w:tcW w:w="992" w:type="dxa"/>
            <w:vMerge w:val="continue"/>
            <w:vAlign w:val="center"/>
          </w:tcPr>
          <w:p w14:paraId="1A84737C">
            <w:pPr>
              <w:pStyle w:val="64"/>
            </w:pPr>
          </w:p>
        </w:tc>
        <w:tc>
          <w:tcPr>
            <w:tcW w:w="1276" w:type="dxa"/>
            <w:vAlign w:val="center"/>
          </w:tcPr>
          <w:p w14:paraId="664F16DD">
            <w:pPr>
              <w:pStyle w:val="64"/>
            </w:pPr>
            <w:r>
              <w:t>332.7</w:t>
            </w:r>
          </w:p>
        </w:tc>
        <w:tc>
          <w:tcPr>
            <w:tcW w:w="1276" w:type="dxa"/>
            <w:vAlign w:val="center"/>
          </w:tcPr>
          <w:p w14:paraId="032D0CAE">
            <w:pPr>
              <w:pStyle w:val="64"/>
            </w:pPr>
            <w:r>
              <w:t>0</w:t>
            </w:r>
          </w:p>
        </w:tc>
        <w:tc>
          <w:tcPr>
            <w:tcW w:w="946" w:type="dxa"/>
            <w:vAlign w:val="bottom"/>
          </w:tcPr>
          <w:p w14:paraId="724C345E">
            <w:pPr>
              <w:pStyle w:val="64"/>
            </w:pPr>
            <w:r>
              <w:t>332.7</w:t>
            </w:r>
          </w:p>
        </w:tc>
        <w:tc>
          <w:tcPr>
            <w:tcW w:w="1295" w:type="dxa"/>
            <w:vMerge w:val="continue"/>
            <w:vAlign w:val="center"/>
          </w:tcPr>
          <w:p w14:paraId="7081ED17">
            <w:pPr>
              <w:pStyle w:val="64"/>
            </w:pPr>
          </w:p>
        </w:tc>
        <w:tc>
          <w:tcPr>
            <w:tcW w:w="1295" w:type="dxa"/>
            <w:vMerge w:val="continue"/>
            <w:vAlign w:val="center"/>
          </w:tcPr>
          <w:p w14:paraId="43716E56">
            <w:pPr>
              <w:pStyle w:val="64"/>
            </w:pPr>
          </w:p>
        </w:tc>
      </w:tr>
      <w:tr w14:paraId="66A5D6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vAlign w:val="center"/>
          </w:tcPr>
          <w:p w14:paraId="097241AB">
            <w:pPr>
              <w:pStyle w:val="64"/>
            </w:pPr>
            <w:r>
              <w:t>4</w:t>
            </w:r>
          </w:p>
        </w:tc>
        <w:tc>
          <w:tcPr>
            <w:tcW w:w="1276" w:type="dxa"/>
            <w:vAlign w:val="center"/>
          </w:tcPr>
          <w:p w14:paraId="7F4DE834">
            <w:pPr>
              <w:pStyle w:val="64"/>
            </w:pPr>
            <w:r>
              <w:t>8#脱烯塔</w:t>
            </w:r>
          </w:p>
        </w:tc>
        <w:tc>
          <w:tcPr>
            <w:tcW w:w="992" w:type="dxa"/>
            <w:vMerge w:val="continue"/>
            <w:vAlign w:val="center"/>
          </w:tcPr>
          <w:p w14:paraId="6AD1FDBC">
            <w:pPr>
              <w:pStyle w:val="64"/>
            </w:pPr>
          </w:p>
        </w:tc>
        <w:tc>
          <w:tcPr>
            <w:tcW w:w="1276" w:type="dxa"/>
            <w:vAlign w:val="center"/>
          </w:tcPr>
          <w:p w14:paraId="15001667">
            <w:pPr>
              <w:pStyle w:val="64"/>
            </w:pPr>
            <w:r>
              <w:t>36.0</w:t>
            </w:r>
          </w:p>
        </w:tc>
        <w:tc>
          <w:tcPr>
            <w:tcW w:w="1276" w:type="dxa"/>
            <w:vAlign w:val="center"/>
          </w:tcPr>
          <w:p w14:paraId="3F681FB2">
            <w:pPr>
              <w:pStyle w:val="64"/>
            </w:pPr>
            <w:r>
              <w:t>32</w:t>
            </w:r>
          </w:p>
        </w:tc>
        <w:tc>
          <w:tcPr>
            <w:tcW w:w="946" w:type="dxa"/>
            <w:vAlign w:val="bottom"/>
          </w:tcPr>
          <w:p w14:paraId="1894C4EF">
            <w:pPr>
              <w:pStyle w:val="64"/>
            </w:pPr>
            <w:r>
              <w:t>68</w:t>
            </w:r>
          </w:p>
        </w:tc>
        <w:tc>
          <w:tcPr>
            <w:tcW w:w="1295" w:type="dxa"/>
            <w:vMerge w:val="continue"/>
            <w:vAlign w:val="center"/>
          </w:tcPr>
          <w:p w14:paraId="1E53D36D">
            <w:pPr>
              <w:pStyle w:val="64"/>
            </w:pPr>
          </w:p>
        </w:tc>
        <w:tc>
          <w:tcPr>
            <w:tcW w:w="1295" w:type="dxa"/>
            <w:vMerge w:val="continue"/>
            <w:vAlign w:val="center"/>
          </w:tcPr>
          <w:p w14:paraId="10E2C4D5">
            <w:pPr>
              <w:pStyle w:val="64"/>
            </w:pPr>
          </w:p>
        </w:tc>
      </w:tr>
      <w:tr w14:paraId="543916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vAlign w:val="center"/>
          </w:tcPr>
          <w:p w14:paraId="032C6682">
            <w:pPr>
              <w:pStyle w:val="64"/>
            </w:pPr>
            <w:r>
              <w:t>5</w:t>
            </w:r>
          </w:p>
        </w:tc>
        <w:tc>
          <w:tcPr>
            <w:tcW w:w="1276" w:type="dxa"/>
            <w:vAlign w:val="center"/>
          </w:tcPr>
          <w:p w14:paraId="59654C23">
            <w:pPr>
              <w:pStyle w:val="64"/>
            </w:pPr>
            <w:r>
              <w:t>9#精馏塔</w:t>
            </w:r>
          </w:p>
        </w:tc>
        <w:tc>
          <w:tcPr>
            <w:tcW w:w="992" w:type="dxa"/>
            <w:vMerge w:val="continue"/>
            <w:vAlign w:val="center"/>
          </w:tcPr>
          <w:p w14:paraId="1E26BC6D">
            <w:pPr>
              <w:pStyle w:val="64"/>
            </w:pPr>
          </w:p>
        </w:tc>
        <w:tc>
          <w:tcPr>
            <w:tcW w:w="1276" w:type="dxa"/>
            <w:vAlign w:val="center"/>
          </w:tcPr>
          <w:p w14:paraId="4F1766AE">
            <w:pPr>
              <w:pStyle w:val="64"/>
            </w:pPr>
            <w:r>
              <w:t>10.8</w:t>
            </w:r>
          </w:p>
        </w:tc>
        <w:tc>
          <w:tcPr>
            <w:tcW w:w="1276" w:type="dxa"/>
            <w:vAlign w:val="center"/>
          </w:tcPr>
          <w:p w14:paraId="4FCB0D2F">
            <w:pPr>
              <w:pStyle w:val="64"/>
            </w:pPr>
            <w:r>
              <w:t>10.5</w:t>
            </w:r>
          </w:p>
        </w:tc>
        <w:tc>
          <w:tcPr>
            <w:tcW w:w="946" w:type="dxa"/>
            <w:vAlign w:val="bottom"/>
          </w:tcPr>
          <w:p w14:paraId="3BC59419">
            <w:pPr>
              <w:pStyle w:val="64"/>
            </w:pPr>
            <w:r>
              <w:t>21.3</w:t>
            </w:r>
          </w:p>
        </w:tc>
        <w:tc>
          <w:tcPr>
            <w:tcW w:w="1295" w:type="dxa"/>
            <w:vMerge w:val="continue"/>
            <w:vAlign w:val="center"/>
          </w:tcPr>
          <w:p w14:paraId="25CF5CA0">
            <w:pPr>
              <w:pStyle w:val="64"/>
            </w:pPr>
          </w:p>
        </w:tc>
        <w:tc>
          <w:tcPr>
            <w:tcW w:w="1295" w:type="dxa"/>
            <w:vMerge w:val="continue"/>
            <w:vAlign w:val="center"/>
          </w:tcPr>
          <w:p w14:paraId="1F211BED">
            <w:pPr>
              <w:pStyle w:val="64"/>
            </w:pPr>
          </w:p>
        </w:tc>
      </w:tr>
      <w:tr w14:paraId="152BC0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vAlign w:val="center"/>
          </w:tcPr>
          <w:p w14:paraId="2D252B66">
            <w:pPr>
              <w:pStyle w:val="64"/>
            </w:pPr>
            <w:r>
              <w:t>6</w:t>
            </w:r>
          </w:p>
        </w:tc>
        <w:tc>
          <w:tcPr>
            <w:tcW w:w="1276" w:type="dxa"/>
            <w:vAlign w:val="center"/>
          </w:tcPr>
          <w:p w14:paraId="05FEC1E6">
            <w:pPr>
              <w:pStyle w:val="64"/>
            </w:pPr>
            <w:r>
              <w:t>6#精馏塔</w:t>
            </w:r>
          </w:p>
        </w:tc>
        <w:tc>
          <w:tcPr>
            <w:tcW w:w="992" w:type="dxa"/>
            <w:vMerge w:val="continue"/>
            <w:vAlign w:val="center"/>
          </w:tcPr>
          <w:p w14:paraId="19613FDE">
            <w:pPr>
              <w:pStyle w:val="64"/>
            </w:pPr>
          </w:p>
        </w:tc>
        <w:tc>
          <w:tcPr>
            <w:tcW w:w="1276" w:type="dxa"/>
            <w:vAlign w:val="center"/>
          </w:tcPr>
          <w:p w14:paraId="42DBDAAD">
            <w:pPr>
              <w:pStyle w:val="64"/>
            </w:pPr>
            <w:r>
              <w:t>0</w:t>
            </w:r>
          </w:p>
        </w:tc>
        <w:tc>
          <w:tcPr>
            <w:tcW w:w="1276" w:type="dxa"/>
            <w:vAlign w:val="center"/>
          </w:tcPr>
          <w:p w14:paraId="0760ED14">
            <w:pPr>
              <w:pStyle w:val="64"/>
            </w:pPr>
            <w:r>
              <w:t>63.2</w:t>
            </w:r>
          </w:p>
        </w:tc>
        <w:tc>
          <w:tcPr>
            <w:tcW w:w="946" w:type="dxa"/>
            <w:vAlign w:val="bottom"/>
          </w:tcPr>
          <w:p w14:paraId="2C73BDA8">
            <w:pPr>
              <w:pStyle w:val="64"/>
            </w:pPr>
            <w:r>
              <w:t>63.2</w:t>
            </w:r>
          </w:p>
        </w:tc>
        <w:tc>
          <w:tcPr>
            <w:tcW w:w="1295" w:type="dxa"/>
            <w:vMerge w:val="continue"/>
            <w:vAlign w:val="center"/>
          </w:tcPr>
          <w:p w14:paraId="6F3FA202">
            <w:pPr>
              <w:pStyle w:val="64"/>
            </w:pPr>
          </w:p>
        </w:tc>
        <w:tc>
          <w:tcPr>
            <w:tcW w:w="1295" w:type="dxa"/>
            <w:vMerge w:val="continue"/>
            <w:vAlign w:val="center"/>
          </w:tcPr>
          <w:p w14:paraId="7737079B">
            <w:pPr>
              <w:pStyle w:val="64"/>
            </w:pPr>
          </w:p>
        </w:tc>
      </w:tr>
      <w:tr w14:paraId="1933DA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vAlign w:val="center"/>
          </w:tcPr>
          <w:p w14:paraId="4A7BCD64">
            <w:pPr>
              <w:pStyle w:val="64"/>
            </w:pPr>
            <w:r>
              <w:t>7</w:t>
            </w:r>
          </w:p>
        </w:tc>
        <w:tc>
          <w:tcPr>
            <w:tcW w:w="1276" w:type="dxa"/>
            <w:vAlign w:val="center"/>
          </w:tcPr>
          <w:p w14:paraId="0A834342">
            <w:pPr>
              <w:pStyle w:val="64"/>
            </w:pPr>
            <w:r>
              <w:t>7#精馏塔</w:t>
            </w:r>
          </w:p>
        </w:tc>
        <w:tc>
          <w:tcPr>
            <w:tcW w:w="992" w:type="dxa"/>
            <w:vMerge w:val="continue"/>
            <w:vAlign w:val="center"/>
          </w:tcPr>
          <w:p w14:paraId="68B7EADB">
            <w:pPr>
              <w:pStyle w:val="64"/>
            </w:pPr>
          </w:p>
        </w:tc>
        <w:tc>
          <w:tcPr>
            <w:tcW w:w="1276" w:type="dxa"/>
            <w:vAlign w:val="center"/>
          </w:tcPr>
          <w:p w14:paraId="72B9B004">
            <w:pPr>
              <w:pStyle w:val="64"/>
            </w:pPr>
            <w:r>
              <w:t>0</w:t>
            </w:r>
          </w:p>
        </w:tc>
        <w:tc>
          <w:tcPr>
            <w:tcW w:w="1276" w:type="dxa"/>
            <w:vAlign w:val="center"/>
          </w:tcPr>
          <w:p w14:paraId="58A28F33">
            <w:pPr>
              <w:pStyle w:val="64"/>
            </w:pPr>
            <w:r>
              <w:t>79.5</w:t>
            </w:r>
          </w:p>
        </w:tc>
        <w:tc>
          <w:tcPr>
            <w:tcW w:w="946" w:type="dxa"/>
            <w:vAlign w:val="bottom"/>
          </w:tcPr>
          <w:p w14:paraId="6F5C7A35">
            <w:pPr>
              <w:pStyle w:val="64"/>
            </w:pPr>
            <w:r>
              <w:t>79.5</w:t>
            </w:r>
          </w:p>
        </w:tc>
        <w:tc>
          <w:tcPr>
            <w:tcW w:w="1295" w:type="dxa"/>
            <w:vMerge w:val="continue"/>
            <w:vAlign w:val="center"/>
          </w:tcPr>
          <w:p w14:paraId="49C9258F">
            <w:pPr>
              <w:pStyle w:val="64"/>
            </w:pPr>
          </w:p>
        </w:tc>
        <w:tc>
          <w:tcPr>
            <w:tcW w:w="1295" w:type="dxa"/>
            <w:vMerge w:val="continue"/>
            <w:vAlign w:val="center"/>
          </w:tcPr>
          <w:p w14:paraId="44B2C4C7">
            <w:pPr>
              <w:pStyle w:val="64"/>
            </w:pPr>
          </w:p>
        </w:tc>
      </w:tr>
      <w:tr w14:paraId="5CA50B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72" w:type="dxa"/>
            <w:gridSpan w:val="3"/>
            <w:vAlign w:val="center"/>
          </w:tcPr>
          <w:p w14:paraId="754CF3FB">
            <w:pPr>
              <w:pStyle w:val="64"/>
            </w:pPr>
            <w:r>
              <w:t>合计</w:t>
            </w:r>
          </w:p>
        </w:tc>
        <w:tc>
          <w:tcPr>
            <w:tcW w:w="1276" w:type="dxa"/>
            <w:vAlign w:val="bottom"/>
          </w:tcPr>
          <w:p w14:paraId="2438C7FD">
            <w:pPr>
              <w:pStyle w:val="64"/>
            </w:pPr>
            <w:r>
              <w:t>496.4</w:t>
            </w:r>
          </w:p>
        </w:tc>
        <w:tc>
          <w:tcPr>
            <w:tcW w:w="1276" w:type="dxa"/>
            <w:vAlign w:val="bottom"/>
          </w:tcPr>
          <w:p w14:paraId="315D0CA7">
            <w:pPr>
              <w:pStyle w:val="64"/>
            </w:pPr>
            <w:r>
              <w:t>520.7</w:t>
            </w:r>
          </w:p>
        </w:tc>
        <w:tc>
          <w:tcPr>
            <w:tcW w:w="946" w:type="dxa"/>
            <w:vAlign w:val="center"/>
          </w:tcPr>
          <w:p w14:paraId="59BB310B">
            <w:pPr>
              <w:pStyle w:val="64"/>
            </w:pPr>
            <w:r>
              <w:t>1017.1</w:t>
            </w:r>
          </w:p>
        </w:tc>
        <w:tc>
          <w:tcPr>
            <w:tcW w:w="1295" w:type="dxa"/>
            <w:vMerge w:val="continue"/>
            <w:vAlign w:val="center"/>
          </w:tcPr>
          <w:p w14:paraId="7D554CAF">
            <w:pPr>
              <w:pStyle w:val="64"/>
            </w:pPr>
          </w:p>
        </w:tc>
        <w:tc>
          <w:tcPr>
            <w:tcW w:w="1295" w:type="dxa"/>
            <w:vMerge w:val="continue"/>
            <w:vAlign w:val="center"/>
          </w:tcPr>
          <w:p w14:paraId="4C6BBFAC">
            <w:pPr>
              <w:pStyle w:val="64"/>
            </w:pPr>
          </w:p>
        </w:tc>
      </w:tr>
      <w:tr w14:paraId="2930DB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vAlign w:val="center"/>
          </w:tcPr>
          <w:p w14:paraId="42A84B60">
            <w:pPr>
              <w:pStyle w:val="64"/>
            </w:pPr>
            <w:r>
              <w:t>8</w:t>
            </w:r>
          </w:p>
        </w:tc>
        <w:tc>
          <w:tcPr>
            <w:tcW w:w="2268" w:type="dxa"/>
            <w:gridSpan w:val="2"/>
            <w:vAlign w:val="center"/>
          </w:tcPr>
          <w:p w14:paraId="4D6074AC">
            <w:pPr>
              <w:pStyle w:val="64"/>
            </w:pPr>
            <w:r>
              <w:t>生活垃圾</w:t>
            </w:r>
          </w:p>
        </w:tc>
        <w:tc>
          <w:tcPr>
            <w:tcW w:w="3498" w:type="dxa"/>
            <w:gridSpan w:val="3"/>
            <w:vAlign w:val="center"/>
          </w:tcPr>
          <w:p w14:paraId="0868B950">
            <w:pPr>
              <w:pStyle w:val="64"/>
            </w:pPr>
            <w:r>
              <w:t>5.4</w:t>
            </w:r>
          </w:p>
        </w:tc>
        <w:tc>
          <w:tcPr>
            <w:tcW w:w="1295" w:type="dxa"/>
            <w:vAlign w:val="center"/>
          </w:tcPr>
          <w:p w14:paraId="3499E8D6">
            <w:pPr>
              <w:pStyle w:val="64"/>
            </w:pPr>
            <w:r>
              <w:t>一般固废</w:t>
            </w:r>
          </w:p>
        </w:tc>
        <w:tc>
          <w:tcPr>
            <w:tcW w:w="1295" w:type="dxa"/>
            <w:vAlign w:val="center"/>
          </w:tcPr>
          <w:p w14:paraId="0F862B1E">
            <w:pPr>
              <w:pStyle w:val="64"/>
            </w:pPr>
            <w:r>
              <w:t>由环卫部门处置</w:t>
            </w:r>
          </w:p>
        </w:tc>
      </w:tr>
    </w:tbl>
    <w:p w14:paraId="525E5037">
      <w:pPr>
        <w:rPr>
          <w:rFonts w:cs="Times New Roman"/>
          <w:spacing w:val="-3"/>
        </w:rPr>
      </w:pPr>
    </w:p>
    <w:p w14:paraId="07383E9A">
      <w:pPr>
        <w:rPr>
          <w:rFonts w:cs="Times New Roman"/>
          <w:spacing w:val="-3"/>
        </w:rPr>
      </w:pPr>
    </w:p>
    <w:p w14:paraId="13C64DA6">
      <w:pPr>
        <w:rPr>
          <w:rFonts w:cs="Times New Roman"/>
          <w:spacing w:val="-3"/>
        </w:rPr>
        <w:sectPr>
          <w:pgSz w:w="11906" w:h="16838"/>
          <w:pgMar w:top="1418" w:right="1418" w:bottom="1418" w:left="1418" w:header="851" w:footer="992" w:gutter="0"/>
          <w:cols w:space="425" w:num="1"/>
          <w:docGrid w:type="lines" w:linePitch="326" w:charSpace="0"/>
        </w:sectPr>
      </w:pPr>
    </w:p>
    <w:p w14:paraId="399D9985">
      <w:pPr>
        <w:pStyle w:val="4"/>
        <w:rPr>
          <w:rFonts w:hint="eastAsia"/>
        </w:rPr>
      </w:pPr>
      <w:bookmarkStart w:id="105" w:name="_Toc221056424"/>
      <w:r>
        <w:rPr>
          <w:rFonts w:hint="eastAsia"/>
        </w:rPr>
        <w:t>6.5.2危险废物影响分析</w:t>
      </w:r>
      <w:bookmarkEnd w:id="105"/>
    </w:p>
    <w:p w14:paraId="6E175057">
      <w:pPr>
        <w:ind w:firstLine="480" w:firstLineChars="200"/>
      </w:pPr>
      <w:r>
        <w:rPr>
          <w:rFonts w:hint="eastAsia"/>
        </w:rPr>
        <w:t>1、危险废物贮存场所(设施)环境影响分析</w:t>
      </w:r>
    </w:p>
    <w:p w14:paraId="0F720F52">
      <w:pPr>
        <w:ind w:firstLine="468" w:firstLineChars="200"/>
        <w:rPr>
          <w:rFonts w:cs="Times New Roman"/>
          <w:spacing w:val="-3"/>
        </w:rPr>
      </w:pPr>
      <w:r>
        <w:rPr>
          <w:rFonts w:hint="eastAsia" w:cs="Times New Roman"/>
          <w:spacing w:val="-3"/>
        </w:rPr>
        <w:t>危险废物依托东厂区现有危废暂存库，占地面积300m</w:t>
      </w:r>
      <w:r>
        <w:rPr>
          <w:rFonts w:hint="eastAsia" w:cs="Times New Roman"/>
          <w:spacing w:val="-3"/>
          <w:vertAlign w:val="superscript"/>
        </w:rPr>
        <w:t>2</w:t>
      </w:r>
      <w:r>
        <w:rPr>
          <w:rFonts w:hint="eastAsia" w:cs="Times New Roman"/>
          <w:spacing w:val="-3"/>
        </w:rPr>
        <w:t>，该危废暂存库满足《危险废物贮存污染控制标准》(GB18597-2023)的要求，危险废物按照不同的类别和性质，分别存放于专门的区域和容器中。</w:t>
      </w:r>
    </w:p>
    <w:p w14:paraId="25C27E0E">
      <w:pPr>
        <w:ind w:firstLine="468" w:firstLineChars="200"/>
        <w:rPr>
          <w:rFonts w:cs="Times New Roman"/>
          <w:spacing w:val="-3"/>
        </w:rPr>
      </w:pPr>
      <w:r>
        <w:rPr>
          <w:rFonts w:hint="eastAsia" w:cs="Times New Roman"/>
          <w:spacing w:val="-3"/>
        </w:rPr>
        <w:t>海华公司危险废物临时贮存场所已通过环保竣工验收，按照要求规范建设危废暂存库，危废暂存周期较短，该场所能够满足公司正常危险废物的储存，本项目较技改前增加了少量危险废物(约40t/a)，依托现有危废暂存库可行。</w:t>
      </w:r>
    </w:p>
    <w:p w14:paraId="316A9A95">
      <w:pPr>
        <w:ind w:firstLine="468" w:firstLineChars="200"/>
        <w:rPr>
          <w:rFonts w:cs="Times New Roman"/>
          <w:spacing w:val="-3"/>
        </w:rPr>
      </w:pPr>
      <w:r>
        <w:rPr>
          <w:rFonts w:hint="eastAsia" w:cs="Times New Roman"/>
          <w:spacing w:val="-3"/>
        </w:rPr>
        <w:t>该危险废物临时贮存场所符合《危险废物贮存污染控制标准》(GB18597)的要求，做好防渗、防水、防流失措施，在危险废物临时贮存过程中对环境空气、地表水、地下水、土壤造成的影响较小。</w:t>
      </w:r>
    </w:p>
    <w:p w14:paraId="61B90225">
      <w:pPr>
        <w:ind w:firstLine="480" w:firstLineChars="200"/>
      </w:pPr>
      <w:r>
        <w:rPr>
          <w:rFonts w:hint="eastAsia"/>
        </w:rPr>
        <w:t>2、运输过程中环境影响分析</w:t>
      </w:r>
    </w:p>
    <w:p w14:paraId="1194323E">
      <w:pPr>
        <w:ind w:firstLine="468" w:firstLineChars="200"/>
        <w:rPr>
          <w:rFonts w:cs="Times New Roman"/>
          <w:spacing w:val="-3"/>
        </w:rPr>
      </w:pPr>
      <w:r>
        <w:rPr>
          <w:rFonts w:hint="eastAsia" w:cs="Times New Roman"/>
          <w:spacing w:val="-3"/>
        </w:rPr>
        <w:t>本项目产生的危险废物，在整个搬运、装卸及运输过程中始终处于密闭状态，杜绝泄露事件的发生。整个运输均在海华厂区内进行，装车时使用自动装卸设备，全程由专业的运输车辆进行运输。</w:t>
      </w:r>
    </w:p>
    <w:p w14:paraId="7D581E1B">
      <w:pPr>
        <w:pStyle w:val="16"/>
        <w:ind w:firstLine="480"/>
      </w:pPr>
      <w:r>
        <w:rPr>
          <w:rFonts w:hint="eastAsia"/>
        </w:rPr>
        <w:t>3、委托处置环境环境影响分析</w:t>
      </w:r>
    </w:p>
    <w:p w14:paraId="3887EABE">
      <w:pPr>
        <w:ind w:firstLine="468" w:firstLineChars="200"/>
        <w:rPr>
          <w:rFonts w:cs="Times New Roman"/>
          <w:spacing w:val="-3"/>
        </w:rPr>
      </w:pPr>
      <w:r>
        <w:rPr>
          <w:rFonts w:hint="eastAsia" w:cs="Times New Roman"/>
          <w:spacing w:val="-3"/>
        </w:rPr>
        <w:t>建设单位已与有处理资质的单位签订委托处理协议，定期委托处理，本项目技改后危废产生量少于技改前，现有危废处置单位处置能力可满足本项目需求，项目产生的危险废物将对周边环境不会产生较大影响。</w:t>
      </w:r>
    </w:p>
    <w:p w14:paraId="51455B75">
      <w:pPr>
        <w:ind w:firstLine="468" w:firstLineChars="200"/>
        <w:rPr>
          <w:rFonts w:cs="Times New Roman"/>
          <w:spacing w:val="-3"/>
        </w:rPr>
      </w:pPr>
      <w:r>
        <w:rPr>
          <w:rFonts w:hint="eastAsia" w:cs="Times New Roman"/>
          <w:spacing w:val="-3"/>
        </w:rPr>
        <w:t>综上可知，项目采取的固废处理、处置措施是可行的。但固体废物在厂内暂时存放期间应加强管理，堆放场地应有防渗、防流失措施。在清运过程中，应做好密闭措施，防止固废抛洒遗漏而导致污染扩散，对沿途环境造成影响。</w:t>
      </w:r>
    </w:p>
    <w:p w14:paraId="6CD26893">
      <w:pPr>
        <w:pStyle w:val="3"/>
        <w:spacing w:before="326"/>
        <w:rPr>
          <w:rFonts w:hint="eastAsia"/>
        </w:rPr>
      </w:pPr>
      <w:bookmarkStart w:id="106" w:name="_Toc221056425"/>
      <w:r>
        <w:rPr>
          <w:rFonts w:hint="eastAsia"/>
        </w:rPr>
        <w:t>6.6地下水环境影响分析</w:t>
      </w:r>
      <w:bookmarkEnd w:id="106"/>
    </w:p>
    <w:p w14:paraId="5F02BDC5">
      <w:pPr>
        <w:pStyle w:val="4"/>
        <w:rPr>
          <w:rFonts w:hint="eastAsia"/>
        </w:rPr>
      </w:pPr>
      <w:bookmarkStart w:id="107" w:name="_Toc221056426"/>
      <w:r>
        <w:rPr>
          <w:rFonts w:hint="eastAsia"/>
        </w:rPr>
        <w:t>6.6.1区域水文地质条件</w:t>
      </w:r>
      <w:bookmarkEnd w:id="107"/>
    </w:p>
    <w:p w14:paraId="07371DD7">
      <w:pPr>
        <w:pStyle w:val="16"/>
        <w:ind w:firstLine="480"/>
      </w:pPr>
      <w:r>
        <w:rPr>
          <w:rFonts w:hint="eastAsia"/>
        </w:rPr>
        <w:t>1、地形地貌特征</w:t>
      </w:r>
    </w:p>
    <w:p w14:paraId="68806A77">
      <w:pPr>
        <w:pStyle w:val="16"/>
        <w:ind w:firstLine="480"/>
      </w:pPr>
      <w:r>
        <w:rPr>
          <w:rFonts w:hint="eastAsia"/>
        </w:rPr>
        <w:t>蚌埠市地形以平原为主，山丘相对集中，河沟纵横，湖泊散落。淮河以北为平原地区，约占全市面积的86%。地势呈西北高东南低，西部最高地面高程在涡芡之间西部为24米，最低地面高程在老潼河附近为14米，东西高差10米；北部沱浍之间任桥附近最高地面高程为22.0米，南部北淝河下游地面高程最低为14米，南北高差8米。淮河以南地形为有湖洼间隔的不连续山丘高地，约占全市面积的14%。蚌埠地处江淮腹地丘陵地区，由西向东的江淮分水岭贯穿该市，形成低缓的鱼背形地势。项目范围内的地形基本为岗冲起伏的丘陵荒地，高程在23.06米～49.54米之间，整个地形呈东高西低。</w:t>
      </w:r>
    </w:p>
    <w:p w14:paraId="21813B43">
      <w:pPr>
        <w:pStyle w:val="16"/>
        <w:ind w:firstLine="480"/>
      </w:pPr>
      <w:r>
        <w:rPr>
          <w:rFonts w:hint="eastAsia"/>
        </w:rPr>
        <w:t>2、地质概况</w:t>
      </w:r>
    </w:p>
    <w:p w14:paraId="75CB3F9F">
      <w:pPr>
        <w:pStyle w:val="16"/>
        <w:ind w:firstLine="480"/>
      </w:pPr>
      <w:r>
        <w:rPr>
          <w:rFonts w:hint="eastAsia"/>
        </w:rPr>
        <w:t>区域地层属于华北地层大区晋冀鲁豫地层区徐淮地层分区淮南地层小区。主要为上古太界五河群(Ar2wh)、古近系双浮组(E1sh)，大部分被第四系覆盖，仅在淮河南侧临淮关东部一带出露。</w:t>
      </w:r>
    </w:p>
    <w:p w14:paraId="11549F24">
      <w:pPr>
        <w:pStyle w:val="16"/>
        <w:ind w:firstLine="480"/>
      </w:pPr>
      <w:r>
        <w:rPr>
          <w:rFonts w:hint="eastAsia"/>
        </w:rPr>
        <w:t>3、区域地层</w:t>
      </w:r>
    </w:p>
    <w:p w14:paraId="7669DC9A">
      <w:pPr>
        <w:pStyle w:val="16"/>
        <w:ind w:firstLine="480"/>
      </w:pPr>
      <w:r>
        <w:rPr>
          <w:rFonts w:hint="eastAsia"/>
        </w:rPr>
        <w:t>评价区地表出露地层为新生界第四系，松散层包括新近系(N)和第四系(Q)；其下基岩主要为上太古界五河群(Ar2wh)。</w:t>
      </w:r>
    </w:p>
    <w:p w14:paraId="5640E672">
      <w:pPr>
        <w:pStyle w:val="16"/>
        <w:ind w:firstLine="480"/>
      </w:pPr>
      <w:r>
        <w:rPr>
          <w:rFonts w:hint="eastAsia"/>
        </w:rPr>
        <w:t>根据区域地质资料，评估区内地层由老到新描述如下：</w:t>
      </w:r>
    </w:p>
    <w:p w14:paraId="12D58FD7">
      <w:pPr>
        <w:pStyle w:val="16"/>
        <w:ind w:firstLine="480"/>
      </w:pPr>
      <w:r>
        <w:rPr>
          <w:rFonts w:hint="eastAsia" w:ascii="宋体" w:hAnsi="宋体" w:cs="宋体"/>
        </w:rPr>
        <w:t>①</w:t>
      </w:r>
      <w:r>
        <w:rPr>
          <w:rFonts w:hint="eastAsia"/>
        </w:rPr>
        <w:t>上太古界五河群(Ar2wh)</w:t>
      </w:r>
    </w:p>
    <w:p w14:paraId="25FBD837">
      <w:pPr>
        <w:pStyle w:val="16"/>
        <w:ind w:firstLine="480"/>
      </w:pPr>
      <w:r>
        <w:rPr>
          <w:rFonts w:hint="eastAsia"/>
        </w:rPr>
        <w:t>分布全区，隐伏于新近系之下，岩性主要为大理岩、变流纹岩、白云石英片岩及斜长角闪岩，并含黑云斜长片麻岩、黑云二长片麻岩、浅粒岩等变质侵入体。厚度大于1521m。</w:t>
      </w:r>
    </w:p>
    <w:p w14:paraId="49A276CB">
      <w:pPr>
        <w:pStyle w:val="16"/>
        <w:ind w:firstLine="480"/>
      </w:pPr>
      <w:r>
        <w:rPr>
          <w:rFonts w:hint="eastAsia" w:ascii="宋体" w:hAnsi="宋体" w:cs="宋体"/>
        </w:rPr>
        <w:t>②</w:t>
      </w:r>
      <w:r>
        <w:rPr>
          <w:rFonts w:hint="eastAsia"/>
        </w:rPr>
        <w:t>新生界新近系明化镇组(N2M)</w:t>
      </w:r>
    </w:p>
    <w:p w14:paraId="78B42827">
      <w:pPr>
        <w:pStyle w:val="16"/>
        <w:ind w:firstLine="480"/>
      </w:pPr>
      <w:r>
        <w:rPr>
          <w:rFonts w:hint="eastAsia"/>
        </w:rPr>
        <w:t>分布全区，隐伏于第四系之下，层厚为50～60m，岩性为绿色、灰白色粉质粘土，灰白、灰黄色泥质微胶结或含泥质中粗砂、含砾中粗砂、砂砾层。</w:t>
      </w:r>
    </w:p>
    <w:p w14:paraId="32755B47">
      <w:pPr>
        <w:pStyle w:val="16"/>
        <w:ind w:firstLine="480"/>
      </w:pPr>
      <w:r>
        <w:rPr>
          <w:rFonts w:hint="eastAsia" w:ascii="宋体" w:hAnsi="宋体" w:cs="宋体"/>
        </w:rPr>
        <w:t>③</w:t>
      </w:r>
      <w:r>
        <w:rPr>
          <w:rFonts w:hint="eastAsia"/>
        </w:rPr>
        <w:t>新生界第四系(Q)</w:t>
      </w:r>
    </w:p>
    <w:p w14:paraId="5B3B770D">
      <w:pPr>
        <w:pStyle w:val="16"/>
        <w:ind w:firstLine="480"/>
      </w:pPr>
      <w:r>
        <w:rPr>
          <w:rFonts w:hint="eastAsia"/>
        </w:rPr>
        <w:t>本区自下而上分别为下更新统蒙城组(Q1M)、中更新统潘集组(Q2p)和上更新统茆塘组(Q3m)。</w:t>
      </w:r>
    </w:p>
    <w:p w14:paraId="135319C6">
      <w:pPr>
        <w:pStyle w:val="16"/>
        <w:ind w:firstLine="480"/>
      </w:pPr>
      <w:r>
        <w:rPr>
          <w:rFonts w:hint="eastAsia"/>
        </w:rPr>
        <w:t>下更新统蒙城组(Q1M)：全区广泛分布，隐伏于中更新统之下。厚度为20～35m，底部为黄棕色粉细砂、细砂、粉砂；上部为浅棕、灰黄色粉质粘土互层，夹薄层粉砂土及粉砂，富含钙质结核和铁锰质结核。</w:t>
      </w:r>
    </w:p>
    <w:p w14:paraId="7610718E">
      <w:pPr>
        <w:pStyle w:val="16"/>
        <w:ind w:firstLine="480"/>
      </w:pPr>
      <w:r>
        <w:rPr>
          <w:rFonts w:hint="eastAsia"/>
        </w:rPr>
        <w:t>中更新统潘集组(Q2p)：全区广泛分布，隐伏于上更新统之下，层厚为45～60m，可分为上下两段：下段为黄灰色、黄绿色粉砂、细砂、粗中砂，结构松散，分选性较好，厚25～35m；上段为青黄色粘土，结构紧密，含钙质结核和铁锰质结核，厚度为20-30m。</w:t>
      </w:r>
    </w:p>
    <w:p w14:paraId="6FE1505D">
      <w:pPr>
        <w:pStyle w:val="16"/>
        <w:ind w:firstLine="480"/>
      </w:pPr>
      <w:r>
        <w:rPr>
          <w:rFonts w:hint="eastAsia"/>
        </w:rPr>
        <w:t>上更新统茆塘组(Q3m)：全区出露，厚度为20～30m，主要为褐黄色、灰褐色粉质粘土、粘土、粉土夹砂、粉细砂-中砂，局部地段下部夹少量砾石，普遍含有铁锰质结核和钙质结核，柱状节理较发育。</w:t>
      </w:r>
    </w:p>
    <w:p w14:paraId="31D502B0">
      <w:pPr>
        <w:pStyle w:val="16"/>
        <w:ind w:firstLine="480"/>
      </w:pPr>
      <w:r>
        <w:rPr>
          <w:rFonts w:hint="eastAsia"/>
        </w:rPr>
        <w:t>4、水文地质概况</w:t>
      </w:r>
    </w:p>
    <w:p w14:paraId="53D4DA00">
      <w:pPr>
        <w:pStyle w:val="16"/>
        <w:ind w:firstLine="480"/>
      </w:pPr>
      <w:r>
        <w:rPr>
          <w:rFonts w:hint="eastAsia" w:ascii="宋体" w:hAnsi="宋体" w:cs="宋体"/>
        </w:rPr>
        <w:t>①</w:t>
      </w:r>
      <w:r>
        <w:rPr>
          <w:rFonts w:hint="eastAsia"/>
        </w:rPr>
        <w:t>地下水类型及含水层特征</w:t>
      </w:r>
    </w:p>
    <w:p w14:paraId="27BC1774">
      <w:pPr>
        <w:pStyle w:val="16"/>
        <w:ind w:firstLine="480"/>
      </w:pPr>
      <w:r>
        <w:rPr>
          <w:rFonts w:hint="eastAsia"/>
        </w:rPr>
        <w:t>根据地下水的赋存条件、含水介质及地层岩性组合特征，评价区区域地下水类型可划分为松散岩类孔隙水和基岩裂隙水，松散岩类孔隙水进一步可划分浅层松散岩类孔隙水和深层松散岩类孔隙水。</w:t>
      </w:r>
    </w:p>
    <w:p w14:paraId="75DC94BB">
      <w:pPr>
        <w:pStyle w:val="16"/>
        <w:ind w:firstLine="480"/>
      </w:pPr>
      <w:r>
        <w:rPr>
          <w:rFonts w:hint="eastAsia" w:ascii="宋体" w:hAnsi="宋体" w:cs="宋体"/>
        </w:rPr>
        <w:t>②</w:t>
      </w:r>
      <w:r>
        <w:rPr>
          <w:rFonts w:hint="eastAsia"/>
        </w:rPr>
        <w:t>含水层分布</w:t>
      </w:r>
    </w:p>
    <w:p w14:paraId="2A42B0BD">
      <w:pPr>
        <w:pStyle w:val="16"/>
        <w:ind w:firstLine="480"/>
      </w:pPr>
      <w:r>
        <w:rPr>
          <w:rFonts w:hint="eastAsia"/>
        </w:rPr>
        <w:t>根据地下水的赋存条件、水力性质及地层岩性组合特征，评价区地下水类型可划分为松散层类孔隙水，按含水层的渗透性可进一步划分为一个弱透水层，一个含水层和两个隔水层。</w:t>
      </w:r>
    </w:p>
    <w:p w14:paraId="5B82FE3A">
      <w:pPr>
        <w:pStyle w:val="16"/>
        <w:ind w:firstLine="480"/>
      </w:pPr>
      <w:r>
        <w:rPr>
          <w:rFonts w:hint="eastAsia"/>
        </w:rPr>
        <w:t>5、地下水开发利用现状</w:t>
      </w:r>
    </w:p>
    <w:p w14:paraId="4B5FE06B">
      <w:pPr>
        <w:pStyle w:val="16"/>
        <w:ind w:firstLine="480"/>
      </w:pPr>
      <w:r>
        <w:rPr>
          <w:rFonts w:hint="eastAsia"/>
        </w:rPr>
        <w:t>根据《2024年蚌埠市水资源公报》，本项目位于蚌洪区间北岸，其总供水、用水量为12.97亿m</w:t>
      </w:r>
      <w:r>
        <w:rPr>
          <w:rFonts w:hint="eastAsia"/>
          <w:vertAlign w:val="superscript"/>
        </w:rPr>
        <w:t>3</w:t>
      </w:r>
      <w:r>
        <w:rPr>
          <w:rFonts w:hint="eastAsia"/>
        </w:rPr>
        <w:t>，按水源分：地表水源供水量10.92亿m</w:t>
      </w:r>
      <w:r>
        <w:rPr>
          <w:rFonts w:hint="eastAsia"/>
          <w:vertAlign w:val="superscript"/>
        </w:rPr>
        <w:t>3</w:t>
      </w:r>
      <w:r>
        <w:rPr>
          <w:rFonts w:hint="eastAsia"/>
        </w:rPr>
        <w:t>、地下水源供水量为1.39亿m</w:t>
      </w:r>
      <w:r>
        <w:rPr>
          <w:rFonts w:hint="eastAsia"/>
          <w:vertAlign w:val="superscript"/>
        </w:rPr>
        <w:t>3</w:t>
      </w:r>
      <w:r>
        <w:rPr>
          <w:rFonts w:hint="eastAsia"/>
        </w:rPr>
        <w:t>、非常规水源供水量为0.65亿m</w:t>
      </w:r>
      <w:r>
        <w:rPr>
          <w:rFonts w:hint="eastAsia"/>
          <w:vertAlign w:val="superscript"/>
        </w:rPr>
        <w:t>3</w:t>
      </w:r>
      <w:r>
        <w:rPr>
          <w:rFonts w:hint="eastAsia"/>
        </w:rPr>
        <w:t>，按用水对象分：其中耕地灌溉用水8.65亿m</w:t>
      </w:r>
      <w:r>
        <w:rPr>
          <w:rFonts w:hint="eastAsia"/>
          <w:vertAlign w:val="superscript"/>
        </w:rPr>
        <w:t>3</w:t>
      </w:r>
      <w:r>
        <w:rPr>
          <w:rFonts w:hint="eastAsia"/>
        </w:rPr>
        <w:t>、林牧渔畜用水0.95亿m</w:t>
      </w:r>
      <w:r>
        <w:rPr>
          <w:rFonts w:hint="eastAsia"/>
          <w:vertAlign w:val="superscript"/>
        </w:rPr>
        <w:t>3</w:t>
      </w:r>
      <w:r>
        <w:rPr>
          <w:rFonts w:hint="eastAsia"/>
        </w:rPr>
        <w:t>、工业用水1.08亿m</w:t>
      </w:r>
      <w:r>
        <w:rPr>
          <w:rFonts w:hint="eastAsia"/>
          <w:vertAlign w:val="superscript"/>
        </w:rPr>
        <w:t>3</w:t>
      </w:r>
      <w:r>
        <w:rPr>
          <w:rFonts w:hint="eastAsia"/>
        </w:rPr>
        <w:t>、城镇公共用水0.30亿m</w:t>
      </w:r>
      <w:r>
        <w:rPr>
          <w:rFonts w:hint="eastAsia"/>
          <w:vertAlign w:val="superscript"/>
        </w:rPr>
        <w:t>3</w:t>
      </w:r>
      <w:r>
        <w:rPr>
          <w:rFonts w:hint="eastAsia"/>
        </w:rPr>
        <w:t>、居民生活1.46亿m</w:t>
      </w:r>
      <w:r>
        <w:rPr>
          <w:rFonts w:hint="eastAsia"/>
          <w:vertAlign w:val="superscript"/>
        </w:rPr>
        <w:t>3</w:t>
      </w:r>
      <w:r>
        <w:rPr>
          <w:rFonts w:hint="eastAsia"/>
        </w:rPr>
        <w:t>、生态环境0.53亿m</w:t>
      </w:r>
      <w:r>
        <w:rPr>
          <w:rFonts w:hint="eastAsia"/>
          <w:vertAlign w:val="superscript"/>
        </w:rPr>
        <w:t>3</w:t>
      </w:r>
      <w:r>
        <w:rPr>
          <w:rFonts w:hint="eastAsia"/>
        </w:rPr>
        <w:t>。</w:t>
      </w:r>
    </w:p>
    <w:p w14:paraId="3831518C">
      <w:pPr>
        <w:pStyle w:val="16"/>
        <w:ind w:firstLine="480"/>
      </w:pPr>
      <w:r>
        <w:rPr>
          <w:rFonts w:hint="eastAsia"/>
        </w:rPr>
        <w:t>通过现场调查和访问，评价范围内的各企事业单位与周边居民的生产、生活用水均来自地表水体，区域不开采地下水，仅剩部分村庄的民用井(不具备饮用、生活功能)未拆除。</w:t>
      </w:r>
    </w:p>
    <w:p w14:paraId="5712382E">
      <w:pPr>
        <w:pStyle w:val="16"/>
        <w:ind w:firstLine="480"/>
      </w:pPr>
      <w:r>
        <w:rPr>
          <w:rFonts w:hint="eastAsia"/>
        </w:rPr>
        <w:t>6、包气带防污性能分析</w:t>
      </w:r>
    </w:p>
    <w:p w14:paraId="7102321F">
      <w:pPr>
        <w:pStyle w:val="16"/>
        <w:ind w:firstLine="480"/>
      </w:pPr>
      <w:r>
        <w:rPr>
          <w:rFonts w:hint="eastAsia"/>
        </w:rPr>
        <w:t>包气带防污能力根据园区规划环评，项目区含水层主要是由第四系上更新统层杂填土与粉质粘土夹砾与粉土所组成，赋存潜水、局部具有弱承压性质；该套含水层之上，覆盖有第四系上更新统和全新统粉质粘土、粘土层，该套弱透水层构成建设项目场地包气带层。</w:t>
      </w:r>
    </w:p>
    <w:p w14:paraId="7C49C14D">
      <w:pPr>
        <w:pStyle w:val="16"/>
        <w:ind w:firstLine="480"/>
      </w:pPr>
      <w:r>
        <w:rPr>
          <w:rFonts w:hint="eastAsia"/>
        </w:rPr>
        <w:t>建设项目区域位于第四系上更新统和全新统层粉质粘土、粉土，揭露层厚大于30m，场地包气带岩层单层厚</w:t>
      </w:r>
      <w:r>
        <w:t>度Mb≥1m，且分布连续、稳定；根据场地内的渗水试验结果，该层渗透垂向渗透系数为2.5×10</w:t>
      </w:r>
      <w:r>
        <w:rPr>
          <w:vertAlign w:val="superscript"/>
        </w:rPr>
        <w:t>-5</w:t>
      </w:r>
      <w:r>
        <w:t>~3.33×10</w:t>
      </w:r>
      <w:r>
        <w:rPr>
          <w:vertAlign w:val="superscript"/>
        </w:rPr>
        <w:t>-5</w:t>
      </w:r>
      <w:r>
        <w:t>cm/s，即为10</w:t>
      </w:r>
      <w:r>
        <w:rPr>
          <w:vertAlign w:val="superscript"/>
        </w:rPr>
        <w:t>-6</w:t>
      </w:r>
      <w:r>
        <w:t>cm/s≤渗透系数≤10</w:t>
      </w:r>
      <w:r>
        <w:rPr>
          <w:vertAlign w:val="superscript"/>
        </w:rPr>
        <w:t>-4</w:t>
      </w:r>
      <w:r>
        <w:t>cm/s。</w:t>
      </w:r>
    </w:p>
    <w:p w14:paraId="3489927F">
      <w:pPr>
        <w:pStyle w:val="16"/>
        <w:ind w:firstLine="480"/>
      </w:pPr>
      <w:r>
        <w:t>因此，确定评价区地下水包气带防污性能分级确定为“</w:t>
      </w:r>
      <w:r>
        <w:rPr>
          <w:kern w:val="0"/>
        </w:rPr>
        <w:t>D2</w:t>
      </w:r>
      <w:r>
        <w:t>”。</w:t>
      </w:r>
    </w:p>
    <w:p w14:paraId="1CC5DECA">
      <w:pPr>
        <w:pStyle w:val="4"/>
        <w:rPr>
          <w:rFonts w:hint="eastAsia"/>
        </w:rPr>
      </w:pPr>
      <w:bookmarkStart w:id="108" w:name="_Toc221056427"/>
      <w:r>
        <w:rPr>
          <w:rFonts w:hint="eastAsia"/>
        </w:rPr>
        <w:t>6.6.2正常工况下地下水影响分析</w:t>
      </w:r>
      <w:bookmarkEnd w:id="108"/>
    </w:p>
    <w:p w14:paraId="6E00BE40">
      <w:pPr>
        <w:pStyle w:val="16"/>
        <w:ind w:firstLine="480"/>
      </w:pPr>
      <w:r>
        <w:rPr>
          <w:rFonts w:hint="eastAsia"/>
        </w:rPr>
        <w:t>本项目建成运营后，产生的废水进入厂区现有污水处理站，处理达标后排入园区污水处理厂，再经处理达《城镇污水处理厂污染物排放标准》(GB18918-2002)及其修改单中一级A标准后排入淮河；现有工程区域和厂区污水处理站已落实分区防渗措施，正常情况下不会发生泄漏，因此，在项目按照规范做好防渗措施的前提下，项目运营期正常工况下不会通过废水排放导致地下水污染。</w:t>
      </w:r>
    </w:p>
    <w:p w14:paraId="2D8F9968">
      <w:pPr>
        <w:pStyle w:val="16"/>
        <w:ind w:firstLine="480"/>
      </w:pPr>
      <w:r>
        <w:rPr>
          <w:rFonts w:hint="eastAsia"/>
        </w:rPr>
        <w:t>根据以上分析，项目按照规范和要求对生产车间等采取有效的分区防渗措施，并加强对化学品和危险废物的管理，在正常运行工况下，不会对地下水环境质量造成显著的不利影响。</w:t>
      </w:r>
    </w:p>
    <w:p w14:paraId="78FD03DE">
      <w:pPr>
        <w:pStyle w:val="4"/>
        <w:rPr>
          <w:rFonts w:hint="eastAsia"/>
        </w:rPr>
      </w:pPr>
      <w:bookmarkStart w:id="109" w:name="_Toc221056428"/>
      <w:r>
        <w:rPr>
          <w:rFonts w:hint="eastAsia"/>
        </w:rPr>
        <w:t>6.6.3非正常工况下地下水影响分析</w:t>
      </w:r>
      <w:bookmarkEnd w:id="109"/>
    </w:p>
    <w:p w14:paraId="1D8A5ABB">
      <w:pPr>
        <w:ind w:firstLine="480" w:firstLineChars="200"/>
      </w:pPr>
      <w:r>
        <w:rPr>
          <w:rFonts w:hint="eastAsia"/>
        </w:rPr>
        <w:t>根据《环境影响评价技术导则 地下水环境》(HJ601-2016)要求，采用数值模拟模型进行预测。通过资料收集和野外勘查获取评价区含水层空间分布特征，根据评价区水文地质条件，确定以潜水含水层为本次的地下水对象，通过模拟典型污染因子在地下水中的迁移过程，进一步分析污染物影响范围和超标范围。</w:t>
      </w:r>
    </w:p>
    <w:p w14:paraId="5FC76DCE">
      <w:pPr>
        <w:ind w:firstLine="480" w:firstLineChars="200"/>
      </w:pPr>
      <w:r>
        <w:t>1、地下水污染途径</w:t>
      </w:r>
    </w:p>
    <w:p w14:paraId="00CC68AF">
      <w:pPr>
        <w:ind w:firstLine="480" w:firstLineChars="200"/>
      </w:pPr>
      <w:r>
        <w:t>项目运营过程中产生的污染物主要以水为载体，通过包气带中的裂隙、孔隙向地下垂直渗漏和渗透。在遇砂性土会较快进入地下水体，如遇粘性土，载体则沿层面做水平运动，使污染范围扩大，当遇到下渗通道时再垂向渗漏，进入地下水体。包气带的防护能力大小，直接影响着地下水的防护</w:t>
      </w:r>
      <w:r>
        <w:rPr>
          <w:rFonts w:hint="eastAsia"/>
        </w:rPr>
        <w:t>，</w:t>
      </w:r>
      <w:r>
        <w:t>包气带防护条件与包气带厚度岩性结构、弱渗透性地层的渗透性能及厚度有关，若包气带粘性土厚度小，且分布不连续、不稳定，则地下水自然防护条件就差，污水渗漏就易对地下水产生污染，若包气带粘性土厚度虽小，但分布连续，稳定，则地下水自然防护条件相对更好，污染物对地下水影响相对更小</w:t>
      </w:r>
      <w:r>
        <w:rPr>
          <w:rFonts w:hint="eastAsia"/>
        </w:rPr>
        <w:t>。</w:t>
      </w:r>
    </w:p>
    <w:p w14:paraId="3CD8A3D1">
      <w:pPr>
        <w:ind w:firstLine="480" w:firstLineChars="200"/>
      </w:pPr>
      <w:r>
        <w:rPr>
          <w:rFonts w:hint="eastAsia"/>
        </w:rPr>
        <w:t>非正常工况项目对地下水影响途径主要包括反应釜、罐区发生泄漏或废水溢出，废水渗入地下造成地下水污染；废水收集运送管线发生泄漏，废水渗入地下造成地下水污染等；具体的影响途径分析见下表6.6-1。</w:t>
      </w:r>
    </w:p>
    <w:p w14:paraId="5E116324">
      <w:pPr>
        <w:pStyle w:val="28"/>
        <w:rPr>
          <w:rFonts w:hint="eastAsia"/>
        </w:rPr>
      </w:pPr>
      <w:r>
        <w:rPr>
          <w:rFonts w:hint="eastAsia"/>
        </w:rPr>
        <w:t>表6.6-1  非正常工况下项目对地下水环境影响情景一览表</w:t>
      </w:r>
    </w:p>
    <w:tbl>
      <w:tblPr>
        <w:tblStyle w:val="3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30"/>
        <w:gridCol w:w="3486"/>
        <w:gridCol w:w="3770"/>
      </w:tblGrid>
      <w:tr w14:paraId="1F82F0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5C1535B1">
            <w:pPr>
              <w:pStyle w:val="64"/>
            </w:pPr>
            <w:r>
              <w:rPr>
                <w:rFonts w:hint="eastAsia"/>
              </w:rPr>
              <w:t>潜在污染源</w:t>
            </w:r>
          </w:p>
        </w:tc>
        <w:tc>
          <w:tcPr>
            <w:tcW w:w="1877" w:type="pct"/>
            <w:vAlign w:val="center"/>
          </w:tcPr>
          <w:p w14:paraId="34B9AA6F">
            <w:pPr>
              <w:pStyle w:val="64"/>
            </w:pPr>
            <w:r>
              <w:rPr>
                <w:rFonts w:hint="eastAsia"/>
              </w:rPr>
              <w:t>潜在污染途径</w:t>
            </w:r>
          </w:p>
        </w:tc>
        <w:tc>
          <w:tcPr>
            <w:tcW w:w="2030" w:type="pct"/>
            <w:vAlign w:val="center"/>
          </w:tcPr>
          <w:p w14:paraId="51CC23B6">
            <w:pPr>
              <w:pStyle w:val="64"/>
            </w:pPr>
            <w:r>
              <w:rPr>
                <w:rFonts w:hint="eastAsia"/>
              </w:rPr>
              <w:t>主要污染物</w:t>
            </w:r>
          </w:p>
        </w:tc>
      </w:tr>
      <w:tr w14:paraId="2AA4F7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7D545A71">
            <w:pPr>
              <w:pStyle w:val="64"/>
            </w:pPr>
            <w:r>
              <w:rPr>
                <w:rFonts w:hint="eastAsia"/>
              </w:rPr>
              <w:t>反应釜、各类罐体装置破裂</w:t>
            </w:r>
          </w:p>
        </w:tc>
        <w:tc>
          <w:tcPr>
            <w:tcW w:w="1877" w:type="pct"/>
            <w:vAlign w:val="center"/>
          </w:tcPr>
          <w:p w14:paraId="281EAAD8">
            <w:pPr>
              <w:pStyle w:val="64"/>
            </w:pPr>
            <w:r>
              <w:rPr>
                <w:rFonts w:hint="eastAsia"/>
              </w:rPr>
              <w:t>间对甲酚、对甲苯磺酸、浓硫酸、有机废水、反应液等液态物料泄漏，导致污染物渗入地下</w:t>
            </w:r>
          </w:p>
        </w:tc>
        <w:tc>
          <w:tcPr>
            <w:tcW w:w="2030" w:type="pct"/>
            <w:vAlign w:val="center"/>
          </w:tcPr>
          <w:p w14:paraId="3B8CFBCF">
            <w:pPr>
              <w:pStyle w:val="64"/>
            </w:pPr>
            <w:r>
              <w:rPr>
                <w:rFonts w:hint="eastAsia"/>
              </w:rPr>
              <w:t>间甲酚、对甲酚等有机物料(C</w:t>
            </w:r>
            <w:r>
              <w:t>OD</w:t>
            </w:r>
            <w:r>
              <w:rPr>
                <w:rFonts w:hint="eastAsia"/>
              </w:rPr>
              <w:t>、挥发性酚类)</w:t>
            </w:r>
          </w:p>
        </w:tc>
      </w:tr>
      <w:tr w14:paraId="5F60EE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15C2ADB8">
            <w:pPr>
              <w:pStyle w:val="64"/>
            </w:pPr>
            <w:r>
              <w:rPr>
                <w:rFonts w:hint="eastAsia"/>
              </w:rPr>
              <w:t>各类物料转移输送管线破裂</w:t>
            </w:r>
          </w:p>
        </w:tc>
        <w:tc>
          <w:tcPr>
            <w:tcW w:w="1877" w:type="pct"/>
            <w:vAlign w:val="center"/>
          </w:tcPr>
          <w:p w14:paraId="688F1B32">
            <w:pPr>
              <w:pStyle w:val="64"/>
            </w:pPr>
            <w:r>
              <w:rPr>
                <w:rFonts w:hint="eastAsia"/>
              </w:rPr>
              <w:t>液态物料泄漏导致污染物渗入地下</w:t>
            </w:r>
          </w:p>
        </w:tc>
        <w:tc>
          <w:tcPr>
            <w:tcW w:w="2030" w:type="pct"/>
            <w:vAlign w:val="center"/>
          </w:tcPr>
          <w:p w14:paraId="55134593">
            <w:pPr>
              <w:pStyle w:val="64"/>
            </w:pPr>
            <w:r>
              <w:rPr>
                <w:rFonts w:hint="eastAsia"/>
              </w:rPr>
              <w:t>间甲酚、对甲酚等有机物料(C</w:t>
            </w:r>
            <w:r>
              <w:t>OD</w:t>
            </w:r>
            <w:r>
              <w:rPr>
                <w:rFonts w:hint="eastAsia"/>
              </w:rPr>
              <w:t>、挥发性酚类)</w:t>
            </w:r>
          </w:p>
        </w:tc>
      </w:tr>
      <w:tr w14:paraId="57646E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pct"/>
            <w:vAlign w:val="center"/>
          </w:tcPr>
          <w:p w14:paraId="24A1AD0D">
            <w:pPr>
              <w:pStyle w:val="64"/>
            </w:pPr>
            <w:r>
              <w:rPr>
                <w:rFonts w:hint="eastAsia"/>
              </w:rPr>
              <w:t>废水收集管网、高浓废水暂存罐</w:t>
            </w:r>
          </w:p>
        </w:tc>
        <w:tc>
          <w:tcPr>
            <w:tcW w:w="1877" w:type="pct"/>
            <w:vAlign w:val="center"/>
          </w:tcPr>
          <w:p w14:paraId="69789959">
            <w:pPr>
              <w:pStyle w:val="64"/>
            </w:pPr>
            <w:r>
              <w:rPr>
                <w:rFonts w:hint="eastAsia"/>
              </w:rPr>
              <w:t>废水泄露导致污染物深入地下</w:t>
            </w:r>
          </w:p>
        </w:tc>
        <w:tc>
          <w:tcPr>
            <w:tcW w:w="2030" w:type="pct"/>
            <w:vAlign w:val="center"/>
          </w:tcPr>
          <w:p w14:paraId="529FCC10">
            <w:pPr>
              <w:pStyle w:val="64"/>
            </w:pPr>
            <w:r>
              <w:rPr>
                <w:rFonts w:hint="eastAsia"/>
              </w:rPr>
              <w:t>C</w:t>
            </w:r>
            <w:r>
              <w:t>OD</w:t>
            </w:r>
            <w:r>
              <w:rPr>
                <w:rFonts w:hint="eastAsia"/>
              </w:rPr>
              <w:t>、挥发性酚类等废水污染因子</w:t>
            </w:r>
          </w:p>
        </w:tc>
      </w:tr>
    </w:tbl>
    <w:p w14:paraId="42F9E65D"/>
    <w:p w14:paraId="0807481E">
      <w:pPr>
        <w:ind w:firstLine="480" w:firstLineChars="200"/>
      </w:pPr>
      <w:r>
        <w:rPr>
          <w:rFonts w:hint="eastAsia"/>
        </w:rPr>
        <w:t>反应釜、罐体装置破裂和物料输送管线破裂情景位于生产区域，泄露易被发现，可及时处理，因此本项目非正常工况选取高浓废水暂存罐发生</w:t>
      </w:r>
      <w:r>
        <w:t>渗漏</w:t>
      </w:r>
      <w:r>
        <w:rPr>
          <w:rFonts w:hint="eastAsia"/>
        </w:rPr>
        <w:t>情景</w:t>
      </w:r>
      <w:r>
        <w:t>。</w:t>
      </w:r>
    </w:p>
    <w:p w14:paraId="1A666192">
      <w:pPr>
        <w:ind w:firstLine="480" w:firstLineChars="200"/>
      </w:pPr>
      <w:r>
        <w:t>2、预测时段和预测因子</w:t>
      </w:r>
    </w:p>
    <w:p w14:paraId="64B9DA21">
      <w:pPr>
        <w:ind w:firstLine="480" w:firstLineChars="200"/>
      </w:pPr>
      <w:r>
        <w:t>考虑项目建设、运营和退役期，将地下水环境影响预测时段拟定为</w:t>
      </w:r>
      <w:r>
        <w:rPr>
          <w:rFonts w:hint="eastAsia"/>
        </w:rPr>
        <w:t>7300</w:t>
      </w:r>
      <w:r>
        <w:t>天。结合工程特征与环境特征，预测污染发生100天、1000天</w:t>
      </w:r>
      <w:r>
        <w:rPr>
          <w:rFonts w:hint="eastAsia"/>
        </w:rPr>
        <w:t>、7300天</w:t>
      </w:r>
      <w:r>
        <w:t>后污染物迁移情况，重点预测对地下水环境的影响。</w:t>
      </w:r>
    </w:p>
    <w:p w14:paraId="48F217C1">
      <w:pPr>
        <w:ind w:firstLine="480" w:firstLineChars="200"/>
      </w:pPr>
      <w:r>
        <w:t>根据建设项目信息，污染物泄漏点主要考虑</w:t>
      </w:r>
      <w:r>
        <w:rPr>
          <w:rFonts w:hint="eastAsia"/>
        </w:rPr>
        <w:t>高浓废水暂存罐发生</w:t>
      </w:r>
      <w:r>
        <w:t>泄漏，选择</w:t>
      </w:r>
      <w:r>
        <w:rPr>
          <w:rFonts w:hint="eastAsia"/>
        </w:rPr>
        <w:t>废水中C</w:t>
      </w:r>
      <w:r>
        <w:t>OD</w:t>
      </w:r>
      <w:r>
        <w:rPr>
          <w:rFonts w:hint="eastAsia"/>
        </w:rPr>
        <w:t>、挥发性酚类</w:t>
      </w:r>
      <w:r>
        <w:t>作为预测因子，预测发生事故时</w:t>
      </w:r>
      <w:r>
        <w:rPr>
          <w:rFonts w:hint="eastAsia"/>
        </w:rPr>
        <w:t>废水</w:t>
      </w:r>
      <w:r>
        <w:t>泄露进入地下水后的迁移。</w:t>
      </w:r>
    </w:p>
    <w:p w14:paraId="0A8612F2">
      <w:pPr>
        <w:ind w:firstLine="480" w:firstLineChars="200"/>
      </w:pPr>
      <w:r>
        <w:t>3、预测模式</w:t>
      </w:r>
    </w:p>
    <w:p w14:paraId="54917A7F">
      <w:pPr>
        <w:ind w:firstLine="480" w:firstLineChars="200"/>
      </w:pPr>
      <w:r>
        <w:t>(1)预测模式选择</w:t>
      </w:r>
    </w:p>
    <w:p w14:paraId="6C1536E5">
      <w:pPr>
        <w:ind w:firstLine="480" w:firstLineChars="200"/>
      </w:pPr>
      <w:r>
        <w:t>根据《环境影响评价技术导则地下水环境》要求，本项目所在地区水文地质情况较简单，因此采用解析法进行预测。假设非正常工况下废水泄露进入地下水时，将污染情景概化为一维稳定流动一维水动力弥散问题，污染源为</w:t>
      </w:r>
      <w:r>
        <w:rPr>
          <w:rFonts w:hint="eastAsia"/>
        </w:rPr>
        <w:t>连续</w:t>
      </w:r>
      <w:r>
        <w:t>注入。其解析解为：</w:t>
      </w:r>
    </w:p>
    <w:p w14:paraId="04E7EA74">
      <w:pPr>
        <w:spacing w:line="240" w:lineRule="auto"/>
        <w:jc w:val="center"/>
      </w:pPr>
      <w:r>
        <w:drawing>
          <wp:inline distT="0" distB="0" distL="0" distR="0">
            <wp:extent cx="2790825" cy="419100"/>
            <wp:effectExtent l="0" t="0" r="9525" b="0"/>
            <wp:docPr id="165018620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0186202" name="图片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a:xfrm>
                      <a:off x="0" y="0"/>
                      <a:ext cx="2790825" cy="419100"/>
                    </a:xfrm>
                    <a:prstGeom prst="rect">
                      <a:avLst/>
                    </a:prstGeom>
                    <a:noFill/>
                    <a:ln>
                      <a:noFill/>
                    </a:ln>
                  </pic:spPr>
                </pic:pic>
              </a:graphicData>
            </a:graphic>
          </wp:inline>
        </w:drawing>
      </w:r>
    </w:p>
    <w:p w14:paraId="501A0FF9">
      <w:pPr>
        <w:ind w:firstLine="480" w:firstLineChars="200"/>
      </w:pPr>
      <w:r>
        <w:t>式中：x—预测点距污染源强的距离，m；</w:t>
      </w:r>
    </w:p>
    <w:p w14:paraId="12E3A744">
      <w:pPr>
        <w:ind w:firstLine="1200" w:firstLineChars="500"/>
      </w:pPr>
      <w:r>
        <w:t>t—预测时间，d；</w:t>
      </w:r>
    </w:p>
    <w:p w14:paraId="42948D15">
      <w:pPr>
        <w:ind w:firstLine="1200" w:firstLineChars="500"/>
        <w:rPr>
          <w:rFonts w:cs="Times New Roman"/>
        </w:rPr>
      </w:pPr>
      <w:r>
        <w:rPr>
          <w:rFonts w:cs="Times New Roman"/>
        </w:rPr>
        <w:t>C—t时刻x处的污染物浓度，mg/L；</w:t>
      </w:r>
    </w:p>
    <w:p w14:paraId="57F52D01">
      <w:pPr>
        <w:pStyle w:val="82"/>
        <w:ind w:firstLine="1200" w:firstLineChars="5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C</w:t>
      </w:r>
      <w:r>
        <w:rPr>
          <w:rFonts w:ascii="Times New Roman" w:hAnsi="Times New Roman" w:cs="Times New Roman"/>
          <w:color w:val="000000" w:themeColor="text1"/>
          <w:vertAlign w:val="subscript"/>
          <w14:textFill>
            <w14:solidFill>
              <w14:schemeClr w14:val="tx1"/>
            </w14:solidFill>
          </w14:textFill>
        </w:rPr>
        <w:t>0</w:t>
      </w:r>
      <w:r>
        <w:rPr>
          <w:rFonts w:ascii="Times New Roman" w:hAnsi="Times New Roman" w:cs="Times New Roman"/>
          <w:color w:val="000000" w:themeColor="text1"/>
          <w14:textFill>
            <w14:solidFill>
              <w14:schemeClr w14:val="tx1"/>
            </w14:solidFill>
          </w14:textFill>
        </w:rPr>
        <w:t>—注入的示踪剂质量浓度，g/L；</w:t>
      </w:r>
    </w:p>
    <w:p w14:paraId="73CC590D">
      <w:pPr>
        <w:ind w:firstLine="1200" w:firstLineChars="500"/>
      </w:pPr>
      <w:r>
        <w:t>u—水流速度，m/d；</w:t>
      </w:r>
    </w:p>
    <w:p w14:paraId="018131D3">
      <w:pPr>
        <w:ind w:firstLine="1200" w:firstLineChars="500"/>
      </w:pPr>
      <w:r>
        <w:t>D</w:t>
      </w:r>
      <w:r>
        <w:rPr>
          <w:vertAlign w:val="subscript"/>
        </w:rPr>
        <w:t>L</w:t>
      </w:r>
      <w:r>
        <w:t>—纵向弥散系数，m</w:t>
      </w:r>
      <w:r>
        <w:rPr>
          <w:vertAlign w:val="superscript"/>
        </w:rPr>
        <w:t>2</w:t>
      </w:r>
      <w:r>
        <w:t>/d；</w:t>
      </w:r>
    </w:p>
    <w:p w14:paraId="546126EB">
      <w:pPr>
        <w:ind w:firstLine="1200" w:firstLineChars="500"/>
      </w:pPr>
      <w:r>
        <w:t>erfc()—余误差函数。</w:t>
      </w:r>
    </w:p>
    <w:p w14:paraId="2E1EF936">
      <w:pPr>
        <w:ind w:firstLine="480" w:firstLineChars="200"/>
      </w:pPr>
      <w:r>
        <w:t>(2)模型参数确定</w:t>
      </w:r>
    </w:p>
    <w:p w14:paraId="754B6AE0">
      <w:pPr>
        <w:ind w:firstLine="480" w:firstLineChars="200"/>
      </w:pPr>
      <w:r>
        <w:t>项目所在地水文地质条件简单，Mb≥1.0m，该土层渗透系数10</w:t>
      </w:r>
      <w:r>
        <w:rPr>
          <w:vertAlign w:val="superscript"/>
        </w:rPr>
        <w:t>-</w:t>
      </w:r>
      <w:r>
        <w:rPr>
          <w:rFonts w:hint="eastAsia"/>
          <w:vertAlign w:val="superscript"/>
        </w:rPr>
        <w:t>6</w:t>
      </w:r>
      <w:r>
        <w:t>cm/s&lt;K≤10</w:t>
      </w:r>
      <w:r>
        <w:rPr>
          <w:vertAlign w:val="superscript"/>
        </w:rPr>
        <w:t>-4</w:t>
      </w:r>
      <w:r>
        <w:t>cm/s，地下水实际流速和弥散系数的确定按下列方法取得：</w:t>
      </w:r>
    </w:p>
    <w:p w14:paraId="6950008B">
      <w:pPr>
        <w:ind w:firstLine="480" w:firstLineChars="200"/>
        <w:jc w:val="center"/>
      </w:pPr>
      <w:r>
        <w:t>u=K×I/n</w:t>
      </w:r>
    </w:p>
    <w:p w14:paraId="3D31C75D">
      <w:pPr>
        <w:ind w:firstLine="480" w:firstLineChars="200"/>
        <w:jc w:val="center"/>
      </w:pPr>
      <w:r>
        <w:t>D</w:t>
      </w:r>
      <w:r>
        <w:rPr>
          <w:vertAlign w:val="subscript"/>
        </w:rPr>
        <w:t>L</w:t>
      </w:r>
      <w:r>
        <w:t>=a</w:t>
      </w:r>
      <w:r>
        <w:rPr>
          <w:vertAlign w:val="subscript"/>
        </w:rPr>
        <w:t>L</w:t>
      </w:r>
      <w:r>
        <w:t>×</w:t>
      </w:r>
      <w:r>
        <w:rPr>
          <w:rFonts w:hint="eastAsia"/>
        </w:rPr>
        <w:t>u</w:t>
      </w:r>
      <w:r>
        <w:rPr>
          <w:vertAlign w:val="superscript"/>
        </w:rPr>
        <w:t>m</w:t>
      </w:r>
    </w:p>
    <w:p w14:paraId="39B9FFB8">
      <w:pPr>
        <w:ind w:firstLine="480" w:firstLineChars="200"/>
      </w:pPr>
      <w:r>
        <w:t>其中：u—地下水实际流速，m/d；</w:t>
      </w:r>
    </w:p>
    <w:p w14:paraId="2F9413E1">
      <w:pPr>
        <w:ind w:firstLine="1200" w:firstLineChars="500"/>
      </w:pPr>
      <w:r>
        <w:t>K—渗透系数，m/d；</w:t>
      </w:r>
    </w:p>
    <w:p w14:paraId="5ECB7701">
      <w:pPr>
        <w:ind w:firstLine="1200" w:firstLineChars="500"/>
      </w:pPr>
      <w:r>
        <w:t>I—水力坡</w:t>
      </w:r>
      <w:r>
        <w:rPr>
          <w:rFonts w:cs="Times New Roman"/>
        </w:rPr>
        <w:t>度，</w:t>
      </w:r>
      <w:r>
        <w:rPr>
          <w:rFonts w:hint="eastAsia" w:cs="Times New Roman"/>
        </w:rPr>
        <w:t>%</w:t>
      </w:r>
      <w:r>
        <w:t>；</w:t>
      </w:r>
    </w:p>
    <w:p w14:paraId="3EA13A27">
      <w:pPr>
        <w:ind w:firstLine="1200" w:firstLineChars="500"/>
      </w:pPr>
      <w:r>
        <w:t>n—孔隙度；</w:t>
      </w:r>
    </w:p>
    <w:p w14:paraId="4A40CD5F">
      <w:pPr>
        <w:ind w:firstLine="1200" w:firstLineChars="500"/>
      </w:pPr>
      <w:r>
        <w:t>D</w:t>
      </w:r>
      <w:r>
        <w:rPr>
          <w:vertAlign w:val="subscript"/>
        </w:rPr>
        <w:t>L</w:t>
      </w:r>
      <w:r>
        <w:t>—弥散系数，m</w:t>
      </w:r>
      <w:r>
        <w:rPr>
          <w:vertAlign w:val="superscript"/>
        </w:rPr>
        <w:t>2</w:t>
      </w:r>
      <w:r>
        <w:t>/d；</w:t>
      </w:r>
    </w:p>
    <w:p w14:paraId="3313A23C">
      <w:pPr>
        <w:ind w:firstLine="1200" w:firstLineChars="500"/>
      </w:pPr>
      <w:r>
        <w:t>a</w:t>
      </w:r>
      <w:r>
        <w:rPr>
          <w:vertAlign w:val="subscript"/>
        </w:rPr>
        <w:t>L</w:t>
      </w:r>
      <w:r>
        <w:t>—弥散度；</w:t>
      </w:r>
    </w:p>
    <w:p w14:paraId="1343A0C8">
      <w:pPr>
        <w:ind w:firstLine="1200" w:firstLineChars="500"/>
      </w:pPr>
      <w:r>
        <w:t>m—指数。</w:t>
      </w:r>
    </w:p>
    <w:p w14:paraId="247BC8FD">
      <w:pPr>
        <w:ind w:firstLine="480" w:firstLineChars="200"/>
      </w:pPr>
      <w:r>
        <w:t>项目区地下水水力梯度I≈</w:t>
      </w:r>
      <w:r>
        <w:rPr>
          <w:rFonts w:hint="eastAsia"/>
        </w:rPr>
        <w:t>0.015</w:t>
      </w:r>
      <w:r>
        <w:rPr>
          <w:rFonts w:hint="eastAsia" w:cs="Times New Roman"/>
        </w:rPr>
        <w:t>%</w:t>
      </w:r>
      <w:r>
        <w:t>；地下水主要分布在上层素填土和粉质粘土层中，渗透系数K值约为0.</w:t>
      </w:r>
      <w:r>
        <w:rPr>
          <w:rFonts w:hint="eastAsia"/>
        </w:rPr>
        <w:t>026</w:t>
      </w:r>
      <w:r>
        <w:t>m/d，有效孔隙度n约为0.</w:t>
      </w:r>
      <w:r>
        <w:rPr>
          <w:rFonts w:hint="eastAsia"/>
        </w:rPr>
        <w:t>3</w:t>
      </w:r>
      <w:r>
        <w:t>。则地下水实际流速度u计算如下：</w:t>
      </w:r>
    </w:p>
    <w:p w14:paraId="3BDA4B75">
      <w:pPr>
        <w:jc w:val="center"/>
      </w:pPr>
      <w:r>
        <w:rPr>
          <w:rFonts w:cs="Times New Roman"/>
        </w:rPr>
        <w:t>u=0.</w:t>
      </w:r>
      <w:r>
        <w:rPr>
          <w:rFonts w:hint="eastAsia" w:cs="Times New Roman"/>
        </w:rPr>
        <w:t>026</w:t>
      </w:r>
      <w:r>
        <w:rPr>
          <w:rFonts w:cs="Times New Roman"/>
        </w:rPr>
        <w:t>×0.0</w:t>
      </w:r>
      <w:r>
        <w:rPr>
          <w:rFonts w:hint="eastAsia" w:cs="Times New Roman"/>
        </w:rPr>
        <w:t>15</w:t>
      </w:r>
      <w:r>
        <w:rPr>
          <w:rFonts w:cs="Times New Roman"/>
        </w:rPr>
        <w:t>÷0.</w:t>
      </w:r>
      <w:r>
        <w:rPr>
          <w:rFonts w:hint="eastAsia" w:cs="Times New Roman"/>
        </w:rPr>
        <w:t>3</w:t>
      </w:r>
      <w:r>
        <w:rPr>
          <w:rFonts w:cs="Times New Roman"/>
        </w:rPr>
        <w:t>≈</w:t>
      </w:r>
      <w:r>
        <w:rPr>
          <w:rFonts w:hint="eastAsia" w:cs="Times New Roman"/>
        </w:rPr>
        <w:t>0.0013</w:t>
      </w:r>
      <w:r>
        <w:t>m/d</w:t>
      </w:r>
    </w:p>
    <w:p w14:paraId="408D8E29">
      <w:pPr>
        <w:ind w:firstLine="480" w:firstLineChars="200"/>
      </w:pPr>
      <w:r>
        <w:rPr>
          <w:rFonts w:hint="eastAsia"/>
        </w:rPr>
        <w:t>则水流速度u为0.0013，</w:t>
      </w:r>
      <w:r>
        <w:t>a</w:t>
      </w:r>
      <w:r>
        <w:rPr>
          <w:vertAlign w:val="subscript"/>
        </w:rPr>
        <w:t>L</w:t>
      </w:r>
      <w:r>
        <w:t>弥散度</w:t>
      </w:r>
      <w:r>
        <w:rPr>
          <w:rFonts w:hint="eastAsia"/>
        </w:rPr>
        <w:t>为20，指数m取1，则纵向弥散系数为0.026</w:t>
      </w:r>
      <w:r>
        <w:t>m</w:t>
      </w:r>
      <w:r>
        <w:rPr>
          <w:vertAlign w:val="superscript"/>
        </w:rPr>
        <w:t>2</w:t>
      </w:r>
      <w:r>
        <w:t>/d</w:t>
      </w:r>
      <w:r>
        <w:rPr>
          <w:rFonts w:hint="eastAsia"/>
        </w:rPr>
        <w:t>。</w:t>
      </w:r>
    </w:p>
    <w:p w14:paraId="11939FC0">
      <w:pPr>
        <w:ind w:firstLine="480" w:firstLineChars="200"/>
        <w:rPr>
          <w:rFonts w:cs="Times New Roman"/>
        </w:rPr>
      </w:pPr>
      <w:r>
        <w:t>以</w:t>
      </w:r>
      <w:r>
        <w:rPr>
          <w:rFonts w:hint="eastAsia" w:ascii="宋体" w:hAnsi="宋体" w:cs="宋体"/>
          <w:lang w:bidi="ar"/>
        </w:rPr>
        <w:t>高浓废水暂存罐发生泄漏</w:t>
      </w:r>
      <w:r>
        <w:t>考虑对地下水水质影响，</w:t>
      </w:r>
      <w:r>
        <w:rPr>
          <w:rFonts w:hint="eastAsia"/>
          <w:spacing w:val="-14"/>
        </w:rPr>
        <w:t>根据扬州市环境监测中心站《水质监测中COD</w:t>
      </w:r>
      <w:r>
        <w:rPr>
          <w:rFonts w:hint="eastAsia"/>
          <w:spacing w:val="-14"/>
          <w:vertAlign w:val="subscript"/>
        </w:rPr>
        <w:t>Cr</w:t>
      </w:r>
      <w:r>
        <w:rPr>
          <w:rFonts w:hint="eastAsia"/>
          <w:spacing w:val="-14"/>
        </w:rPr>
        <w:t>、COD</w:t>
      </w:r>
      <w:r>
        <w:rPr>
          <w:rFonts w:hint="eastAsia"/>
          <w:spacing w:val="-14"/>
          <w:vertAlign w:val="subscript"/>
        </w:rPr>
        <w:t>Mn</w:t>
      </w:r>
      <w:r>
        <w:rPr>
          <w:rFonts w:hint="eastAsia"/>
          <w:spacing w:val="-14"/>
        </w:rPr>
        <w:t>、BOD</w:t>
      </w:r>
      <w:r>
        <w:rPr>
          <w:rFonts w:hint="eastAsia"/>
          <w:spacing w:val="-14"/>
          <w:vertAlign w:val="subscript"/>
        </w:rPr>
        <w:t>5</w:t>
      </w:r>
      <w:r>
        <w:rPr>
          <w:rFonts w:hint="eastAsia"/>
          <w:spacing w:val="-14"/>
        </w:rPr>
        <w:t>的关系》、常州市环境监测中心站《浅谈水质COD</w:t>
      </w:r>
      <w:r>
        <w:rPr>
          <w:rFonts w:hint="eastAsia"/>
          <w:spacing w:val="-14"/>
          <w:vertAlign w:val="subscript"/>
        </w:rPr>
        <w:t>Cr</w:t>
      </w:r>
      <w:r>
        <w:rPr>
          <w:rFonts w:hint="eastAsia"/>
          <w:spacing w:val="-14"/>
        </w:rPr>
        <w:t>、COD</w:t>
      </w:r>
      <w:r>
        <w:rPr>
          <w:rFonts w:hint="eastAsia"/>
          <w:spacing w:val="-14"/>
          <w:vertAlign w:val="subscript"/>
        </w:rPr>
        <w:t>Mn</w:t>
      </w:r>
      <w:r>
        <w:rPr>
          <w:rFonts w:hint="eastAsia"/>
          <w:spacing w:val="-14"/>
        </w:rPr>
        <w:t>和BOD</w:t>
      </w:r>
      <w:r>
        <w:rPr>
          <w:rFonts w:hint="eastAsia"/>
          <w:spacing w:val="-14"/>
          <w:vertAlign w:val="subscript"/>
        </w:rPr>
        <w:t>5</w:t>
      </w:r>
      <w:r>
        <w:rPr>
          <w:rFonts w:hint="eastAsia"/>
          <w:spacing w:val="-14"/>
        </w:rPr>
        <w:t>三者之间的关系》等文献成果，一般污水水质中高锰酸盐指数一般来说是COD的20%~50%，本次模拟预测按50%计，COD</w:t>
      </w:r>
      <w:r>
        <w:rPr>
          <w:rFonts w:hint="eastAsia"/>
          <w:spacing w:val="-14"/>
          <w:vertAlign w:val="subscript"/>
        </w:rPr>
        <w:t>Mn</w:t>
      </w:r>
      <w:r>
        <w:rPr>
          <w:rFonts w:hint="eastAsia"/>
          <w:spacing w:val="-14"/>
        </w:rPr>
        <w:t>浓度选取为25000mg/L。</w:t>
      </w:r>
      <w:r>
        <w:rPr>
          <w:rFonts w:hint="eastAsia" w:cs="Times New Roman"/>
        </w:rPr>
        <w:t>COD</w:t>
      </w:r>
      <w:r>
        <w:rPr>
          <w:rFonts w:hint="eastAsia" w:cs="Times New Roman"/>
          <w:vertAlign w:val="subscript"/>
        </w:rPr>
        <w:t>Mn</w:t>
      </w:r>
      <w:r>
        <w:rPr>
          <w:rFonts w:hint="eastAsia" w:cs="Times New Roman"/>
        </w:rPr>
        <w:t>超标范围执行</w:t>
      </w:r>
      <w:r>
        <w:rPr>
          <w:rFonts w:cs="Times New Roman"/>
        </w:rPr>
        <w:t>《地下水质量标准》(GB/T14848~2017)Ⅲ类标准要求(3mg/L)；挥发酚</w:t>
      </w:r>
      <w:r>
        <w:rPr>
          <w:rFonts w:hint="eastAsia" w:cs="Times New Roman"/>
        </w:rPr>
        <w:t>超标范围执行</w:t>
      </w:r>
      <w:r>
        <w:rPr>
          <w:rFonts w:cs="Times New Roman"/>
        </w:rPr>
        <w:t>《地下水质量标准》(GB/T14848~2017)Ⅲ类标准要求(0.002mg/L)。预测参数如下表所示。</w:t>
      </w:r>
    </w:p>
    <w:p w14:paraId="67644EF5">
      <w:pPr>
        <w:pStyle w:val="28"/>
        <w:rPr>
          <w:rFonts w:hint="eastAsia"/>
        </w:rPr>
      </w:pPr>
      <w:r>
        <w:t>表</w:t>
      </w:r>
      <w:r>
        <w:rPr>
          <w:rFonts w:hint="eastAsia"/>
        </w:rPr>
        <w:t>6</w:t>
      </w:r>
      <w:r>
        <w:t>.6-</w:t>
      </w:r>
      <w:r>
        <w:rPr>
          <w:rFonts w:hint="eastAsia"/>
        </w:rPr>
        <w:t>2</w:t>
      </w:r>
      <w:r>
        <w:t xml:space="preserve">  计算参数一览表</w:t>
      </w:r>
    </w:p>
    <w:tbl>
      <w:tblPr>
        <w:tblStyle w:val="3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77"/>
        <w:gridCol w:w="1276"/>
        <w:gridCol w:w="3232"/>
        <w:gridCol w:w="3401"/>
      </w:tblGrid>
      <w:tr w14:paraId="6AB722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42" w:type="pct"/>
            <w:vMerge w:val="restart"/>
            <w:tcBorders>
              <w:top w:val="single" w:color="auto" w:sz="4" w:space="0"/>
              <w:left w:val="single" w:color="auto" w:sz="4" w:space="0"/>
              <w:right w:val="single" w:color="auto" w:sz="4" w:space="0"/>
            </w:tcBorders>
            <w:vAlign w:val="center"/>
          </w:tcPr>
          <w:p w14:paraId="0E35EE6A">
            <w:pPr>
              <w:spacing w:line="240" w:lineRule="auto"/>
              <w:jc w:val="center"/>
              <w:rPr>
                <w:rFonts w:cs="Times New Roman"/>
                <w:kern w:val="0"/>
                <w:sz w:val="21"/>
                <w:szCs w:val="21"/>
                <w14:ligatures w14:val="none"/>
              </w:rPr>
            </w:pPr>
            <w:r>
              <w:rPr>
                <w:rFonts w:cs="Times New Roman"/>
                <w:kern w:val="0"/>
                <w:sz w:val="21"/>
                <w:szCs w:val="21"/>
                <w14:ligatures w14:val="none"/>
              </w:rPr>
              <w:t>地下水实际流速</w:t>
            </w:r>
            <w:r>
              <w:rPr>
                <w:rFonts w:hint="eastAsia" w:cs="Times New Roman"/>
                <w:kern w:val="0"/>
                <w:sz w:val="21"/>
                <w:szCs w:val="21"/>
                <w14:ligatures w14:val="none"/>
              </w:rPr>
              <w:t>u</w:t>
            </w:r>
            <w:r>
              <w:rPr>
                <w:rFonts w:cs="Times New Roman"/>
                <w:kern w:val="0"/>
                <w:sz w:val="21"/>
                <w:szCs w:val="21"/>
                <w14:ligatures w14:val="none"/>
              </w:rPr>
              <w:t>(m/d)</w:t>
            </w:r>
          </w:p>
        </w:tc>
        <w:tc>
          <w:tcPr>
            <w:tcW w:w="687" w:type="pct"/>
            <w:vMerge w:val="restart"/>
            <w:tcBorders>
              <w:top w:val="single" w:color="auto" w:sz="4" w:space="0"/>
              <w:left w:val="single" w:color="auto" w:sz="4" w:space="0"/>
              <w:right w:val="single" w:color="auto" w:sz="4" w:space="0"/>
            </w:tcBorders>
            <w:vAlign w:val="center"/>
          </w:tcPr>
          <w:p w14:paraId="46081114">
            <w:pPr>
              <w:spacing w:line="240" w:lineRule="auto"/>
              <w:jc w:val="center"/>
              <w:rPr>
                <w:rFonts w:cs="Times New Roman"/>
                <w:kern w:val="0"/>
                <w:sz w:val="21"/>
                <w:szCs w:val="21"/>
                <w14:ligatures w14:val="none"/>
              </w:rPr>
            </w:pPr>
            <w:r>
              <w:rPr>
                <w:rFonts w:cs="Times New Roman"/>
                <w:kern w:val="0"/>
                <w:sz w:val="21"/>
                <w:szCs w:val="21"/>
                <w14:ligatures w14:val="none"/>
              </w:rPr>
              <w:t>弥散系数D(m</w:t>
            </w:r>
            <w:r>
              <w:rPr>
                <w:rFonts w:cs="Times New Roman"/>
                <w:kern w:val="0"/>
                <w:sz w:val="21"/>
                <w:szCs w:val="21"/>
                <w:vertAlign w:val="superscript"/>
                <w14:ligatures w14:val="none"/>
              </w:rPr>
              <w:t>2</w:t>
            </w:r>
            <w:r>
              <w:rPr>
                <w:rFonts w:cs="Times New Roman"/>
                <w:kern w:val="0"/>
                <w:sz w:val="21"/>
                <w:szCs w:val="21"/>
                <w14:ligatures w14:val="none"/>
              </w:rPr>
              <w:t>/d)</w:t>
            </w:r>
          </w:p>
        </w:tc>
        <w:tc>
          <w:tcPr>
            <w:tcW w:w="3571" w:type="pct"/>
            <w:gridSpan w:val="2"/>
            <w:vAlign w:val="center"/>
          </w:tcPr>
          <w:p w14:paraId="3E840B6D">
            <w:pPr>
              <w:spacing w:line="240" w:lineRule="auto"/>
              <w:jc w:val="center"/>
              <w:rPr>
                <w:rFonts w:cs="Times New Roman"/>
                <w:kern w:val="0"/>
                <w:sz w:val="21"/>
                <w:szCs w:val="21"/>
                <w14:ligatures w14:val="none"/>
              </w:rPr>
            </w:pPr>
            <w:r>
              <w:rPr>
                <w:rFonts w:cs="Times New Roman"/>
                <w:kern w:val="0"/>
                <w:sz w:val="21"/>
                <w:szCs w:val="21"/>
                <w14:ligatures w14:val="none"/>
              </w:rPr>
              <w:t>污染源强C</w:t>
            </w:r>
            <w:r>
              <w:rPr>
                <w:rFonts w:cs="Times New Roman"/>
                <w:kern w:val="0"/>
                <w:sz w:val="21"/>
                <w:szCs w:val="21"/>
                <w:vertAlign w:val="subscript"/>
                <w14:ligatures w14:val="none"/>
              </w:rPr>
              <w:t>0</w:t>
            </w:r>
            <w:r>
              <w:rPr>
                <w:rFonts w:cs="Times New Roman"/>
                <w:kern w:val="0"/>
                <w:sz w:val="21"/>
                <w:szCs w:val="21"/>
                <w14:ligatures w14:val="none"/>
              </w:rPr>
              <w:t>(mg/L)</w:t>
            </w:r>
          </w:p>
        </w:tc>
      </w:tr>
      <w:tr w14:paraId="5E75DB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42" w:type="pct"/>
            <w:vMerge w:val="continue"/>
            <w:tcBorders>
              <w:left w:val="single" w:color="auto" w:sz="4" w:space="0"/>
              <w:bottom w:val="single" w:color="auto" w:sz="4" w:space="0"/>
              <w:right w:val="single" w:color="auto" w:sz="4" w:space="0"/>
            </w:tcBorders>
            <w:vAlign w:val="center"/>
          </w:tcPr>
          <w:p w14:paraId="0EABA550">
            <w:pPr>
              <w:spacing w:line="240" w:lineRule="auto"/>
              <w:jc w:val="center"/>
              <w:rPr>
                <w:rFonts w:cs="Times New Roman"/>
                <w:kern w:val="0"/>
                <w:sz w:val="21"/>
                <w:szCs w:val="21"/>
                <w14:ligatures w14:val="none"/>
              </w:rPr>
            </w:pPr>
          </w:p>
        </w:tc>
        <w:tc>
          <w:tcPr>
            <w:tcW w:w="687" w:type="pct"/>
            <w:vMerge w:val="continue"/>
            <w:tcBorders>
              <w:left w:val="single" w:color="auto" w:sz="4" w:space="0"/>
              <w:bottom w:val="single" w:color="auto" w:sz="4" w:space="0"/>
              <w:right w:val="single" w:color="auto" w:sz="4" w:space="0"/>
            </w:tcBorders>
            <w:vAlign w:val="center"/>
          </w:tcPr>
          <w:p w14:paraId="69F1B086">
            <w:pPr>
              <w:spacing w:line="240" w:lineRule="auto"/>
              <w:jc w:val="center"/>
              <w:rPr>
                <w:rFonts w:cs="Times New Roman"/>
                <w:kern w:val="0"/>
                <w:sz w:val="21"/>
                <w:szCs w:val="21"/>
                <w14:ligatures w14:val="none"/>
              </w:rPr>
            </w:pPr>
          </w:p>
        </w:tc>
        <w:tc>
          <w:tcPr>
            <w:tcW w:w="1740" w:type="pct"/>
            <w:vAlign w:val="center"/>
          </w:tcPr>
          <w:p w14:paraId="780DE2F0">
            <w:pPr>
              <w:spacing w:line="240" w:lineRule="auto"/>
              <w:jc w:val="center"/>
              <w:rPr>
                <w:rFonts w:cs="Times New Roman"/>
                <w:kern w:val="0"/>
                <w:sz w:val="21"/>
                <w:szCs w:val="21"/>
                <w14:ligatures w14:val="none"/>
              </w:rPr>
            </w:pPr>
            <w:r>
              <w:rPr>
                <w:rFonts w:hint="eastAsia" w:cs="Times New Roman"/>
                <w:kern w:val="0"/>
                <w:sz w:val="21"/>
                <w:szCs w:val="21"/>
                <w14:ligatures w14:val="none"/>
              </w:rPr>
              <w:t>COD</w:t>
            </w:r>
            <w:r>
              <w:rPr>
                <w:rFonts w:hint="eastAsia" w:cs="Times New Roman"/>
                <w:kern w:val="0"/>
                <w:sz w:val="21"/>
                <w:szCs w:val="21"/>
                <w:vertAlign w:val="subscript"/>
                <w14:ligatures w14:val="none"/>
              </w:rPr>
              <w:t>Mn</w:t>
            </w:r>
          </w:p>
        </w:tc>
        <w:tc>
          <w:tcPr>
            <w:tcW w:w="1831" w:type="pct"/>
            <w:tcBorders>
              <w:top w:val="single" w:color="auto" w:sz="4" w:space="0"/>
              <w:left w:val="single" w:color="auto" w:sz="4" w:space="0"/>
              <w:bottom w:val="single" w:color="auto" w:sz="4" w:space="0"/>
            </w:tcBorders>
            <w:vAlign w:val="center"/>
          </w:tcPr>
          <w:p w14:paraId="47C7FE5C">
            <w:pPr>
              <w:spacing w:line="240" w:lineRule="auto"/>
              <w:jc w:val="center"/>
              <w:rPr>
                <w:rFonts w:cs="Times New Roman"/>
                <w:kern w:val="0"/>
                <w:sz w:val="21"/>
                <w:szCs w:val="21"/>
                <w14:ligatures w14:val="none"/>
              </w:rPr>
            </w:pPr>
            <w:r>
              <w:rPr>
                <w:rFonts w:hint="eastAsia" w:cs="Times New Roman"/>
                <w:kern w:val="0"/>
                <w:sz w:val="21"/>
                <w:szCs w:val="21"/>
                <w14:ligatures w14:val="none"/>
              </w:rPr>
              <w:t>挥发性酚类</w:t>
            </w:r>
          </w:p>
        </w:tc>
      </w:tr>
      <w:tr w14:paraId="1F4196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42" w:type="pct"/>
            <w:tcBorders>
              <w:top w:val="single" w:color="auto" w:sz="4" w:space="0"/>
              <w:left w:val="single" w:color="auto" w:sz="4" w:space="0"/>
              <w:bottom w:val="single" w:color="auto" w:sz="4" w:space="0"/>
              <w:right w:val="single" w:color="auto" w:sz="4" w:space="0"/>
            </w:tcBorders>
            <w:vAlign w:val="center"/>
          </w:tcPr>
          <w:p w14:paraId="6A82D808">
            <w:pPr>
              <w:spacing w:line="240" w:lineRule="auto"/>
              <w:jc w:val="center"/>
              <w:rPr>
                <w:rFonts w:cs="Times New Roman"/>
                <w:kern w:val="0"/>
                <w:sz w:val="21"/>
                <w:szCs w:val="21"/>
                <w14:ligatures w14:val="none"/>
              </w:rPr>
            </w:pPr>
            <w:r>
              <w:rPr>
                <w:rFonts w:hint="eastAsia" w:cs="Times New Roman"/>
                <w:kern w:val="0"/>
                <w:sz w:val="21"/>
                <w:szCs w:val="21"/>
                <w14:ligatures w14:val="none"/>
              </w:rPr>
              <w:t>0.0013</w:t>
            </w:r>
          </w:p>
        </w:tc>
        <w:tc>
          <w:tcPr>
            <w:tcW w:w="687" w:type="pct"/>
            <w:tcBorders>
              <w:top w:val="single" w:color="auto" w:sz="4" w:space="0"/>
              <w:left w:val="single" w:color="auto" w:sz="4" w:space="0"/>
              <w:bottom w:val="single" w:color="auto" w:sz="4" w:space="0"/>
              <w:right w:val="single" w:color="auto" w:sz="4" w:space="0"/>
            </w:tcBorders>
            <w:vAlign w:val="center"/>
          </w:tcPr>
          <w:p w14:paraId="38A688F1">
            <w:pPr>
              <w:spacing w:line="240" w:lineRule="auto"/>
              <w:jc w:val="center"/>
              <w:rPr>
                <w:rFonts w:cs="Times New Roman"/>
                <w:kern w:val="0"/>
                <w:sz w:val="21"/>
                <w:szCs w:val="21"/>
                <w14:ligatures w14:val="none"/>
              </w:rPr>
            </w:pPr>
            <w:r>
              <w:rPr>
                <w:rFonts w:cs="Times New Roman"/>
                <w:kern w:val="0"/>
                <w:sz w:val="21"/>
                <w:szCs w:val="21"/>
                <w14:ligatures w14:val="none"/>
              </w:rPr>
              <w:t>0.</w:t>
            </w:r>
            <w:r>
              <w:rPr>
                <w:rFonts w:hint="eastAsia" w:cs="Times New Roman"/>
                <w:kern w:val="0"/>
                <w:sz w:val="21"/>
                <w:szCs w:val="21"/>
                <w14:ligatures w14:val="none"/>
              </w:rPr>
              <w:t>026</w:t>
            </w:r>
          </w:p>
        </w:tc>
        <w:tc>
          <w:tcPr>
            <w:tcW w:w="1740" w:type="pct"/>
            <w:vAlign w:val="center"/>
          </w:tcPr>
          <w:p w14:paraId="67E05DD0">
            <w:pPr>
              <w:spacing w:line="240" w:lineRule="auto"/>
              <w:jc w:val="center"/>
              <w:rPr>
                <w:rFonts w:cs="Times New Roman"/>
                <w:kern w:val="0"/>
                <w:sz w:val="21"/>
                <w:szCs w:val="21"/>
                <w14:ligatures w14:val="none"/>
              </w:rPr>
            </w:pPr>
            <w:r>
              <w:rPr>
                <w:rFonts w:hint="eastAsia" w:cs="Times New Roman"/>
                <w:kern w:val="0"/>
                <w:sz w:val="21"/>
                <w:szCs w:val="21"/>
                <w14:ligatures w14:val="none"/>
              </w:rPr>
              <w:t>24000</w:t>
            </w:r>
          </w:p>
        </w:tc>
        <w:tc>
          <w:tcPr>
            <w:tcW w:w="1831" w:type="pct"/>
            <w:tcBorders>
              <w:top w:val="single" w:color="auto" w:sz="4" w:space="0"/>
              <w:left w:val="single" w:color="auto" w:sz="4" w:space="0"/>
              <w:bottom w:val="single" w:color="auto" w:sz="4" w:space="0"/>
            </w:tcBorders>
            <w:vAlign w:val="center"/>
          </w:tcPr>
          <w:p w14:paraId="257BF3B8">
            <w:pPr>
              <w:spacing w:line="240" w:lineRule="auto"/>
              <w:jc w:val="center"/>
              <w:rPr>
                <w:rFonts w:cs="Times New Roman"/>
                <w:kern w:val="0"/>
                <w:sz w:val="21"/>
                <w:szCs w:val="21"/>
                <w14:ligatures w14:val="none"/>
              </w:rPr>
            </w:pPr>
            <w:r>
              <w:rPr>
                <w:rFonts w:hint="eastAsia" w:cs="Times New Roman"/>
                <w:kern w:val="0"/>
                <w:sz w:val="21"/>
                <w:szCs w:val="21"/>
                <w14:ligatures w14:val="none"/>
              </w:rPr>
              <w:t>490</w:t>
            </w:r>
          </w:p>
        </w:tc>
      </w:tr>
    </w:tbl>
    <w:p w14:paraId="323EA44C">
      <w:pPr>
        <w:ind w:firstLine="480" w:firstLineChars="200"/>
      </w:pPr>
    </w:p>
    <w:p w14:paraId="2831C097">
      <w:pPr>
        <w:ind w:firstLine="480" w:firstLineChars="200"/>
      </w:pPr>
      <w:r>
        <w:rPr>
          <w:rFonts w:hint="eastAsia"/>
        </w:rPr>
        <w:t>(3)结果与分析</w:t>
      </w:r>
    </w:p>
    <w:p w14:paraId="17B6378D">
      <w:pPr>
        <w:ind w:firstLine="468" w:firstLineChars="200"/>
        <w:rPr>
          <w:rFonts w:cs="Times New Roman"/>
          <w:spacing w:val="-3"/>
        </w:rPr>
      </w:pPr>
      <w:r>
        <w:rPr>
          <w:rFonts w:hint="eastAsia" w:cs="Times New Roman"/>
          <w:spacing w:val="-3"/>
        </w:rPr>
        <w:t>①COD</w:t>
      </w:r>
      <w:r>
        <w:rPr>
          <w:rFonts w:hint="eastAsia" w:cs="Times New Roman"/>
          <w:spacing w:val="-3"/>
          <w:vertAlign w:val="subscript"/>
        </w:rPr>
        <w:t>Mn</w:t>
      </w:r>
      <w:r>
        <w:rPr>
          <w:rFonts w:hint="eastAsia" w:cs="Times New Roman"/>
          <w:spacing w:val="-3"/>
        </w:rPr>
        <w:t>预测结果</w:t>
      </w:r>
    </w:p>
    <w:p w14:paraId="447DD5C5">
      <w:pPr>
        <w:pStyle w:val="28"/>
        <w:rPr>
          <w:rFonts w:hint="eastAsia"/>
        </w:rPr>
      </w:pPr>
      <w:r>
        <w:rPr>
          <w:rFonts w:hint="eastAsia"/>
        </w:rPr>
        <w:t>表6.6-3  地下水COD</w:t>
      </w:r>
      <w:r>
        <w:rPr>
          <w:rFonts w:hint="eastAsia"/>
          <w:vertAlign w:val="subscript"/>
        </w:rPr>
        <w:t>Mn</w:t>
      </w:r>
      <w:r>
        <w:rPr>
          <w:rFonts w:hint="eastAsia"/>
        </w:rPr>
        <w:t>预测结果表(单位：mg/L)</w:t>
      </w:r>
    </w:p>
    <w:tbl>
      <w:tblPr>
        <w:tblStyle w:val="3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527"/>
        <w:gridCol w:w="2357"/>
        <w:gridCol w:w="2017"/>
        <w:gridCol w:w="2385"/>
      </w:tblGrid>
      <w:tr w14:paraId="3161DD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361" w:type="pct"/>
            <w:noWrap/>
            <w:vAlign w:val="center"/>
          </w:tcPr>
          <w:p w14:paraId="2A7EAD3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14:ligatures w14:val="none"/>
              </w:rPr>
              <w:t>距注入点的距离(m)</w:t>
            </w:r>
          </w:p>
        </w:tc>
        <w:tc>
          <w:tcPr>
            <w:tcW w:w="1269" w:type="pct"/>
            <w:noWrap/>
            <w:vAlign w:val="center"/>
          </w:tcPr>
          <w:p w14:paraId="58C8488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14:ligatures w14:val="none"/>
              </w:rPr>
              <w:t>100</w:t>
            </w:r>
            <w:r>
              <w:rPr>
                <w:rFonts w:hint="eastAsia" w:ascii="Times New Roman" w:hAnsi="Times New Roman" w:cs="Times New Roman"/>
                <w:color w:val="000000" w:themeColor="text1"/>
                <w:sz w:val="21"/>
                <w:szCs w:val="21"/>
                <w14:textFill>
                  <w14:solidFill>
                    <w14:schemeClr w14:val="tx1"/>
                  </w14:solidFill>
                </w14:textFill>
                <w14:ligatures w14:val="none"/>
              </w:rPr>
              <w:t>d</w:t>
            </w:r>
          </w:p>
        </w:tc>
        <w:tc>
          <w:tcPr>
            <w:tcW w:w="1086" w:type="pct"/>
            <w:noWrap/>
            <w:vAlign w:val="center"/>
          </w:tcPr>
          <w:p w14:paraId="1694828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14:ligatures w14:val="none"/>
              </w:rPr>
              <w:t>1000</w:t>
            </w:r>
            <w:r>
              <w:rPr>
                <w:rFonts w:hint="eastAsia" w:ascii="Times New Roman" w:hAnsi="Times New Roman" w:cs="Times New Roman"/>
                <w:color w:val="000000" w:themeColor="text1"/>
                <w:sz w:val="21"/>
                <w:szCs w:val="21"/>
                <w14:textFill>
                  <w14:solidFill>
                    <w14:schemeClr w14:val="tx1"/>
                  </w14:solidFill>
                </w14:textFill>
                <w14:ligatures w14:val="none"/>
              </w:rPr>
              <w:t>d</w:t>
            </w:r>
          </w:p>
        </w:tc>
        <w:tc>
          <w:tcPr>
            <w:tcW w:w="1284" w:type="pct"/>
            <w:noWrap/>
            <w:vAlign w:val="center"/>
          </w:tcPr>
          <w:p w14:paraId="5A6009B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hint="eastAsia" w:ascii="Times New Roman" w:hAnsi="Times New Roman" w:cs="Times New Roman"/>
                <w:color w:val="000000" w:themeColor="text1"/>
                <w:sz w:val="21"/>
                <w:szCs w:val="21"/>
                <w14:textFill>
                  <w14:solidFill>
                    <w14:schemeClr w14:val="tx1"/>
                  </w14:solidFill>
                </w14:textFill>
                <w14:ligatures w14:val="none"/>
              </w:rPr>
              <w:t>7300d</w:t>
            </w:r>
          </w:p>
        </w:tc>
      </w:tr>
      <w:tr w14:paraId="0EEB8D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361" w:type="pct"/>
            <w:noWrap/>
            <w:vAlign w:val="center"/>
          </w:tcPr>
          <w:p w14:paraId="126D8D3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0.1</w:t>
            </w:r>
          </w:p>
        </w:tc>
        <w:tc>
          <w:tcPr>
            <w:tcW w:w="1269" w:type="pct"/>
            <w:noWrap/>
            <w:vAlign w:val="center"/>
          </w:tcPr>
          <w:p w14:paraId="0FD02AD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23217.200</w:t>
            </w:r>
          </w:p>
        </w:tc>
        <w:tc>
          <w:tcPr>
            <w:tcW w:w="1086" w:type="pct"/>
            <w:noWrap/>
            <w:vAlign w:val="center"/>
          </w:tcPr>
          <w:p w14:paraId="4009219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23789.627</w:t>
            </w:r>
          </w:p>
        </w:tc>
        <w:tc>
          <w:tcPr>
            <w:tcW w:w="1284" w:type="pct"/>
            <w:noWrap/>
            <w:vAlign w:val="center"/>
          </w:tcPr>
          <w:p w14:paraId="395BB99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23950.157</w:t>
            </w:r>
          </w:p>
        </w:tc>
      </w:tr>
      <w:tr w14:paraId="429ED0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361" w:type="pct"/>
            <w:noWrap/>
            <w:vAlign w:val="center"/>
          </w:tcPr>
          <w:p w14:paraId="7DA9EBE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0.5</w:t>
            </w:r>
          </w:p>
        </w:tc>
        <w:tc>
          <w:tcPr>
            <w:tcW w:w="1269" w:type="pct"/>
            <w:noWrap/>
            <w:vAlign w:val="center"/>
          </w:tcPr>
          <w:p w14:paraId="7ACC892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20078.972</w:t>
            </w:r>
          </w:p>
        </w:tc>
        <w:tc>
          <w:tcPr>
            <w:tcW w:w="1086" w:type="pct"/>
            <w:noWrap/>
            <w:vAlign w:val="center"/>
          </w:tcPr>
          <w:p w14:paraId="13B6CE3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22938.555</w:t>
            </w:r>
          </w:p>
        </w:tc>
        <w:tc>
          <w:tcPr>
            <w:tcW w:w="1284" w:type="pct"/>
            <w:noWrap/>
            <w:vAlign w:val="center"/>
          </w:tcPr>
          <w:p w14:paraId="671242F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23748.319</w:t>
            </w:r>
          </w:p>
        </w:tc>
      </w:tr>
      <w:tr w14:paraId="5FFC91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361" w:type="pct"/>
            <w:noWrap/>
            <w:vAlign w:val="center"/>
          </w:tcPr>
          <w:p w14:paraId="61A0348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1</w:t>
            </w:r>
          </w:p>
        </w:tc>
        <w:tc>
          <w:tcPr>
            <w:tcW w:w="1269" w:type="pct"/>
            <w:noWrap/>
            <w:vAlign w:val="center"/>
          </w:tcPr>
          <w:p w14:paraId="5A0CD70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16258.046</w:t>
            </w:r>
          </w:p>
        </w:tc>
        <w:tc>
          <w:tcPr>
            <w:tcW w:w="1086" w:type="pct"/>
            <w:noWrap/>
            <w:vAlign w:val="center"/>
          </w:tcPr>
          <w:p w14:paraId="39A2A85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21856.656</w:t>
            </w:r>
          </w:p>
        </w:tc>
        <w:tc>
          <w:tcPr>
            <w:tcW w:w="1284" w:type="pct"/>
            <w:noWrap/>
            <w:vAlign w:val="center"/>
          </w:tcPr>
          <w:p w14:paraId="30203E2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23490.562</w:t>
            </w:r>
          </w:p>
        </w:tc>
      </w:tr>
      <w:tr w14:paraId="285AEB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361" w:type="pct"/>
            <w:noWrap/>
            <w:vAlign w:val="center"/>
          </w:tcPr>
          <w:p w14:paraId="775BD64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1.5</w:t>
            </w:r>
          </w:p>
        </w:tc>
        <w:tc>
          <w:tcPr>
            <w:tcW w:w="1269" w:type="pct"/>
            <w:noWrap/>
            <w:vAlign w:val="center"/>
          </w:tcPr>
          <w:p w14:paraId="19383FD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12716.264</w:t>
            </w:r>
          </w:p>
        </w:tc>
        <w:tc>
          <w:tcPr>
            <w:tcW w:w="1086" w:type="pct"/>
            <w:noWrap/>
            <w:vAlign w:val="center"/>
          </w:tcPr>
          <w:p w14:paraId="1DF5805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20760.270</w:t>
            </w:r>
          </w:p>
        </w:tc>
        <w:tc>
          <w:tcPr>
            <w:tcW w:w="1284" w:type="pct"/>
            <w:noWrap/>
            <w:vAlign w:val="center"/>
          </w:tcPr>
          <w:p w14:paraId="6E4A02D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23226.875</w:t>
            </w:r>
          </w:p>
        </w:tc>
      </w:tr>
      <w:tr w14:paraId="3C0DBE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361" w:type="pct"/>
            <w:noWrap/>
            <w:vAlign w:val="center"/>
          </w:tcPr>
          <w:p w14:paraId="42F698E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2</w:t>
            </w:r>
          </w:p>
        </w:tc>
        <w:tc>
          <w:tcPr>
            <w:tcW w:w="1269" w:type="pct"/>
            <w:noWrap/>
            <w:vAlign w:val="center"/>
          </w:tcPr>
          <w:p w14:paraId="09547BF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9591.548</w:t>
            </w:r>
          </w:p>
        </w:tc>
        <w:tc>
          <w:tcPr>
            <w:tcW w:w="1086" w:type="pct"/>
            <w:noWrap/>
            <w:vAlign w:val="center"/>
          </w:tcPr>
          <w:p w14:paraId="0925308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19655.490</w:t>
            </w:r>
          </w:p>
        </w:tc>
        <w:tc>
          <w:tcPr>
            <w:tcW w:w="1284" w:type="pct"/>
            <w:noWrap/>
            <w:vAlign w:val="center"/>
          </w:tcPr>
          <w:p w14:paraId="72C2F3B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22957.417</w:t>
            </w:r>
          </w:p>
        </w:tc>
      </w:tr>
      <w:tr w14:paraId="1CEE6E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361" w:type="pct"/>
            <w:noWrap/>
            <w:vAlign w:val="center"/>
          </w:tcPr>
          <w:p w14:paraId="7649862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2.5</w:t>
            </w:r>
          </w:p>
        </w:tc>
        <w:tc>
          <w:tcPr>
            <w:tcW w:w="1269" w:type="pct"/>
            <w:noWrap/>
            <w:vAlign w:val="center"/>
          </w:tcPr>
          <w:p w14:paraId="7DAD6B1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6966.686</w:t>
            </w:r>
          </w:p>
        </w:tc>
        <w:tc>
          <w:tcPr>
            <w:tcW w:w="1086" w:type="pct"/>
            <w:noWrap/>
            <w:vAlign w:val="center"/>
          </w:tcPr>
          <w:p w14:paraId="00F3915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18548.446</w:t>
            </w:r>
          </w:p>
        </w:tc>
        <w:tc>
          <w:tcPr>
            <w:tcW w:w="1284" w:type="pct"/>
            <w:noWrap/>
            <w:vAlign w:val="center"/>
          </w:tcPr>
          <w:p w14:paraId="1B1C04B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22682.355</w:t>
            </w:r>
          </w:p>
        </w:tc>
      </w:tr>
      <w:tr w14:paraId="44C9DE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361" w:type="pct"/>
            <w:noWrap/>
            <w:vAlign w:val="center"/>
          </w:tcPr>
          <w:p w14:paraId="020D223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3</w:t>
            </w:r>
          </w:p>
        </w:tc>
        <w:tc>
          <w:tcPr>
            <w:tcW w:w="1269" w:type="pct"/>
            <w:noWrap/>
            <w:vAlign w:val="center"/>
          </w:tcPr>
          <w:p w14:paraId="4CE594A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4866.634</w:t>
            </w:r>
          </w:p>
        </w:tc>
        <w:tc>
          <w:tcPr>
            <w:tcW w:w="1086" w:type="pct"/>
            <w:noWrap/>
            <w:vAlign w:val="center"/>
          </w:tcPr>
          <w:p w14:paraId="1E8544A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17445.214</w:t>
            </w:r>
          </w:p>
        </w:tc>
        <w:tc>
          <w:tcPr>
            <w:tcW w:w="1284" w:type="pct"/>
            <w:noWrap/>
            <w:vAlign w:val="center"/>
          </w:tcPr>
          <w:p w14:paraId="79A8336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22401.865</w:t>
            </w:r>
          </w:p>
        </w:tc>
      </w:tr>
      <w:tr w14:paraId="3AF3E7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361" w:type="pct"/>
            <w:noWrap/>
            <w:vAlign w:val="center"/>
          </w:tcPr>
          <w:p w14:paraId="0F6D731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3.5</w:t>
            </w:r>
          </w:p>
        </w:tc>
        <w:tc>
          <w:tcPr>
            <w:tcW w:w="1269" w:type="pct"/>
            <w:noWrap/>
            <w:vAlign w:val="center"/>
          </w:tcPr>
          <w:p w14:paraId="74E6101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3266.086</w:t>
            </w:r>
          </w:p>
        </w:tc>
        <w:tc>
          <w:tcPr>
            <w:tcW w:w="1086" w:type="pct"/>
            <w:noWrap/>
            <w:vAlign w:val="center"/>
          </w:tcPr>
          <w:p w14:paraId="3903A25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16351.732</w:t>
            </w:r>
          </w:p>
        </w:tc>
        <w:tc>
          <w:tcPr>
            <w:tcW w:w="1284" w:type="pct"/>
            <w:noWrap/>
            <w:vAlign w:val="center"/>
          </w:tcPr>
          <w:p w14:paraId="5B788E3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22116.135</w:t>
            </w:r>
          </w:p>
        </w:tc>
      </w:tr>
      <w:tr w14:paraId="207E56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361" w:type="pct"/>
            <w:noWrap/>
            <w:vAlign w:val="center"/>
          </w:tcPr>
          <w:p w14:paraId="3A0FD8C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4</w:t>
            </w:r>
          </w:p>
        </w:tc>
        <w:tc>
          <w:tcPr>
            <w:tcW w:w="1269" w:type="pct"/>
            <w:noWrap/>
            <w:vAlign w:val="center"/>
          </w:tcPr>
          <w:p w14:paraId="0CFBD3B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2103.876</w:t>
            </w:r>
          </w:p>
        </w:tc>
        <w:tc>
          <w:tcPr>
            <w:tcW w:w="1086" w:type="pct"/>
            <w:noWrap/>
            <w:vAlign w:val="center"/>
          </w:tcPr>
          <w:p w14:paraId="33F6A8C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15273.710</w:t>
            </w:r>
          </w:p>
        </w:tc>
        <w:tc>
          <w:tcPr>
            <w:tcW w:w="1284" w:type="pct"/>
            <w:noWrap/>
            <w:vAlign w:val="center"/>
          </w:tcPr>
          <w:p w14:paraId="18B630E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21825.360</w:t>
            </w:r>
          </w:p>
        </w:tc>
      </w:tr>
      <w:tr w14:paraId="678D00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361" w:type="pct"/>
            <w:noWrap/>
            <w:vAlign w:val="center"/>
          </w:tcPr>
          <w:p w14:paraId="29D0C98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4.5</w:t>
            </w:r>
          </w:p>
        </w:tc>
        <w:tc>
          <w:tcPr>
            <w:tcW w:w="1269" w:type="pct"/>
            <w:noWrap/>
            <w:vAlign w:val="center"/>
          </w:tcPr>
          <w:p w14:paraId="49CFF1D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1299.748</w:t>
            </w:r>
          </w:p>
        </w:tc>
        <w:tc>
          <w:tcPr>
            <w:tcW w:w="1086" w:type="pct"/>
            <w:noWrap/>
            <w:vAlign w:val="center"/>
          </w:tcPr>
          <w:p w14:paraId="497EC9D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14216.556</w:t>
            </w:r>
          </w:p>
        </w:tc>
        <w:tc>
          <w:tcPr>
            <w:tcW w:w="1284" w:type="pct"/>
            <w:noWrap/>
            <w:vAlign w:val="center"/>
          </w:tcPr>
          <w:p w14:paraId="2011D7B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21529.743</w:t>
            </w:r>
          </w:p>
        </w:tc>
      </w:tr>
      <w:tr w14:paraId="7B8F43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361" w:type="pct"/>
            <w:noWrap/>
            <w:vAlign w:val="center"/>
          </w:tcPr>
          <w:p w14:paraId="27621F2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5</w:t>
            </w:r>
          </w:p>
        </w:tc>
        <w:tc>
          <w:tcPr>
            <w:tcW w:w="1269" w:type="pct"/>
            <w:noWrap/>
            <w:vAlign w:val="center"/>
          </w:tcPr>
          <w:p w14:paraId="7A52533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769.564</w:t>
            </w:r>
          </w:p>
        </w:tc>
        <w:tc>
          <w:tcPr>
            <w:tcW w:w="1086" w:type="pct"/>
            <w:noWrap/>
            <w:vAlign w:val="center"/>
          </w:tcPr>
          <w:p w14:paraId="434E5CD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13185.304</w:t>
            </w:r>
          </w:p>
        </w:tc>
        <w:tc>
          <w:tcPr>
            <w:tcW w:w="1284" w:type="pct"/>
            <w:noWrap/>
            <w:vAlign w:val="center"/>
          </w:tcPr>
          <w:p w14:paraId="304C561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21229.496</w:t>
            </w:r>
          </w:p>
        </w:tc>
      </w:tr>
      <w:tr w14:paraId="0C86F2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361" w:type="pct"/>
            <w:noWrap/>
            <w:vAlign w:val="center"/>
          </w:tcPr>
          <w:p w14:paraId="42190C0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5.5</w:t>
            </w:r>
          </w:p>
        </w:tc>
        <w:tc>
          <w:tcPr>
            <w:tcW w:w="1269" w:type="pct"/>
            <w:noWrap/>
            <w:vAlign w:val="center"/>
          </w:tcPr>
          <w:p w14:paraId="55F0158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436.435</w:t>
            </w:r>
          </w:p>
        </w:tc>
        <w:tc>
          <w:tcPr>
            <w:tcW w:w="1086" w:type="pct"/>
            <w:noWrap/>
            <w:vAlign w:val="center"/>
          </w:tcPr>
          <w:p w14:paraId="7676CED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12184.555</w:t>
            </w:r>
          </w:p>
        </w:tc>
        <w:tc>
          <w:tcPr>
            <w:tcW w:w="1284" w:type="pct"/>
            <w:noWrap/>
            <w:vAlign w:val="center"/>
          </w:tcPr>
          <w:p w14:paraId="46E9A5B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20924.839</w:t>
            </w:r>
          </w:p>
        </w:tc>
      </w:tr>
      <w:tr w14:paraId="429809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361" w:type="pct"/>
            <w:noWrap/>
            <w:vAlign w:val="center"/>
          </w:tcPr>
          <w:p w14:paraId="30248C6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6</w:t>
            </w:r>
          </w:p>
        </w:tc>
        <w:tc>
          <w:tcPr>
            <w:tcW w:w="1269" w:type="pct"/>
            <w:noWrap/>
            <w:vAlign w:val="center"/>
          </w:tcPr>
          <w:p w14:paraId="052B49F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236.951</w:t>
            </w:r>
          </w:p>
        </w:tc>
        <w:tc>
          <w:tcPr>
            <w:tcW w:w="1086" w:type="pct"/>
            <w:noWrap/>
            <w:vAlign w:val="center"/>
          </w:tcPr>
          <w:p w14:paraId="68C1A74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11218.423</w:t>
            </w:r>
          </w:p>
        </w:tc>
        <w:tc>
          <w:tcPr>
            <w:tcW w:w="1284" w:type="pct"/>
            <w:noWrap/>
            <w:vAlign w:val="center"/>
          </w:tcPr>
          <w:p w14:paraId="683B361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20616.000</w:t>
            </w:r>
          </w:p>
        </w:tc>
      </w:tr>
      <w:tr w14:paraId="29619B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361" w:type="pct"/>
            <w:noWrap/>
            <w:vAlign w:val="center"/>
          </w:tcPr>
          <w:p w14:paraId="5DA7826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6.5</w:t>
            </w:r>
          </w:p>
        </w:tc>
        <w:tc>
          <w:tcPr>
            <w:tcW w:w="1269" w:type="pct"/>
            <w:noWrap/>
            <w:vAlign w:val="center"/>
          </w:tcPr>
          <w:p w14:paraId="7E41FB4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123.102</w:t>
            </w:r>
          </w:p>
        </w:tc>
        <w:tc>
          <w:tcPr>
            <w:tcW w:w="1086" w:type="pct"/>
            <w:noWrap/>
            <w:vAlign w:val="center"/>
          </w:tcPr>
          <w:p w14:paraId="4451176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10290.499</w:t>
            </w:r>
          </w:p>
        </w:tc>
        <w:tc>
          <w:tcPr>
            <w:tcW w:w="1284" w:type="pct"/>
            <w:noWrap/>
            <w:vAlign w:val="center"/>
          </w:tcPr>
          <w:p w14:paraId="75FA963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20303.211</w:t>
            </w:r>
          </w:p>
        </w:tc>
      </w:tr>
      <w:tr w14:paraId="624634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361" w:type="pct"/>
            <w:noWrap/>
            <w:vAlign w:val="center"/>
          </w:tcPr>
          <w:p w14:paraId="20A080E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7</w:t>
            </w:r>
          </w:p>
        </w:tc>
        <w:tc>
          <w:tcPr>
            <w:tcW w:w="1269" w:type="pct"/>
            <w:noWrap/>
            <w:vAlign w:val="center"/>
          </w:tcPr>
          <w:p w14:paraId="487DA5D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61.175</w:t>
            </w:r>
          </w:p>
        </w:tc>
        <w:tc>
          <w:tcPr>
            <w:tcW w:w="1086" w:type="pct"/>
            <w:noWrap/>
            <w:vAlign w:val="center"/>
          </w:tcPr>
          <w:p w14:paraId="1750CC8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9403.818</w:t>
            </w:r>
          </w:p>
        </w:tc>
        <w:tc>
          <w:tcPr>
            <w:tcW w:w="1284" w:type="pct"/>
            <w:noWrap/>
            <w:vAlign w:val="center"/>
          </w:tcPr>
          <w:p w14:paraId="11C233B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19986.714</w:t>
            </w:r>
          </w:p>
        </w:tc>
      </w:tr>
      <w:tr w14:paraId="6A2024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361" w:type="pct"/>
            <w:noWrap/>
            <w:vAlign w:val="center"/>
          </w:tcPr>
          <w:p w14:paraId="3A631BC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7.5</w:t>
            </w:r>
          </w:p>
        </w:tc>
        <w:tc>
          <w:tcPr>
            <w:tcW w:w="1269" w:type="pct"/>
            <w:noWrap/>
            <w:vAlign w:val="center"/>
          </w:tcPr>
          <w:p w14:paraId="072D22D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29.069</w:t>
            </w:r>
          </w:p>
        </w:tc>
        <w:tc>
          <w:tcPr>
            <w:tcW w:w="1086" w:type="pct"/>
            <w:noWrap/>
            <w:vAlign w:val="center"/>
          </w:tcPr>
          <w:p w14:paraId="699F715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8560.850</w:t>
            </w:r>
          </w:p>
        </w:tc>
        <w:tc>
          <w:tcPr>
            <w:tcW w:w="1284" w:type="pct"/>
            <w:noWrap/>
            <w:vAlign w:val="center"/>
          </w:tcPr>
          <w:p w14:paraId="24CD115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19666.755</w:t>
            </w:r>
          </w:p>
        </w:tc>
      </w:tr>
      <w:tr w14:paraId="22E276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361" w:type="pct"/>
            <w:noWrap/>
            <w:vAlign w:val="center"/>
          </w:tcPr>
          <w:p w14:paraId="6E217AC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8</w:t>
            </w:r>
          </w:p>
        </w:tc>
        <w:tc>
          <w:tcPr>
            <w:tcW w:w="1269" w:type="pct"/>
            <w:noWrap/>
            <w:vAlign w:val="center"/>
          </w:tcPr>
          <w:p w14:paraId="15700BB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13.204</w:t>
            </w:r>
          </w:p>
        </w:tc>
        <w:tc>
          <w:tcPr>
            <w:tcW w:w="1086" w:type="pct"/>
            <w:noWrap/>
            <w:vAlign w:val="center"/>
          </w:tcPr>
          <w:p w14:paraId="067D789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7763.488</w:t>
            </w:r>
          </w:p>
        </w:tc>
        <w:tc>
          <w:tcPr>
            <w:tcW w:w="1284" w:type="pct"/>
            <w:noWrap/>
            <w:vAlign w:val="center"/>
          </w:tcPr>
          <w:p w14:paraId="16890DC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19343.586</w:t>
            </w:r>
          </w:p>
        </w:tc>
      </w:tr>
      <w:tr w14:paraId="1966D8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361" w:type="pct"/>
            <w:noWrap/>
            <w:vAlign w:val="center"/>
          </w:tcPr>
          <w:p w14:paraId="64FABC3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8.5</w:t>
            </w:r>
          </w:p>
        </w:tc>
        <w:tc>
          <w:tcPr>
            <w:tcW w:w="1269" w:type="pct"/>
            <w:noWrap/>
            <w:vAlign w:val="center"/>
          </w:tcPr>
          <w:p w14:paraId="0214808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5.732</w:t>
            </w:r>
          </w:p>
        </w:tc>
        <w:tc>
          <w:tcPr>
            <w:tcW w:w="1086" w:type="pct"/>
            <w:noWrap/>
            <w:vAlign w:val="center"/>
          </w:tcPr>
          <w:p w14:paraId="6794558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7013.060</w:t>
            </w:r>
          </w:p>
        </w:tc>
        <w:tc>
          <w:tcPr>
            <w:tcW w:w="1284" w:type="pct"/>
            <w:noWrap/>
            <w:vAlign w:val="center"/>
          </w:tcPr>
          <w:p w14:paraId="40A1C74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19017.463</w:t>
            </w:r>
          </w:p>
        </w:tc>
      </w:tr>
      <w:tr w14:paraId="300D07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361" w:type="pct"/>
            <w:noWrap/>
            <w:vAlign w:val="center"/>
          </w:tcPr>
          <w:p w14:paraId="1981A5A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9</w:t>
            </w:r>
          </w:p>
        </w:tc>
        <w:tc>
          <w:tcPr>
            <w:tcW w:w="1269" w:type="pct"/>
            <w:noWrap/>
            <w:vAlign w:val="center"/>
          </w:tcPr>
          <w:p w14:paraId="1DBBB75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2.377</w:t>
            </w:r>
          </w:p>
        </w:tc>
        <w:tc>
          <w:tcPr>
            <w:tcW w:w="1086" w:type="pct"/>
            <w:noWrap/>
            <w:vAlign w:val="center"/>
          </w:tcPr>
          <w:p w14:paraId="4574E0F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6310.343</w:t>
            </w:r>
          </w:p>
        </w:tc>
        <w:tc>
          <w:tcPr>
            <w:tcW w:w="1284" w:type="pct"/>
            <w:noWrap/>
            <w:vAlign w:val="center"/>
          </w:tcPr>
          <w:p w14:paraId="2FE645B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18688.647</w:t>
            </w:r>
          </w:p>
        </w:tc>
      </w:tr>
      <w:tr w14:paraId="2025AC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361" w:type="pct"/>
            <w:noWrap/>
            <w:vAlign w:val="center"/>
          </w:tcPr>
          <w:p w14:paraId="7EE6603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9.5</w:t>
            </w:r>
          </w:p>
        </w:tc>
        <w:tc>
          <w:tcPr>
            <w:tcW w:w="1269" w:type="pct"/>
            <w:noWrap/>
            <w:vAlign w:val="center"/>
          </w:tcPr>
          <w:p w14:paraId="670520B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0.942</w:t>
            </w:r>
          </w:p>
        </w:tc>
        <w:tc>
          <w:tcPr>
            <w:tcW w:w="1086" w:type="pct"/>
            <w:noWrap/>
            <w:vAlign w:val="center"/>
          </w:tcPr>
          <w:p w14:paraId="4AC4584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5655.590</w:t>
            </w:r>
          </w:p>
        </w:tc>
        <w:tc>
          <w:tcPr>
            <w:tcW w:w="1284" w:type="pct"/>
            <w:noWrap/>
            <w:vAlign w:val="center"/>
          </w:tcPr>
          <w:p w14:paraId="697A9EA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18357.404</w:t>
            </w:r>
          </w:p>
        </w:tc>
      </w:tr>
      <w:tr w14:paraId="1E1769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361" w:type="pct"/>
            <w:noWrap/>
            <w:vAlign w:val="center"/>
          </w:tcPr>
          <w:p w14:paraId="6059CAC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10</w:t>
            </w:r>
          </w:p>
        </w:tc>
        <w:tc>
          <w:tcPr>
            <w:tcW w:w="1269" w:type="pct"/>
            <w:noWrap/>
            <w:vAlign w:val="center"/>
          </w:tcPr>
          <w:p w14:paraId="6FC4420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0.356</w:t>
            </w:r>
          </w:p>
        </w:tc>
        <w:tc>
          <w:tcPr>
            <w:tcW w:w="1086" w:type="pct"/>
            <w:noWrap/>
            <w:vAlign w:val="center"/>
          </w:tcPr>
          <w:p w14:paraId="5725E04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5048.566</w:t>
            </w:r>
          </w:p>
        </w:tc>
        <w:tc>
          <w:tcPr>
            <w:tcW w:w="1284" w:type="pct"/>
            <w:noWrap/>
            <w:vAlign w:val="center"/>
          </w:tcPr>
          <w:p w14:paraId="631B018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18024.001</w:t>
            </w:r>
          </w:p>
        </w:tc>
      </w:tr>
      <w:tr w14:paraId="41D61F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361" w:type="pct"/>
            <w:noWrap/>
            <w:vAlign w:val="center"/>
          </w:tcPr>
          <w:p w14:paraId="033DB11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15</w:t>
            </w:r>
          </w:p>
        </w:tc>
        <w:tc>
          <w:tcPr>
            <w:tcW w:w="1269" w:type="pct"/>
            <w:noWrap/>
            <w:vAlign w:val="center"/>
          </w:tcPr>
          <w:p w14:paraId="70BFB5B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0.000</w:t>
            </w:r>
          </w:p>
        </w:tc>
        <w:tc>
          <w:tcPr>
            <w:tcW w:w="1086" w:type="pct"/>
            <w:noWrap/>
            <w:vAlign w:val="center"/>
          </w:tcPr>
          <w:p w14:paraId="05AC139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1293.956</w:t>
            </w:r>
          </w:p>
        </w:tc>
        <w:tc>
          <w:tcPr>
            <w:tcW w:w="1284" w:type="pct"/>
            <w:noWrap/>
            <w:vAlign w:val="center"/>
          </w:tcPr>
          <w:p w14:paraId="35776E7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14631.340</w:t>
            </w:r>
          </w:p>
        </w:tc>
      </w:tr>
      <w:tr w14:paraId="2C559D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361" w:type="pct"/>
            <w:noWrap/>
            <w:vAlign w:val="center"/>
          </w:tcPr>
          <w:p w14:paraId="4E75028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20</w:t>
            </w:r>
          </w:p>
        </w:tc>
        <w:tc>
          <w:tcPr>
            <w:tcW w:w="1269" w:type="pct"/>
            <w:noWrap/>
            <w:vAlign w:val="center"/>
          </w:tcPr>
          <w:p w14:paraId="79EF41E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0.000</w:t>
            </w:r>
          </w:p>
        </w:tc>
        <w:tc>
          <w:tcPr>
            <w:tcW w:w="1086" w:type="pct"/>
            <w:noWrap/>
            <w:vAlign w:val="center"/>
          </w:tcPr>
          <w:p w14:paraId="6ABFDF4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216.492</w:t>
            </w:r>
          </w:p>
        </w:tc>
        <w:tc>
          <w:tcPr>
            <w:tcW w:w="1284" w:type="pct"/>
            <w:noWrap/>
            <w:vAlign w:val="center"/>
          </w:tcPr>
          <w:p w14:paraId="5DE4C48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11319.693</w:t>
            </w:r>
          </w:p>
        </w:tc>
      </w:tr>
      <w:tr w14:paraId="530308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361" w:type="pct"/>
            <w:noWrap/>
            <w:vAlign w:val="center"/>
          </w:tcPr>
          <w:p w14:paraId="6B79EC8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25</w:t>
            </w:r>
          </w:p>
        </w:tc>
        <w:tc>
          <w:tcPr>
            <w:tcW w:w="1269" w:type="pct"/>
            <w:noWrap/>
            <w:vAlign w:val="center"/>
          </w:tcPr>
          <w:p w14:paraId="3F72F1D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0.000</w:t>
            </w:r>
          </w:p>
        </w:tc>
        <w:tc>
          <w:tcPr>
            <w:tcW w:w="1086" w:type="pct"/>
            <w:noWrap/>
            <w:vAlign w:val="center"/>
          </w:tcPr>
          <w:p w14:paraId="37B3E0E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23.275</w:t>
            </w:r>
          </w:p>
        </w:tc>
        <w:tc>
          <w:tcPr>
            <w:tcW w:w="1284" w:type="pct"/>
            <w:noWrap/>
            <w:vAlign w:val="center"/>
          </w:tcPr>
          <w:p w14:paraId="0AC8C38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8323.962</w:t>
            </w:r>
          </w:p>
        </w:tc>
      </w:tr>
      <w:tr w14:paraId="5084E0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361" w:type="pct"/>
            <w:noWrap/>
            <w:vAlign w:val="center"/>
          </w:tcPr>
          <w:p w14:paraId="365CE41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30</w:t>
            </w:r>
          </w:p>
        </w:tc>
        <w:tc>
          <w:tcPr>
            <w:tcW w:w="1269" w:type="pct"/>
            <w:noWrap/>
            <w:vAlign w:val="center"/>
          </w:tcPr>
          <w:p w14:paraId="24A7F07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0.000</w:t>
            </w:r>
          </w:p>
        </w:tc>
        <w:tc>
          <w:tcPr>
            <w:tcW w:w="1086" w:type="pct"/>
            <w:noWrap/>
            <w:vAlign w:val="center"/>
          </w:tcPr>
          <w:p w14:paraId="59C2084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1.592</w:t>
            </w:r>
          </w:p>
        </w:tc>
        <w:tc>
          <w:tcPr>
            <w:tcW w:w="1284" w:type="pct"/>
            <w:noWrap/>
            <w:vAlign w:val="center"/>
          </w:tcPr>
          <w:p w14:paraId="03C5A62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5804.929</w:t>
            </w:r>
          </w:p>
        </w:tc>
      </w:tr>
      <w:tr w14:paraId="4E81A9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361" w:type="pct"/>
            <w:noWrap/>
            <w:vAlign w:val="center"/>
          </w:tcPr>
          <w:p w14:paraId="149C7B5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35</w:t>
            </w:r>
          </w:p>
        </w:tc>
        <w:tc>
          <w:tcPr>
            <w:tcW w:w="1269" w:type="pct"/>
            <w:noWrap/>
            <w:vAlign w:val="center"/>
          </w:tcPr>
          <w:p w14:paraId="52340B3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0.000</w:t>
            </w:r>
          </w:p>
        </w:tc>
        <w:tc>
          <w:tcPr>
            <w:tcW w:w="1086" w:type="pct"/>
            <w:noWrap/>
            <w:vAlign w:val="center"/>
          </w:tcPr>
          <w:p w14:paraId="319E7A8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0.069</w:t>
            </w:r>
          </w:p>
        </w:tc>
        <w:tc>
          <w:tcPr>
            <w:tcW w:w="1284" w:type="pct"/>
            <w:noWrap/>
            <w:vAlign w:val="center"/>
          </w:tcPr>
          <w:p w14:paraId="27CF15B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3832.031</w:t>
            </w:r>
          </w:p>
        </w:tc>
      </w:tr>
      <w:tr w14:paraId="6D4CCD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361" w:type="pct"/>
            <w:noWrap/>
            <w:vAlign w:val="center"/>
          </w:tcPr>
          <w:p w14:paraId="5F5D36B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40</w:t>
            </w:r>
          </w:p>
        </w:tc>
        <w:tc>
          <w:tcPr>
            <w:tcW w:w="1269" w:type="pct"/>
            <w:noWrap/>
            <w:vAlign w:val="center"/>
          </w:tcPr>
          <w:p w14:paraId="1609826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0.000</w:t>
            </w:r>
          </w:p>
        </w:tc>
        <w:tc>
          <w:tcPr>
            <w:tcW w:w="1086" w:type="pct"/>
            <w:noWrap/>
            <w:vAlign w:val="center"/>
          </w:tcPr>
          <w:p w14:paraId="05DD1E9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0.002</w:t>
            </w:r>
          </w:p>
        </w:tc>
        <w:tc>
          <w:tcPr>
            <w:tcW w:w="1284" w:type="pct"/>
            <w:noWrap/>
            <w:vAlign w:val="center"/>
          </w:tcPr>
          <w:p w14:paraId="0EEB208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2390.887</w:t>
            </w:r>
          </w:p>
        </w:tc>
      </w:tr>
      <w:tr w14:paraId="69C3E5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361" w:type="pct"/>
            <w:noWrap/>
            <w:vAlign w:val="center"/>
          </w:tcPr>
          <w:p w14:paraId="3662D03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45</w:t>
            </w:r>
          </w:p>
        </w:tc>
        <w:tc>
          <w:tcPr>
            <w:tcW w:w="1269" w:type="pct"/>
            <w:noWrap/>
            <w:vAlign w:val="center"/>
          </w:tcPr>
          <w:p w14:paraId="07DB019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0.000</w:t>
            </w:r>
          </w:p>
        </w:tc>
        <w:tc>
          <w:tcPr>
            <w:tcW w:w="1086" w:type="pct"/>
            <w:noWrap/>
            <w:vAlign w:val="center"/>
          </w:tcPr>
          <w:p w14:paraId="77D89A0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0.000</w:t>
            </w:r>
          </w:p>
        </w:tc>
        <w:tc>
          <w:tcPr>
            <w:tcW w:w="1284" w:type="pct"/>
            <w:noWrap/>
            <w:vAlign w:val="center"/>
          </w:tcPr>
          <w:p w14:paraId="4B99E3C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1408.098</w:t>
            </w:r>
          </w:p>
        </w:tc>
      </w:tr>
      <w:tr w14:paraId="6D4B24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361" w:type="pct"/>
            <w:noWrap/>
            <w:vAlign w:val="center"/>
          </w:tcPr>
          <w:p w14:paraId="1B4F8B1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50</w:t>
            </w:r>
          </w:p>
        </w:tc>
        <w:tc>
          <w:tcPr>
            <w:tcW w:w="1269" w:type="pct"/>
            <w:noWrap/>
            <w:vAlign w:val="center"/>
          </w:tcPr>
          <w:p w14:paraId="55970E3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0.000</w:t>
            </w:r>
          </w:p>
        </w:tc>
        <w:tc>
          <w:tcPr>
            <w:tcW w:w="1086" w:type="pct"/>
            <w:noWrap/>
            <w:vAlign w:val="center"/>
          </w:tcPr>
          <w:p w14:paraId="1F09950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0.000</w:t>
            </w:r>
          </w:p>
        </w:tc>
        <w:tc>
          <w:tcPr>
            <w:tcW w:w="1284" w:type="pct"/>
            <w:noWrap/>
            <w:vAlign w:val="center"/>
          </w:tcPr>
          <w:p w14:paraId="4DA5D0E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781.970</w:t>
            </w:r>
          </w:p>
        </w:tc>
      </w:tr>
      <w:tr w14:paraId="76B89A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361" w:type="pct"/>
            <w:noWrap/>
            <w:vAlign w:val="center"/>
          </w:tcPr>
          <w:p w14:paraId="76B897E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60</w:t>
            </w:r>
          </w:p>
        </w:tc>
        <w:tc>
          <w:tcPr>
            <w:tcW w:w="1269" w:type="pct"/>
            <w:noWrap/>
            <w:vAlign w:val="center"/>
          </w:tcPr>
          <w:p w14:paraId="22A8A85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0.000</w:t>
            </w:r>
          </w:p>
        </w:tc>
        <w:tc>
          <w:tcPr>
            <w:tcW w:w="1086" w:type="pct"/>
            <w:noWrap/>
            <w:vAlign w:val="center"/>
          </w:tcPr>
          <w:p w14:paraId="3B4E5A8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0.000</w:t>
            </w:r>
          </w:p>
        </w:tc>
        <w:tc>
          <w:tcPr>
            <w:tcW w:w="1284" w:type="pct"/>
            <w:noWrap/>
            <w:vAlign w:val="center"/>
          </w:tcPr>
          <w:p w14:paraId="47F4003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201.499</w:t>
            </w:r>
          </w:p>
        </w:tc>
      </w:tr>
      <w:tr w14:paraId="033DEA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361" w:type="pct"/>
            <w:noWrap/>
            <w:vAlign w:val="center"/>
          </w:tcPr>
          <w:p w14:paraId="2318FCA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70</w:t>
            </w:r>
          </w:p>
        </w:tc>
        <w:tc>
          <w:tcPr>
            <w:tcW w:w="1269" w:type="pct"/>
            <w:noWrap/>
            <w:vAlign w:val="center"/>
          </w:tcPr>
          <w:p w14:paraId="10A2594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0.000</w:t>
            </w:r>
          </w:p>
        </w:tc>
        <w:tc>
          <w:tcPr>
            <w:tcW w:w="1086" w:type="pct"/>
            <w:noWrap/>
            <w:vAlign w:val="center"/>
          </w:tcPr>
          <w:p w14:paraId="3F47F03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0.000</w:t>
            </w:r>
          </w:p>
        </w:tc>
        <w:tc>
          <w:tcPr>
            <w:tcW w:w="1284" w:type="pct"/>
            <w:noWrap/>
            <w:vAlign w:val="center"/>
          </w:tcPr>
          <w:p w14:paraId="45D7CF7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40.681</w:t>
            </w:r>
          </w:p>
        </w:tc>
      </w:tr>
      <w:tr w14:paraId="75BBA9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361" w:type="pct"/>
            <w:noWrap/>
            <w:vAlign w:val="center"/>
          </w:tcPr>
          <w:p w14:paraId="7968A8D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80</w:t>
            </w:r>
          </w:p>
        </w:tc>
        <w:tc>
          <w:tcPr>
            <w:tcW w:w="1269" w:type="pct"/>
            <w:noWrap/>
            <w:vAlign w:val="center"/>
          </w:tcPr>
          <w:p w14:paraId="3F22C1B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0.000</w:t>
            </w:r>
          </w:p>
        </w:tc>
        <w:tc>
          <w:tcPr>
            <w:tcW w:w="1086" w:type="pct"/>
            <w:noWrap/>
            <w:vAlign w:val="center"/>
          </w:tcPr>
          <w:p w14:paraId="336E401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0.000</w:t>
            </w:r>
          </w:p>
        </w:tc>
        <w:tc>
          <w:tcPr>
            <w:tcW w:w="1284" w:type="pct"/>
            <w:noWrap/>
            <w:vAlign w:val="center"/>
          </w:tcPr>
          <w:p w14:paraId="279E0F3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6.409</w:t>
            </w:r>
          </w:p>
        </w:tc>
      </w:tr>
      <w:tr w14:paraId="2575C7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361" w:type="pct"/>
            <w:noWrap/>
            <w:vAlign w:val="center"/>
          </w:tcPr>
          <w:p w14:paraId="3B67FCE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90</w:t>
            </w:r>
          </w:p>
        </w:tc>
        <w:tc>
          <w:tcPr>
            <w:tcW w:w="1269" w:type="pct"/>
            <w:noWrap/>
            <w:vAlign w:val="center"/>
          </w:tcPr>
          <w:p w14:paraId="1F5DFB5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0.000</w:t>
            </w:r>
          </w:p>
        </w:tc>
        <w:tc>
          <w:tcPr>
            <w:tcW w:w="1086" w:type="pct"/>
            <w:noWrap/>
            <w:vAlign w:val="center"/>
          </w:tcPr>
          <w:p w14:paraId="738109A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0.000</w:t>
            </w:r>
          </w:p>
        </w:tc>
        <w:tc>
          <w:tcPr>
            <w:tcW w:w="1284" w:type="pct"/>
            <w:noWrap/>
            <w:vAlign w:val="center"/>
          </w:tcPr>
          <w:p w14:paraId="385B667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0.786</w:t>
            </w:r>
          </w:p>
        </w:tc>
      </w:tr>
      <w:tr w14:paraId="678A8A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361" w:type="pct"/>
            <w:noWrap/>
            <w:vAlign w:val="center"/>
          </w:tcPr>
          <w:p w14:paraId="327D14A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100</w:t>
            </w:r>
          </w:p>
        </w:tc>
        <w:tc>
          <w:tcPr>
            <w:tcW w:w="1269" w:type="pct"/>
            <w:noWrap/>
            <w:vAlign w:val="center"/>
          </w:tcPr>
          <w:p w14:paraId="038D0BF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0.000</w:t>
            </w:r>
          </w:p>
        </w:tc>
        <w:tc>
          <w:tcPr>
            <w:tcW w:w="1086" w:type="pct"/>
            <w:noWrap/>
            <w:vAlign w:val="center"/>
          </w:tcPr>
          <w:p w14:paraId="5511451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0.000</w:t>
            </w:r>
          </w:p>
        </w:tc>
        <w:tc>
          <w:tcPr>
            <w:tcW w:w="1284" w:type="pct"/>
            <w:noWrap/>
            <w:vAlign w:val="center"/>
          </w:tcPr>
          <w:p w14:paraId="12948A4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0.075</w:t>
            </w:r>
          </w:p>
        </w:tc>
      </w:tr>
      <w:tr w14:paraId="39CE9F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361" w:type="pct"/>
            <w:noWrap/>
            <w:vAlign w:val="center"/>
          </w:tcPr>
          <w:p w14:paraId="4902A55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110</w:t>
            </w:r>
          </w:p>
        </w:tc>
        <w:tc>
          <w:tcPr>
            <w:tcW w:w="1269" w:type="pct"/>
            <w:noWrap/>
            <w:vAlign w:val="center"/>
          </w:tcPr>
          <w:p w14:paraId="058CB7A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0.000</w:t>
            </w:r>
          </w:p>
        </w:tc>
        <w:tc>
          <w:tcPr>
            <w:tcW w:w="1086" w:type="pct"/>
            <w:noWrap/>
            <w:vAlign w:val="center"/>
          </w:tcPr>
          <w:p w14:paraId="026DF6A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0.000</w:t>
            </w:r>
          </w:p>
        </w:tc>
        <w:tc>
          <w:tcPr>
            <w:tcW w:w="1284" w:type="pct"/>
            <w:noWrap/>
            <w:vAlign w:val="center"/>
          </w:tcPr>
          <w:p w14:paraId="4F9C49F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0.006</w:t>
            </w:r>
          </w:p>
        </w:tc>
      </w:tr>
      <w:tr w14:paraId="78B1E1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361" w:type="pct"/>
            <w:noWrap/>
            <w:vAlign w:val="center"/>
          </w:tcPr>
          <w:p w14:paraId="46BAFB3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120</w:t>
            </w:r>
          </w:p>
        </w:tc>
        <w:tc>
          <w:tcPr>
            <w:tcW w:w="1269" w:type="pct"/>
            <w:noWrap/>
            <w:vAlign w:val="center"/>
          </w:tcPr>
          <w:p w14:paraId="0E446B7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0.000</w:t>
            </w:r>
          </w:p>
        </w:tc>
        <w:tc>
          <w:tcPr>
            <w:tcW w:w="1086" w:type="pct"/>
            <w:noWrap/>
            <w:vAlign w:val="center"/>
          </w:tcPr>
          <w:p w14:paraId="71DB58B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0.000</w:t>
            </w:r>
          </w:p>
        </w:tc>
        <w:tc>
          <w:tcPr>
            <w:tcW w:w="1284" w:type="pct"/>
            <w:noWrap/>
            <w:vAlign w:val="center"/>
          </w:tcPr>
          <w:p w14:paraId="06E7764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0.000</w:t>
            </w:r>
          </w:p>
        </w:tc>
      </w:tr>
      <w:tr w14:paraId="53325E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5000" w:type="pct"/>
            <w:gridSpan w:val="4"/>
            <w:noWrap/>
            <w:vAlign w:val="center"/>
          </w:tcPr>
          <w:p w14:paraId="5B11C152">
            <w:pPr>
              <w:pStyle w:val="82"/>
              <w:spacing w:line="240" w:lineRule="auto"/>
              <w:ind w:firstLine="0" w:firstLineChars="0"/>
              <w:jc w:val="both"/>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lang w:bidi="ar"/>
                <w14:textFill>
                  <w14:solidFill>
                    <w14:schemeClr w14:val="tx1"/>
                  </w14:solidFill>
                </w14:textFill>
                <w14:ligatures w14:val="none"/>
              </w:rPr>
              <w:t>注：采用地下水质量标准中</w:t>
            </w:r>
            <w:r>
              <w:rPr>
                <w:rFonts w:hint="eastAsia" w:ascii="Times New Roman" w:hAnsi="Times New Roman" w:cs="Times New Roman"/>
                <w:color w:val="000000" w:themeColor="text1"/>
                <w:sz w:val="21"/>
                <w:szCs w:val="21"/>
                <w:lang w:bidi="ar"/>
                <w14:textFill>
                  <w14:solidFill>
                    <w14:schemeClr w14:val="tx1"/>
                  </w14:solidFill>
                </w14:textFill>
                <w14:ligatures w14:val="none"/>
              </w:rPr>
              <w:t>COD</w:t>
            </w:r>
            <w:r>
              <w:rPr>
                <w:rFonts w:hint="eastAsia" w:ascii="Times New Roman" w:hAnsi="Times New Roman" w:cs="Times New Roman"/>
                <w:color w:val="000000" w:themeColor="text1"/>
                <w:sz w:val="21"/>
                <w:szCs w:val="21"/>
                <w:vertAlign w:val="subscript"/>
                <w:lang w:bidi="ar"/>
                <w14:textFill>
                  <w14:solidFill>
                    <w14:schemeClr w14:val="tx1"/>
                  </w14:solidFill>
                </w14:textFill>
                <w14:ligatures w14:val="none"/>
              </w:rPr>
              <w:t>Mn</w:t>
            </w:r>
            <w:r>
              <w:rPr>
                <w:rFonts w:ascii="Times New Roman" w:hAnsi="Times New Roman" w:cs="Times New Roman"/>
                <w:color w:val="000000" w:themeColor="text1"/>
                <w:sz w:val="21"/>
                <w:szCs w:val="21"/>
                <w:lang w:bidi="ar"/>
                <w14:textFill>
                  <w14:solidFill>
                    <w14:schemeClr w14:val="tx1"/>
                  </w14:solidFill>
                </w14:textFill>
                <w14:ligatures w14:val="none"/>
              </w:rPr>
              <w:t>的III类标准，标准限值为3mg/L</w:t>
            </w:r>
            <w:r>
              <w:rPr>
                <w:rFonts w:hint="eastAsia" w:ascii="Times New Roman" w:hAnsi="Times New Roman" w:cs="Times New Roman"/>
                <w:color w:val="000000" w:themeColor="text1"/>
                <w:sz w:val="21"/>
                <w:szCs w:val="21"/>
                <w:lang w:bidi="ar"/>
                <w14:textFill>
                  <w14:solidFill>
                    <w14:schemeClr w14:val="tx1"/>
                  </w14:solidFill>
                </w14:textFill>
                <w14:ligatures w14:val="none"/>
              </w:rPr>
              <w:t>。</w:t>
            </w:r>
          </w:p>
        </w:tc>
      </w:tr>
    </w:tbl>
    <w:p w14:paraId="4E63FE6E">
      <w:pPr>
        <w:pStyle w:val="82"/>
        <w:ind w:firstLine="480"/>
        <w:rPr>
          <w:rFonts w:ascii="Times New Roman" w:hAnsi="Times New Roman" w:cs="Times New Roman"/>
          <w:color w:val="000000" w:themeColor="text1"/>
          <w14:textFill>
            <w14:solidFill>
              <w14:schemeClr w14:val="tx1"/>
            </w14:solidFill>
          </w14:textFill>
        </w:rPr>
      </w:pPr>
    </w:p>
    <w:p w14:paraId="6D249C8C">
      <w:pPr>
        <w:pStyle w:val="82"/>
        <w:spacing w:line="240" w:lineRule="auto"/>
        <w:ind w:firstLine="0" w:firstLineChars="0"/>
        <w:jc w:val="center"/>
        <w:rPr>
          <w:rFonts w:ascii="Times New Roman" w:hAnsi="Times New Roman" w:cs="Times New Roman"/>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5429250" cy="3257550"/>
            <wp:effectExtent l="0" t="0" r="0" b="0"/>
            <wp:docPr id="195158718" name="图表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309697DA">
      <w:pPr>
        <w:pStyle w:val="28"/>
        <w:rPr>
          <w:rFonts w:hint="eastAsia"/>
        </w:rPr>
      </w:pPr>
      <w:r>
        <w:rPr>
          <w:rFonts w:hint="eastAsia"/>
        </w:rPr>
        <w:t>图6.6-1 地下水COD</w:t>
      </w:r>
      <w:r>
        <w:rPr>
          <w:rFonts w:hint="eastAsia"/>
          <w:vertAlign w:val="subscript"/>
        </w:rPr>
        <w:t>Mn</w:t>
      </w:r>
      <w:r>
        <w:rPr>
          <w:rFonts w:hint="eastAsia"/>
        </w:rPr>
        <w:t>预测结果示意图</w:t>
      </w:r>
    </w:p>
    <w:p w14:paraId="1C4C5CBD">
      <w:pPr>
        <w:widowControl/>
        <w:ind w:firstLine="480"/>
        <w:rPr>
          <w:lang w:bidi="ar"/>
        </w:rPr>
      </w:pPr>
      <w:r>
        <w:rPr>
          <w:rFonts w:hint="eastAsia"/>
          <w:lang w:bidi="ar"/>
        </w:rPr>
        <w:t>根据预测结果</w:t>
      </w:r>
      <w:r>
        <w:rPr>
          <w:lang w:bidi="ar"/>
        </w:rPr>
        <w:t>，在</w:t>
      </w:r>
      <w:r>
        <w:rPr>
          <w:rFonts w:hint="eastAsia"/>
          <w:lang w:bidi="ar"/>
        </w:rPr>
        <w:t>高浓废水暂存罐</w:t>
      </w:r>
      <w:r>
        <w:rPr>
          <w:lang w:bidi="ar"/>
        </w:rPr>
        <w:t>出现破损或破裂</w:t>
      </w:r>
      <w:r>
        <w:rPr>
          <w:rFonts w:hint="eastAsia"/>
          <w:lang w:bidi="ar"/>
        </w:rPr>
        <w:t>，废水</w:t>
      </w:r>
      <w:r>
        <w:rPr>
          <w:lang w:bidi="ar"/>
        </w:rPr>
        <w:t>发生渗漏的非正常状况下，</w:t>
      </w:r>
      <w:r>
        <w:rPr>
          <w:rFonts w:hint="eastAsia"/>
          <w:lang w:bidi="ar"/>
        </w:rPr>
        <w:t>废水</w:t>
      </w:r>
      <w:r>
        <w:rPr>
          <w:lang w:bidi="ar"/>
        </w:rPr>
        <w:t>持续渗入含水层中运移100d后，地下水环境受</w:t>
      </w:r>
      <w:r>
        <w:rPr>
          <w:rFonts w:hint="eastAsia"/>
        </w:rPr>
        <w:t>COD</w:t>
      </w:r>
      <w:r>
        <w:rPr>
          <w:rFonts w:hint="eastAsia"/>
          <w:vertAlign w:val="subscript"/>
        </w:rPr>
        <w:t>Mn</w:t>
      </w:r>
      <w:r>
        <w:rPr>
          <w:lang w:bidi="ar"/>
        </w:rPr>
        <w:t>影响的最大距离约为</w:t>
      </w:r>
      <w:r>
        <w:rPr>
          <w:rFonts w:hint="eastAsia"/>
          <w:lang w:bidi="ar"/>
        </w:rPr>
        <w:t>10</w:t>
      </w:r>
      <w:r>
        <w:rPr>
          <w:lang w:bidi="ar"/>
        </w:rPr>
        <w:t>m，地下水中</w:t>
      </w:r>
      <w:r>
        <w:rPr>
          <w:rFonts w:hint="eastAsia"/>
        </w:rPr>
        <w:t>COD</w:t>
      </w:r>
      <w:r>
        <w:rPr>
          <w:rFonts w:hint="eastAsia"/>
          <w:vertAlign w:val="subscript"/>
        </w:rPr>
        <w:t>Mn</w:t>
      </w:r>
      <w:r>
        <w:rPr>
          <w:lang w:bidi="ar"/>
        </w:rPr>
        <w:t>的贡献值约为0.</w:t>
      </w:r>
      <w:r>
        <w:rPr>
          <w:rFonts w:hint="eastAsia"/>
          <w:lang w:bidi="ar"/>
        </w:rPr>
        <w:t>371</w:t>
      </w:r>
      <w:r>
        <w:rPr>
          <w:lang w:bidi="ar"/>
        </w:rPr>
        <w:t>mg/L；运移</w:t>
      </w:r>
      <w:r>
        <w:rPr>
          <w:rFonts w:hint="eastAsia"/>
          <w:lang w:bidi="ar"/>
        </w:rPr>
        <w:t>1000d</w:t>
      </w:r>
      <w:r>
        <w:rPr>
          <w:lang w:bidi="ar"/>
        </w:rPr>
        <w:t>后地下水环境受</w:t>
      </w:r>
      <w:r>
        <w:rPr>
          <w:rFonts w:hint="eastAsia"/>
        </w:rPr>
        <w:t>COD</w:t>
      </w:r>
      <w:r>
        <w:rPr>
          <w:rFonts w:hint="eastAsia"/>
          <w:vertAlign w:val="subscript"/>
        </w:rPr>
        <w:t>Mn</w:t>
      </w:r>
      <w:r>
        <w:rPr>
          <w:lang w:bidi="ar"/>
        </w:rPr>
        <w:t>影响的最大距离约为</w:t>
      </w:r>
      <w:r>
        <w:rPr>
          <w:rFonts w:hint="eastAsia"/>
          <w:lang w:bidi="ar"/>
        </w:rPr>
        <w:t>4</w:t>
      </w:r>
      <w:r>
        <w:rPr>
          <w:lang w:bidi="ar"/>
        </w:rPr>
        <w:t>0m，贡献值约为0</w:t>
      </w:r>
      <w:r>
        <w:rPr>
          <w:rFonts w:hint="eastAsia"/>
          <w:lang w:bidi="ar"/>
        </w:rPr>
        <w:t>.002</w:t>
      </w:r>
      <w:r>
        <w:rPr>
          <w:lang w:bidi="ar"/>
        </w:rPr>
        <w:t>mg/L；运移</w:t>
      </w:r>
      <w:r>
        <w:rPr>
          <w:rFonts w:hint="eastAsia"/>
          <w:lang w:bidi="ar"/>
        </w:rPr>
        <w:t>7300</w:t>
      </w:r>
      <w:r>
        <w:rPr>
          <w:lang w:bidi="ar"/>
        </w:rPr>
        <w:t>d后地下水环境受</w:t>
      </w:r>
      <w:r>
        <w:rPr>
          <w:rFonts w:hint="eastAsia"/>
        </w:rPr>
        <w:t>COD</w:t>
      </w:r>
      <w:r>
        <w:rPr>
          <w:rFonts w:hint="eastAsia"/>
          <w:vertAlign w:val="subscript"/>
        </w:rPr>
        <w:t>Mn</w:t>
      </w:r>
      <w:r>
        <w:rPr>
          <w:lang w:bidi="ar"/>
        </w:rPr>
        <w:t>影响的最大距离约为</w:t>
      </w:r>
      <w:r>
        <w:rPr>
          <w:rFonts w:hint="eastAsia"/>
          <w:lang w:bidi="ar"/>
        </w:rPr>
        <w:t>110</w:t>
      </w:r>
      <w:r>
        <w:rPr>
          <w:lang w:bidi="ar"/>
        </w:rPr>
        <w:t>m，贡献值约为</w:t>
      </w:r>
      <w:r>
        <w:rPr>
          <w:rFonts w:hint="eastAsia"/>
          <w:lang w:bidi="ar"/>
        </w:rPr>
        <w:t>0.006</w:t>
      </w:r>
      <w:r>
        <w:rPr>
          <w:lang w:bidi="ar"/>
        </w:rPr>
        <w:t>mg/L</w:t>
      </w:r>
      <w:r>
        <w:rPr>
          <w:rFonts w:hint="eastAsia"/>
          <w:lang w:bidi="ar"/>
        </w:rPr>
        <w:t>。</w:t>
      </w:r>
    </w:p>
    <w:p w14:paraId="388E90A2">
      <w:pPr>
        <w:ind w:firstLine="468" w:firstLineChars="200"/>
        <w:rPr>
          <w:rFonts w:cs="Times New Roman"/>
          <w:spacing w:val="-3"/>
        </w:rPr>
      </w:pPr>
      <w:r>
        <w:rPr>
          <w:rFonts w:cs="Times New Roman"/>
          <w:spacing w:val="-3"/>
        </w:rPr>
        <w:fldChar w:fldCharType="begin"/>
      </w:r>
      <w:r>
        <w:rPr>
          <w:rFonts w:cs="Times New Roman"/>
          <w:spacing w:val="-3"/>
        </w:rPr>
        <w:instrText xml:space="preserve"> </w:instrText>
      </w:r>
      <w:r>
        <w:rPr>
          <w:rFonts w:hint="eastAsia" w:cs="Times New Roman"/>
          <w:spacing w:val="-3"/>
        </w:rPr>
        <w:instrText xml:space="preserve">= 2 \* GB3</w:instrText>
      </w:r>
      <w:r>
        <w:rPr>
          <w:rFonts w:cs="Times New Roman"/>
          <w:spacing w:val="-3"/>
        </w:rPr>
        <w:instrText xml:space="preserve"> </w:instrText>
      </w:r>
      <w:r>
        <w:rPr>
          <w:rFonts w:cs="Times New Roman"/>
          <w:spacing w:val="-3"/>
        </w:rPr>
        <w:fldChar w:fldCharType="separate"/>
      </w:r>
      <w:r>
        <w:rPr>
          <w:rFonts w:hint="eastAsia" w:cs="Times New Roman"/>
          <w:spacing w:val="-3"/>
        </w:rPr>
        <w:t>②</w:t>
      </w:r>
      <w:r>
        <w:rPr>
          <w:rFonts w:cs="Times New Roman"/>
          <w:spacing w:val="-3"/>
        </w:rPr>
        <w:fldChar w:fldCharType="end"/>
      </w:r>
      <w:r>
        <w:rPr>
          <w:rFonts w:hint="eastAsia" w:cs="Times New Roman"/>
          <w:spacing w:val="-3"/>
        </w:rPr>
        <w:t>挥发性酚类预测结果</w:t>
      </w:r>
    </w:p>
    <w:p w14:paraId="504F65C0">
      <w:pPr>
        <w:pStyle w:val="28"/>
        <w:rPr>
          <w:rFonts w:hint="eastAsia"/>
        </w:rPr>
      </w:pPr>
      <w:r>
        <w:rPr>
          <w:rFonts w:hint="eastAsia"/>
        </w:rPr>
        <w:t>表6.6-4  地下水挥发性酚类预测结果表(单位：mg/L)</w:t>
      </w:r>
    </w:p>
    <w:tbl>
      <w:tblPr>
        <w:tblStyle w:val="3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527"/>
        <w:gridCol w:w="2357"/>
        <w:gridCol w:w="2017"/>
        <w:gridCol w:w="2385"/>
      </w:tblGrid>
      <w:tr w14:paraId="4CA51C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361" w:type="pct"/>
            <w:noWrap/>
            <w:vAlign w:val="center"/>
          </w:tcPr>
          <w:p w14:paraId="10FF5AD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14:ligatures w14:val="none"/>
              </w:rPr>
              <w:t>距注入点的距离(m)</w:t>
            </w:r>
          </w:p>
        </w:tc>
        <w:tc>
          <w:tcPr>
            <w:tcW w:w="1269" w:type="pct"/>
            <w:noWrap/>
            <w:vAlign w:val="center"/>
          </w:tcPr>
          <w:p w14:paraId="2F4D50D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14:ligatures w14:val="none"/>
              </w:rPr>
              <w:t>100</w:t>
            </w:r>
            <w:r>
              <w:rPr>
                <w:rFonts w:hint="eastAsia" w:ascii="Times New Roman" w:hAnsi="Times New Roman" w:cs="Times New Roman"/>
                <w:color w:val="000000" w:themeColor="text1"/>
                <w:sz w:val="21"/>
                <w:szCs w:val="21"/>
                <w14:textFill>
                  <w14:solidFill>
                    <w14:schemeClr w14:val="tx1"/>
                  </w14:solidFill>
                </w14:textFill>
                <w14:ligatures w14:val="none"/>
              </w:rPr>
              <w:t>d</w:t>
            </w:r>
          </w:p>
        </w:tc>
        <w:tc>
          <w:tcPr>
            <w:tcW w:w="1086" w:type="pct"/>
            <w:noWrap/>
            <w:vAlign w:val="center"/>
          </w:tcPr>
          <w:p w14:paraId="4421F97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14:ligatures w14:val="none"/>
              </w:rPr>
              <w:t>1000</w:t>
            </w:r>
            <w:r>
              <w:rPr>
                <w:rFonts w:hint="eastAsia" w:ascii="Times New Roman" w:hAnsi="Times New Roman" w:cs="Times New Roman"/>
                <w:color w:val="000000" w:themeColor="text1"/>
                <w:sz w:val="21"/>
                <w:szCs w:val="21"/>
                <w14:textFill>
                  <w14:solidFill>
                    <w14:schemeClr w14:val="tx1"/>
                  </w14:solidFill>
                </w14:textFill>
                <w14:ligatures w14:val="none"/>
              </w:rPr>
              <w:t>d</w:t>
            </w:r>
          </w:p>
        </w:tc>
        <w:tc>
          <w:tcPr>
            <w:tcW w:w="1284" w:type="pct"/>
            <w:noWrap/>
            <w:vAlign w:val="center"/>
          </w:tcPr>
          <w:p w14:paraId="666BB25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hint="eastAsia" w:ascii="Times New Roman" w:hAnsi="Times New Roman" w:cs="Times New Roman"/>
                <w:color w:val="000000" w:themeColor="text1"/>
                <w:sz w:val="21"/>
                <w:szCs w:val="21"/>
                <w14:textFill>
                  <w14:solidFill>
                    <w14:schemeClr w14:val="tx1"/>
                  </w14:solidFill>
                </w14:textFill>
                <w14:ligatures w14:val="none"/>
              </w:rPr>
              <w:t>7300d</w:t>
            </w:r>
          </w:p>
        </w:tc>
      </w:tr>
      <w:tr w14:paraId="268C97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361" w:type="pct"/>
            <w:noWrap/>
            <w:vAlign w:val="center"/>
          </w:tcPr>
          <w:p w14:paraId="754442F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0.1</w:t>
            </w:r>
          </w:p>
        </w:tc>
        <w:tc>
          <w:tcPr>
            <w:tcW w:w="1269" w:type="pct"/>
            <w:noWrap/>
            <w:vAlign w:val="center"/>
          </w:tcPr>
          <w:p w14:paraId="56CA6C2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474.018</w:t>
            </w:r>
          </w:p>
        </w:tc>
        <w:tc>
          <w:tcPr>
            <w:tcW w:w="1086" w:type="pct"/>
            <w:noWrap/>
            <w:vAlign w:val="center"/>
          </w:tcPr>
          <w:p w14:paraId="2EA3ED6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485.705</w:t>
            </w:r>
          </w:p>
        </w:tc>
        <w:tc>
          <w:tcPr>
            <w:tcW w:w="1284" w:type="pct"/>
            <w:noWrap/>
            <w:vAlign w:val="center"/>
          </w:tcPr>
          <w:p w14:paraId="61D7956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488.982</w:t>
            </w:r>
          </w:p>
        </w:tc>
      </w:tr>
      <w:tr w14:paraId="2C9E54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361" w:type="pct"/>
            <w:noWrap/>
            <w:vAlign w:val="center"/>
          </w:tcPr>
          <w:p w14:paraId="7A95F00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0.5</w:t>
            </w:r>
          </w:p>
        </w:tc>
        <w:tc>
          <w:tcPr>
            <w:tcW w:w="1269" w:type="pct"/>
            <w:noWrap/>
            <w:vAlign w:val="center"/>
          </w:tcPr>
          <w:p w14:paraId="6525B16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409.946</w:t>
            </w:r>
          </w:p>
        </w:tc>
        <w:tc>
          <w:tcPr>
            <w:tcW w:w="1086" w:type="pct"/>
            <w:noWrap/>
            <w:vAlign w:val="center"/>
          </w:tcPr>
          <w:p w14:paraId="7212ADA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468.329</w:t>
            </w:r>
          </w:p>
        </w:tc>
        <w:tc>
          <w:tcPr>
            <w:tcW w:w="1284" w:type="pct"/>
            <w:noWrap/>
            <w:vAlign w:val="center"/>
          </w:tcPr>
          <w:p w14:paraId="519DC51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484.862</w:t>
            </w:r>
          </w:p>
        </w:tc>
      </w:tr>
      <w:tr w14:paraId="66A5B3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361" w:type="pct"/>
            <w:noWrap/>
            <w:vAlign w:val="center"/>
          </w:tcPr>
          <w:p w14:paraId="5112053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1</w:t>
            </w:r>
          </w:p>
        </w:tc>
        <w:tc>
          <w:tcPr>
            <w:tcW w:w="1269" w:type="pct"/>
            <w:noWrap/>
            <w:vAlign w:val="center"/>
          </w:tcPr>
          <w:p w14:paraId="3B60030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331.935</w:t>
            </w:r>
          </w:p>
        </w:tc>
        <w:tc>
          <w:tcPr>
            <w:tcW w:w="1086" w:type="pct"/>
            <w:noWrap/>
            <w:vAlign w:val="center"/>
          </w:tcPr>
          <w:p w14:paraId="6D5FEAE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446.240</w:t>
            </w:r>
          </w:p>
        </w:tc>
        <w:tc>
          <w:tcPr>
            <w:tcW w:w="1284" w:type="pct"/>
            <w:noWrap/>
            <w:vAlign w:val="center"/>
          </w:tcPr>
          <w:p w14:paraId="13C423F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479.599</w:t>
            </w:r>
          </w:p>
        </w:tc>
      </w:tr>
      <w:tr w14:paraId="557797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361" w:type="pct"/>
            <w:noWrap/>
            <w:vAlign w:val="center"/>
          </w:tcPr>
          <w:p w14:paraId="7DE007A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1.5</w:t>
            </w:r>
          </w:p>
        </w:tc>
        <w:tc>
          <w:tcPr>
            <w:tcW w:w="1269" w:type="pct"/>
            <w:noWrap/>
            <w:vAlign w:val="center"/>
          </w:tcPr>
          <w:p w14:paraId="169262F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259.624</w:t>
            </w:r>
          </w:p>
        </w:tc>
        <w:tc>
          <w:tcPr>
            <w:tcW w:w="1086" w:type="pct"/>
            <w:noWrap/>
            <w:vAlign w:val="center"/>
          </w:tcPr>
          <w:p w14:paraId="08EB7AB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423.856</w:t>
            </w:r>
          </w:p>
        </w:tc>
        <w:tc>
          <w:tcPr>
            <w:tcW w:w="1284" w:type="pct"/>
            <w:noWrap/>
            <w:vAlign w:val="center"/>
          </w:tcPr>
          <w:p w14:paraId="4CCFA84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474.215</w:t>
            </w:r>
          </w:p>
        </w:tc>
      </w:tr>
      <w:tr w14:paraId="3AB969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361" w:type="pct"/>
            <w:noWrap/>
            <w:vAlign w:val="center"/>
          </w:tcPr>
          <w:p w14:paraId="680BC9F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2</w:t>
            </w:r>
          </w:p>
        </w:tc>
        <w:tc>
          <w:tcPr>
            <w:tcW w:w="1269" w:type="pct"/>
            <w:noWrap/>
            <w:vAlign w:val="center"/>
          </w:tcPr>
          <w:p w14:paraId="2750006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195.827</w:t>
            </w:r>
          </w:p>
        </w:tc>
        <w:tc>
          <w:tcPr>
            <w:tcW w:w="1086" w:type="pct"/>
            <w:noWrap/>
            <w:vAlign w:val="center"/>
          </w:tcPr>
          <w:p w14:paraId="432BD93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401.300</w:t>
            </w:r>
          </w:p>
        </w:tc>
        <w:tc>
          <w:tcPr>
            <w:tcW w:w="1284" w:type="pct"/>
            <w:noWrap/>
            <w:vAlign w:val="center"/>
          </w:tcPr>
          <w:p w14:paraId="0439DBF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468.714</w:t>
            </w:r>
          </w:p>
        </w:tc>
      </w:tr>
      <w:tr w14:paraId="61A2B5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361" w:type="pct"/>
            <w:noWrap/>
            <w:vAlign w:val="center"/>
          </w:tcPr>
          <w:p w14:paraId="7603DAC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2.5</w:t>
            </w:r>
          </w:p>
        </w:tc>
        <w:tc>
          <w:tcPr>
            <w:tcW w:w="1269" w:type="pct"/>
            <w:noWrap/>
            <w:vAlign w:val="center"/>
          </w:tcPr>
          <w:p w14:paraId="0CEBF2F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142.237</w:t>
            </w:r>
          </w:p>
        </w:tc>
        <w:tc>
          <w:tcPr>
            <w:tcW w:w="1086" w:type="pct"/>
            <w:noWrap/>
            <w:vAlign w:val="center"/>
          </w:tcPr>
          <w:p w14:paraId="52D385F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378.697</w:t>
            </w:r>
          </w:p>
        </w:tc>
        <w:tc>
          <w:tcPr>
            <w:tcW w:w="1284" w:type="pct"/>
            <w:noWrap/>
            <w:vAlign w:val="center"/>
          </w:tcPr>
          <w:p w14:paraId="17C7A8C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463.098</w:t>
            </w:r>
          </w:p>
        </w:tc>
      </w:tr>
      <w:tr w14:paraId="072B70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361" w:type="pct"/>
            <w:noWrap/>
            <w:vAlign w:val="center"/>
          </w:tcPr>
          <w:p w14:paraId="3A248B2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3</w:t>
            </w:r>
          </w:p>
        </w:tc>
        <w:tc>
          <w:tcPr>
            <w:tcW w:w="1269" w:type="pct"/>
            <w:noWrap/>
            <w:vAlign w:val="center"/>
          </w:tcPr>
          <w:p w14:paraId="26FC2F2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99.360</w:t>
            </w:r>
          </w:p>
        </w:tc>
        <w:tc>
          <w:tcPr>
            <w:tcW w:w="1086" w:type="pct"/>
            <w:noWrap/>
            <w:vAlign w:val="center"/>
          </w:tcPr>
          <w:p w14:paraId="33AA34B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356.173</w:t>
            </w:r>
          </w:p>
        </w:tc>
        <w:tc>
          <w:tcPr>
            <w:tcW w:w="1284" w:type="pct"/>
            <w:noWrap/>
            <w:vAlign w:val="center"/>
          </w:tcPr>
          <w:p w14:paraId="23B58E9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457.371</w:t>
            </w:r>
          </w:p>
        </w:tc>
      </w:tr>
      <w:tr w14:paraId="79F518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361" w:type="pct"/>
            <w:noWrap/>
            <w:vAlign w:val="center"/>
          </w:tcPr>
          <w:p w14:paraId="2884C2F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3.5</w:t>
            </w:r>
          </w:p>
        </w:tc>
        <w:tc>
          <w:tcPr>
            <w:tcW w:w="1269" w:type="pct"/>
            <w:noWrap/>
            <w:vAlign w:val="center"/>
          </w:tcPr>
          <w:p w14:paraId="08384E8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66.683</w:t>
            </w:r>
          </w:p>
        </w:tc>
        <w:tc>
          <w:tcPr>
            <w:tcW w:w="1086" w:type="pct"/>
            <w:noWrap/>
            <w:vAlign w:val="center"/>
          </w:tcPr>
          <w:p w14:paraId="73287D5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333.848</w:t>
            </w:r>
          </w:p>
        </w:tc>
        <w:tc>
          <w:tcPr>
            <w:tcW w:w="1284" w:type="pct"/>
            <w:noWrap/>
            <w:vAlign w:val="center"/>
          </w:tcPr>
          <w:p w14:paraId="735E0BB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451.538</w:t>
            </w:r>
          </w:p>
        </w:tc>
      </w:tr>
      <w:tr w14:paraId="492391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361" w:type="pct"/>
            <w:noWrap/>
            <w:vAlign w:val="center"/>
          </w:tcPr>
          <w:p w14:paraId="4AC9BF5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4</w:t>
            </w:r>
          </w:p>
        </w:tc>
        <w:tc>
          <w:tcPr>
            <w:tcW w:w="1269" w:type="pct"/>
            <w:noWrap/>
            <w:vAlign w:val="center"/>
          </w:tcPr>
          <w:p w14:paraId="38BD7F7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42.954</w:t>
            </w:r>
          </w:p>
        </w:tc>
        <w:tc>
          <w:tcPr>
            <w:tcW w:w="1086" w:type="pct"/>
            <w:noWrap/>
            <w:vAlign w:val="center"/>
          </w:tcPr>
          <w:p w14:paraId="58CEAC9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311.838</w:t>
            </w:r>
          </w:p>
        </w:tc>
        <w:tc>
          <w:tcPr>
            <w:tcW w:w="1284" w:type="pct"/>
            <w:noWrap/>
            <w:vAlign w:val="center"/>
          </w:tcPr>
          <w:p w14:paraId="0BBF68C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445.601</w:t>
            </w:r>
          </w:p>
        </w:tc>
      </w:tr>
      <w:tr w14:paraId="0D83EE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361" w:type="pct"/>
            <w:noWrap/>
            <w:vAlign w:val="center"/>
          </w:tcPr>
          <w:p w14:paraId="74893BB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4.5</w:t>
            </w:r>
          </w:p>
        </w:tc>
        <w:tc>
          <w:tcPr>
            <w:tcW w:w="1269" w:type="pct"/>
            <w:noWrap/>
            <w:vAlign w:val="center"/>
          </w:tcPr>
          <w:p w14:paraId="4FC4BD0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26.537</w:t>
            </w:r>
          </w:p>
        </w:tc>
        <w:tc>
          <w:tcPr>
            <w:tcW w:w="1086" w:type="pct"/>
            <w:noWrap/>
            <w:vAlign w:val="center"/>
          </w:tcPr>
          <w:p w14:paraId="4994EF4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290.255</w:t>
            </w:r>
          </w:p>
        </w:tc>
        <w:tc>
          <w:tcPr>
            <w:tcW w:w="1284" w:type="pct"/>
            <w:noWrap/>
            <w:vAlign w:val="center"/>
          </w:tcPr>
          <w:p w14:paraId="71ACCEB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439.566</w:t>
            </w:r>
          </w:p>
        </w:tc>
      </w:tr>
      <w:tr w14:paraId="7360A3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361" w:type="pct"/>
            <w:noWrap/>
            <w:vAlign w:val="center"/>
          </w:tcPr>
          <w:p w14:paraId="196F9C2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5</w:t>
            </w:r>
          </w:p>
        </w:tc>
        <w:tc>
          <w:tcPr>
            <w:tcW w:w="1269" w:type="pct"/>
            <w:noWrap/>
            <w:vAlign w:val="center"/>
          </w:tcPr>
          <w:p w14:paraId="69C583E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15.712</w:t>
            </w:r>
          </w:p>
        </w:tc>
        <w:tc>
          <w:tcPr>
            <w:tcW w:w="1086" w:type="pct"/>
            <w:noWrap/>
            <w:vAlign w:val="center"/>
          </w:tcPr>
          <w:p w14:paraId="59619CD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269.200</w:t>
            </w:r>
          </w:p>
        </w:tc>
        <w:tc>
          <w:tcPr>
            <w:tcW w:w="1284" w:type="pct"/>
            <w:noWrap/>
            <w:vAlign w:val="center"/>
          </w:tcPr>
          <w:p w14:paraId="10CBBEB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433.436</w:t>
            </w:r>
          </w:p>
        </w:tc>
      </w:tr>
      <w:tr w14:paraId="377686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361" w:type="pct"/>
            <w:noWrap/>
            <w:vAlign w:val="center"/>
          </w:tcPr>
          <w:p w14:paraId="5D68E12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5.5</w:t>
            </w:r>
          </w:p>
        </w:tc>
        <w:tc>
          <w:tcPr>
            <w:tcW w:w="1269" w:type="pct"/>
            <w:noWrap/>
            <w:vAlign w:val="center"/>
          </w:tcPr>
          <w:p w14:paraId="1B93A83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8.911</w:t>
            </w:r>
          </w:p>
        </w:tc>
        <w:tc>
          <w:tcPr>
            <w:tcW w:w="1086" w:type="pct"/>
            <w:noWrap/>
            <w:vAlign w:val="center"/>
          </w:tcPr>
          <w:p w14:paraId="0AA8D4D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248.768</w:t>
            </w:r>
          </w:p>
        </w:tc>
        <w:tc>
          <w:tcPr>
            <w:tcW w:w="1284" w:type="pct"/>
            <w:noWrap/>
            <w:vAlign w:val="center"/>
          </w:tcPr>
          <w:p w14:paraId="09F92E6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427.215</w:t>
            </w:r>
          </w:p>
        </w:tc>
      </w:tr>
      <w:tr w14:paraId="75566F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361" w:type="pct"/>
            <w:noWrap/>
            <w:vAlign w:val="center"/>
          </w:tcPr>
          <w:p w14:paraId="59074FB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6</w:t>
            </w:r>
          </w:p>
        </w:tc>
        <w:tc>
          <w:tcPr>
            <w:tcW w:w="1269" w:type="pct"/>
            <w:noWrap/>
            <w:vAlign w:val="center"/>
          </w:tcPr>
          <w:p w14:paraId="088AA6C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4.838</w:t>
            </w:r>
          </w:p>
        </w:tc>
        <w:tc>
          <w:tcPr>
            <w:tcW w:w="1086" w:type="pct"/>
            <w:noWrap/>
            <w:vAlign w:val="center"/>
          </w:tcPr>
          <w:p w14:paraId="4A2D051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229.043</w:t>
            </w:r>
          </w:p>
        </w:tc>
        <w:tc>
          <w:tcPr>
            <w:tcW w:w="1284" w:type="pct"/>
            <w:noWrap/>
            <w:vAlign w:val="center"/>
          </w:tcPr>
          <w:p w14:paraId="3C28692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420.910</w:t>
            </w:r>
          </w:p>
        </w:tc>
      </w:tr>
      <w:tr w14:paraId="295A6F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361" w:type="pct"/>
            <w:noWrap/>
            <w:vAlign w:val="center"/>
          </w:tcPr>
          <w:p w14:paraId="10046BD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6.5</w:t>
            </w:r>
          </w:p>
        </w:tc>
        <w:tc>
          <w:tcPr>
            <w:tcW w:w="1269" w:type="pct"/>
            <w:noWrap/>
            <w:vAlign w:val="center"/>
          </w:tcPr>
          <w:p w14:paraId="14AB067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2.513</w:t>
            </w:r>
          </w:p>
        </w:tc>
        <w:tc>
          <w:tcPr>
            <w:tcW w:w="1086" w:type="pct"/>
            <w:noWrap/>
            <w:vAlign w:val="center"/>
          </w:tcPr>
          <w:p w14:paraId="0024669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210.098</w:t>
            </w:r>
          </w:p>
        </w:tc>
        <w:tc>
          <w:tcPr>
            <w:tcW w:w="1284" w:type="pct"/>
            <w:noWrap/>
            <w:vAlign w:val="center"/>
          </w:tcPr>
          <w:p w14:paraId="0F7F7FE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414.524</w:t>
            </w:r>
          </w:p>
        </w:tc>
      </w:tr>
      <w:tr w14:paraId="3A42C4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361" w:type="pct"/>
            <w:noWrap/>
            <w:vAlign w:val="center"/>
          </w:tcPr>
          <w:p w14:paraId="0D6F8F6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7</w:t>
            </w:r>
          </w:p>
        </w:tc>
        <w:tc>
          <w:tcPr>
            <w:tcW w:w="1269" w:type="pct"/>
            <w:noWrap/>
            <w:vAlign w:val="center"/>
          </w:tcPr>
          <w:p w14:paraId="0BDCF9B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1.249</w:t>
            </w:r>
          </w:p>
        </w:tc>
        <w:tc>
          <w:tcPr>
            <w:tcW w:w="1086" w:type="pct"/>
            <w:noWrap/>
            <w:vAlign w:val="center"/>
          </w:tcPr>
          <w:p w14:paraId="3764F47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191.995</w:t>
            </w:r>
          </w:p>
        </w:tc>
        <w:tc>
          <w:tcPr>
            <w:tcW w:w="1284" w:type="pct"/>
            <w:noWrap/>
            <w:vAlign w:val="center"/>
          </w:tcPr>
          <w:p w14:paraId="370447C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408.062</w:t>
            </w:r>
          </w:p>
        </w:tc>
      </w:tr>
      <w:tr w14:paraId="7DBA3D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361" w:type="pct"/>
            <w:noWrap/>
            <w:vAlign w:val="center"/>
          </w:tcPr>
          <w:p w14:paraId="2E85FEE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7.5</w:t>
            </w:r>
          </w:p>
        </w:tc>
        <w:tc>
          <w:tcPr>
            <w:tcW w:w="1269" w:type="pct"/>
            <w:noWrap/>
            <w:vAlign w:val="center"/>
          </w:tcPr>
          <w:p w14:paraId="6591212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0.593</w:t>
            </w:r>
          </w:p>
        </w:tc>
        <w:tc>
          <w:tcPr>
            <w:tcW w:w="1086" w:type="pct"/>
            <w:noWrap/>
            <w:vAlign w:val="center"/>
          </w:tcPr>
          <w:p w14:paraId="0BB3018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174.784</w:t>
            </w:r>
          </w:p>
        </w:tc>
        <w:tc>
          <w:tcPr>
            <w:tcW w:w="1284" w:type="pct"/>
            <w:noWrap/>
            <w:vAlign w:val="center"/>
          </w:tcPr>
          <w:p w14:paraId="6D4EA91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401.530</w:t>
            </w:r>
          </w:p>
        </w:tc>
      </w:tr>
      <w:tr w14:paraId="265E8A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361" w:type="pct"/>
            <w:noWrap/>
            <w:vAlign w:val="center"/>
          </w:tcPr>
          <w:p w14:paraId="6CD4AAC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8</w:t>
            </w:r>
          </w:p>
        </w:tc>
        <w:tc>
          <w:tcPr>
            <w:tcW w:w="1269" w:type="pct"/>
            <w:noWrap/>
            <w:vAlign w:val="center"/>
          </w:tcPr>
          <w:p w14:paraId="35A9CA6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0.270</w:t>
            </w:r>
          </w:p>
        </w:tc>
        <w:tc>
          <w:tcPr>
            <w:tcW w:w="1086" w:type="pct"/>
            <w:noWrap/>
            <w:vAlign w:val="center"/>
          </w:tcPr>
          <w:p w14:paraId="4DC686F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158.505</w:t>
            </w:r>
          </w:p>
        </w:tc>
        <w:tc>
          <w:tcPr>
            <w:tcW w:w="1284" w:type="pct"/>
            <w:noWrap/>
            <w:vAlign w:val="center"/>
          </w:tcPr>
          <w:p w14:paraId="5435933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394.932</w:t>
            </w:r>
          </w:p>
        </w:tc>
      </w:tr>
      <w:tr w14:paraId="5372A9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361" w:type="pct"/>
            <w:noWrap/>
            <w:vAlign w:val="center"/>
          </w:tcPr>
          <w:p w14:paraId="13F881C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8.5</w:t>
            </w:r>
          </w:p>
        </w:tc>
        <w:tc>
          <w:tcPr>
            <w:tcW w:w="1269" w:type="pct"/>
            <w:noWrap/>
            <w:vAlign w:val="center"/>
          </w:tcPr>
          <w:p w14:paraId="3F967EF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0.117</w:t>
            </w:r>
          </w:p>
        </w:tc>
        <w:tc>
          <w:tcPr>
            <w:tcW w:w="1086" w:type="pct"/>
            <w:noWrap/>
            <w:vAlign w:val="center"/>
          </w:tcPr>
          <w:p w14:paraId="0B927A6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143.183</w:t>
            </w:r>
          </w:p>
        </w:tc>
        <w:tc>
          <w:tcPr>
            <w:tcW w:w="1284" w:type="pct"/>
            <w:noWrap/>
            <w:vAlign w:val="center"/>
          </w:tcPr>
          <w:p w14:paraId="0D6E16F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388.273</w:t>
            </w:r>
          </w:p>
        </w:tc>
      </w:tr>
      <w:tr w14:paraId="667714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361" w:type="pct"/>
            <w:noWrap/>
            <w:vAlign w:val="center"/>
          </w:tcPr>
          <w:p w14:paraId="70CBB2C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9</w:t>
            </w:r>
          </w:p>
        </w:tc>
        <w:tc>
          <w:tcPr>
            <w:tcW w:w="1269" w:type="pct"/>
            <w:noWrap/>
            <w:vAlign w:val="center"/>
          </w:tcPr>
          <w:p w14:paraId="51968DC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0.049</w:t>
            </w:r>
          </w:p>
        </w:tc>
        <w:tc>
          <w:tcPr>
            <w:tcW w:w="1086" w:type="pct"/>
            <w:noWrap/>
            <w:vAlign w:val="center"/>
          </w:tcPr>
          <w:p w14:paraId="17CAE81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128.836</w:t>
            </w:r>
          </w:p>
        </w:tc>
        <w:tc>
          <w:tcPr>
            <w:tcW w:w="1284" w:type="pct"/>
            <w:noWrap/>
            <w:vAlign w:val="center"/>
          </w:tcPr>
          <w:p w14:paraId="5E365C1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381.560</w:t>
            </w:r>
          </w:p>
        </w:tc>
      </w:tr>
      <w:tr w14:paraId="738D29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361" w:type="pct"/>
            <w:noWrap/>
            <w:vAlign w:val="center"/>
          </w:tcPr>
          <w:p w14:paraId="0162020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9.5</w:t>
            </w:r>
          </w:p>
        </w:tc>
        <w:tc>
          <w:tcPr>
            <w:tcW w:w="1269" w:type="pct"/>
            <w:noWrap/>
            <w:vAlign w:val="center"/>
          </w:tcPr>
          <w:p w14:paraId="27F488B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0.019</w:t>
            </w:r>
          </w:p>
        </w:tc>
        <w:tc>
          <w:tcPr>
            <w:tcW w:w="1086" w:type="pct"/>
            <w:noWrap/>
            <w:vAlign w:val="center"/>
          </w:tcPr>
          <w:p w14:paraId="6B2D4A2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115.468</w:t>
            </w:r>
          </w:p>
        </w:tc>
        <w:tc>
          <w:tcPr>
            <w:tcW w:w="1284" w:type="pct"/>
            <w:noWrap/>
            <w:vAlign w:val="center"/>
          </w:tcPr>
          <w:p w14:paraId="438229D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374.797</w:t>
            </w:r>
          </w:p>
        </w:tc>
      </w:tr>
      <w:tr w14:paraId="3D2746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361" w:type="pct"/>
            <w:noWrap/>
            <w:vAlign w:val="center"/>
          </w:tcPr>
          <w:p w14:paraId="0985A22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10</w:t>
            </w:r>
          </w:p>
        </w:tc>
        <w:tc>
          <w:tcPr>
            <w:tcW w:w="1269" w:type="pct"/>
            <w:noWrap/>
            <w:vAlign w:val="center"/>
          </w:tcPr>
          <w:p w14:paraId="66A9874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0.007</w:t>
            </w:r>
          </w:p>
        </w:tc>
        <w:tc>
          <w:tcPr>
            <w:tcW w:w="1086" w:type="pct"/>
            <w:noWrap/>
            <w:vAlign w:val="center"/>
          </w:tcPr>
          <w:p w14:paraId="10B6BC7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103.075</w:t>
            </w:r>
          </w:p>
        </w:tc>
        <w:tc>
          <w:tcPr>
            <w:tcW w:w="1284" w:type="pct"/>
            <w:noWrap/>
            <w:vAlign w:val="center"/>
          </w:tcPr>
          <w:p w14:paraId="4D6880F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367.990</w:t>
            </w:r>
          </w:p>
        </w:tc>
      </w:tr>
      <w:tr w14:paraId="214CB1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361" w:type="pct"/>
            <w:noWrap/>
            <w:vAlign w:val="center"/>
          </w:tcPr>
          <w:p w14:paraId="26B5BE3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15</w:t>
            </w:r>
          </w:p>
        </w:tc>
        <w:tc>
          <w:tcPr>
            <w:tcW w:w="1269" w:type="pct"/>
            <w:noWrap/>
            <w:vAlign w:val="center"/>
          </w:tcPr>
          <w:p w14:paraId="254F887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0.000</w:t>
            </w:r>
          </w:p>
        </w:tc>
        <w:tc>
          <w:tcPr>
            <w:tcW w:w="1086" w:type="pct"/>
            <w:noWrap/>
            <w:vAlign w:val="center"/>
          </w:tcPr>
          <w:p w14:paraId="77323AE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26.418</w:t>
            </w:r>
          </w:p>
        </w:tc>
        <w:tc>
          <w:tcPr>
            <w:tcW w:w="1284" w:type="pct"/>
            <w:noWrap/>
            <w:vAlign w:val="center"/>
          </w:tcPr>
          <w:p w14:paraId="5D0B9B2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298.723</w:t>
            </w:r>
          </w:p>
        </w:tc>
      </w:tr>
      <w:tr w14:paraId="5E590F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361" w:type="pct"/>
            <w:noWrap/>
            <w:vAlign w:val="center"/>
          </w:tcPr>
          <w:p w14:paraId="16384B3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20</w:t>
            </w:r>
          </w:p>
        </w:tc>
        <w:tc>
          <w:tcPr>
            <w:tcW w:w="1269" w:type="pct"/>
            <w:noWrap/>
            <w:vAlign w:val="center"/>
          </w:tcPr>
          <w:p w14:paraId="08AAB04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0.000</w:t>
            </w:r>
          </w:p>
        </w:tc>
        <w:tc>
          <w:tcPr>
            <w:tcW w:w="1086" w:type="pct"/>
            <w:noWrap/>
            <w:vAlign w:val="center"/>
          </w:tcPr>
          <w:p w14:paraId="1739AD8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4.420</w:t>
            </w:r>
          </w:p>
        </w:tc>
        <w:tc>
          <w:tcPr>
            <w:tcW w:w="1284" w:type="pct"/>
            <w:noWrap/>
            <w:vAlign w:val="center"/>
          </w:tcPr>
          <w:p w14:paraId="1AC3A33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231.110</w:t>
            </w:r>
          </w:p>
        </w:tc>
      </w:tr>
      <w:tr w14:paraId="58B939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361" w:type="pct"/>
            <w:noWrap/>
            <w:vAlign w:val="center"/>
          </w:tcPr>
          <w:p w14:paraId="19C02CB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25</w:t>
            </w:r>
          </w:p>
        </w:tc>
        <w:tc>
          <w:tcPr>
            <w:tcW w:w="1269" w:type="pct"/>
            <w:noWrap/>
            <w:vAlign w:val="center"/>
          </w:tcPr>
          <w:p w14:paraId="7C809BB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0.000</w:t>
            </w:r>
          </w:p>
        </w:tc>
        <w:tc>
          <w:tcPr>
            <w:tcW w:w="1086" w:type="pct"/>
            <w:noWrap/>
            <w:vAlign w:val="center"/>
          </w:tcPr>
          <w:p w14:paraId="6CE25B2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0.475</w:t>
            </w:r>
          </w:p>
        </w:tc>
        <w:tc>
          <w:tcPr>
            <w:tcW w:w="1284" w:type="pct"/>
            <w:noWrap/>
            <w:vAlign w:val="center"/>
          </w:tcPr>
          <w:p w14:paraId="42D0A0E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169.948</w:t>
            </w:r>
          </w:p>
        </w:tc>
      </w:tr>
      <w:tr w14:paraId="3B9191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361" w:type="pct"/>
            <w:noWrap/>
            <w:vAlign w:val="center"/>
          </w:tcPr>
          <w:p w14:paraId="54CE629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30</w:t>
            </w:r>
          </w:p>
        </w:tc>
        <w:tc>
          <w:tcPr>
            <w:tcW w:w="1269" w:type="pct"/>
            <w:noWrap/>
            <w:vAlign w:val="center"/>
          </w:tcPr>
          <w:p w14:paraId="0CAA186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0.000</w:t>
            </w:r>
          </w:p>
        </w:tc>
        <w:tc>
          <w:tcPr>
            <w:tcW w:w="1086" w:type="pct"/>
            <w:noWrap/>
            <w:vAlign w:val="center"/>
          </w:tcPr>
          <w:p w14:paraId="7476C21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0.032</w:t>
            </w:r>
          </w:p>
        </w:tc>
        <w:tc>
          <w:tcPr>
            <w:tcW w:w="1284" w:type="pct"/>
            <w:noWrap/>
            <w:vAlign w:val="center"/>
          </w:tcPr>
          <w:p w14:paraId="0B00DFA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118.517</w:t>
            </w:r>
          </w:p>
        </w:tc>
      </w:tr>
      <w:tr w14:paraId="6FDE7A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361" w:type="pct"/>
            <w:noWrap/>
            <w:vAlign w:val="center"/>
          </w:tcPr>
          <w:p w14:paraId="5A9896D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35</w:t>
            </w:r>
          </w:p>
        </w:tc>
        <w:tc>
          <w:tcPr>
            <w:tcW w:w="1269" w:type="pct"/>
            <w:noWrap/>
            <w:vAlign w:val="center"/>
          </w:tcPr>
          <w:p w14:paraId="2ADF196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0.000</w:t>
            </w:r>
          </w:p>
        </w:tc>
        <w:tc>
          <w:tcPr>
            <w:tcW w:w="1086" w:type="pct"/>
            <w:noWrap/>
            <w:vAlign w:val="center"/>
          </w:tcPr>
          <w:p w14:paraId="4BDE952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0.001</w:t>
            </w:r>
          </w:p>
        </w:tc>
        <w:tc>
          <w:tcPr>
            <w:tcW w:w="1284" w:type="pct"/>
            <w:noWrap/>
            <w:vAlign w:val="center"/>
          </w:tcPr>
          <w:p w14:paraId="350DDCD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78.237</w:t>
            </w:r>
          </w:p>
        </w:tc>
      </w:tr>
      <w:tr w14:paraId="5472B7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361" w:type="pct"/>
            <w:noWrap/>
            <w:vAlign w:val="center"/>
          </w:tcPr>
          <w:p w14:paraId="4510478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40</w:t>
            </w:r>
          </w:p>
        </w:tc>
        <w:tc>
          <w:tcPr>
            <w:tcW w:w="1269" w:type="pct"/>
            <w:noWrap/>
            <w:vAlign w:val="center"/>
          </w:tcPr>
          <w:p w14:paraId="1C947A2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0.000</w:t>
            </w:r>
          </w:p>
        </w:tc>
        <w:tc>
          <w:tcPr>
            <w:tcW w:w="1086" w:type="pct"/>
            <w:noWrap/>
            <w:vAlign w:val="center"/>
          </w:tcPr>
          <w:p w14:paraId="071E226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0.000</w:t>
            </w:r>
          </w:p>
        </w:tc>
        <w:tc>
          <w:tcPr>
            <w:tcW w:w="1284" w:type="pct"/>
            <w:noWrap/>
            <w:vAlign w:val="center"/>
          </w:tcPr>
          <w:p w14:paraId="2A1A77C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48.814</w:t>
            </w:r>
          </w:p>
        </w:tc>
      </w:tr>
      <w:tr w14:paraId="7B5940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361" w:type="pct"/>
            <w:noWrap/>
            <w:vAlign w:val="center"/>
          </w:tcPr>
          <w:p w14:paraId="4FFC8D1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45</w:t>
            </w:r>
          </w:p>
        </w:tc>
        <w:tc>
          <w:tcPr>
            <w:tcW w:w="1269" w:type="pct"/>
            <w:noWrap/>
            <w:vAlign w:val="center"/>
          </w:tcPr>
          <w:p w14:paraId="26BE464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0.000</w:t>
            </w:r>
          </w:p>
        </w:tc>
        <w:tc>
          <w:tcPr>
            <w:tcW w:w="1086" w:type="pct"/>
            <w:noWrap/>
            <w:vAlign w:val="center"/>
          </w:tcPr>
          <w:p w14:paraId="6C9B339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0.000</w:t>
            </w:r>
          </w:p>
        </w:tc>
        <w:tc>
          <w:tcPr>
            <w:tcW w:w="1284" w:type="pct"/>
            <w:noWrap/>
            <w:vAlign w:val="center"/>
          </w:tcPr>
          <w:p w14:paraId="1915FB6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28.749</w:t>
            </w:r>
          </w:p>
        </w:tc>
      </w:tr>
      <w:tr w14:paraId="668A1C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361" w:type="pct"/>
            <w:noWrap/>
            <w:vAlign w:val="center"/>
          </w:tcPr>
          <w:p w14:paraId="2A02E82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50</w:t>
            </w:r>
          </w:p>
        </w:tc>
        <w:tc>
          <w:tcPr>
            <w:tcW w:w="1269" w:type="pct"/>
            <w:noWrap/>
            <w:vAlign w:val="center"/>
          </w:tcPr>
          <w:p w14:paraId="4C91521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0.000</w:t>
            </w:r>
          </w:p>
        </w:tc>
        <w:tc>
          <w:tcPr>
            <w:tcW w:w="1086" w:type="pct"/>
            <w:noWrap/>
            <w:vAlign w:val="center"/>
          </w:tcPr>
          <w:p w14:paraId="7E08584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0.000</w:t>
            </w:r>
          </w:p>
        </w:tc>
        <w:tc>
          <w:tcPr>
            <w:tcW w:w="1284" w:type="pct"/>
            <w:noWrap/>
            <w:vAlign w:val="center"/>
          </w:tcPr>
          <w:p w14:paraId="2130C1D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15.965</w:t>
            </w:r>
          </w:p>
        </w:tc>
      </w:tr>
      <w:tr w14:paraId="440194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361" w:type="pct"/>
            <w:noWrap/>
            <w:vAlign w:val="center"/>
          </w:tcPr>
          <w:p w14:paraId="5B67722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60</w:t>
            </w:r>
          </w:p>
        </w:tc>
        <w:tc>
          <w:tcPr>
            <w:tcW w:w="1269" w:type="pct"/>
            <w:noWrap/>
            <w:vAlign w:val="center"/>
          </w:tcPr>
          <w:p w14:paraId="2A92A4B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0.000</w:t>
            </w:r>
          </w:p>
        </w:tc>
        <w:tc>
          <w:tcPr>
            <w:tcW w:w="1086" w:type="pct"/>
            <w:noWrap/>
            <w:vAlign w:val="center"/>
          </w:tcPr>
          <w:p w14:paraId="56C6184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0.000</w:t>
            </w:r>
          </w:p>
        </w:tc>
        <w:tc>
          <w:tcPr>
            <w:tcW w:w="1284" w:type="pct"/>
            <w:noWrap/>
            <w:vAlign w:val="center"/>
          </w:tcPr>
          <w:p w14:paraId="089E828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4.114</w:t>
            </w:r>
          </w:p>
        </w:tc>
      </w:tr>
      <w:tr w14:paraId="4D2E03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361" w:type="pct"/>
            <w:noWrap/>
            <w:vAlign w:val="center"/>
          </w:tcPr>
          <w:p w14:paraId="0BB7A6E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70</w:t>
            </w:r>
          </w:p>
        </w:tc>
        <w:tc>
          <w:tcPr>
            <w:tcW w:w="1269" w:type="pct"/>
            <w:noWrap/>
            <w:vAlign w:val="center"/>
          </w:tcPr>
          <w:p w14:paraId="1F8A47C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0.000</w:t>
            </w:r>
          </w:p>
        </w:tc>
        <w:tc>
          <w:tcPr>
            <w:tcW w:w="1086" w:type="pct"/>
            <w:noWrap/>
            <w:vAlign w:val="center"/>
          </w:tcPr>
          <w:p w14:paraId="16F16E8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0.000</w:t>
            </w:r>
          </w:p>
        </w:tc>
        <w:tc>
          <w:tcPr>
            <w:tcW w:w="1284" w:type="pct"/>
            <w:noWrap/>
            <w:vAlign w:val="center"/>
          </w:tcPr>
          <w:p w14:paraId="472AB9F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0.831</w:t>
            </w:r>
          </w:p>
        </w:tc>
      </w:tr>
      <w:tr w14:paraId="0DE44B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361" w:type="pct"/>
            <w:noWrap/>
            <w:vAlign w:val="center"/>
          </w:tcPr>
          <w:p w14:paraId="794A9CC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80</w:t>
            </w:r>
          </w:p>
        </w:tc>
        <w:tc>
          <w:tcPr>
            <w:tcW w:w="1269" w:type="pct"/>
            <w:noWrap/>
            <w:vAlign w:val="center"/>
          </w:tcPr>
          <w:p w14:paraId="3E6E2BE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0.000</w:t>
            </w:r>
          </w:p>
        </w:tc>
        <w:tc>
          <w:tcPr>
            <w:tcW w:w="1086" w:type="pct"/>
            <w:noWrap/>
            <w:vAlign w:val="center"/>
          </w:tcPr>
          <w:p w14:paraId="239634A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0.000</w:t>
            </w:r>
          </w:p>
        </w:tc>
        <w:tc>
          <w:tcPr>
            <w:tcW w:w="1284" w:type="pct"/>
            <w:noWrap/>
            <w:vAlign w:val="center"/>
          </w:tcPr>
          <w:p w14:paraId="546DA87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0.131</w:t>
            </w:r>
          </w:p>
        </w:tc>
      </w:tr>
      <w:tr w14:paraId="718E4F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361" w:type="pct"/>
            <w:noWrap/>
            <w:vAlign w:val="center"/>
          </w:tcPr>
          <w:p w14:paraId="0A24B97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90</w:t>
            </w:r>
          </w:p>
        </w:tc>
        <w:tc>
          <w:tcPr>
            <w:tcW w:w="1269" w:type="pct"/>
            <w:noWrap/>
            <w:vAlign w:val="center"/>
          </w:tcPr>
          <w:p w14:paraId="3DEAF17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0.000</w:t>
            </w:r>
          </w:p>
        </w:tc>
        <w:tc>
          <w:tcPr>
            <w:tcW w:w="1086" w:type="pct"/>
            <w:noWrap/>
            <w:vAlign w:val="center"/>
          </w:tcPr>
          <w:p w14:paraId="793DBAF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0.000</w:t>
            </w:r>
          </w:p>
        </w:tc>
        <w:tc>
          <w:tcPr>
            <w:tcW w:w="1284" w:type="pct"/>
            <w:noWrap/>
            <w:vAlign w:val="center"/>
          </w:tcPr>
          <w:p w14:paraId="503A8F0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0.016</w:t>
            </w:r>
          </w:p>
        </w:tc>
      </w:tr>
      <w:tr w14:paraId="76591B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361" w:type="pct"/>
            <w:noWrap/>
            <w:vAlign w:val="center"/>
          </w:tcPr>
          <w:p w14:paraId="7B8B8A7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100</w:t>
            </w:r>
          </w:p>
        </w:tc>
        <w:tc>
          <w:tcPr>
            <w:tcW w:w="1269" w:type="pct"/>
            <w:noWrap/>
            <w:vAlign w:val="center"/>
          </w:tcPr>
          <w:p w14:paraId="334B78A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0.000</w:t>
            </w:r>
          </w:p>
        </w:tc>
        <w:tc>
          <w:tcPr>
            <w:tcW w:w="1086" w:type="pct"/>
            <w:noWrap/>
            <w:vAlign w:val="center"/>
          </w:tcPr>
          <w:p w14:paraId="716089E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0.000</w:t>
            </w:r>
          </w:p>
        </w:tc>
        <w:tc>
          <w:tcPr>
            <w:tcW w:w="1284" w:type="pct"/>
            <w:noWrap/>
            <w:vAlign w:val="center"/>
          </w:tcPr>
          <w:p w14:paraId="1F96C6E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14:textFill>
                  <w14:solidFill>
                    <w14:schemeClr w14:val="tx1"/>
                  </w14:solidFill>
                </w14:textFill>
              </w:rPr>
              <w:t>0.002</w:t>
            </w:r>
          </w:p>
        </w:tc>
      </w:tr>
      <w:tr w14:paraId="1CA40A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361" w:type="pct"/>
            <w:noWrap/>
            <w:vAlign w:val="center"/>
          </w:tcPr>
          <w:p w14:paraId="538994E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110</w:t>
            </w:r>
          </w:p>
        </w:tc>
        <w:tc>
          <w:tcPr>
            <w:tcW w:w="1269" w:type="pct"/>
            <w:noWrap/>
            <w:vAlign w:val="center"/>
          </w:tcPr>
          <w:p w14:paraId="6023005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0.000</w:t>
            </w:r>
          </w:p>
        </w:tc>
        <w:tc>
          <w:tcPr>
            <w:tcW w:w="1086" w:type="pct"/>
            <w:noWrap/>
            <w:vAlign w:val="center"/>
          </w:tcPr>
          <w:p w14:paraId="39D1FFC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0.000</w:t>
            </w:r>
          </w:p>
        </w:tc>
        <w:tc>
          <w:tcPr>
            <w:tcW w:w="1284" w:type="pct"/>
            <w:noWrap/>
            <w:vAlign w:val="center"/>
          </w:tcPr>
          <w:p w14:paraId="484F134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0.000</w:t>
            </w:r>
          </w:p>
        </w:tc>
      </w:tr>
      <w:tr w14:paraId="78F98A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5000" w:type="pct"/>
            <w:gridSpan w:val="4"/>
            <w:noWrap/>
            <w:vAlign w:val="center"/>
          </w:tcPr>
          <w:p w14:paraId="5C31AE53">
            <w:pPr>
              <w:pStyle w:val="82"/>
              <w:spacing w:line="240" w:lineRule="auto"/>
              <w:ind w:firstLine="0" w:firstLineChars="0"/>
              <w:jc w:val="both"/>
              <w:rPr>
                <w:rFonts w:ascii="Times New Roman" w:hAnsi="Times New Roman" w:cs="Times New Roman"/>
                <w:color w:val="000000" w:themeColor="text1"/>
                <w:sz w:val="21"/>
                <w:szCs w:val="21"/>
                <w14:textFill>
                  <w14:solidFill>
                    <w14:schemeClr w14:val="tx1"/>
                  </w14:solidFill>
                </w14:textFill>
                <w14:ligatures w14:val="none"/>
              </w:rPr>
            </w:pPr>
            <w:r>
              <w:rPr>
                <w:rFonts w:ascii="Times New Roman" w:hAnsi="Times New Roman" w:cs="Times New Roman"/>
                <w:color w:val="000000" w:themeColor="text1"/>
                <w:sz w:val="21"/>
                <w:szCs w:val="21"/>
                <w:lang w:bidi="ar"/>
                <w14:textFill>
                  <w14:solidFill>
                    <w14:schemeClr w14:val="tx1"/>
                  </w14:solidFill>
                </w14:textFill>
                <w14:ligatures w14:val="none"/>
              </w:rPr>
              <w:t>注：采用地下水质量标准中</w:t>
            </w:r>
            <w:r>
              <w:rPr>
                <w:rFonts w:hint="eastAsia" w:ascii="Times New Roman" w:hAnsi="Times New Roman" w:cs="Times New Roman"/>
                <w:color w:val="000000" w:themeColor="text1"/>
                <w:sz w:val="21"/>
                <w:szCs w:val="21"/>
                <w:lang w:bidi="ar"/>
                <w14:textFill>
                  <w14:solidFill>
                    <w14:schemeClr w14:val="tx1"/>
                  </w14:solidFill>
                </w14:textFill>
                <w14:ligatures w14:val="none"/>
              </w:rPr>
              <w:t>挥发性酚类</w:t>
            </w:r>
            <w:r>
              <w:rPr>
                <w:rFonts w:ascii="Times New Roman" w:hAnsi="Times New Roman" w:cs="Times New Roman"/>
                <w:color w:val="000000" w:themeColor="text1"/>
                <w:sz w:val="21"/>
                <w:szCs w:val="21"/>
                <w:lang w:bidi="ar"/>
                <w14:textFill>
                  <w14:solidFill>
                    <w14:schemeClr w14:val="tx1"/>
                  </w14:solidFill>
                </w14:textFill>
                <w14:ligatures w14:val="none"/>
              </w:rPr>
              <w:t>的III类标准，标准限值为</w:t>
            </w:r>
            <w:r>
              <w:rPr>
                <w:rFonts w:hint="eastAsia" w:ascii="Times New Roman" w:hAnsi="Times New Roman" w:cs="Times New Roman"/>
                <w:color w:val="000000" w:themeColor="text1"/>
                <w:sz w:val="21"/>
                <w:szCs w:val="21"/>
                <w:lang w:bidi="ar"/>
                <w14:textFill>
                  <w14:solidFill>
                    <w14:schemeClr w14:val="tx1"/>
                  </w14:solidFill>
                </w14:textFill>
                <w14:ligatures w14:val="none"/>
              </w:rPr>
              <w:t>0.002</w:t>
            </w:r>
            <w:r>
              <w:rPr>
                <w:rFonts w:ascii="Times New Roman" w:hAnsi="Times New Roman" w:cs="Times New Roman"/>
                <w:color w:val="000000" w:themeColor="text1"/>
                <w:sz w:val="21"/>
                <w:szCs w:val="21"/>
                <w:lang w:bidi="ar"/>
                <w14:textFill>
                  <w14:solidFill>
                    <w14:schemeClr w14:val="tx1"/>
                  </w14:solidFill>
                </w14:textFill>
                <w14:ligatures w14:val="none"/>
              </w:rPr>
              <w:t>mg/L</w:t>
            </w:r>
            <w:r>
              <w:rPr>
                <w:rFonts w:hint="eastAsia" w:ascii="Times New Roman" w:hAnsi="Times New Roman" w:cs="Times New Roman"/>
                <w:color w:val="000000" w:themeColor="text1"/>
                <w:sz w:val="21"/>
                <w:szCs w:val="21"/>
                <w:lang w:bidi="ar"/>
                <w14:textFill>
                  <w14:solidFill>
                    <w14:schemeClr w14:val="tx1"/>
                  </w14:solidFill>
                </w14:textFill>
                <w14:ligatures w14:val="none"/>
              </w:rPr>
              <w:t>。</w:t>
            </w:r>
          </w:p>
        </w:tc>
      </w:tr>
    </w:tbl>
    <w:p w14:paraId="1834137D">
      <w:pPr>
        <w:ind w:firstLine="468" w:firstLineChars="200"/>
        <w:rPr>
          <w:rFonts w:cs="Times New Roman"/>
          <w:spacing w:val="-3"/>
        </w:rPr>
      </w:pPr>
    </w:p>
    <w:p w14:paraId="20DC689F">
      <w:pPr>
        <w:spacing w:line="240" w:lineRule="auto"/>
        <w:jc w:val="center"/>
        <w:rPr>
          <w:rFonts w:cs="Times New Roman"/>
          <w:spacing w:val="-3"/>
        </w:rPr>
      </w:pPr>
      <w:r>
        <w:drawing>
          <wp:inline distT="0" distB="0" distL="0" distR="0">
            <wp:extent cx="5375910" cy="3211195"/>
            <wp:effectExtent l="0" t="0" r="15240" b="8255"/>
            <wp:docPr id="422144994" name="图表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42A656CE">
      <w:pPr>
        <w:pStyle w:val="28"/>
        <w:rPr>
          <w:rFonts w:hint="eastAsia"/>
        </w:rPr>
      </w:pPr>
      <w:r>
        <w:rPr>
          <w:rFonts w:hint="eastAsia"/>
        </w:rPr>
        <w:t>图6.6-2 地下水挥发性酚类预测结果示意图</w:t>
      </w:r>
    </w:p>
    <w:p w14:paraId="025CFBC6">
      <w:pPr>
        <w:widowControl/>
        <w:ind w:firstLine="480"/>
        <w:rPr>
          <w:lang w:bidi="ar"/>
        </w:rPr>
      </w:pPr>
      <w:r>
        <w:rPr>
          <w:rFonts w:hint="eastAsia"/>
          <w:lang w:bidi="ar"/>
        </w:rPr>
        <w:t>根据预测结果</w:t>
      </w:r>
      <w:r>
        <w:rPr>
          <w:lang w:bidi="ar"/>
        </w:rPr>
        <w:t>，在</w:t>
      </w:r>
      <w:r>
        <w:rPr>
          <w:rFonts w:hint="eastAsia"/>
          <w:lang w:bidi="ar"/>
        </w:rPr>
        <w:t>高浓废水暂存罐</w:t>
      </w:r>
      <w:r>
        <w:rPr>
          <w:lang w:bidi="ar"/>
        </w:rPr>
        <w:t>出现破损或破裂</w:t>
      </w:r>
      <w:r>
        <w:rPr>
          <w:rFonts w:hint="eastAsia"/>
          <w:lang w:bidi="ar"/>
        </w:rPr>
        <w:t>，废水</w:t>
      </w:r>
      <w:r>
        <w:rPr>
          <w:lang w:bidi="ar"/>
        </w:rPr>
        <w:t>发生渗漏的非正常状况下，</w:t>
      </w:r>
      <w:r>
        <w:rPr>
          <w:rFonts w:hint="eastAsia"/>
          <w:lang w:bidi="ar"/>
        </w:rPr>
        <w:t>废水</w:t>
      </w:r>
      <w:r>
        <w:rPr>
          <w:lang w:bidi="ar"/>
        </w:rPr>
        <w:t>持续渗入含水层中运移100d后，地下水环境受</w:t>
      </w:r>
      <w:r>
        <w:rPr>
          <w:rFonts w:hint="eastAsia" w:cs="Times New Roman"/>
          <w:spacing w:val="-3"/>
        </w:rPr>
        <w:t>挥发性酚类</w:t>
      </w:r>
      <w:r>
        <w:rPr>
          <w:lang w:bidi="ar"/>
        </w:rPr>
        <w:t>影响的最大距离约为</w:t>
      </w:r>
      <w:r>
        <w:rPr>
          <w:rFonts w:hint="eastAsia"/>
          <w:lang w:bidi="ar"/>
        </w:rPr>
        <w:t>10</w:t>
      </w:r>
      <w:r>
        <w:rPr>
          <w:lang w:bidi="ar"/>
        </w:rPr>
        <w:t>m，地下水中</w:t>
      </w:r>
      <w:r>
        <w:rPr>
          <w:rFonts w:hint="eastAsia" w:cs="Times New Roman"/>
          <w:spacing w:val="-3"/>
        </w:rPr>
        <w:t>挥发性酚类</w:t>
      </w:r>
      <w:r>
        <w:rPr>
          <w:lang w:bidi="ar"/>
        </w:rPr>
        <w:t>的贡献值约为0.</w:t>
      </w:r>
      <w:r>
        <w:rPr>
          <w:rFonts w:hint="eastAsia"/>
          <w:lang w:bidi="ar"/>
        </w:rPr>
        <w:t>007</w:t>
      </w:r>
      <w:r>
        <w:rPr>
          <w:lang w:bidi="ar"/>
        </w:rPr>
        <w:t>mg/L；运移</w:t>
      </w:r>
      <w:r>
        <w:rPr>
          <w:rFonts w:hint="eastAsia"/>
          <w:lang w:bidi="ar"/>
        </w:rPr>
        <w:t>1000d</w:t>
      </w:r>
      <w:r>
        <w:rPr>
          <w:lang w:bidi="ar"/>
        </w:rPr>
        <w:t>后地下水环境受</w:t>
      </w:r>
      <w:r>
        <w:rPr>
          <w:rFonts w:hint="eastAsia" w:cs="Times New Roman"/>
          <w:spacing w:val="-3"/>
        </w:rPr>
        <w:t>挥发性酚类</w:t>
      </w:r>
      <w:r>
        <w:rPr>
          <w:lang w:bidi="ar"/>
        </w:rPr>
        <w:t>影响的最大距离约为</w:t>
      </w:r>
      <w:r>
        <w:rPr>
          <w:rFonts w:hint="eastAsia"/>
          <w:lang w:bidi="ar"/>
        </w:rPr>
        <w:t>35</w:t>
      </w:r>
      <w:r>
        <w:rPr>
          <w:lang w:bidi="ar"/>
        </w:rPr>
        <w:t>m，贡献值约为0</w:t>
      </w:r>
      <w:r>
        <w:rPr>
          <w:rFonts w:hint="eastAsia"/>
          <w:lang w:bidi="ar"/>
        </w:rPr>
        <w:t>.001</w:t>
      </w:r>
      <w:r>
        <w:rPr>
          <w:lang w:bidi="ar"/>
        </w:rPr>
        <w:t>mg/L；运移</w:t>
      </w:r>
      <w:r>
        <w:rPr>
          <w:rFonts w:hint="eastAsia"/>
          <w:lang w:bidi="ar"/>
        </w:rPr>
        <w:t>7300</w:t>
      </w:r>
      <w:r>
        <w:rPr>
          <w:lang w:bidi="ar"/>
        </w:rPr>
        <w:t>d后地下水环境受</w:t>
      </w:r>
      <w:r>
        <w:rPr>
          <w:rFonts w:hint="eastAsia" w:cs="Times New Roman"/>
          <w:spacing w:val="-3"/>
        </w:rPr>
        <w:t>挥发性酚类</w:t>
      </w:r>
      <w:r>
        <w:rPr>
          <w:lang w:bidi="ar"/>
        </w:rPr>
        <w:t>影响的最大距离约为</w:t>
      </w:r>
      <w:r>
        <w:rPr>
          <w:rFonts w:hint="eastAsia"/>
          <w:lang w:bidi="ar"/>
        </w:rPr>
        <w:t>100</w:t>
      </w:r>
      <w:r>
        <w:rPr>
          <w:lang w:bidi="ar"/>
        </w:rPr>
        <w:t>m，贡献值约为</w:t>
      </w:r>
      <w:r>
        <w:rPr>
          <w:rFonts w:hint="eastAsia"/>
          <w:lang w:bidi="ar"/>
        </w:rPr>
        <w:t>0.002</w:t>
      </w:r>
      <w:r>
        <w:rPr>
          <w:lang w:bidi="ar"/>
        </w:rPr>
        <w:t>mg/L</w:t>
      </w:r>
      <w:r>
        <w:rPr>
          <w:rFonts w:hint="eastAsia"/>
          <w:lang w:bidi="ar"/>
        </w:rPr>
        <w:t>。</w:t>
      </w:r>
    </w:p>
    <w:p w14:paraId="443393BA">
      <w:pPr>
        <w:ind w:firstLine="468" w:firstLineChars="200"/>
        <w:rPr>
          <w:rFonts w:cs="Times New Roman"/>
          <w:spacing w:val="-3"/>
        </w:rPr>
      </w:pPr>
      <w:r>
        <w:rPr>
          <w:rFonts w:hint="eastAsia" w:cs="Times New Roman"/>
          <w:spacing w:val="-3"/>
        </w:rPr>
        <w:t>由预测结果可知，在废水渗入地下后，废水通过渗透作用可对地下水造成一定的影响，但整体影响范围主要集中在地下水径流的下游方向，污染物在地下水对流作用的影响下，污染中心区域向下游方向迁移，污染物最大迁移距离为110m，未超出厂界范围，故本项目对地下水产生影响较小。</w:t>
      </w:r>
    </w:p>
    <w:p w14:paraId="09B71447">
      <w:pPr>
        <w:ind w:firstLine="480" w:firstLineChars="200"/>
        <w:rPr>
          <w:rFonts w:cs="Times New Roman"/>
          <w:spacing w:val="-3"/>
        </w:rPr>
      </w:pPr>
      <w:r>
        <w:rPr>
          <w:rFonts w:hint="eastAsia"/>
        </w:rPr>
        <w:t>运行期定期检查罐体及防渗层的破损情况，若发现有破损部位须及时进行修补。项目运行期间，需加强管理和监督检查，杜绝非正常情况的发生，避免污染物进入土壤及地下水含水层中。</w:t>
      </w:r>
    </w:p>
    <w:p w14:paraId="4F9199C5">
      <w:pPr>
        <w:pStyle w:val="3"/>
        <w:spacing w:before="326"/>
        <w:rPr>
          <w:rFonts w:hint="eastAsia"/>
        </w:rPr>
      </w:pPr>
      <w:bookmarkStart w:id="110" w:name="_Toc221056429"/>
      <w:r>
        <w:rPr>
          <w:rFonts w:hint="eastAsia"/>
        </w:rPr>
        <w:t>6.7土壤环境影响分析</w:t>
      </w:r>
      <w:bookmarkEnd w:id="110"/>
    </w:p>
    <w:p w14:paraId="1FC4FA54">
      <w:pPr>
        <w:pStyle w:val="4"/>
        <w:rPr>
          <w:rFonts w:hint="eastAsia"/>
        </w:rPr>
      </w:pPr>
      <w:bookmarkStart w:id="111" w:name="_Toc221056430"/>
      <w:r>
        <w:rPr>
          <w:rFonts w:hint="eastAsia"/>
        </w:rPr>
        <w:t>6.7.1土壤环境影响识别</w:t>
      </w:r>
      <w:bookmarkEnd w:id="111"/>
    </w:p>
    <w:p w14:paraId="62C4213C">
      <w:pPr>
        <w:pStyle w:val="16"/>
        <w:ind w:firstLine="480"/>
      </w:pPr>
      <w:r>
        <w:rPr>
          <w:rFonts w:hint="eastAsia"/>
        </w:rPr>
        <w:t>(</w:t>
      </w:r>
      <w:r>
        <w:t>1</w:t>
      </w:r>
      <w:r>
        <w:rPr>
          <w:rFonts w:hint="eastAsia"/>
        </w:rPr>
        <w:t>)项目类别</w:t>
      </w:r>
    </w:p>
    <w:p w14:paraId="193BE7E5">
      <w:pPr>
        <w:pStyle w:val="16"/>
        <w:ind w:firstLine="480"/>
      </w:pPr>
      <w:r>
        <w:rPr>
          <w:rFonts w:hint="eastAsia"/>
        </w:rPr>
        <w:t>本项目属于《环境影响评价技术导则</w:t>
      </w:r>
      <w:r>
        <w:t xml:space="preserve"> </w:t>
      </w:r>
      <w:r>
        <w:rPr>
          <w:rFonts w:hint="eastAsia"/>
        </w:rPr>
        <w:t>土壤环境(</w:t>
      </w:r>
      <w:r>
        <w:t>HJ964-2018</w:t>
      </w:r>
      <w:r>
        <w:rPr>
          <w:rFonts w:hint="eastAsia"/>
        </w:rPr>
        <w:t>)》附录</w:t>
      </w:r>
      <w:r>
        <w:t>A</w:t>
      </w:r>
      <w:r>
        <w:rPr>
          <w:rFonts w:hint="eastAsia"/>
        </w:rPr>
        <w:t>土壤环境影响评价项目类别中：“制造业：石油、化工中的化学原料和化学制品制造”，项目类别为</w:t>
      </w:r>
      <w:r>
        <w:t>I</w:t>
      </w:r>
      <w:r>
        <w:rPr>
          <w:rFonts w:hint="eastAsia"/>
        </w:rPr>
        <w:t>类。</w:t>
      </w:r>
    </w:p>
    <w:p w14:paraId="2A3C01A7">
      <w:pPr>
        <w:pStyle w:val="16"/>
        <w:ind w:firstLine="480"/>
      </w:pPr>
      <w:r>
        <w:rPr>
          <w:rFonts w:hint="eastAsia"/>
        </w:rPr>
        <w:t>(2)项目土壤环境影响类型与影响途径</w:t>
      </w:r>
    </w:p>
    <w:p w14:paraId="5B1825C1">
      <w:pPr>
        <w:pStyle w:val="16"/>
        <w:ind w:firstLine="480"/>
      </w:pPr>
      <w:r>
        <w:rPr>
          <w:rFonts w:hint="eastAsia"/>
        </w:rPr>
        <w:t>本项目属于污染影响型项目，其土壤环境影响类型与影响途径主要包括运营过程中的大气沉降和垂直入渗影响，具体识别表如下：</w:t>
      </w:r>
    </w:p>
    <w:p w14:paraId="486D3EE5">
      <w:pPr>
        <w:pStyle w:val="28"/>
        <w:rPr>
          <w:rFonts w:hint="eastAsia"/>
        </w:rPr>
      </w:pPr>
      <w:r>
        <w:rPr>
          <w:rFonts w:hint="eastAsia"/>
        </w:rPr>
        <w:t>表6</w:t>
      </w:r>
      <w:r>
        <w:t>.</w:t>
      </w:r>
      <w:r>
        <w:rPr>
          <w:rFonts w:hint="eastAsia"/>
        </w:rPr>
        <w:t>7</w:t>
      </w:r>
      <w:r>
        <w:t>-1</w:t>
      </w:r>
      <w:r>
        <w:rPr>
          <w:rFonts w:hint="eastAsia"/>
        </w:rPr>
        <w:t xml:space="preserve"> </w:t>
      </w:r>
      <w:r>
        <w:t xml:space="preserve"> </w:t>
      </w:r>
      <w:r>
        <w:rPr>
          <w:rFonts w:hint="eastAsia"/>
        </w:rPr>
        <w:t>项目土壤环境影响类型与影响途径表</w:t>
      </w:r>
    </w:p>
    <w:tbl>
      <w:tblPr>
        <w:tblStyle w:val="36"/>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1855"/>
        <w:gridCol w:w="1855"/>
        <w:gridCol w:w="1859"/>
        <w:gridCol w:w="1857"/>
        <w:gridCol w:w="1860"/>
      </w:tblGrid>
      <w:tr w14:paraId="2BF323D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48" w:hRule="atLeast"/>
          <w:jc w:val="center"/>
        </w:trPr>
        <w:tc>
          <w:tcPr>
            <w:tcW w:w="999" w:type="pct"/>
            <w:vMerge w:val="restart"/>
            <w:tcBorders>
              <w:top w:val="single" w:color="auto" w:sz="4" w:space="0"/>
              <w:left w:val="single" w:color="auto" w:sz="4" w:space="0"/>
              <w:bottom w:val="single" w:color="auto" w:sz="4" w:space="0"/>
              <w:right w:val="single" w:color="auto" w:sz="4" w:space="0"/>
            </w:tcBorders>
            <w:vAlign w:val="center"/>
          </w:tcPr>
          <w:p w14:paraId="2212B29B">
            <w:pPr>
              <w:pStyle w:val="64"/>
            </w:pPr>
            <w:r>
              <w:rPr>
                <w:rFonts w:hint="eastAsia"/>
              </w:rPr>
              <w:t>不同时段</w:t>
            </w:r>
          </w:p>
        </w:tc>
        <w:tc>
          <w:tcPr>
            <w:tcW w:w="4001" w:type="pct"/>
            <w:gridSpan w:val="4"/>
            <w:tcBorders>
              <w:top w:val="single" w:color="auto" w:sz="4" w:space="0"/>
              <w:left w:val="single" w:color="auto" w:sz="4" w:space="0"/>
              <w:bottom w:val="single" w:color="auto" w:sz="4" w:space="0"/>
              <w:right w:val="single" w:color="auto" w:sz="4" w:space="0"/>
            </w:tcBorders>
            <w:vAlign w:val="center"/>
          </w:tcPr>
          <w:p w14:paraId="425AAEDD">
            <w:pPr>
              <w:pStyle w:val="64"/>
            </w:pPr>
            <w:r>
              <w:rPr>
                <w:rFonts w:hint="eastAsia"/>
              </w:rPr>
              <w:t>污染影响型</w:t>
            </w:r>
          </w:p>
        </w:tc>
      </w:tr>
      <w:tr w14:paraId="249773F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48" w:hRule="atLeast"/>
          <w:jc w:val="center"/>
        </w:trPr>
        <w:tc>
          <w:tcPr>
            <w:tcW w:w="999" w:type="pct"/>
            <w:vMerge w:val="continue"/>
            <w:tcBorders>
              <w:top w:val="single" w:color="auto" w:sz="4" w:space="0"/>
              <w:left w:val="single" w:color="auto" w:sz="4" w:space="0"/>
              <w:bottom w:val="single" w:color="auto" w:sz="4" w:space="0"/>
              <w:right w:val="single" w:color="auto" w:sz="4" w:space="0"/>
            </w:tcBorders>
            <w:vAlign w:val="center"/>
          </w:tcPr>
          <w:p w14:paraId="29B38504">
            <w:pPr>
              <w:pStyle w:val="64"/>
            </w:pPr>
          </w:p>
        </w:tc>
        <w:tc>
          <w:tcPr>
            <w:tcW w:w="999" w:type="pct"/>
            <w:tcBorders>
              <w:top w:val="single" w:color="auto" w:sz="4" w:space="0"/>
              <w:left w:val="single" w:color="auto" w:sz="4" w:space="0"/>
              <w:bottom w:val="single" w:color="auto" w:sz="4" w:space="0"/>
              <w:right w:val="single" w:color="auto" w:sz="4" w:space="0"/>
            </w:tcBorders>
            <w:vAlign w:val="center"/>
          </w:tcPr>
          <w:p w14:paraId="6702B8FA">
            <w:pPr>
              <w:pStyle w:val="64"/>
            </w:pPr>
            <w:r>
              <w:rPr>
                <w:rFonts w:hint="eastAsia"/>
              </w:rPr>
              <w:t>大气沉降</w:t>
            </w:r>
          </w:p>
        </w:tc>
        <w:tc>
          <w:tcPr>
            <w:tcW w:w="1001" w:type="pct"/>
            <w:tcBorders>
              <w:top w:val="single" w:color="auto" w:sz="4" w:space="0"/>
              <w:left w:val="single" w:color="auto" w:sz="4" w:space="0"/>
              <w:bottom w:val="single" w:color="auto" w:sz="4" w:space="0"/>
              <w:right w:val="single" w:color="auto" w:sz="4" w:space="0"/>
            </w:tcBorders>
            <w:vAlign w:val="center"/>
          </w:tcPr>
          <w:p w14:paraId="6E7F3672">
            <w:pPr>
              <w:pStyle w:val="64"/>
            </w:pPr>
            <w:r>
              <w:rPr>
                <w:rFonts w:hint="eastAsia"/>
              </w:rPr>
              <w:t>地面漫流</w:t>
            </w:r>
          </w:p>
        </w:tc>
        <w:tc>
          <w:tcPr>
            <w:tcW w:w="1000" w:type="pct"/>
            <w:tcBorders>
              <w:top w:val="single" w:color="auto" w:sz="4" w:space="0"/>
              <w:left w:val="single" w:color="auto" w:sz="4" w:space="0"/>
              <w:bottom w:val="single" w:color="auto" w:sz="4" w:space="0"/>
              <w:right w:val="single" w:color="auto" w:sz="4" w:space="0"/>
            </w:tcBorders>
            <w:vAlign w:val="center"/>
          </w:tcPr>
          <w:p w14:paraId="21589546">
            <w:pPr>
              <w:pStyle w:val="64"/>
            </w:pPr>
            <w:r>
              <w:rPr>
                <w:rFonts w:hint="eastAsia"/>
              </w:rPr>
              <w:t>垂直入渗</w:t>
            </w:r>
          </w:p>
        </w:tc>
        <w:tc>
          <w:tcPr>
            <w:tcW w:w="1001" w:type="pct"/>
            <w:tcBorders>
              <w:top w:val="single" w:color="auto" w:sz="4" w:space="0"/>
              <w:left w:val="single" w:color="auto" w:sz="4" w:space="0"/>
              <w:bottom w:val="single" w:color="auto" w:sz="4" w:space="0"/>
              <w:right w:val="single" w:color="auto" w:sz="4" w:space="0"/>
            </w:tcBorders>
            <w:vAlign w:val="center"/>
          </w:tcPr>
          <w:p w14:paraId="5E635A98">
            <w:pPr>
              <w:pStyle w:val="64"/>
            </w:pPr>
            <w:r>
              <w:rPr>
                <w:rFonts w:hint="eastAsia"/>
              </w:rPr>
              <w:t>其他</w:t>
            </w:r>
          </w:p>
        </w:tc>
      </w:tr>
      <w:tr w14:paraId="5D76D88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48" w:hRule="atLeast"/>
          <w:jc w:val="center"/>
        </w:trPr>
        <w:tc>
          <w:tcPr>
            <w:tcW w:w="999" w:type="pct"/>
            <w:tcBorders>
              <w:top w:val="single" w:color="auto" w:sz="4" w:space="0"/>
              <w:left w:val="single" w:color="auto" w:sz="4" w:space="0"/>
              <w:bottom w:val="single" w:color="auto" w:sz="4" w:space="0"/>
              <w:right w:val="single" w:color="auto" w:sz="4" w:space="0"/>
            </w:tcBorders>
            <w:vAlign w:val="center"/>
          </w:tcPr>
          <w:p w14:paraId="61481F58">
            <w:pPr>
              <w:pStyle w:val="64"/>
            </w:pPr>
            <w:r>
              <w:rPr>
                <w:rFonts w:hint="eastAsia"/>
              </w:rPr>
              <w:t>建设期</w:t>
            </w:r>
          </w:p>
        </w:tc>
        <w:tc>
          <w:tcPr>
            <w:tcW w:w="999" w:type="pct"/>
            <w:tcBorders>
              <w:top w:val="single" w:color="auto" w:sz="4" w:space="0"/>
              <w:left w:val="single" w:color="auto" w:sz="4" w:space="0"/>
              <w:bottom w:val="single" w:color="auto" w:sz="4" w:space="0"/>
              <w:right w:val="single" w:color="auto" w:sz="4" w:space="0"/>
            </w:tcBorders>
            <w:vAlign w:val="center"/>
          </w:tcPr>
          <w:p w14:paraId="26E76CA7">
            <w:pPr>
              <w:pStyle w:val="64"/>
            </w:pPr>
            <w:r>
              <w:t>/</w:t>
            </w:r>
          </w:p>
        </w:tc>
        <w:tc>
          <w:tcPr>
            <w:tcW w:w="1001" w:type="pct"/>
            <w:tcBorders>
              <w:top w:val="single" w:color="auto" w:sz="4" w:space="0"/>
              <w:left w:val="single" w:color="auto" w:sz="4" w:space="0"/>
              <w:bottom w:val="single" w:color="auto" w:sz="4" w:space="0"/>
              <w:right w:val="single" w:color="auto" w:sz="4" w:space="0"/>
            </w:tcBorders>
            <w:vAlign w:val="center"/>
          </w:tcPr>
          <w:p w14:paraId="17401BE9">
            <w:pPr>
              <w:pStyle w:val="64"/>
            </w:pPr>
            <w:r>
              <w:t>/</w:t>
            </w:r>
          </w:p>
        </w:tc>
        <w:tc>
          <w:tcPr>
            <w:tcW w:w="1000" w:type="pct"/>
            <w:tcBorders>
              <w:top w:val="single" w:color="auto" w:sz="4" w:space="0"/>
              <w:left w:val="single" w:color="auto" w:sz="4" w:space="0"/>
              <w:bottom w:val="single" w:color="auto" w:sz="4" w:space="0"/>
              <w:right w:val="single" w:color="auto" w:sz="4" w:space="0"/>
            </w:tcBorders>
            <w:vAlign w:val="center"/>
          </w:tcPr>
          <w:p w14:paraId="117B79F0">
            <w:pPr>
              <w:pStyle w:val="64"/>
            </w:pPr>
            <w:r>
              <w:t>/</w:t>
            </w:r>
          </w:p>
        </w:tc>
        <w:tc>
          <w:tcPr>
            <w:tcW w:w="1001" w:type="pct"/>
            <w:tcBorders>
              <w:top w:val="single" w:color="auto" w:sz="4" w:space="0"/>
              <w:left w:val="single" w:color="auto" w:sz="4" w:space="0"/>
              <w:bottom w:val="single" w:color="auto" w:sz="4" w:space="0"/>
              <w:right w:val="single" w:color="auto" w:sz="4" w:space="0"/>
            </w:tcBorders>
            <w:vAlign w:val="center"/>
          </w:tcPr>
          <w:p w14:paraId="490199D2">
            <w:pPr>
              <w:pStyle w:val="64"/>
            </w:pPr>
            <w:r>
              <w:t>/</w:t>
            </w:r>
          </w:p>
        </w:tc>
      </w:tr>
      <w:tr w14:paraId="07910C5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48" w:hRule="atLeast"/>
          <w:jc w:val="center"/>
        </w:trPr>
        <w:tc>
          <w:tcPr>
            <w:tcW w:w="999" w:type="pct"/>
            <w:tcBorders>
              <w:top w:val="single" w:color="auto" w:sz="4" w:space="0"/>
              <w:left w:val="single" w:color="auto" w:sz="4" w:space="0"/>
              <w:bottom w:val="single" w:color="auto" w:sz="4" w:space="0"/>
              <w:right w:val="single" w:color="auto" w:sz="4" w:space="0"/>
            </w:tcBorders>
            <w:vAlign w:val="center"/>
          </w:tcPr>
          <w:p w14:paraId="335D27E1">
            <w:pPr>
              <w:pStyle w:val="64"/>
            </w:pPr>
            <w:r>
              <w:rPr>
                <w:rFonts w:hint="eastAsia"/>
              </w:rPr>
              <w:t>运营期</w:t>
            </w:r>
          </w:p>
        </w:tc>
        <w:tc>
          <w:tcPr>
            <w:tcW w:w="999" w:type="pct"/>
            <w:tcBorders>
              <w:top w:val="single" w:color="auto" w:sz="4" w:space="0"/>
              <w:left w:val="single" w:color="auto" w:sz="4" w:space="0"/>
              <w:bottom w:val="single" w:color="auto" w:sz="4" w:space="0"/>
              <w:right w:val="single" w:color="auto" w:sz="4" w:space="0"/>
            </w:tcBorders>
            <w:vAlign w:val="center"/>
          </w:tcPr>
          <w:p w14:paraId="17CFBA1C">
            <w:pPr>
              <w:pStyle w:val="64"/>
            </w:pPr>
            <w:r>
              <w:t>√</w:t>
            </w:r>
          </w:p>
        </w:tc>
        <w:tc>
          <w:tcPr>
            <w:tcW w:w="1001" w:type="pct"/>
            <w:tcBorders>
              <w:top w:val="single" w:color="auto" w:sz="4" w:space="0"/>
              <w:left w:val="single" w:color="auto" w:sz="4" w:space="0"/>
              <w:bottom w:val="single" w:color="auto" w:sz="4" w:space="0"/>
              <w:right w:val="single" w:color="auto" w:sz="4" w:space="0"/>
            </w:tcBorders>
            <w:vAlign w:val="center"/>
          </w:tcPr>
          <w:p w14:paraId="17236FB5">
            <w:pPr>
              <w:pStyle w:val="64"/>
            </w:pPr>
            <w:r>
              <w:t>√</w:t>
            </w:r>
          </w:p>
        </w:tc>
        <w:tc>
          <w:tcPr>
            <w:tcW w:w="1000" w:type="pct"/>
            <w:tcBorders>
              <w:top w:val="single" w:color="auto" w:sz="4" w:space="0"/>
              <w:left w:val="single" w:color="auto" w:sz="4" w:space="0"/>
              <w:bottom w:val="single" w:color="auto" w:sz="4" w:space="0"/>
              <w:right w:val="single" w:color="auto" w:sz="4" w:space="0"/>
            </w:tcBorders>
            <w:vAlign w:val="center"/>
          </w:tcPr>
          <w:p w14:paraId="45813AAF">
            <w:pPr>
              <w:pStyle w:val="64"/>
            </w:pPr>
            <w:r>
              <w:t>√</w:t>
            </w:r>
          </w:p>
        </w:tc>
        <w:tc>
          <w:tcPr>
            <w:tcW w:w="1001" w:type="pct"/>
            <w:tcBorders>
              <w:top w:val="single" w:color="auto" w:sz="4" w:space="0"/>
              <w:left w:val="single" w:color="auto" w:sz="4" w:space="0"/>
              <w:bottom w:val="single" w:color="auto" w:sz="4" w:space="0"/>
              <w:right w:val="single" w:color="auto" w:sz="4" w:space="0"/>
            </w:tcBorders>
            <w:vAlign w:val="center"/>
          </w:tcPr>
          <w:p w14:paraId="09B533CE">
            <w:pPr>
              <w:pStyle w:val="64"/>
            </w:pPr>
            <w:r>
              <w:t>/</w:t>
            </w:r>
          </w:p>
        </w:tc>
      </w:tr>
      <w:tr w14:paraId="0719A65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55" w:hRule="atLeast"/>
          <w:jc w:val="center"/>
        </w:trPr>
        <w:tc>
          <w:tcPr>
            <w:tcW w:w="999" w:type="pct"/>
            <w:tcBorders>
              <w:top w:val="single" w:color="auto" w:sz="4" w:space="0"/>
              <w:left w:val="single" w:color="auto" w:sz="4" w:space="0"/>
              <w:bottom w:val="single" w:color="auto" w:sz="4" w:space="0"/>
              <w:right w:val="single" w:color="auto" w:sz="4" w:space="0"/>
            </w:tcBorders>
            <w:vAlign w:val="center"/>
          </w:tcPr>
          <w:p w14:paraId="62939A1B">
            <w:pPr>
              <w:pStyle w:val="64"/>
            </w:pPr>
            <w:r>
              <w:rPr>
                <w:rFonts w:hint="eastAsia"/>
              </w:rPr>
              <w:t>服务期满后</w:t>
            </w:r>
          </w:p>
        </w:tc>
        <w:tc>
          <w:tcPr>
            <w:tcW w:w="999" w:type="pct"/>
            <w:tcBorders>
              <w:top w:val="single" w:color="auto" w:sz="4" w:space="0"/>
              <w:left w:val="single" w:color="auto" w:sz="4" w:space="0"/>
              <w:bottom w:val="single" w:color="auto" w:sz="4" w:space="0"/>
              <w:right w:val="single" w:color="auto" w:sz="4" w:space="0"/>
            </w:tcBorders>
            <w:vAlign w:val="center"/>
          </w:tcPr>
          <w:p w14:paraId="538BED9A">
            <w:pPr>
              <w:pStyle w:val="64"/>
            </w:pPr>
            <w:r>
              <w:t>/</w:t>
            </w:r>
          </w:p>
        </w:tc>
        <w:tc>
          <w:tcPr>
            <w:tcW w:w="1001" w:type="pct"/>
            <w:tcBorders>
              <w:top w:val="single" w:color="auto" w:sz="4" w:space="0"/>
              <w:left w:val="single" w:color="auto" w:sz="4" w:space="0"/>
              <w:bottom w:val="single" w:color="auto" w:sz="4" w:space="0"/>
              <w:right w:val="single" w:color="auto" w:sz="4" w:space="0"/>
            </w:tcBorders>
            <w:vAlign w:val="center"/>
          </w:tcPr>
          <w:p w14:paraId="3A270716">
            <w:pPr>
              <w:pStyle w:val="64"/>
            </w:pPr>
            <w:r>
              <w:t>/</w:t>
            </w:r>
          </w:p>
        </w:tc>
        <w:tc>
          <w:tcPr>
            <w:tcW w:w="1000" w:type="pct"/>
            <w:tcBorders>
              <w:top w:val="single" w:color="auto" w:sz="4" w:space="0"/>
              <w:left w:val="single" w:color="auto" w:sz="4" w:space="0"/>
              <w:bottom w:val="single" w:color="auto" w:sz="4" w:space="0"/>
              <w:right w:val="single" w:color="auto" w:sz="4" w:space="0"/>
            </w:tcBorders>
            <w:vAlign w:val="center"/>
          </w:tcPr>
          <w:p w14:paraId="06479E2E">
            <w:pPr>
              <w:pStyle w:val="64"/>
            </w:pPr>
            <w:r>
              <w:t>/</w:t>
            </w:r>
          </w:p>
        </w:tc>
        <w:tc>
          <w:tcPr>
            <w:tcW w:w="1001" w:type="pct"/>
            <w:tcBorders>
              <w:top w:val="single" w:color="auto" w:sz="4" w:space="0"/>
              <w:left w:val="single" w:color="auto" w:sz="4" w:space="0"/>
              <w:bottom w:val="single" w:color="auto" w:sz="4" w:space="0"/>
              <w:right w:val="single" w:color="auto" w:sz="4" w:space="0"/>
            </w:tcBorders>
            <w:vAlign w:val="center"/>
          </w:tcPr>
          <w:p w14:paraId="048BED42">
            <w:pPr>
              <w:pStyle w:val="64"/>
            </w:pPr>
            <w:r>
              <w:t>/</w:t>
            </w:r>
          </w:p>
        </w:tc>
      </w:tr>
      <w:tr w14:paraId="23AFE4B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55" w:hRule="atLeast"/>
          <w:jc w:val="center"/>
        </w:trPr>
        <w:tc>
          <w:tcPr>
            <w:tcW w:w="5000" w:type="pct"/>
            <w:gridSpan w:val="5"/>
            <w:tcBorders>
              <w:top w:val="single" w:color="auto" w:sz="4" w:space="0"/>
              <w:left w:val="single" w:color="auto" w:sz="4" w:space="0"/>
              <w:bottom w:val="single" w:color="auto" w:sz="4" w:space="0"/>
              <w:right w:val="single" w:color="auto" w:sz="4" w:space="0"/>
            </w:tcBorders>
            <w:vAlign w:val="center"/>
          </w:tcPr>
          <w:p w14:paraId="7E0F1545">
            <w:pPr>
              <w:pStyle w:val="64"/>
            </w:pPr>
            <w:r>
              <w:rPr>
                <w:rFonts w:hint="eastAsia"/>
              </w:rPr>
              <w:t>注：在可能产生的土壤环境影响类型处打“</w:t>
            </w:r>
            <w:r>
              <w:t>√</w:t>
            </w:r>
            <w:r>
              <w:rPr>
                <w:rFonts w:hint="eastAsia"/>
              </w:rPr>
              <w:t>”</w:t>
            </w:r>
          </w:p>
        </w:tc>
      </w:tr>
    </w:tbl>
    <w:p w14:paraId="2DE602A5">
      <w:pPr>
        <w:spacing w:line="360" w:lineRule="auto"/>
        <w:ind w:firstLine="480" w:firstLineChars="200"/>
      </w:pPr>
    </w:p>
    <w:p w14:paraId="6C003653">
      <w:pPr>
        <w:pStyle w:val="16"/>
        <w:ind w:firstLine="480"/>
      </w:pPr>
      <w:r>
        <w:rPr>
          <w:rFonts w:hint="eastAsia"/>
        </w:rPr>
        <w:t>(3)土壤环境影响源及影响因子</w:t>
      </w:r>
    </w:p>
    <w:p w14:paraId="5F310BCE">
      <w:pPr>
        <w:pStyle w:val="16"/>
        <w:ind w:firstLine="480"/>
      </w:pPr>
      <w:r>
        <w:rPr>
          <w:rFonts w:hint="eastAsia"/>
        </w:rPr>
        <w:t>本项目主要原料为间对甲酚、异丁烯和硫酸，主要产品为间甲酚、对甲酚、叔丁醇和二聚异丁烯等，主要污染因子为酚类物质，涉及到《土壤环境质量</w:t>
      </w:r>
      <w:r>
        <w:t xml:space="preserve"> </w:t>
      </w:r>
      <w:r>
        <w:rPr>
          <w:rFonts w:hint="eastAsia"/>
        </w:rPr>
        <w:t>建设用地土壤污染风险管控标准(试行)》(</w:t>
      </w:r>
      <w:r>
        <w:t>GB36600-2018</w:t>
      </w:r>
      <w:r>
        <w:rPr>
          <w:rFonts w:hint="eastAsia"/>
        </w:rPr>
        <w:t>)中的基本项目中的无项目生产过程中涉及的污染因子。项目土壤环境影响源及影响因子识别表如下：</w:t>
      </w:r>
    </w:p>
    <w:p w14:paraId="779ECF33">
      <w:pPr>
        <w:pStyle w:val="28"/>
        <w:rPr>
          <w:rFonts w:hint="eastAsia"/>
        </w:rPr>
      </w:pPr>
      <w:r>
        <w:rPr>
          <w:rFonts w:hint="eastAsia"/>
        </w:rPr>
        <w:t>表6.7</w:t>
      </w:r>
      <w:r>
        <w:t xml:space="preserve">-2 </w:t>
      </w:r>
      <w:r>
        <w:rPr>
          <w:rFonts w:hint="eastAsia"/>
        </w:rPr>
        <w:t xml:space="preserve"> 项目土壤环境影响源及影响因子识别表</w:t>
      </w:r>
    </w:p>
    <w:tbl>
      <w:tblPr>
        <w:tblStyle w:val="36"/>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1157"/>
        <w:gridCol w:w="1779"/>
        <w:gridCol w:w="1380"/>
        <w:gridCol w:w="1781"/>
        <w:gridCol w:w="1163"/>
        <w:gridCol w:w="2026"/>
      </w:tblGrid>
      <w:tr w14:paraId="415DBB7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623" w:type="pct"/>
            <w:tcBorders>
              <w:top w:val="single" w:color="auto" w:sz="4" w:space="0"/>
              <w:left w:val="single" w:color="auto" w:sz="4" w:space="0"/>
              <w:bottom w:val="single" w:color="auto" w:sz="4" w:space="0"/>
              <w:right w:val="single" w:color="auto" w:sz="4" w:space="0"/>
            </w:tcBorders>
            <w:vAlign w:val="center"/>
          </w:tcPr>
          <w:p w14:paraId="227FD0EA">
            <w:pPr>
              <w:pStyle w:val="64"/>
            </w:pPr>
            <w:r>
              <w:rPr>
                <w:rFonts w:hint="eastAsia"/>
              </w:rPr>
              <w:t>污染源</w:t>
            </w:r>
          </w:p>
        </w:tc>
        <w:tc>
          <w:tcPr>
            <w:tcW w:w="958" w:type="pct"/>
            <w:tcBorders>
              <w:top w:val="single" w:color="auto" w:sz="4" w:space="0"/>
              <w:left w:val="single" w:color="auto" w:sz="4" w:space="0"/>
              <w:bottom w:val="single" w:color="auto" w:sz="4" w:space="0"/>
              <w:right w:val="single" w:color="auto" w:sz="4" w:space="0"/>
            </w:tcBorders>
            <w:vAlign w:val="center"/>
          </w:tcPr>
          <w:p w14:paraId="1C7E5E60">
            <w:pPr>
              <w:pStyle w:val="64"/>
            </w:pPr>
            <w:r>
              <w:rPr>
                <w:rFonts w:hint="eastAsia"/>
              </w:rPr>
              <w:t>工艺流程</w:t>
            </w:r>
            <w:r>
              <w:t>/</w:t>
            </w:r>
            <w:r>
              <w:rPr>
                <w:rFonts w:hint="eastAsia"/>
              </w:rPr>
              <w:t>节点</w:t>
            </w:r>
          </w:p>
        </w:tc>
        <w:tc>
          <w:tcPr>
            <w:tcW w:w="743" w:type="pct"/>
            <w:tcBorders>
              <w:top w:val="single" w:color="auto" w:sz="4" w:space="0"/>
              <w:left w:val="single" w:color="auto" w:sz="4" w:space="0"/>
              <w:bottom w:val="single" w:color="auto" w:sz="4" w:space="0"/>
              <w:right w:val="single" w:color="auto" w:sz="4" w:space="0"/>
            </w:tcBorders>
            <w:vAlign w:val="center"/>
          </w:tcPr>
          <w:p w14:paraId="36F759A6">
            <w:pPr>
              <w:pStyle w:val="64"/>
            </w:pPr>
            <w:r>
              <w:rPr>
                <w:rFonts w:hint="eastAsia"/>
              </w:rPr>
              <w:t>污染途径</w:t>
            </w:r>
          </w:p>
        </w:tc>
        <w:tc>
          <w:tcPr>
            <w:tcW w:w="959" w:type="pct"/>
            <w:tcBorders>
              <w:top w:val="single" w:color="auto" w:sz="4" w:space="0"/>
              <w:left w:val="single" w:color="auto" w:sz="4" w:space="0"/>
              <w:bottom w:val="single" w:color="auto" w:sz="4" w:space="0"/>
              <w:right w:val="single" w:color="auto" w:sz="4" w:space="0"/>
            </w:tcBorders>
            <w:vAlign w:val="center"/>
          </w:tcPr>
          <w:p w14:paraId="4A3707CD">
            <w:pPr>
              <w:pStyle w:val="64"/>
            </w:pPr>
            <w:r>
              <w:rPr>
                <w:rFonts w:hint="eastAsia"/>
              </w:rPr>
              <w:t>全部污染物指标</w:t>
            </w:r>
          </w:p>
        </w:tc>
        <w:tc>
          <w:tcPr>
            <w:tcW w:w="626" w:type="pct"/>
            <w:tcBorders>
              <w:top w:val="single" w:color="auto" w:sz="4" w:space="0"/>
              <w:left w:val="single" w:color="auto" w:sz="4" w:space="0"/>
              <w:bottom w:val="single" w:color="auto" w:sz="4" w:space="0"/>
              <w:right w:val="single" w:color="auto" w:sz="4" w:space="0"/>
            </w:tcBorders>
            <w:vAlign w:val="center"/>
          </w:tcPr>
          <w:p w14:paraId="3C331CCA">
            <w:pPr>
              <w:pStyle w:val="64"/>
            </w:pPr>
            <w:r>
              <w:rPr>
                <w:rFonts w:hint="eastAsia"/>
              </w:rPr>
              <w:t>特征因子</w:t>
            </w:r>
          </w:p>
        </w:tc>
        <w:tc>
          <w:tcPr>
            <w:tcW w:w="1091" w:type="pct"/>
            <w:tcBorders>
              <w:top w:val="single" w:color="auto" w:sz="4" w:space="0"/>
              <w:left w:val="single" w:color="auto" w:sz="4" w:space="0"/>
              <w:bottom w:val="single" w:color="auto" w:sz="4" w:space="0"/>
              <w:right w:val="single" w:color="auto" w:sz="4" w:space="0"/>
            </w:tcBorders>
            <w:vAlign w:val="center"/>
          </w:tcPr>
          <w:p w14:paraId="0FE438A5">
            <w:pPr>
              <w:pStyle w:val="64"/>
            </w:pPr>
            <w:r>
              <w:rPr>
                <w:rFonts w:hint="eastAsia"/>
              </w:rPr>
              <w:t>备注</w:t>
            </w:r>
          </w:p>
        </w:tc>
      </w:tr>
      <w:tr w14:paraId="0334DDB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623" w:type="pct"/>
            <w:tcBorders>
              <w:top w:val="single" w:color="auto" w:sz="4" w:space="0"/>
              <w:left w:val="single" w:color="auto" w:sz="4" w:space="0"/>
              <w:bottom w:val="single" w:color="auto" w:sz="4" w:space="0"/>
              <w:right w:val="single" w:color="auto" w:sz="4" w:space="0"/>
            </w:tcBorders>
            <w:vAlign w:val="center"/>
          </w:tcPr>
          <w:p w14:paraId="43ED1CBE">
            <w:pPr>
              <w:pStyle w:val="64"/>
            </w:pPr>
            <w:r>
              <w:rPr>
                <w:rFonts w:hint="eastAsia"/>
              </w:rPr>
              <w:t>有机废气</w:t>
            </w:r>
          </w:p>
        </w:tc>
        <w:tc>
          <w:tcPr>
            <w:tcW w:w="958" w:type="pct"/>
            <w:tcBorders>
              <w:top w:val="single" w:color="auto" w:sz="4" w:space="0"/>
              <w:left w:val="single" w:color="auto" w:sz="4" w:space="0"/>
              <w:bottom w:val="single" w:color="auto" w:sz="4" w:space="0"/>
              <w:right w:val="single" w:color="auto" w:sz="4" w:space="0"/>
            </w:tcBorders>
            <w:vAlign w:val="center"/>
          </w:tcPr>
          <w:p w14:paraId="7A74896D">
            <w:pPr>
              <w:pStyle w:val="64"/>
            </w:pPr>
            <w:r>
              <w:t>2#</w:t>
            </w:r>
            <w:r>
              <w:rPr>
                <w:rFonts w:hint="eastAsia"/>
              </w:rPr>
              <w:t>RTO装置</w:t>
            </w:r>
          </w:p>
        </w:tc>
        <w:tc>
          <w:tcPr>
            <w:tcW w:w="743" w:type="pct"/>
            <w:tcBorders>
              <w:top w:val="single" w:color="auto" w:sz="4" w:space="0"/>
              <w:left w:val="single" w:color="auto" w:sz="4" w:space="0"/>
              <w:bottom w:val="single" w:color="auto" w:sz="4" w:space="0"/>
              <w:right w:val="single" w:color="auto" w:sz="4" w:space="0"/>
            </w:tcBorders>
            <w:vAlign w:val="center"/>
          </w:tcPr>
          <w:p w14:paraId="63C903B8">
            <w:pPr>
              <w:pStyle w:val="64"/>
            </w:pPr>
            <w:r>
              <w:rPr>
                <w:rFonts w:hint="eastAsia"/>
              </w:rPr>
              <w:t>大气沉降</w:t>
            </w:r>
          </w:p>
        </w:tc>
        <w:tc>
          <w:tcPr>
            <w:tcW w:w="959" w:type="pct"/>
            <w:vMerge w:val="restart"/>
            <w:tcBorders>
              <w:top w:val="single" w:color="auto" w:sz="4" w:space="0"/>
              <w:left w:val="single" w:color="auto" w:sz="4" w:space="0"/>
              <w:bottom w:val="single" w:color="auto" w:sz="4" w:space="0"/>
              <w:right w:val="single" w:color="auto" w:sz="4" w:space="0"/>
            </w:tcBorders>
            <w:vAlign w:val="center"/>
          </w:tcPr>
          <w:p w14:paraId="31A0A40E">
            <w:pPr>
              <w:pStyle w:val="64"/>
              <w:jc w:val="both"/>
            </w:pPr>
            <w:r>
              <w:rPr>
                <w:rFonts w:hint="eastAsia"/>
              </w:rPr>
              <w:t>非甲烷总烃、酚类、硫酸雾、COD、BOD</w:t>
            </w:r>
            <w:r>
              <w:rPr>
                <w:rFonts w:hint="eastAsia"/>
                <w:vertAlign w:val="subscript"/>
              </w:rPr>
              <w:t>5</w:t>
            </w:r>
            <w:r>
              <w:rPr>
                <w:rFonts w:hint="eastAsia"/>
              </w:rPr>
              <w:t>、SS等</w:t>
            </w:r>
          </w:p>
        </w:tc>
        <w:tc>
          <w:tcPr>
            <w:tcW w:w="626" w:type="pct"/>
            <w:tcBorders>
              <w:top w:val="single" w:color="auto" w:sz="4" w:space="0"/>
              <w:left w:val="single" w:color="auto" w:sz="4" w:space="0"/>
              <w:bottom w:val="single" w:color="auto" w:sz="4" w:space="0"/>
              <w:right w:val="single" w:color="auto" w:sz="4" w:space="0"/>
            </w:tcBorders>
            <w:vAlign w:val="center"/>
          </w:tcPr>
          <w:p w14:paraId="7AC26A60">
            <w:pPr>
              <w:pStyle w:val="64"/>
            </w:pPr>
            <w:r>
              <w:t>/</w:t>
            </w:r>
          </w:p>
        </w:tc>
        <w:tc>
          <w:tcPr>
            <w:tcW w:w="1091" w:type="pct"/>
            <w:tcBorders>
              <w:top w:val="single" w:color="auto" w:sz="4" w:space="0"/>
              <w:left w:val="single" w:color="auto" w:sz="4" w:space="0"/>
              <w:bottom w:val="single" w:color="auto" w:sz="4" w:space="0"/>
              <w:right w:val="single" w:color="auto" w:sz="4" w:space="0"/>
            </w:tcBorders>
            <w:vAlign w:val="center"/>
          </w:tcPr>
          <w:p w14:paraId="0F77D50C">
            <w:pPr>
              <w:pStyle w:val="64"/>
            </w:pPr>
            <w:r>
              <w:rPr>
                <w:rFonts w:hint="eastAsia"/>
              </w:rPr>
              <w:t>正常工况</w:t>
            </w:r>
          </w:p>
        </w:tc>
      </w:tr>
      <w:tr w14:paraId="41F8907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2" w:hRule="atLeast"/>
          <w:jc w:val="center"/>
        </w:trPr>
        <w:tc>
          <w:tcPr>
            <w:tcW w:w="623" w:type="pct"/>
            <w:vMerge w:val="restart"/>
            <w:tcBorders>
              <w:top w:val="single" w:color="auto" w:sz="4" w:space="0"/>
              <w:left w:val="single" w:color="auto" w:sz="4" w:space="0"/>
              <w:right w:val="single" w:color="auto" w:sz="4" w:space="0"/>
            </w:tcBorders>
            <w:vAlign w:val="center"/>
          </w:tcPr>
          <w:p w14:paraId="1E2988D9">
            <w:pPr>
              <w:pStyle w:val="64"/>
            </w:pPr>
            <w:r>
              <w:rPr>
                <w:rFonts w:hint="eastAsia"/>
              </w:rPr>
              <w:t>生产区域</w:t>
            </w:r>
          </w:p>
        </w:tc>
        <w:tc>
          <w:tcPr>
            <w:tcW w:w="958" w:type="pct"/>
            <w:vMerge w:val="restart"/>
            <w:tcBorders>
              <w:top w:val="single" w:color="auto" w:sz="4" w:space="0"/>
              <w:left w:val="single" w:color="auto" w:sz="4" w:space="0"/>
              <w:right w:val="single" w:color="auto" w:sz="4" w:space="0"/>
            </w:tcBorders>
            <w:vAlign w:val="center"/>
          </w:tcPr>
          <w:p w14:paraId="3A73B37E">
            <w:pPr>
              <w:pStyle w:val="64"/>
            </w:pPr>
            <w:r>
              <w:rPr>
                <w:rFonts w:hint="eastAsia"/>
              </w:rPr>
              <w:t>中间罐、动力设备跑冒滴漏、废水收集管网破裂</w:t>
            </w:r>
          </w:p>
        </w:tc>
        <w:tc>
          <w:tcPr>
            <w:tcW w:w="743" w:type="pct"/>
            <w:tcBorders>
              <w:top w:val="single" w:color="auto" w:sz="4" w:space="0"/>
              <w:left w:val="single" w:color="auto" w:sz="4" w:space="0"/>
              <w:bottom w:val="single" w:color="auto" w:sz="4" w:space="0"/>
              <w:right w:val="single" w:color="auto" w:sz="4" w:space="0"/>
            </w:tcBorders>
            <w:vAlign w:val="center"/>
          </w:tcPr>
          <w:p w14:paraId="03B9BE45">
            <w:pPr>
              <w:pStyle w:val="64"/>
            </w:pPr>
            <w:r>
              <w:rPr>
                <w:rFonts w:hint="eastAsia"/>
              </w:rPr>
              <w:t>地面漫流</w:t>
            </w:r>
          </w:p>
        </w:tc>
        <w:tc>
          <w:tcPr>
            <w:tcW w:w="959" w:type="pct"/>
            <w:vMerge w:val="continue"/>
            <w:tcBorders>
              <w:top w:val="single" w:color="auto" w:sz="4" w:space="0"/>
              <w:left w:val="single" w:color="auto" w:sz="4" w:space="0"/>
              <w:bottom w:val="single" w:color="auto" w:sz="4" w:space="0"/>
              <w:right w:val="single" w:color="auto" w:sz="4" w:space="0"/>
            </w:tcBorders>
            <w:vAlign w:val="center"/>
          </w:tcPr>
          <w:p w14:paraId="07C51A36">
            <w:pPr>
              <w:pStyle w:val="64"/>
            </w:pPr>
          </w:p>
        </w:tc>
        <w:tc>
          <w:tcPr>
            <w:tcW w:w="626" w:type="pct"/>
            <w:tcBorders>
              <w:top w:val="single" w:color="auto" w:sz="4" w:space="0"/>
              <w:left w:val="single" w:color="auto" w:sz="4" w:space="0"/>
              <w:bottom w:val="single" w:color="auto" w:sz="4" w:space="0"/>
              <w:right w:val="single" w:color="auto" w:sz="4" w:space="0"/>
            </w:tcBorders>
            <w:vAlign w:val="center"/>
          </w:tcPr>
          <w:p w14:paraId="2F8B457C">
            <w:pPr>
              <w:pStyle w:val="64"/>
            </w:pPr>
            <w:r>
              <w:t>/</w:t>
            </w:r>
          </w:p>
        </w:tc>
        <w:tc>
          <w:tcPr>
            <w:tcW w:w="1091" w:type="pct"/>
            <w:tcBorders>
              <w:top w:val="single" w:color="auto" w:sz="4" w:space="0"/>
              <w:left w:val="single" w:color="auto" w:sz="4" w:space="0"/>
              <w:bottom w:val="single" w:color="auto" w:sz="4" w:space="0"/>
              <w:right w:val="single" w:color="auto" w:sz="4" w:space="0"/>
            </w:tcBorders>
            <w:vAlign w:val="center"/>
          </w:tcPr>
          <w:p w14:paraId="0CF584E9">
            <w:pPr>
              <w:pStyle w:val="64"/>
            </w:pPr>
            <w:r>
              <w:rPr>
                <w:rFonts w:hint="eastAsia"/>
              </w:rPr>
              <w:t>非正常工况</w:t>
            </w:r>
          </w:p>
        </w:tc>
      </w:tr>
      <w:tr w14:paraId="6EC089C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16" w:hRule="atLeast"/>
          <w:jc w:val="center"/>
        </w:trPr>
        <w:tc>
          <w:tcPr>
            <w:tcW w:w="623" w:type="pct"/>
            <w:vMerge w:val="continue"/>
            <w:tcBorders>
              <w:left w:val="single" w:color="auto" w:sz="4" w:space="0"/>
              <w:bottom w:val="single" w:color="auto" w:sz="4" w:space="0"/>
              <w:right w:val="single" w:color="auto" w:sz="4" w:space="0"/>
            </w:tcBorders>
            <w:vAlign w:val="center"/>
          </w:tcPr>
          <w:p w14:paraId="77CB43C7">
            <w:pPr>
              <w:pStyle w:val="64"/>
            </w:pPr>
          </w:p>
        </w:tc>
        <w:tc>
          <w:tcPr>
            <w:tcW w:w="958" w:type="pct"/>
            <w:vMerge w:val="continue"/>
            <w:tcBorders>
              <w:left w:val="single" w:color="auto" w:sz="4" w:space="0"/>
              <w:bottom w:val="single" w:color="auto" w:sz="4" w:space="0"/>
              <w:right w:val="single" w:color="auto" w:sz="4" w:space="0"/>
            </w:tcBorders>
            <w:vAlign w:val="center"/>
          </w:tcPr>
          <w:p w14:paraId="4BF4109E">
            <w:pPr>
              <w:pStyle w:val="64"/>
            </w:pPr>
          </w:p>
        </w:tc>
        <w:tc>
          <w:tcPr>
            <w:tcW w:w="743" w:type="pct"/>
            <w:tcBorders>
              <w:top w:val="single" w:color="auto" w:sz="4" w:space="0"/>
              <w:left w:val="single" w:color="auto" w:sz="4" w:space="0"/>
              <w:bottom w:val="single" w:color="auto" w:sz="4" w:space="0"/>
              <w:right w:val="single" w:color="auto" w:sz="4" w:space="0"/>
            </w:tcBorders>
            <w:vAlign w:val="center"/>
          </w:tcPr>
          <w:p w14:paraId="6D2E69D1">
            <w:pPr>
              <w:pStyle w:val="64"/>
            </w:pPr>
            <w:r>
              <w:rPr>
                <w:rFonts w:hint="eastAsia"/>
              </w:rPr>
              <w:t>垂直入渗</w:t>
            </w:r>
          </w:p>
        </w:tc>
        <w:tc>
          <w:tcPr>
            <w:tcW w:w="959" w:type="pct"/>
            <w:vMerge w:val="continue"/>
            <w:tcBorders>
              <w:top w:val="single" w:color="auto" w:sz="4" w:space="0"/>
              <w:left w:val="single" w:color="auto" w:sz="4" w:space="0"/>
              <w:bottom w:val="single" w:color="auto" w:sz="4" w:space="0"/>
              <w:right w:val="single" w:color="auto" w:sz="4" w:space="0"/>
            </w:tcBorders>
            <w:vAlign w:val="center"/>
          </w:tcPr>
          <w:p w14:paraId="289E70C3">
            <w:pPr>
              <w:pStyle w:val="64"/>
            </w:pPr>
          </w:p>
        </w:tc>
        <w:tc>
          <w:tcPr>
            <w:tcW w:w="626" w:type="pct"/>
            <w:tcBorders>
              <w:top w:val="single" w:color="auto" w:sz="4" w:space="0"/>
              <w:left w:val="single" w:color="auto" w:sz="4" w:space="0"/>
              <w:bottom w:val="single" w:color="auto" w:sz="4" w:space="0"/>
              <w:right w:val="single" w:color="auto" w:sz="4" w:space="0"/>
            </w:tcBorders>
            <w:vAlign w:val="center"/>
          </w:tcPr>
          <w:p w14:paraId="6158A9CD">
            <w:pPr>
              <w:pStyle w:val="64"/>
            </w:pPr>
            <w:r>
              <w:t>/</w:t>
            </w:r>
          </w:p>
        </w:tc>
        <w:tc>
          <w:tcPr>
            <w:tcW w:w="1091" w:type="pct"/>
            <w:tcBorders>
              <w:top w:val="single" w:color="auto" w:sz="4" w:space="0"/>
              <w:left w:val="single" w:color="auto" w:sz="4" w:space="0"/>
              <w:bottom w:val="single" w:color="auto" w:sz="4" w:space="0"/>
              <w:right w:val="single" w:color="auto" w:sz="4" w:space="0"/>
            </w:tcBorders>
            <w:vAlign w:val="center"/>
          </w:tcPr>
          <w:p w14:paraId="217709D2">
            <w:pPr>
              <w:pStyle w:val="64"/>
            </w:pPr>
            <w:r>
              <w:rPr>
                <w:rFonts w:hint="eastAsia"/>
              </w:rPr>
              <w:t>非正常工况</w:t>
            </w:r>
          </w:p>
        </w:tc>
      </w:tr>
    </w:tbl>
    <w:p w14:paraId="6B72F5AE">
      <w:pPr>
        <w:spacing w:line="360" w:lineRule="auto"/>
        <w:ind w:firstLine="480" w:firstLineChars="200"/>
      </w:pPr>
    </w:p>
    <w:p w14:paraId="3447F23F">
      <w:pPr>
        <w:spacing w:line="360" w:lineRule="auto"/>
        <w:ind w:firstLine="480" w:firstLineChars="200"/>
      </w:pPr>
      <w:r>
        <w:rPr>
          <w:rFonts w:hint="eastAsia"/>
        </w:rPr>
        <w:t>由上表可知，正常工况下，大气沉降是影响土壤的主要途径；非正常工况下，废水管网泄漏是主要的影响途径。</w:t>
      </w:r>
    </w:p>
    <w:p w14:paraId="4725333A">
      <w:pPr>
        <w:pStyle w:val="4"/>
        <w:rPr>
          <w:rFonts w:hint="eastAsia"/>
        </w:rPr>
      </w:pPr>
      <w:bookmarkStart w:id="112" w:name="_Toc221056431"/>
      <w:r>
        <w:rPr>
          <w:rFonts w:hint="eastAsia"/>
        </w:rPr>
        <w:t>6.7.2现状调查与评价</w:t>
      </w:r>
      <w:bookmarkEnd w:id="112"/>
    </w:p>
    <w:p w14:paraId="792B17D3">
      <w:pPr>
        <w:pStyle w:val="82"/>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(1)调查范围</w:t>
      </w:r>
    </w:p>
    <w:p w14:paraId="053DFF1B">
      <w:pPr>
        <w:pStyle w:val="82"/>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根据《环境影响评价技术导则土壤环境(试行)》(HJ964-2018)，结合项目特性，土壤现状调查范围为项目占地范围及占地范围外</w:t>
      </w:r>
      <w:r>
        <w:rPr>
          <w:rFonts w:hint="eastAsia" w:ascii="Times New Roman" w:hAnsi="Times New Roman" w:cs="Times New Roman"/>
          <w:color w:val="000000" w:themeColor="text1"/>
          <w14:textFill>
            <w14:solidFill>
              <w14:schemeClr w14:val="tx1"/>
            </w14:solidFill>
          </w14:textFill>
        </w:rPr>
        <w:t>1000</w:t>
      </w:r>
      <w:r>
        <w:rPr>
          <w:rFonts w:ascii="Times New Roman" w:hAnsi="Times New Roman" w:cs="Times New Roman"/>
          <w:color w:val="000000" w:themeColor="text1"/>
          <w14:textFill>
            <w14:solidFill>
              <w14:schemeClr w14:val="tx1"/>
            </w14:solidFill>
          </w14:textFill>
        </w:rPr>
        <w:t>m范围。</w:t>
      </w:r>
    </w:p>
    <w:p w14:paraId="36704F41">
      <w:pPr>
        <w:pStyle w:val="82"/>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w:t>
      </w:r>
      <w:r>
        <w:rPr>
          <w:rFonts w:hint="eastAsia" w:ascii="Times New Roman" w:hAnsi="Times New Roman" w:cs="Times New Roman"/>
          <w:color w:val="000000" w:themeColor="text1"/>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)土地利用类型调查</w:t>
      </w:r>
    </w:p>
    <w:p w14:paraId="0D9D3D0B">
      <w:pPr>
        <w:pStyle w:val="82"/>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根据现场调查结果，拟建项目场地及周边评价范围土地利用类型现状主要为建设用地及规划工业用地为主</w:t>
      </w:r>
      <w:r>
        <w:rPr>
          <w:rFonts w:hint="eastAsia" w:ascii="Times New Roman" w:hAnsi="Times New Roman" w:cs="Times New Roman"/>
          <w:color w:val="000000" w:themeColor="text1"/>
          <w14:textFill>
            <w14:solidFill>
              <w14:schemeClr w14:val="tx1"/>
            </w14:solidFill>
          </w14:textFill>
        </w:rPr>
        <w:t>，东侧开发区外主要土地利用类型主要以农用地为主</w:t>
      </w:r>
      <w:r>
        <w:rPr>
          <w:rFonts w:ascii="Times New Roman" w:hAnsi="Times New Roman" w:cs="Times New Roman"/>
          <w:color w:val="000000" w:themeColor="text1"/>
          <w14:textFill>
            <w14:solidFill>
              <w14:schemeClr w14:val="tx1"/>
            </w14:solidFill>
          </w14:textFill>
        </w:rPr>
        <w:t>。</w:t>
      </w:r>
    </w:p>
    <w:p w14:paraId="643B8CF6">
      <w:pPr>
        <w:pStyle w:val="82"/>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w:t>
      </w:r>
      <w:r>
        <w:rPr>
          <w:rFonts w:hint="eastAsia" w:ascii="Times New Roman" w:hAnsi="Times New Roman" w:cs="Times New Roman"/>
          <w:color w:val="000000" w:themeColor="text1"/>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)土壤类型调查</w:t>
      </w:r>
    </w:p>
    <w:p w14:paraId="5B9B9B86">
      <w:pPr>
        <w:pStyle w:val="82"/>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根据调查，评价范围内分布的土壤类型主要为</w:t>
      </w:r>
      <w:r>
        <w:rPr>
          <w:rFonts w:hint="eastAsia" w:ascii="Times New Roman" w:hAnsi="Times New Roman" w:cs="Times New Roman"/>
          <w:color w:val="000000" w:themeColor="text1"/>
          <w14:textFill>
            <w14:solidFill>
              <w14:schemeClr w14:val="tx1"/>
            </w14:solidFill>
          </w14:textFill>
        </w:rPr>
        <w:t>黄褐土</w:t>
      </w:r>
      <w:r>
        <w:rPr>
          <w:rFonts w:ascii="Times New Roman" w:hAnsi="Times New Roman" w:cs="Times New Roman"/>
          <w:color w:val="000000" w:themeColor="text1"/>
          <w14:textFill>
            <w14:solidFill>
              <w14:schemeClr w14:val="tx1"/>
            </w14:solidFill>
          </w14:textFill>
        </w:rPr>
        <w:t>。土壤类型分布图见图</w:t>
      </w:r>
      <w:r>
        <w:rPr>
          <w:rFonts w:hint="eastAsia" w:ascii="Times New Roman" w:hAnsi="Times New Roman" w:cs="Times New Roman"/>
          <w:color w:val="000000" w:themeColor="text1"/>
          <w14:textFill>
            <w14:solidFill>
              <w14:schemeClr w14:val="tx1"/>
            </w14:solidFill>
          </w14:textFill>
        </w:rPr>
        <w:t>6.7-1</w:t>
      </w:r>
      <w:r>
        <w:rPr>
          <w:rFonts w:ascii="Times New Roman" w:hAnsi="Times New Roman" w:cs="Times New Roman"/>
          <w:color w:val="000000" w:themeColor="text1"/>
          <w14:textFill>
            <w14:solidFill>
              <w14:schemeClr w14:val="tx1"/>
            </w14:solidFill>
          </w14:textFill>
        </w:rPr>
        <w:t>。</w:t>
      </w:r>
    </w:p>
    <w:p w14:paraId="7BAA3B91">
      <w:pPr>
        <w:pStyle w:val="28"/>
        <w:rPr>
          <w:rFonts w:hint="eastAsia"/>
        </w:rPr>
      </w:pPr>
      <w:r>
        <w:rPr>
          <w:rFonts w:hint="eastAsia"/>
        </w:rPr>
        <w:t>表6.7-3</w:t>
      </w:r>
      <w:r>
        <w:t xml:space="preserve">  </w:t>
      </w:r>
      <w:r>
        <w:rPr>
          <w:rFonts w:hint="eastAsia"/>
        </w:rPr>
        <w:t>土壤调查范围土壤类型表</w:t>
      </w:r>
    </w:p>
    <w:tbl>
      <w:tblPr>
        <w:tblStyle w:val="192"/>
        <w:tblW w:w="9072" w:type="dxa"/>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autofit"/>
        <w:tblCellMar>
          <w:top w:w="0" w:type="dxa"/>
          <w:left w:w="57" w:type="dxa"/>
          <w:bottom w:w="0" w:type="dxa"/>
          <w:right w:w="57" w:type="dxa"/>
        </w:tblCellMar>
      </w:tblPr>
      <w:tblGrid>
        <w:gridCol w:w="2267"/>
        <w:gridCol w:w="2267"/>
        <w:gridCol w:w="2269"/>
        <w:gridCol w:w="2269"/>
      </w:tblGrid>
      <w:tr w14:paraId="1A27C992">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2267" w:type="dxa"/>
            <w:vAlign w:val="center"/>
          </w:tcPr>
          <w:p w14:paraId="4CBC2C5A">
            <w:pPr>
              <w:pStyle w:val="64"/>
              <w:adjustRightInd w:val="0"/>
              <w:snapToGrid w:val="0"/>
              <w:rPr>
                <w:szCs w:val="22"/>
                <w:lang w:val="zh-CN"/>
                <w14:ligatures w14:val="none"/>
              </w:rPr>
            </w:pPr>
            <w:r>
              <w:rPr>
                <w:rFonts w:hint="eastAsia"/>
                <w:szCs w:val="22"/>
                <w:lang w:val="zh-CN"/>
                <w14:ligatures w14:val="none"/>
              </w:rPr>
              <w:t>土地类型</w:t>
            </w:r>
          </w:p>
        </w:tc>
        <w:tc>
          <w:tcPr>
            <w:tcW w:w="2267" w:type="dxa"/>
            <w:vAlign w:val="center"/>
          </w:tcPr>
          <w:p w14:paraId="69FE4A24">
            <w:pPr>
              <w:pStyle w:val="64"/>
              <w:adjustRightInd w:val="0"/>
              <w:snapToGrid w:val="0"/>
              <w:rPr>
                <w:szCs w:val="22"/>
                <w:lang w:val="zh-CN"/>
                <w14:ligatures w14:val="none"/>
              </w:rPr>
            </w:pPr>
            <w:r>
              <w:rPr>
                <w:rFonts w:hint="eastAsia"/>
                <w:szCs w:val="22"/>
                <w:lang w:val="zh-CN"/>
                <w14:ligatures w14:val="none"/>
              </w:rPr>
              <w:t>面积(</w:t>
            </w:r>
            <w:r>
              <w:rPr>
                <w:szCs w:val="22"/>
                <w:lang w:val="zh-CN"/>
                <w14:ligatures w14:val="none"/>
              </w:rPr>
              <w:t>km</w:t>
            </w:r>
            <w:r>
              <w:rPr>
                <w:szCs w:val="22"/>
                <w:vertAlign w:val="superscript"/>
                <w:lang w:val="zh-CN"/>
                <w14:ligatures w14:val="none"/>
              </w:rPr>
              <w:t>2</w:t>
            </w:r>
            <w:r>
              <w:rPr>
                <w:szCs w:val="22"/>
                <w:lang w:val="zh-CN"/>
                <w14:ligatures w14:val="none"/>
              </w:rPr>
              <w:t>)</w:t>
            </w:r>
          </w:p>
        </w:tc>
        <w:tc>
          <w:tcPr>
            <w:tcW w:w="2269" w:type="dxa"/>
            <w:vAlign w:val="center"/>
          </w:tcPr>
          <w:p w14:paraId="5B6F31ED">
            <w:pPr>
              <w:pStyle w:val="64"/>
              <w:adjustRightInd w:val="0"/>
              <w:snapToGrid w:val="0"/>
              <w:rPr>
                <w:szCs w:val="22"/>
                <w:lang w:val="zh-CN"/>
                <w14:ligatures w14:val="none"/>
              </w:rPr>
            </w:pPr>
            <w:r>
              <w:rPr>
                <w:rFonts w:hint="eastAsia"/>
                <w:szCs w:val="22"/>
                <w:lang w:val="zh-CN"/>
                <w14:ligatures w14:val="none"/>
              </w:rPr>
              <w:t>占比(</w:t>
            </w:r>
            <w:r>
              <w:rPr>
                <w:szCs w:val="22"/>
                <w:lang w:val="zh-CN"/>
                <w14:ligatures w14:val="none"/>
              </w:rPr>
              <w:t>%)</w:t>
            </w:r>
          </w:p>
        </w:tc>
        <w:tc>
          <w:tcPr>
            <w:tcW w:w="2269" w:type="dxa"/>
            <w:vAlign w:val="center"/>
          </w:tcPr>
          <w:p w14:paraId="53DB2BAF">
            <w:pPr>
              <w:pStyle w:val="64"/>
              <w:adjustRightInd w:val="0"/>
              <w:snapToGrid w:val="0"/>
              <w:rPr>
                <w:szCs w:val="22"/>
                <w:lang w:val="zh-CN"/>
                <w14:ligatures w14:val="none"/>
              </w:rPr>
            </w:pPr>
            <w:r>
              <w:rPr>
                <w:rFonts w:hint="eastAsia"/>
                <w:szCs w:val="22"/>
                <w:lang w:val="zh-CN"/>
                <w14:ligatures w14:val="none"/>
              </w:rPr>
              <w:t>分布情况</w:t>
            </w:r>
          </w:p>
        </w:tc>
      </w:tr>
      <w:tr w14:paraId="4C9F9B19">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2267" w:type="dxa"/>
            <w:vAlign w:val="center"/>
          </w:tcPr>
          <w:p w14:paraId="036C9639">
            <w:pPr>
              <w:pStyle w:val="64"/>
              <w:adjustRightInd w:val="0"/>
              <w:snapToGrid w:val="0"/>
              <w:rPr>
                <w:szCs w:val="22"/>
                <w:lang w:val="zh-CN"/>
                <w14:ligatures w14:val="none"/>
              </w:rPr>
            </w:pPr>
            <w:r>
              <w:rPr>
                <w:rFonts w:hint="eastAsia"/>
                <w:szCs w:val="22"/>
                <w:lang w:val="zh-CN"/>
                <w14:ligatures w14:val="none"/>
              </w:rPr>
              <w:t>砂姜黑土</w:t>
            </w:r>
          </w:p>
        </w:tc>
        <w:tc>
          <w:tcPr>
            <w:tcW w:w="2267" w:type="dxa"/>
            <w:vAlign w:val="center"/>
          </w:tcPr>
          <w:p w14:paraId="77CBB450">
            <w:pPr>
              <w:pStyle w:val="64"/>
              <w:adjustRightInd w:val="0"/>
              <w:snapToGrid w:val="0"/>
              <w:rPr>
                <w:szCs w:val="22"/>
                <w:lang w:val="zh-CN"/>
                <w14:ligatures w14:val="none"/>
              </w:rPr>
            </w:pPr>
            <w:r>
              <w:rPr>
                <w:rFonts w:hint="eastAsia"/>
                <w:szCs w:val="22"/>
                <w:lang w:val="zh-CN"/>
                <w14:ligatures w14:val="none"/>
              </w:rPr>
              <w:t>4</w:t>
            </w:r>
            <w:r>
              <w:rPr>
                <w:szCs w:val="22"/>
                <w:lang w:val="zh-CN"/>
                <w14:ligatures w14:val="none"/>
              </w:rPr>
              <w:t>.895</w:t>
            </w:r>
          </w:p>
        </w:tc>
        <w:tc>
          <w:tcPr>
            <w:tcW w:w="2269" w:type="dxa"/>
            <w:vAlign w:val="center"/>
          </w:tcPr>
          <w:p w14:paraId="5CD15653">
            <w:pPr>
              <w:pStyle w:val="64"/>
              <w:adjustRightInd w:val="0"/>
              <w:snapToGrid w:val="0"/>
              <w:rPr>
                <w:szCs w:val="22"/>
                <w:lang w:val="zh-CN"/>
                <w14:ligatures w14:val="none"/>
              </w:rPr>
            </w:pPr>
            <w:r>
              <w:rPr>
                <w:rFonts w:hint="eastAsia"/>
                <w:szCs w:val="22"/>
                <w:lang w:val="zh-CN"/>
                <w14:ligatures w14:val="none"/>
              </w:rPr>
              <w:t>6</w:t>
            </w:r>
            <w:r>
              <w:rPr>
                <w:szCs w:val="22"/>
                <w:lang w:val="zh-CN"/>
                <w14:ligatures w14:val="none"/>
              </w:rPr>
              <w:t>4</w:t>
            </w:r>
          </w:p>
        </w:tc>
        <w:tc>
          <w:tcPr>
            <w:tcW w:w="2269" w:type="dxa"/>
            <w:vAlign w:val="center"/>
          </w:tcPr>
          <w:p w14:paraId="65E99254">
            <w:pPr>
              <w:pStyle w:val="64"/>
              <w:adjustRightInd w:val="0"/>
              <w:snapToGrid w:val="0"/>
              <w:rPr>
                <w:szCs w:val="22"/>
                <w:lang w:val="zh-CN"/>
                <w14:ligatures w14:val="none"/>
              </w:rPr>
            </w:pPr>
            <w:r>
              <w:rPr>
                <w:rFonts w:hint="eastAsia"/>
                <w:szCs w:val="22"/>
                <w:lang w:val="zh-CN"/>
                <w14:ligatures w14:val="none"/>
              </w:rPr>
              <w:t>调查范围东部</w:t>
            </w:r>
          </w:p>
        </w:tc>
      </w:tr>
      <w:tr w14:paraId="4645455E">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2267" w:type="dxa"/>
            <w:vAlign w:val="center"/>
          </w:tcPr>
          <w:p w14:paraId="220DEE38">
            <w:pPr>
              <w:pStyle w:val="64"/>
              <w:adjustRightInd w:val="0"/>
              <w:snapToGrid w:val="0"/>
              <w:rPr>
                <w:szCs w:val="22"/>
                <w:lang w:val="zh-CN"/>
                <w14:ligatures w14:val="none"/>
              </w:rPr>
            </w:pPr>
            <w:r>
              <w:rPr>
                <w:rFonts w:hint="eastAsia"/>
                <w:szCs w:val="22"/>
                <w:lang w:val="zh-CN"/>
                <w14:ligatures w14:val="none"/>
              </w:rPr>
              <w:t>黄褐土</w:t>
            </w:r>
          </w:p>
        </w:tc>
        <w:tc>
          <w:tcPr>
            <w:tcW w:w="2267" w:type="dxa"/>
            <w:vAlign w:val="center"/>
          </w:tcPr>
          <w:p w14:paraId="0B788F8C">
            <w:pPr>
              <w:pStyle w:val="64"/>
              <w:adjustRightInd w:val="0"/>
              <w:snapToGrid w:val="0"/>
              <w:rPr>
                <w:szCs w:val="22"/>
                <w:lang w:val="zh-CN"/>
                <w14:ligatures w14:val="none"/>
              </w:rPr>
            </w:pPr>
            <w:r>
              <w:rPr>
                <w:rFonts w:hint="eastAsia"/>
                <w:szCs w:val="22"/>
                <w:lang w:val="zh-CN"/>
                <w14:ligatures w14:val="none"/>
              </w:rPr>
              <w:t>2</w:t>
            </w:r>
            <w:r>
              <w:rPr>
                <w:szCs w:val="22"/>
                <w:lang w:val="zh-CN"/>
                <w14:ligatures w14:val="none"/>
              </w:rPr>
              <w:t>.662</w:t>
            </w:r>
          </w:p>
        </w:tc>
        <w:tc>
          <w:tcPr>
            <w:tcW w:w="2269" w:type="dxa"/>
            <w:vAlign w:val="center"/>
          </w:tcPr>
          <w:p w14:paraId="2B279FFD">
            <w:pPr>
              <w:pStyle w:val="64"/>
              <w:adjustRightInd w:val="0"/>
              <w:snapToGrid w:val="0"/>
              <w:rPr>
                <w:szCs w:val="22"/>
                <w:lang w:val="zh-CN"/>
                <w14:ligatures w14:val="none"/>
              </w:rPr>
            </w:pPr>
            <w:r>
              <w:rPr>
                <w:rFonts w:hint="eastAsia"/>
                <w:szCs w:val="22"/>
                <w:lang w:val="zh-CN"/>
                <w14:ligatures w14:val="none"/>
              </w:rPr>
              <w:t>3</w:t>
            </w:r>
            <w:r>
              <w:rPr>
                <w:szCs w:val="22"/>
                <w:lang w:val="zh-CN"/>
                <w14:ligatures w14:val="none"/>
              </w:rPr>
              <w:t>4.8</w:t>
            </w:r>
          </w:p>
        </w:tc>
        <w:tc>
          <w:tcPr>
            <w:tcW w:w="2269" w:type="dxa"/>
            <w:vAlign w:val="center"/>
          </w:tcPr>
          <w:p w14:paraId="2A31743E">
            <w:pPr>
              <w:pStyle w:val="64"/>
              <w:adjustRightInd w:val="0"/>
              <w:snapToGrid w:val="0"/>
              <w:rPr>
                <w:szCs w:val="22"/>
                <w:lang w:val="zh-CN"/>
                <w14:ligatures w14:val="none"/>
              </w:rPr>
            </w:pPr>
            <w:r>
              <w:rPr>
                <w:rFonts w:hint="eastAsia"/>
                <w:szCs w:val="22"/>
                <w:lang w:val="zh-CN"/>
                <w14:ligatures w14:val="none"/>
              </w:rPr>
              <w:t>调查范围西部</w:t>
            </w:r>
          </w:p>
        </w:tc>
      </w:tr>
      <w:tr w14:paraId="48DFCAD8">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2267" w:type="dxa"/>
            <w:vAlign w:val="center"/>
          </w:tcPr>
          <w:p w14:paraId="6A82EEA1">
            <w:pPr>
              <w:pStyle w:val="64"/>
              <w:adjustRightInd w:val="0"/>
              <w:snapToGrid w:val="0"/>
              <w:rPr>
                <w:szCs w:val="22"/>
                <w:lang w:val="zh-CN"/>
                <w14:ligatures w14:val="none"/>
              </w:rPr>
            </w:pPr>
            <w:r>
              <w:rPr>
                <w:rFonts w:hint="eastAsia"/>
                <w:szCs w:val="22"/>
                <w:lang w:val="zh-CN"/>
                <w14:ligatures w14:val="none"/>
              </w:rPr>
              <w:t>漂洗水稻土</w:t>
            </w:r>
          </w:p>
        </w:tc>
        <w:tc>
          <w:tcPr>
            <w:tcW w:w="2267" w:type="dxa"/>
            <w:vAlign w:val="center"/>
          </w:tcPr>
          <w:p w14:paraId="3C097B44">
            <w:pPr>
              <w:pStyle w:val="64"/>
              <w:adjustRightInd w:val="0"/>
              <w:snapToGrid w:val="0"/>
              <w:rPr>
                <w:szCs w:val="22"/>
                <w:lang w:val="zh-CN"/>
                <w14:ligatures w14:val="none"/>
              </w:rPr>
            </w:pPr>
            <w:r>
              <w:rPr>
                <w:rFonts w:hint="eastAsia"/>
                <w:szCs w:val="22"/>
                <w:lang w:val="zh-CN"/>
                <w14:ligatures w14:val="none"/>
              </w:rPr>
              <w:t>0</w:t>
            </w:r>
            <w:r>
              <w:rPr>
                <w:szCs w:val="22"/>
                <w:lang w:val="zh-CN"/>
                <w14:ligatures w14:val="none"/>
              </w:rPr>
              <w:t>.091</w:t>
            </w:r>
          </w:p>
        </w:tc>
        <w:tc>
          <w:tcPr>
            <w:tcW w:w="2269" w:type="dxa"/>
            <w:vAlign w:val="center"/>
          </w:tcPr>
          <w:p w14:paraId="52CAC54E">
            <w:pPr>
              <w:pStyle w:val="64"/>
              <w:adjustRightInd w:val="0"/>
              <w:snapToGrid w:val="0"/>
              <w:rPr>
                <w:szCs w:val="22"/>
                <w:lang w:val="zh-CN"/>
                <w14:ligatures w14:val="none"/>
              </w:rPr>
            </w:pPr>
            <w:r>
              <w:rPr>
                <w:rFonts w:hint="eastAsia"/>
                <w:szCs w:val="22"/>
                <w:lang w:val="zh-CN"/>
                <w14:ligatures w14:val="none"/>
              </w:rPr>
              <w:t>1</w:t>
            </w:r>
            <w:r>
              <w:rPr>
                <w:szCs w:val="22"/>
                <w:lang w:val="zh-CN"/>
                <w14:ligatures w14:val="none"/>
              </w:rPr>
              <w:t>.2</w:t>
            </w:r>
          </w:p>
        </w:tc>
        <w:tc>
          <w:tcPr>
            <w:tcW w:w="2269" w:type="dxa"/>
            <w:vAlign w:val="center"/>
          </w:tcPr>
          <w:p w14:paraId="480026DD">
            <w:pPr>
              <w:pStyle w:val="64"/>
              <w:adjustRightInd w:val="0"/>
              <w:snapToGrid w:val="0"/>
              <w:rPr>
                <w:szCs w:val="22"/>
                <w:lang w:val="zh-CN"/>
                <w14:ligatures w14:val="none"/>
              </w:rPr>
            </w:pPr>
            <w:r>
              <w:rPr>
                <w:rFonts w:hint="eastAsia"/>
                <w:szCs w:val="22"/>
                <w:lang w:val="zh-CN"/>
                <w14:ligatures w14:val="none"/>
              </w:rPr>
              <w:t>调查范围南侧</w:t>
            </w:r>
          </w:p>
        </w:tc>
      </w:tr>
    </w:tbl>
    <w:p w14:paraId="4C75A326">
      <w:pPr>
        <w:spacing w:line="240" w:lineRule="auto"/>
      </w:pPr>
    </w:p>
    <w:p w14:paraId="5800CB1C">
      <w:pPr>
        <w:spacing w:line="240" w:lineRule="auto"/>
      </w:pPr>
    </w:p>
    <w:p w14:paraId="317CD700">
      <w:pPr>
        <w:spacing w:line="240" w:lineRule="auto"/>
      </w:pPr>
      <w:r>
        <mc:AlternateContent>
          <mc:Choice Requires="wps">
            <w:drawing>
              <wp:anchor distT="0" distB="0" distL="114300" distR="114300" simplePos="0" relativeHeight="251660288" behindDoc="0" locked="0" layoutInCell="1" allowOverlap="1">
                <wp:simplePos x="0" y="0"/>
                <wp:positionH relativeFrom="column">
                  <wp:posOffset>3053080</wp:posOffset>
                </wp:positionH>
                <wp:positionV relativeFrom="paragraph">
                  <wp:posOffset>1332865</wp:posOffset>
                </wp:positionV>
                <wp:extent cx="1146810" cy="404495"/>
                <wp:effectExtent l="0" t="0" r="15240" b="357505"/>
                <wp:wrapNone/>
                <wp:docPr id="1321634564" name="对话气泡: 圆角矩形 37"/>
                <wp:cNvGraphicFramePr/>
                <a:graphic xmlns:a="http://schemas.openxmlformats.org/drawingml/2006/main">
                  <a:graphicData uri="http://schemas.microsoft.com/office/word/2010/wordprocessingShape">
                    <wps:wsp>
                      <wps:cNvSpPr/>
                      <wps:spPr>
                        <a:xfrm>
                          <a:off x="0" y="0"/>
                          <a:ext cx="1146810" cy="404495"/>
                        </a:xfrm>
                        <a:prstGeom prst="wedgeRoundRectCallout">
                          <a:avLst>
                            <a:gd name="adj1" fmla="val -32116"/>
                            <a:gd name="adj2" fmla="val 129734"/>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D11D5A">
                            <w:pPr>
                              <w:spacing w:line="240" w:lineRule="auto"/>
                              <w:jc w:val="center"/>
                              <w:rPr>
                                <w:b/>
                                <w:bCs/>
                              </w:rPr>
                            </w:pPr>
                            <w:r>
                              <w:rPr>
                                <w:rFonts w:hint="eastAsia"/>
                                <w:b/>
                                <w:bCs/>
                              </w:rPr>
                              <w:t>调查范围</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对话气泡: 圆角矩形 37" o:spid="_x0000_s1026" o:spt="62" type="#_x0000_t62" style="position:absolute;left:0pt;margin-left:240.4pt;margin-top:104.95pt;height:31.85pt;width:90.3pt;z-index:251660288;v-text-anchor:middle;mso-width-relative:page;mso-height-relative:page;" fillcolor="#FFFFFF [3212]" filled="t" stroked="t" coordsize="21600,21600" o:gfxdata="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" adj="3863,38823,14400">
                <v:fill on="t" focussize="0,0"/>
                <v:stroke weight="1pt" color="#000000 [3213]" miterlimit="8" joinstyle="miter"/>
                <v:imagedata o:title=""/>
                <o:lock v:ext="edit" aspectratio="f"/>
                <v:textbox>
                  <w:txbxContent>
                    <w:p w14:paraId="4AD11D5A">
                      <w:pPr>
                        <w:spacing w:line="240" w:lineRule="auto"/>
                        <w:jc w:val="center"/>
                        <w:rPr>
                          <w:b/>
                          <w:bCs/>
                        </w:rPr>
                      </w:pPr>
                      <w:r>
                        <w:rPr>
                          <w:rFonts w:hint="eastAsia"/>
                          <w:b/>
                          <w:bCs/>
                        </w:rPr>
                        <w:t>调查范围</w:t>
                      </w:r>
                    </w:p>
                  </w:txbxContent>
                </v:textbox>
              </v:shape>
            </w:pict>
          </mc:Fallback>
        </mc:AlternateContent>
      </w:r>
      <w:r>
        <mc:AlternateContent>
          <mc:Choice Requires="wps">
            <w:drawing>
              <wp:anchor distT="0" distB="0" distL="114300" distR="114300" simplePos="0" relativeHeight="251659264" behindDoc="0" locked="0" layoutInCell="1" allowOverlap="1">
                <wp:simplePos x="0" y="0"/>
                <wp:positionH relativeFrom="column">
                  <wp:posOffset>2019300</wp:posOffset>
                </wp:positionH>
                <wp:positionV relativeFrom="paragraph">
                  <wp:posOffset>2080895</wp:posOffset>
                </wp:positionV>
                <wp:extent cx="1853565" cy="1205865"/>
                <wp:effectExtent l="19050" t="19050" r="13335" b="13335"/>
                <wp:wrapNone/>
                <wp:docPr id="1107225943" name="矩形 36"/>
                <wp:cNvGraphicFramePr/>
                <a:graphic xmlns:a="http://schemas.openxmlformats.org/drawingml/2006/main">
                  <a:graphicData uri="http://schemas.microsoft.com/office/word/2010/wordprocessingShape">
                    <wps:wsp>
                      <wps:cNvSpPr/>
                      <wps:spPr>
                        <a:xfrm>
                          <a:off x="0" y="0"/>
                          <a:ext cx="1853565" cy="120586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36" o:spid="_x0000_s1026" o:spt="1" style="position:absolute;left:0pt;margin-left:159pt;margin-top:163.85pt;height:94.95pt;width:145.95pt;z-index:251659264;v-text-anchor:middle;mso-width-relative:page;mso-height-relative:page;" filled="f" stroked="t" coordsize="21600,21600" o:gfxdata="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P6K4aLaAAAACwEAAA8AAAAAAAAAAQAgAAAAIgAAAGRy&#10;cy9kb3ducmV2LnhtbFBLAQIUABQAAAAIAIdO4kCdjeFEdQIAANYEAAAOAAAAAAAAAAEAIAAAACkB&#10;AABkcnMvZTJvRG9jLnhtbFBLBQYAAAAABgAGAFkBAAAQBgAAAAA=&#10;">
                <v:fill on="f" focussize="0,0"/>
                <v:stroke weight="2.25pt" color="#FF0000 [3204]" miterlimit="8" joinstyle="miter"/>
                <v:imagedata o:title=""/>
                <o:lock v:ext="edit" aspectratio="f"/>
              </v:rect>
            </w:pict>
          </mc:Fallback>
        </mc:AlternateContent>
      </w:r>
      <w:r>
        <w:drawing>
          <wp:inline distT="0" distB="0" distL="0" distR="0">
            <wp:extent cx="5759450" cy="4025265"/>
            <wp:effectExtent l="0" t="0" r="0" b="0"/>
            <wp:docPr id="1216" name="图片 1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 name="图片 1216"/>
                    <pic:cNvPicPr>
                      <a:picLocks noChangeAspect="1"/>
                    </pic:cNvPicPr>
                  </pic:nvPicPr>
                  <pic:blipFill>
                    <a:blip r:embed="rId46"/>
                    <a:stretch>
                      <a:fillRect/>
                    </a:stretch>
                  </pic:blipFill>
                  <pic:spPr>
                    <a:xfrm>
                      <a:off x="0" y="0"/>
                      <a:ext cx="5759450" cy="4025265"/>
                    </a:xfrm>
                    <a:prstGeom prst="rect">
                      <a:avLst/>
                    </a:prstGeom>
                  </pic:spPr>
                </pic:pic>
              </a:graphicData>
            </a:graphic>
          </wp:inline>
        </w:drawing>
      </w:r>
    </w:p>
    <w:p w14:paraId="1D50EF12">
      <w:pPr>
        <w:pStyle w:val="28"/>
        <w:rPr>
          <w:rFonts w:hint="eastAsia"/>
        </w:rPr>
      </w:pPr>
      <w:r>
        <w:t>图6.7-1 土壤调查范围土壤类型图</w:t>
      </w:r>
    </w:p>
    <w:p w14:paraId="44F057BC">
      <w:pPr>
        <w:pStyle w:val="4"/>
        <w:rPr>
          <w:rFonts w:hint="eastAsia"/>
        </w:rPr>
      </w:pPr>
      <w:bookmarkStart w:id="113" w:name="_Toc215670214"/>
      <w:bookmarkStart w:id="114" w:name="_Toc221056432"/>
      <w:r>
        <w:rPr>
          <w:rFonts w:hint="eastAsia"/>
        </w:rPr>
        <w:t>6</w:t>
      </w:r>
      <w:r>
        <w:t>.</w:t>
      </w:r>
      <w:r>
        <w:rPr>
          <w:rFonts w:hint="eastAsia"/>
        </w:rPr>
        <w:t>7</w:t>
      </w:r>
      <w:r>
        <w:t>.</w:t>
      </w:r>
      <w:r>
        <w:rPr>
          <w:rFonts w:hint="eastAsia"/>
        </w:rPr>
        <w:t>3土壤环境影响预测与评价</w:t>
      </w:r>
      <w:bookmarkEnd w:id="113"/>
      <w:bookmarkEnd w:id="114"/>
    </w:p>
    <w:p w14:paraId="5362AB1A">
      <w:pPr>
        <w:ind w:firstLine="480" w:firstLineChars="200"/>
      </w:pPr>
      <w:r>
        <w:rPr>
          <w:rFonts w:hint="eastAsia"/>
        </w:rPr>
        <w:t>1、大气沉降</w:t>
      </w:r>
    </w:p>
    <w:p w14:paraId="0B4ADC31">
      <w:pPr>
        <w:snapToGrid w:val="0"/>
        <w:ind w:firstLine="480" w:firstLineChars="200"/>
        <w:rPr>
          <w:rFonts w:cs="Times New Roman"/>
          <w:szCs w:val="22"/>
          <w14:ligatures w14:val="none"/>
        </w:rPr>
      </w:pPr>
      <w:r>
        <w:rPr>
          <w:rFonts w:hint="eastAsia" w:cs="Times New Roman"/>
          <w:szCs w:val="22"/>
          <w14:ligatures w14:val="none"/>
        </w:rPr>
        <w:t>(1)预测时段及情景设置</w:t>
      </w:r>
    </w:p>
    <w:p w14:paraId="51EDEBD0">
      <w:pPr>
        <w:snapToGrid w:val="0"/>
        <w:ind w:firstLine="480" w:firstLineChars="200"/>
        <w:rPr>
          <w:rFonts w:cs="Times New Roman"/>
          <w:szCs w:val="22"/>
          <w14:ligatures w14:val="none"/>
        </w:rPr>
      </w:pPr>
      <w:r>
        <w:rPr>
          <w:rFonts w:hint="eastAsia" w:cs="Times New Roman"/>
          <w:szCs w:val="22"/>
          <w14:ligatures w14:val="none"/>
        </w:rPr>
        <w:t>通过项目土壤环境影响识别结果，确定预测时段为从项目营运期开始的第一年、五年、十年、二十年。</w:t>
      </w:r>
    </w:p>
    <w:p w14:paraId="2F7C6441">
      <w:pPr>
        <w:snapToGrid w:val="0"/>
        <w:ind w:firstLine="480" w:firstLineChars="200"/>
        <w:rPr>
          <w:rFonts w:cs="Times New Roman"/>
          <w:szCs w:val="22"/>
          <w14:ligatures w14:val="none"/>
        </w:rPr>
      </w:pPr>
      <w:r>
        <w:rPr>
          <w:rFonts w:hint="eastAsia" w:cs="Times New Roman"/>
          <w:szCs w:val="22"/>
          <w14:ligatures w14:val="none"/>
        </w:rPr>
        <w:t>本次评价假定废气中污染物最大落地浓度为污染物排放浓度，废气污染源排放量保持不变，均匀沉降在固定区域内，对占地范围外土壤环境敏感目标的累积影响。</w:t>
      </w:r>
    </w:p>
    <w:p w14:paraId="521ED559">
      <w:pPr>
        <w:snapToGrid w:val="0"/>
        <w:ind w:firstLine="480" w:firstLineChars="200"/>
        <w:rPr>
          <w:rFonts w:cs="Times New Roman"/>
          <w:szCs w:val="22"/>
          <w14:ligatures w14:val="none"/>
        </w:rPr>
      </w:pPr>
      <w:r>
        <w:rPr>
          <w:rFonts w:hint="eastAsia" w:cs="Times New Roman"/>
          <w:szCs w:val="22"/>
          <w14:ligatures w14:val="none"/>
        </w:rPr>
        <w:t>(2)预测及评价因子</w:t>
      </w:r>
    </w:p>
    <w:p w14:paraId="03EB98F8">
      <w:pPr>
        <w:snapToGrid w:val="0"/>
        <w:ind w:firstLine="480" w:firstLineChars="200"/>
        <w:rPr>
          <w:rFonts w:cs="Times New Roman"/>
          <w:szCs w:val="22"/>
          <w14:ligatures w14:val="none"/>
        </w:rPr>
      </w:pPr>
      <w:r>
        <w:rPr>
          <w:rFonts w:hint="eastAsia" w:cs="Times New Roman"/>
          <w:szCs w:val="22"/>
          <w14:ligatures w14:val="none"/>
        </w:rPr>
        <w:t>根据环境影响识别出的特征因子选取关键预测因子，大气沉降预测和评价因子选取本项目的特征污染物。</w:t>
      </w:r>
    </w:p>
    <w:p w14:paraId="00580936">
      <w:pPr>
        <w:snapToGrid w:val="0"/>
        <w:ind w:firstLine="480" w:firstLineChars="200"/>
        <w:rPr>
          <w:rFonts w:cs="Times New Roman"/>
          <w:szCs w:val="22"/>
          <w14:ligatures w14:val="none"/>
        </w:rPr>
      </w:pPr>
      <w:r>
        <w:rPr>
          <w:rFonts w:hint="eastAsia" w:cs="Times New Roman"/>
          <w:szCs w:val="22"/>
          <w14:ligatures w14:val="none"/>
        </w:rPr>
        <w:t>(3)预测方法</w:t>
      </w:r>
    </w:p>
    <w:p w14:paraId="4C66090D">
      <w:pPr>
        <w:snapToGrid w:val="0"/>
        <w:ind w:firstLine="480" w:firstLineChars="200"/>
        <w:rPr>
          <w:rFonts w:cs="Times New Roman"/>
          <w:szCs w:val="22"/>
          <w14:ligatures w14:val="none"/>
        </w:rPr>
      </w:pPr>
      <w:r>
        <w:rPr>
          <w:rFonts w:hint="eastAsia" w:cs="Times New Roman"/>
          <w:szCs w:val="22"/>
          <w14:ligatures w14:val="none"/>
        </w:rPr>
        <w:t>项目的大气沉降土壤预测方法采用《环境影响评价技术导则 土壤环境(试行)》(HJ964-2018)附录E中推荐的预测方法进行评价。具体如下：</w:t>
      </w:r>
    </w:p>
    <w:p w14:paraId="0176068E">
      <w:pPr>
        <w:snapToGrid w:val="0"/>
        <w:ind w:firstLine="480" w:firstLineChars="200"/>
        <w:rPr>
          <w:rFonts w:cs="Times New Roman"/>
          <w:szCs w:val="22"/>
          <w14:ligatures w14:val="none"/>
        </w:rPr>
      </w:pPr>
      <w:r>
        <w:rPr>
          <w:rFonts w:cs="Times New Roman"/>
          <w:szCs w:val="22"/>
          <w14:ligatures w14:val="none"/>
        </w:rPr>
        <w:fldChar w:fldCharType="begin"/>
      </w:r>
      <w:r>
        <w:rPr>
          <w:rFonts w:cs="Times New Roman"/>
          <w:szCs w:val="22"/>
          <w14:ligatures w14:val="none"/>
        </w:rPr>
        <w:instrText xml:space="preserve"> </w:instrText>
      </w:r>
      <w:r>
        <w:rPr>
          <w:rFonts w:hint="eastAsia" w:cs="Times New Roman"/>
          <w:szCs w:val="22"/>
          <w14:ligatures w14:val="none"/>
        </w:rPr>
        <w:instrText xml:space="preserve">= 1 \* GB3</w:instrText>
      </w:r>
      <w:r>
        <w:rPr>
          <w:rFonts w:cs="Times New Roman"/>
          <w:szCs w:val="22"/>
          <w14:ligatures w14:val="none"/>
        </w:rPr>
        <w:instrText xml:space="preserve"> </w:instrText>
      </w:r>
      <w:r>
        <w:rPr>
          <w:rFonts w:cs="Times New Roman"/>
          <w:szCs w:val="22"/>
          <w14:ligatures w14:val="none"/>
        </w:rPr>
        <w:fldChar w:fldCharType="separate"/>
      </w:r>
      <w:r>
        <w:rPr>
          <w:rFonts w:hint="eastAsia" w:cs="Times New Roman"/>
          <w:szCs w:val="22"/>
          <w14:ligatures w14:val="none"/>
        </w:rPr>
        <w:t>①</w:t>
      </w:r>
      <w:r>
        <w:rPr>
          <w:rFonts w:cs="Times New Roman"/>
          <w:szCs w:val="22"/>
          <w14:ligatures w14:val="none"/>
        </w:rPr>
        <w:fldChar w:fldCharType="end"/>
      </w:r>
      <w:r>
        <w:rPr>
          <w:rFonts w:hint="eastAsia" w:cs="Times New Roman"/>
          <w:szCs w:val="22"/>
          <w14:ligatures w14:val="none"/>
        </w:rPr>
        <w:t>单位质量土壤中某种物质的增量计算公式：</w:t>
      </w:r>
    </w:p>
    <w:p w14:paraId="27E61462">
      <w:pPr>
        <w:snapToGrid w:val="0"/>
        <w:jc w:val="center"/>
        <w:rPr>
          <w:rFonts w:cs="Times New Roman"/>
          <w:szCs w:val="22"/>
          <w14:ligatures w14:val="none"/>
        </w:rPr>
      </w:pPr>
      <w:r>
        <w:rPr>
          <w:rFonts w:cs="Times New Roman"/>
        </w:rPr>
        <w:t>∆S=n(Is−Ls−Rs)/(ρ</w:t>
      </w:r>
      <w:r>
        <w:rPr>
          <w:rFonts w:cs="Times New Roman"/>
          <w:vertAlign w:val="subscript"/>
        </w:rPr>
        <w:t>b</w:t>
      </w:r>
      <w:r>
        <w:rPr>
          <w:rFonts w:cs="Times New Roman"/>
        </w:rPr>
        <w:t>×A×D)</w:t>
      </w:r>
    </w:p>
    <w:p w14:paraId="40A8C02E">
      <w:pPr>
        <w:snapToGrid w:val="0"/>
        <w:ind w:firstLine="480" w:firstLineChars="200"/>
        <w:rPr>
          <w:rFonts w:cs="Times New Roman"/>
          <w:szCs w:val="22"/>
          <w14:ligatures w14:val="none"/>
        </w:rPr>
      </w:pPr>
      <w:r>
        <w:rPr>
          <w:rFonts w:hint="eastAsia" w:cs="Times New Roman"/>
          <w:szCs w:val="22"/>
          <w14:ligatures w14:val="none"/>
        </w:rPr>
        <w:t>式中：</w:t>
      </w:r>
      <w:r>
        <w:rPr>
          <w:rFonts w:ascii="Cambria Math" w:hAnsi="Cambria Math" w:cs="Cambria Math"/>
          <w:szCs w:val="22"/>
          <w14:ligatures w14:val="none"/>
        </w:rPr>
        <w:t>△</w:t>
      </w:r>
      <w:r>
        <w:rPr>
          <w:rFonts w:cs="Times New Roman"/>
          <w:szCs w:val="22"/>
          <w14:ligatures w14:val="none"/>
        </w:rPr>
        <w:t>S</w:t>
      </w:r>
      <w:r>
        <w:rPr>
          <w:rFonts w:hint="eastAsia" w:cs="Times New Roman"/>
          <w:szCs w:val="22"/>
          <w14:ligatures w14:val="none"/>
        </w:rPr>
        <w:t>—单位质量表层土壤中某种物质的增量，g/kg；</w:t>
      </w:r>
    </w:p>
    <w:p w14:paraId="24E17C1E">
      <w:pPr>
        <w:snapToGrid w:val="0"/>
        <w:ind w:firstLine="1200" w:firstLineChars="500"/>
        <w:rPr>
          <w:rFonts w:cs="Times New Roman"/>
          <w:szCs w:val="22"/>
          <w14:ligatures w14:val="none"/>
        </w:rPr>
      </w:pPr>
      <w:r>
        <w:rPr>
          <w:rFonts w:hint="eastAsia" w:cs="Times New Roman"/>
          <w:szCs w:val="22"/>
          <w14:ligatures w14:val="none"/>
        </w:rPr>
        <w:t>表层土壤中游离酸或游离碱浓度增量，mmol/kg；</w:t>
      </w:r>
    </w:p>
    <w:p w14:paraId="79634D22">
      <w:pPr>
        <w:snapToGrid w:val="0"/>
        <w:ind w:firstLine="1200" w:firstLineChars="500"/>
        <w:rPr>
          <w:rFonts w:cs="Times New Roman"/>
          <w:szCs w:val="22"/>
          <w14:ligatures w14:val="none"/>
        </w:rPr>
      </w:pPr>
      <w:r>
        <w:rPr>
          <w:rFonts w:hint="eastAsia" w:cs="Times New Roman"/>
          <w:szCs w:val="22"/>
          <w14:ligatures w14:val="none"/>
        </w:rPr>
        <w:t>Is—预测评价范围内单位年份表层土壤中某种物质的输入量，g；</w:t>
      </w:r>
    </w:p>
    <w:p w14:paraId="71930111">
      <w:pPr>
        <w:snapToGrid w:val="0"/>
        <w:ind w:firstLine="1200" w:firstLineChars="500"/>
        <w:rPr>
          <w:rFonts w:cs="Times New Roman"/>
          <w:szCs w:val="22"/>
          <w14:ligatures w14:val="none"/>
        </w:rPr>
      </w:pPr>
      <w:r>
        <w:rPr>
          <w:rFonts w:hint="eastAsia" w:cs="Times New Roman"/>
          <w:szCs w:val="22"/>
          <w14:ligatures w14:val="none"/>
        </w:rPr>
        <w:t>预测评价范围内单位年份表层土壤中游离酸、游离碱输入量，mmol；</w:t>
      </w:r>
    </w:p>
    <w:p w14:paraId="2F9CE2C9">
      <w:pPr>
        <w:snapToGrid w:val="0"/>
        <w:ind w:firstLine="1200" w:firstLineChars="500"/>
        <w:rPr>
          <w:rFonts w:cs="Times New Roman"/>
          <w:szCs w:val="22"/>
          <w14:ligatures w14:val="none"/>
        </w:rPr>
      </w:pPr>
      <w:r>
        <w:rPr>
          <w:rFonts w:hint="eastAsia" w:cs="Times New Roman"/>
          <w:szCs w:val="22"/>
          <w14:ligatures w14:val="none"/>
        </w:rPr>
        <w:t>Ls—预测评价范围内单位年份表层土壤中某种物质经淋溶排出的量，g；</w:t>
      </w:r>
    </w:p>
    <w:p w14:paraId="30B50B5E">
      <w:pPr>
        <w:snapToGrid w:val="0"/>
        <w:ind w:firstLine="1200" w:firstLineChars="500"/>
        <w:rPr>
          <w:rFonts w:cs="Times New Roman"/>
          <w:szCs w:val="22"/>
          <w14:ligatures w14:val="none"/>
        </w:rPr>
      </w:pPr>
      <w:r>
        <w:rPr>
          <w:rFonts w:hint="eastAsia" w:cs="Times New Roman"/>
          <w:szCs w:val="22"/>
          <w14:ligatures w14:val="none"/>
        </w:rPr>
        <w:t>预测评价范围内单位年份表层土壤中经淋溶排出游离酸、游离碱的量，mmol；</w:t>
      </w:r>
    </w:p>
    <w:p w14:paraId="2C81E087">
      <w:pPr>
        <w:snapToGrid w:val="0"/>
        <w:ind w:firstLine="1200" w:firstLineChars="500"/>
        <w:rPr>
          <w:rFonts w:cs="Times New Roman"/>
          <w:szCs w:val="22"/>
          <w14:ligatures w14:val="none"/>
        </w:rPr>
      </w:pPr>
      <w:r>
        <w:rPr>
          <w:rFonts w:hint="eastAsia" w:cs="Times New Roman"/>
          <w:szCs w:val="22"/>
          <w14:ligatures w14:val="none"/>
        </w:rPr>
        <w:t>Rs—预测评价范围内单位年份表层土壤中某种物质经径流排出的量，g；</w:t>
      </w:r>
    </w:p>
    <w:p w14:paraId="0D8F6A8C">
      <w:pPr>
        <w:snapToGrid w:val="0"/>
        <w:ind w:firstLine="1200" w:firstLineChars="500"/>
        <w:rPr>
          <w:rFonts w:cs="Times New Roman"/>
          <w:szCs w:val="22"/>
          <w14:ligatures w14:val="none"/>
        </w:rPr>
      </w:pPr>
      <w:r>
        <w:rPr>
          <w:rFonts w:hint="eastAsia" w:cs="Times New Roman"/>
          <w:szCs w:val="22"/>
          <w14:ligatures w14:val="none"/>
        </w:rPr>
        <w:t>预测评价范围内单位年份表层土壤中径流排出游离酸、游离碱的量，</w:t>
      </w:r>
      <w:r>
        <w:rPr>
          <w:rFonts w:cs="Times New Roman"/>
          <w:szCs w:val="22"/>
          <w14:ligatures w14:val="none"/>
        </w:rPr>
        <w:t>mmol</w:t>
      </w:r>
      <w:r>
        <w:rPr>
          <w:rFonts w:hint="eastAsia" w:cs="Times New Roman"/>
          <w:szCs w:val="22"/>
          <w14:ligatures w14:val="none"/>
        </w:rPr>
        <w:t>；</w:t>
      </w:r>
    </w:p>
    <w:p w14:paraId="51F7259F">
      <w:pPr>
        <w:snapToGrid w:val="0"/>
        <w:ind w:firstLine="1200" w:firstLineChars="500"/>
        <w:rPr>
          <w:rFonts w:cs="Times New Roman"/>
          <w:szCs w:val="22"/>
          <w14:ligatures w14:val="none"/>
        </w:rPr>
      </w:pPr>
      <w:r>
        <w:rPr>
          <w:rFonts w:cs="Times New Roman"/>
        </w:rPr>
        <w:t>ρ</w:t>
      </w:r>
      <w:r>
        <w:rPr>
          <w:rFonts w:cs="Times New Roman"/>
          <w:vertAlign w:val="subscript"/>
        </w:rPr>
        <w:t>b</w:t>
      </w:r>
      <w:r>
        <w:rPr>
          <w:rFonts w:hint="eastAsia" w:cs="Times New Roman"/>
          <w:szCs w:val="22"/>
          <w14:ligatures w14:val="none"/>
        </w:rPr>
        <w:t>—表层土壤容重，kg/m</w:t>
      </w:r>
      <w:r>
        <w:rPr>
          <w:rFonts w:hint="eastAsia" w:cs="Times New Roman"/>
          <w:szCs w:val="22"/>
          <w:vertAlign w:val="superscript"/>
          <w14:ligatures w14:val="none"/>
        </w:rPr>
        <w:t>3</w:t>
      </w:r>
      <w:r>
        <w:rPr>
          <w:rFonts w:hint="eastAsia" w:cs="Times New Roman"/>
          <w:szCs w:val="22"/>
          <w14:ligatures w14:val="none"/>
        </w:rPr>
        <w:t>；</w:t>
      </w:r>
    </w:p>
    <w:p w14:paraId="116B1769">
      <w:pPr>
        <w:snapToGrid w:val="0"/>
        <w:ind w:firstLine="1200" w:firstLineChars="500"/>
        <w:rPr>
          <w:rFonts w:cs="Times New Roman"/>
          <w:szCs w:val="22"/>
          <w14:ligatures w14:val="none"/>
        </w:rPr>
      </w:pPr>
      <w:r>
        <w:rPr>
          <w:rFonts w:hint="eastAsia" w:cs="Times New Roman"/>
          <w:szCs w:val="22"/>
          <w14:ligatures w14:val="none"/>
        </w:rPr>
        <w:t>A—预测评价范围，m</w:t>
      </w:r>
      <w:r>
        <w:rPr>
          <w:rFonts w:hint="eastAsia" w:cs="Times New Roman"/>
          <w:szCs w:val="22"/>
          <w:vertAlign w:val="superscript"/>
          <w14:ligatures w14:val="none"/>
        </w:rPr>
        <w:t>2</w:t>
      </w:r>
      <w:r>
        <w:rPr>
          <w:rFonts w:hint="eastAsia" w:cs="Times New Roman"/>
          <w:szCs w:val="22"/>
          <w14:ligatures w14:val="none"/>
        </w:rPr>
        <w:t>；</w:t>
      </w:r>
    </w:p>
    <w:p w14:paraId="546DD808">
      <w:pPr>
        <w:snapToGrid w:val="0"/>
        <w:ind w:firstLine="1200" w:firstLineChars="500"/>
        <w:rPr>
          <w:rFonts w:cs="Times New Roman"/>
          <w:szCs w:val="22"/>
          <w14:ligatures w14:val="none"/>
        </w:rPr>
      </w:pPr>
      <w:r>
        <w:rPr>
          <w:rFonts w:hint="eastAsia" w:cs="Times New Roman"/>
          <w:szCs w:val="22"/>
          <w14:ligatures w14:val="none"/>
        </w:rPr>
        <w:t>D—表层土壤深度，一般取0.2m，可根据实际情况适当调整；</w:t>
      </w:r>
    </w:p>
    <w:p w14:paraId="1505904A">
      <w:pPr>
        <w:snapToGrid w:val="0"/>
        <w:ind w:firstLine="1200" w:firstLineChars="500"/>
        <w:rPr>
          <w:rFonts w:cs="Times New Roman"/>
          <w:szCs w:val="22"/>
          <w14:ligatures w14:val="none"/>
        </w:rPr>
      </w:pPr>
      <w:r>
        <w:rPr>
          <w:rFonts w:cs="Times New Roman"/>
          <w:szCs w:val="22"/>
          <w14:ligatures w14:val="none"/>
        </w:rPr>
        <w:t>N</w:t>
      </w:r>
      <w:r>
        <w:rPr>
          <w:rFonts w:hint="eastAsia" w:cs="Times New Roman"/>
          <w:szCs w:val="22"/>
          <w14:ligatures w14:val="none"/>
        </w:rPr>
        <w:t>—持续年份，a。</w:t>
      </w:r>
    </w:p>
    <w:p w14:paraId="117D1125">
      <w:pPr>
        <w:snapToGrid w:val="0"/>
        <w:ind w:firstLine="480" w:firstLineChars="200"/>
        <w:rPr>
          <w:rFonts w:cs="Times New Roman"/>
          <w:szCs w:val="22"/>
          <w14:ligatures w14:val="none"/>
        </w:rPr>
      </w:pPr>
      <w:r>
        <w:rPr>
          <w:rFonts w:hint="eastAsia" w:cs="Times New Roman"/>
          <w:szCs w:val="22"/>
          <w14:ligatures w14:val="none"/>
        </w:rPr>
        <w:t>②单位质量土壤中某种物质的预测值可根据其增量叠加现状值进行计算</w:t>
      </w:r>
    </w:p>
    <w:p w14:paraId="06077D01">
      <w:pPr>
        <w:snapToGrid w:val="0"/>
        <w:jc w:val="center"/>
        <w:rPr>
          <w:rFonts w:cs="Times New Roman"/>
          <w:szCs w:val="22"/>
          <w14:ligatures w14:val="none"/>
        </w:rPr>
      </w:pPr>
      <w:r>
        <w:rPr>
          <w:rFonts w:cs="Times New Roman"/>
          <w:szCs w:val="22"/>
          <w14:ligatures w14:val="none"/>
        </w:rPr>
        <w:t>S=</w:t>
      </w:r>
      <w:r>
        <w:rPr>
          <w:rFonts w:hint="eastAsia" w:cs="Times New Roman"/>
          <w:szCs w:val="22"/>
          <w14:ligatures w14:val="none"/>
        </w:rPr>
        <w:t>S</w:t>
      </w:r>
      <w:r>
        <w:rPr>
          <w:rFonts w:hint="eastAsia" w:cs="Times New Roman"/>
          <w:szCs w:val="22"/>
          <w:vertAlign w:val="subscript"/>
          <w14:ligatures w14:val="none"/>
        </w:rPr>
        <w:t>b</w:t>
      </w:r>
      <w:r>
        <w:rPr>
          <w:rFonts w:cs="Times New Roman"/>
          <w:szCs w:val="22"/>
          <w14:ligatures w14:val="none"/>
        </w:rPr>
        <w:t>+</w:t>
      </w:r>
      <w:r>
        <w:rPr>
          <w:rFonts w:ascii="Cambria Math" w:hAnsi="Cambria Math" w:cs="Cambria Math"/>
          <w:szCs w:val="22"/>
          <w14:ligatures w14:val="none"/>
        </w:rPr>
        <w:t>△</w:t>
      </w:r>
      <w:r>
        <w:rPr>
          <w:rFonts w:cs="Times New Roman"/>
          <w:szCs w:val="22"/>
          <w14:ligatures w14:val="none"/>
        </w:rPr>
        <w:t>S</w:t>
      </w:r>
    </w:p>
    <w:p w14:paraId="68534A8E">
      <w:pPr>
        <w:snapToGrid w:val="0"/>
        <w:ind w:firstLine="480" w:firstLineChars="200"/>
        <w:rPr>
          <w:rFonts w:cs="Times New Roman"/>
          <w:szCs w:val="22"/>
          <w14:ligatures w14:val="none"/>
        </w:rPr>
      </w:pPr>
      <w:r>
        <w:rPr>
          <w:rFonts w:hint="eastAsia" w:cs="Times New Roman"/>
          <w:szCs w:val="22"/>
          <w14:ligatures w14:val="none"/>
        </w:rPr>
        <w:t>式中：S</w:t>
      </w:r>
      <w:r>
        <w:rPr>
          <w:rFonts w:hint="eastAsia" w:cs="Times New Roman"/>
          <w:szCs w:val="22"/>
          <w:vertAlign w:val="subscript"/>
          <w14:ligatures w14:val="none"/>
        </w:rPr>
        <w:t>b</w:t>
      </w:r>
      <w:r>
        <w:rPr>
          <w:rFonts w:hint="eastAsia" w:cs="Times New Roman"/>
          <w:szCs w:val="22"/>
          <w14:ligatures w14:val="none"/>
        </w:rPr>
        <w:t>—单位质量土壤中某种物质的现状值，g/kg；</w:t>
      </w:r>
    </w:p>
    <w:p w14:paraId="5E601675">
      <w:pPr>
        <w:snapToGrid w:val="0"/>
        <w:ind w:firstLine="1200" w:firstLineChars="500"/>
        <w:rPr>
          <w:rFonts w:cs="Times New Roman"/>
          <w:szCs w:val="22"/>
          <w14:ligatures w14:val="none"/>
        </w:rPr>
      </w:pPr>
      <w:r>
        <w:rPr>
          <w:rFonts w:ascii="Cambria Math" w:hAnsi="Cambria Math" w:cs="Cambria Math"/>
          <w:szCs w:val="22"/>
          <w14:ligatures w14:val="none"/>
        </w:rPr>
        <w:t>△</w:t>
      </w:r>
      <w:r>
        <w:rPr>
          <w:rFonts w:cs="Times New Roman"/>
          <w:szCs w:val="22"/>
          <w14:ligatures w14:val="none"/>
        </w:rPr>
        <w:t>S</w:t>
      </w:r>
      <w:r>
        <w:rPr>
          <w:rFonts w:hint="eastAsia" w:cs="Times New Roman"/>
          <w:szCs w:val="22"/>
          <w14:ligatures w14:val="none"/>
        </w:rPr>
        <w:t>—单位质量土壤中某种物质的预测值，g/kg。</w:t>
      </w:r>
    </w:p>
    <w:p w14:paraId="274A5D6C">
      <w:pPr>
        <w:snapToGrid w:val="0"/>
        <w:ind w:firstLine="480" w:firstLineChars="200"/>
        <w:rPr>
          <w:rFonts w:cs="Times New Roman"/>
          <w:szCs w:val="22"/>
          <w14:ligatures w14:val="none"/>
        </w:rPr>
      </w:pPr>
      <w:r>
        <w:rPr>
          <w:rFonts w:hint="eastAsia" w:cs="Times New Roman"/>
          <w:szCs w:val="22"/>
          <w14:ligatures w14:val="none"/>
        </w:rPr>
        <w:t>(4)公式参数取值</w:t>
      </w:r>
    </w:p>
    <w:p w14:paraId="6AEEC6AF">
      <w:pPr>
        <w:snapToGrid w:val="0"/>
        <w:ind w:firstLine="480" w:firstLineChars="200"/>
        <w:rPr>
          <w:rFonts w:cs="Times New Roman"/>
          <w:szCs w:val="22"/>
          <w14:ligatures w14:val="none"/>
        </w:rPr>
      </w:pPr>
      <w:r>
        <w:rPr>
          <w:rFonts w:hint="eastAsia" w:cs="Times New Roman"/>
          <w:szCs w:val="22"/>
          <w14:ligatures w14:val="none"/>
        </w:rPr>
        <w:t>公式计算Is：</w:t>
      </w:r>
    </w:p>
    <w:p w14:paraId="6549083B">
      <w:pPr>
        <w:snapToGrid w:val="0"/>
        <w:jc w:val="center"/>
        <w:rPr>
          <w:rFonts w:cs="Times New Roman"/>
          <w:szCs w:val="22"/>
          <w14:ligatures w14:val="none"/>
        </w:rPr>
      </w:pPr>
      <w:r>
        <w:rPr>
          <w:rFonts w:cs="Times New Roman"/>
          <w:szCs w:val="22"/>
          <w14:ligatures w14:val="none"/>
        </w:rPr>
        <w:t>Is=W</w:t>
      </w:r>
      <w:r>
        <w:rPr>
          <w:rFonts w:cs="Times New Roman"/>
          <w:szCs w:val="22"/>
          <w:vertAlign w:val="subscript"/>
          <w14:ligatures w14:val="none"/>
        </w:rPr>
        <w:t>0</w:t>
      </w:r>
      <w:r>
        <w:rPr>
          <w:rFonts w:cs="Times New Roman"/>
          <w:szCs w:val="22"/>
          <w14:ligatures w14:val="none"/>
        </w:rPr>
        <w:t>*</w:t>
      </w:r>
      <w:r>
        <w:rPr>
          <w:rFonts w:hint="eastAsia" w:cs="Times New Roman"/>
          <w:szCs w:val="22"/>
          <w14:ligatures w14:val="none"/>
        </w:rPr>
        <w:t>A</w:t>
      </w:r>
      <w:r>
        <w:rPr>
          <w:rFonts w:cs="Times New Roman"/>
          <w:szCs w:val="22"/>
          <w14:ligatures w14:val="none"/>
        </w:rPr>
        <w:t>*V*3600*7200</w:t>
      </w:r>
    </w:p>
    <w:p w14:paraId="3DCDA590">
      <w:pPr>
        <w:snapToGrid w:val="0"/>
        <w:ind w:firstLine="480" w:firstLineChars="200"/>
        <w:rPr>
          <w:rFonts w:cs="Times New Roman"/>
          <w:szCs w:val="22"/>
          <w14:ligatures w14:val="none"/>
        </w:rPr>
      </w:pPr>
      <w:r>
        <w:rPr>
          <w:rFonts w:hint="eastAsia" w:cs="Times New Roman"/>
          <w:szCs w:val="22"/>
          <w14:ligatures w14:val="none"/>
        </w:rPr>
        <w:t>式中：Is—预测评价范围内单位年份表层土壤中某种物质的输入量，mg；</w:t>
      </w:r>
    </w:p>
    <w:p w14:paraId="15554EE5">
      <w:pPr>
        <w:snapToGrid w:val="0"/>
        <w:ind w:firstLine="1200" w:firstLineChars="500"/>
        <w:rPr>
          <w:rFonts w:cs="Times New Roman"/>
          <w:szCs w:val="22"/>
          <w14:ligatures w14:val="none"/>
        </w:rPr>
      </w:pPr>
      <w:r>
        <w:rPr>
          <w:rFonts w:hint="eastAsia" w:cs="Times New Roman"/>
          <w:szCs w:val="22"/>
          <w14:ligatures w14:val="none"/>
        </w:rPr>
        <w:t>W</w:t>
      </w:r>
      <w:r>
        <w:rPr>
          <w:rFonts w:hint="eastAsia" w:cs="Times New Roman"/>
          <w:szCs w:val="22"/>
          <w:vertAlign w:val="subscript"/>
          <w14:ligatures w14:val="none"/>
        </w:rPr>
        <w:t>0</w:t>
      </w:r>
      <w:r>
        <w:rPr>
          <w:rFonts w:hint="eastAsia" w:cs="Times New Roman"/>
          <w:szCs w:val="22"/>
          <w14:ligatures w14:val="none"/>
        </w:rPr>
        <w:t>—污染物的最大小时落地浓度，以污染物最大落地浓度计，非甲烷总烃取21.44</w:t>
      </w:r>
      <w:r>
        <w:rPr>
          <w:rFonts w:cs="Times New Roman"/>
          <w:szCs w:val="22"/>
          <w14:ligatures w14:val="none"/>
        </w:rPr>
        <w:t>μg</w:t>
      </w:r>
      <w:r>
        <w:rPr>
          <w:rFonts w:hint="eastAsia" w:cs="Times New Roman"/>
          <w:szCs w:val="22"/>
          <w14:ligatures w14:val="none"/>
        </w:rPr>
        <w:t>/m</w:t>
      </w:r>
      <w:r>
        <w:rPr>
          <w:rFonts w:hint="eastAsia" w:cs="Times New Roman"/>
          <w:szCs w:val="22"/>
          <w:vertAlign w:val="superscript"/>
          <w14:ligatures w14:val="none"/>
        </w:rPr>
        <w:t>3</w:t>
      </w:r>
      <w:r>
        <w:rPr>
          <w:rFonts w:hint="eastAsia" w:cs="Times New Roman"/>
          <w:szCs w:val="22"/>
          <w14:ligatures w14:val="none"/>
        </w:rPr>
        <w:t>，酚类取7.53</w:t>
      </w:r>
      <w:r>
        <w:rPr>
          <w:rFonts w:cs="Times New Roman"/>
          <w:szCs w:val="22"/>
          <w14:ligatures w14:val="none"/>
        </w:rPr>
        <w:t>μ</w:t>
      </w:r>
      <w:r>
        <w:rPr>
          <w:rFonts w:hint="eastAsia" w:cs="Times New Roman"/>
          <w:szCs w:val="22"/>
          <w14:ligatures w14:val="none"/>
        </w:rPr>
        <w:t>g/m</w:t>
      </w:r>
      <w:r>
        <w:rPr>
          <w:rFonts w:hint="eastAsia" w:cs="Times New Roman"/>
          <w:szCs w:val="22"/>
          <w:vertAlign w:val="superscript"/>
          <w14:ligatures w14:val="none"/>
        </w:rPr>
        <w:t>3</w:t>
      </w:r>
      <w:r>
        <w:rPr>
          <w:rFonts w:hint="eastAsia" w:cs="Times New Roman"/>
          <w:szCs w:val="22"/>
          <w14:ligatures w14:val="none"/>
        </w:rPr>
        <w:t>；</w:t>
      </w:r>
    </w:p>
    <w:p w14:paraId="04C068E8">
      <w:pPr>
        <w:snapToGrid w:val="0"/>
        <w:ind w:firstLine="1200" w:firstLineChars="500"/>
        <w:rPr>
          <w:rFonts w:cs="Times New Roman"/>
          <w:szCs w:val="22"/>
          <w14:ligatures w14:val="none"/>
        </w:rPr>
      </w:pPr>
      <w:r>
        <w:rPr>
          <w:rFonts w:hint="eastAsia" w:cs="Times New Roman"/>
          <w:szCs w:val="22"/>
          <w14:ligatures w14:val="none"/>
        </w:rPr>
        <w:t>V—污染物沉降速率，m/s；</w:t>
      </w:r>
      <w:r>
        <w:rPr>
          <w:rFonts w:hint="eastAsia"/>
        </w:rPr>
        <w:t>参考同类项目情况，本项目取0.007m/s</w:t>
      </w:r>
      <w:r>
        <w:rPr>
          <w:rFonts w:hint="eastAsia" w:cs="Times New Roman"/>
          <w:szCs w:val="22"/>
          <w14:ligatures w14:val="none"/>
        </w:rPr>
        <w:t>。</w:t>
      </w:r>
    </w:p>
    <w:p w14:paraId="64854B38">
      <w:pPr>
        <w:snapToGrid w:val="0"/>
        <w:ind w:firstLine="1200" w:firstLineChars="500"/>
        <w:rPr>
          <w:rFonts w:cs="Times New Roman"/>
          <w:szCs w:val="22"/>
          <w14:ligatures w14:val="none"/>
        </w:rPr>
      </w:pPr>
      <w:r>
        <w:rPr>
          <w:rFonts w:hint="eastAsia" w:cs="Times New Roman"/>
          <w:szCs w:val="22"/>
          <w14:ligatures w14:val="none"/>
        </w:rPr>
        <w:t>Ls的确定：在非人为因素影响的情况下淋失量极小，不予考虑，取值为0；</w:t>
      </w:r>
    </w:p>
    <w:p w14:paraId="68A3935C">
      <w:pPr>
        <w:snapToGrid w:val="0"/>
        <w:ind w:firstLine="1200" w:firstLineChars="500"/>
        <w:rPr>
          <w:rFonts w:cs="Times New Roman"/>
          <w:szCs w:val="22"/>
          <w14:ligatures w14:val="none"/>
        </w:rPr>
      </w:pPr>
      <w:r>
        <w:rPr>
          <w:rFonts w:hint="eastAsia" w:cs="Times New Roman"/>
          <w:szCs w:val="22"/>
          <w14:ligatures w14:val="none"/>
        </w:rPr>
        <w:t>Rs的确定：不予考虑，取值为0；</w:t>
      </w:r>
    </w:p>
    <w:p w14:paraId="66591F77">
      <w:pPr>
        <w:snapToGrid w:val="0"/>
        <w:ind w:firstLine="1200" w:firstLineChars="500"/>
        <w:rPr>
          <w:rFonts w:cs="Times New Roman"/>
          <w:szCs w:val="22"/>
          <w14:ligatures w14:val="none"/>
        </w:rPr>
      </w:pPr>
      <w:r>
        <w:rPr>
          <w:rFonts w:cs="Times New Roman"/>
        </w:rPr>
        <w:t>ρ</w:t>
      </w:r>
      <w:r>
        <w:rPr>
          <w:rFonts w:cs="Times New Roman"/>
          <w:vertAlign w:val="subscript"/>
        </w:rPr>
        <w:t>b</w:t>
      </w:r>
      <w:r>
        <w:rPr>
          <w:rFonts w:hint="eastAsia" w:cs="Times New Roman"/>
          <w:szCs w:val="22"/>
          <w14:ligatures w14:val="none"/>
        </w:rPr>
        <w:t>的确定：引用2024年《安徽海华科技集团有限公司薄荷醇优化技改项目环境影响报告书》中厂区土壤容重数据取值，为1168kg/m</w:t>
      </w:r>
      <w:r>
        <w:rPr>
          <w:rFonts w:hint="eastAsia" w:cs="Times New Roman"/>
          <w:szCs w:val="22"/>
          <w:vertAlign w:val="superscript"/>
          <w14:ligatures w14:val="none"/>
        </w:rPr>
        <w:t>3</w:t>
      </w:r>
      <w:r>
        <w:rPr>
          <w:rFonts w:hint="eastAsia" w:cs="Times New Roman"/>
          <w:szCs w:val="22"/>
          <w14:ligatures w14:val="none"/>
        </w:rPr>
        <w:t>。</w:t>
      </w:r>
    </w:p>
    <w:p w14:paraId="0418F96B">
      <w:pPr>
        <w:snapToGrid w:val="0"/>
        <w:ind w:firstLine="1200" w:firstLineChars="500"/>
        <w:rPr>
          <w:rFonts w:cs="Times New Roman"/>
          <w:szCs w:val="22"/>
          <w14:ligatures w14:val="none"/>
        </w:rPr>
      </w:pPr>
      <w:r>
        <w:rPr>
          <w:rFonts w:hint="eastAsia" w:cs="Times New Roman"/>
          <w:szCs w:val="22"/>
          <w14:ligatures w14:val="none"/>
        </w:rPr>
        <w:t>A的确定：预测评价范围与现状调查范围一致，评价范围为厂区占地及厂界外延1000m的区域。预测评价范围为</w:t>
      </w:r>
      <w:r>
        <w:rPr>
          <w:rFonts w:cs="Times New Roman"/>
          <w:szCs w:val="22"/>
          <w14:ligatures w14:val="none"/>
        </w:rPr>
        <w:t>7.648×10</w:t>
      </w:r>
      <w:r>
        <w:rPr>
          <w:rFonts w:cs="Times New Roman"/>
          <w:szCs w:val="22"/>
          <w:vertAlign w:val="superscript"/>
          <w14:ligatures w14:val="none"/>
        </w:rPr>
        <w:t>6</w:t>
      </w:r>
      <w:r>
        <w:rPr>
          <w:rFonts w:hint="eastAsia" w:cs="Times New Roman"/>
          <w:szCs w:val="22"/>
          <w14:ligatures w14:val="none"/>
        </w:rPr>
        <w:t>m</w:t>
      </w:r>
      <w:r>
        <w:rPr>
          <w:rFonts w:hint="eastAsia" w:cs="Times New Roman"/>
          <w:szCs w:val="22"/>
          <w:vertAlign w:val="superscript"/>
          <w14:ligatures w14:val="none"/>
        </w:rPr>
        <w:t>2</w:t>
      </w:r>
      <w:r>
        <w:rPr>
          <w:rFonts w:hint="eastAsia" w:cs="Times New Roman"/>
          <w:szCs w:val="22"/>
          <w14:ligatures w14:val="none"/>
        </w:rPr>
        <w:t>；</w:t>
      </w:r>
    </w:p>
    <w:p w14:paraId="4D252189">
      <w:pPr>
        <w:snapToGrid w:val="0"/>
        <w:ind w:firstLine="1200" w:firstLineChars="500"/>
        <w:rPr>
          <w:rFonts w:cs="Times New Roman"/>
          <w:szCs w:val="22"/>
          <w14:ligatures w14:val="none"/>
        </w:rPr>
      </w:pPr>
      <w:r>
        <w:rPr>
          <w:rFonts w:hint="eastAsia" w:cs="Times New Roman"/>
          <w:szCs w:val="22"/>
          <w14:ligatures w14:val="none"/>
        </w:rPr>
        <w:t>D的确定：一般取0.2m；</w:t>
      </w:r>
    </w:p>
    <w:p w14:paraId="2484704B">
      <w:pPr>
        <w:snapToGrid w:val="0"/>
        <w:ind w:firstLine="1200" w:firstLineChars="500"/>
        <w:rPr>
          <w:rFonts w:cs="Times New Roman"/>
          <w:szCs w:val="22"/>
          <w14:ligatures w14:val="none"/>
        </w:rPr>
      </w:pPr>
      <w:r>
        <w:rPr>
          <w:rFonts w:hint="eastAsia" w:cs="Times New Roman"/>
          <w:szCs w:val="22"/>
          <w14:ligatures w14:val="none"/>
        </w:rPr>
        <w:t>n的确定：持续年份取值1年、5年、10年、20年。</w:t>
      </w:r>
    </w:p>
    <w:p w14:paraId="07D4B9D4">
      <w:pPr>
        <w:snapToGrid w:val="0"/>
        <w:ind w:firstLine="1200" w:firstLineChars="500"/>
        <w:rPr>
          <w:rFonts w:cs="Times New Roman"/>
          <w:szCs w:val="22"/>
          <w14:ligatures w14:val="none"/>
        </w:rPr>
      </w:pPr>
      <w:r>
        <w:rPr>
          <w:rFonts w:hint="eastAsia" w:cs="Times New Roman"/>
          <w:szCs w:val="22"/>
          <w14:ligatures w14:val="none"/>
        </w:rPr>
        <w:t>S</w:t>
      </w:r>
      <w:r>
        <w:rPr>
          <w:rFonts w:hint="eastAsia" w:cs="Times New Roman"/>
          <w:szCs w:val="22"/>
          <w:vertAlign w:val="subscript"/>
          <w14:ligatures w14:val="none"/>
        </w:rPr>
        <w:t>b</w:t>
      </w:r>
      <w:r>
        <w:rPr>
          <w:rFonts w:hint="eastAsia" w:cs="Times New Roman"/>
          <w:szCs w:val="22"/>
          <w14:ligatures w14:val="none"/>
        </w:rPr>
        <w:t>值确定：取厂区外农用地现状监测值。</w:t>
      </w:r>
    </w:p>
    <w:p w14:paraId="06E99F8F">
      <w:pPr>
        <w:snapToGrid w:val="0"/>
        <w:ind w:firstLine="480" w:firstLineChars="200"/>
        <w:rPr>
          <w:rFonts w:cs="Times New Roman"/>
          <w:szCs w:val="22"/>
          <w14:ligatures w14:val="none"/>
        </w:rPr>
      </w:pPr>
      <w:r>
        <w:rPr>
          <w:rFonts w:hint="eastAsia" w:cs="Times New Roman"/>
          <w:szCs w:val="22"/>
          <w14:ligatures w14:val="none"/>
        </w:rPr>
        <w:t>(5)预测结果</w:t>
      </w:r>
    </w:p>
    <w:p w14:paraId="4B9AE480">
      <w:pPr>
        <w:snapToGrid w:val="0"/>
        <w:ind w:firstLine="480" w:firstLineChars="200"/>
        <w:rPr>
          <w:rFonts w:cs="Times New Roman"/>
          <w:szCs w:val="22"/>
          <w14:ligatures w14:val="none"/>
        </w:rPr>
      </w:pPr>
      <w:r>
        <w:rPr>
          <w:rFonts w:hint="eastAsia" w:cs="Times New Roman"/>
          <w:szCs w:val="22"/>
          <w14:ligatures w14:val="none"/>
        </w:rPr>
        <w:t>预测评价范围考虑各污染物不同的最大落地浓度范围，最大落地浓度处物质输入量及背景叠加的结果，见下表：</w:t>
      </w:r>
    </w:p>
    <w:p w14:paraId="103CDB25">
      <w:pPr>
        <w:pStyle w:val="28"/>
        <w:rPr>
          <w:rFonts w:hint="eastAsia"/>
        </w:rPr>
      </w:pPr>
      <w:r>
        <w:rPr>
          <w:rFonts w:hint="eastAsia"/>
        </w:rPr>
        <w:t>表6.7-4  正常排放情况下土壤污染物预测值(mg/kg)</w:t>
      </w:r>
    </w:p>
    <w:tbl>
      <w:tblPr>
        <w:tblStyle w:val="19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7" w:type="dxa"/>
          <w:bottom w:w="0" w:type="dxa"/>
          <w:right w:w="57" w:type="dxa"/>
        </w:tblCellMar>
      </w:tblPr>
      <w:tblGrid>
        <w:gridCol w:w="1628"/>
        <w:gridCol w:w="1432"/>
        <w:gridCol w:w="1141"/>
        <w:gridCol w:w="1266"/>
        <w:gridCol w:w="1266"/>
        <w:gridCol w:w="1231"/>
        <w:gridCol w:w="1220"/>
      </w:tblGrid>
      <w:tr w14:paraId="1BAE42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887" w:type="pct"/>
            <w:vAlign w:val="center"/>
          </w:tcPr>
          <w:p w14:paraId="09AFC95A">
            <w:pPr>
              <w:pStyle w:val="64"/>
              <w:adjustRightInd w:val="0"/>
              <w:snapToGrid w:val="0"/>
              <w:rPr>
                <w:szCs w:val="22"/>
                <w14:ligatures w14:val="none"/>
              </w:rPr>
            </w:pPr>
            <w:r>
              <w:rPr>
                <w:rFonts w:hint="eastAsia"/>
                <w:szCs w:val="22"/>
                <w14:ligatures w14:val="none"/>
              </w:rPr>
              <w:t>污染物</w:t>
            </w:r>
          </w:p>
        </w:tc>
        <w:tc>
          <w:tcPr>
            <w:tcW w:w="780" w:type="pct"/>
            <w:vAlign w:val="center"/>
          </w:tcPr>
          <w:p w14:paraId="37CC29EF">
            <w:pPr>
              <w:pStyle w:val="64"/>
              <w:adjustRightInd w:val="0"/>
              <w:snapToGrid w:val="0"/>
              <w:rPr>
                <w:szCs w:val="22"/>
                <w14:ligatures w14:val="none"/>
              </w:rPr>
            </w:pPr>
            <w:r>
              <w:rPr>
                <w:rFonts w:hint="eastAsia"/>
                <w:szCs w:val="22"/>
                <w14:ligatures w14:val="none"/>
              </w:rPr>
              <w:t>增量(m</w:t>
            </w:r>
            <w:r>
              <w:rPr>
                <w:szCs w:val="22"/>
                <w14:ligatures w14:val="none"/>
              </w:rPr>
              <w:t>g/kg)</w:t>
            </w:r>
          </w:p>
        </w:tc>
        <w:tc>
          <w:tcPr>
            <w:tcW w:w="621" w:type="pct"/>
            <w:vAlign w:val="center"/>
          </w:tcPr>
          <w:p w14:paraId="2E717E0E">
            <w:pPr>
              <w:pStyle w:val="64"/>
              <w:adjustRightInd w:val="0"/>
              <w:snapToGrid w:val="0"/>
              <w:rPr>
                <w:szCs w:val="22"/>
                <w14:ligatures w14:val="none"/>
              </w:rPr>
            </w:pPr>
            <w:r>
              <w:rPr>
                <w:rFonts w:hint="eastAsia"/>
                <w:szCs w:val="22"/>
                <w14:ligatures w14:val="none"/>
              </w:rPr>
              <w:t>现状值(m</w:t>
            </w:r>
            <w:r>
              <w:rPr>
                <w:szCs w:val="22"/>
                <w14:ligatures w14:val="none"/>
              </w:rPr>
              <w:t>g/kg)</w:t>
            </w:r>
          </w:p>
        </w:tc>
        <w:tc>
          <w:tcPr>
            <w:tcW w:w="689" w:type="pct"/>
            <w:vAlign w:val="center"/>
          </w:tcPr>
          <w:p w14:paraId="52FDBCD2">
            <w:pPr>
              <w:pStyle w:val="64"/>
              <w:adjustRightInd w:val="0"/>
              <w:snapToGrid w:val="0"/>
              <w:rPr>
                <w:szCs w:val="22"/>
                <w14:ligatures w14:val="none"/>
              </w:rPr>
            </w:pPr>
            <w:r>
              <w:rPr>
                <w:rFonts w:hint="eastAsia"/>
                <w:szCs w:val="22"/>
                <w14:ligatures w14:val="none"/>
              </w:rPr>
              <w:t>预测值(m</w:t>
            </w:r>
            <w:r>
              <w:rPr>
                <w:szCs w:val="22"/>
                <w14:ligatures w14:val="none"/>
              </w:rPr>
              <w:t>g/kg)</w:t>
            </w:r>
          </w:p>
        </w:tc>
        <w:tc>
          <w:tcPr>
            <w:tcW w:w="689" w:type="pct"/>
            <w:vAlign w:val="center"/>
          </w:tcPr>
          <w:p w14:paraId="6B41A70B">
            <w:pPr>
              <w:pStyle w:val="64"/>
              <w:adjustRightInd w:val="0"/>
              <w:snapToGrid w:val="0"/>
              <w:rPr>
                <w:szCs w:val="22"/>
                <w14:ligatures w14:val="none"/>
              </w:rPr>
            </w:pPr>
            <w:r>
              <w:rPr>
                <w:rFonts w:hint="eastAsia"/>
                <w:szCs w:val="22"/>
                <w14:ligatures w14:val="none"/>
              </w:rPr>
              <w:t>评价标准(m</w:t>
            </w:r>
            <w:r>
              <w:rPr>
                <w:szCs w:val="22"/>
                <w14:ligatures w14:val="none"/>
              </w:rPr>
              <w:t>g/kg)</w:t>
            </w:r>
          </w:p>
        </w:tc>
        <w:tc>
          <w:tcPr>
            <w:tcW w:w="670" w:type="pct"/>
            <w:vAlign w:val="center"/>
          </w:tcPr>
          <w:p w14:paraId="50B23A45">
            <w:pPr>
              <w:pStyle w:val="64"/>
              <w:adjustRightInd w:val="0"/>
              <w:snapToGrid w:val="0"/>
              <w:rPr>
                <w:szCs w:val="22"/>
                <w14:ligatures w14:val="none"/>
              </w:rPr>
            </w:pPr>
            <w:r>
              <w:rPr>
                <w:rFonts w:hint="eastAsia"/>
                <w:szCs w:val="22"/>
                <w14:ligatures w14:val="none"/>
              </w:rPr>
              <w:t>占标率(</w:t>
            </w:r>
            <w:r>
              <w:rPr>
                <w:szCs w:val="22"/>
                <w14:ligatures w14:val="none"/>
              </w:rPr>
              <w:t>%)</w:t>
            </w:r>
          </w:p>
        </w:tc>
        <w:tc>
          <w:tcPr>
            <w:tcW w:w="664" w:type="pct"/>
            <w:vAlign w:val="center"/>
          </w:tcPr>
          <w:p w14:paraId="60724AD9">
            <w:pPr>
              <w:pStyle w:val="64"/>
              <w:adjustRightInd w:val="0"/>
              <w:snapToGrid w:val="0"/>
              <w:rPr>
                <w:szCs w:val="22"/>
                <w14:ligatures w14:val="none"/>
              </w:rPr>
            </w:pPr>
            <w:r>
              <w:rPr>
                <w:rFonts w:hint="eastAsia"/>
                <w:szCs w:val="22"/>
                <w14:ligatures w14:val="none"/>
              </w:rPr>
              <w:t>备注</w:t>
            </w:r>
          </w:p>
        </w:tc>
      </w:tr>
      <w:tr w14:paraId="1AE3D4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887" w:type="pct"/>
            <w:vAlign w:val="center"/>
          </w:tcPr>
          <w:p w14:paraId="07303572">
            <w:pPr>
              <w:pStyle w:val="64"/>
              <w:adjustRightInd w:val="0"/>
              <w:snapToGrid w:val="0"/>
              <w:rPr>
                <w:szCs w:val="22"/>
                <w14:ligatures w14:val="none"/>
              </w:rPr>
            </w:pPr>
            <w:r>
              <w:rPr>
                <w:rFonts w:hint="eastAsia"/>
                <w:kern w:val="0"/>
                <w:szCs w:val="21"/>
                <w14:ligatures w14:val="none"/>
              </w:rPr>
              <w:t>非甲烷总烃</w:t>
            </w:r>
          </w:p>
        </w:tc>
        <w:tc>
          <w:tcPr>
            <w:tcW w:w="780" w:type="pct"/>
            <w:vAlign w:val="center"/>
          </w:tcPr>
          <w:p w14:paraId="5F7EFF9F">
            <w:pPr>
              <w:pStyle w:val="64"/>
              <w:adjustRightInd w:val="0"/>
              <w:snapToGrid w:val="0"/>
              <w:rPr>
                <w:szCs w:val="22"/>
                <w14:ligatures w14:val="none"/>
              </w:rPr>
            </w:pPr>
            <w:r>
              <w:rPr>
                <w:rFonts w:hint="eastAsia"/>
                <w:szCs w:val="22"/>
                <w14:ligatures w14:val="none"/>
              </w:rPr>
              <w:t>333.05</w:t>
            </w:r>
          </w:p>
        </w:tc>
        <w:tc>
          <w:tcPr>
            <w:tcW w:w="621" w:type="pct"/>
            <w:vAlign w:val="center"/>
          </w:tcPr>
          <w:p w14:paraId="26217338">
            <w:pPr>
              <w:pStyle w:val="64"/>
              <w:adjustRightInd w:val="0"/>
              <w:snapToGrid w:val="0"/>
              <w:rPr>
                <w:szCs w:val="22"/>
                <w14:ligatures w14:val="none"/>
              </w:rPr>
            </w:pPr>
            <w:r>
              <w:rPr>
                <w:rFonts w:hint="eastAsia"/>
                <w:szCs w:val="22"/>
                <w14:ligatures w14:val="none"/>
              </w:rPr>
              <w:t>/</w:t>
            </w:r>
          </w:p>
        </w:tc>
        <w:tc>
          <w:tcPr>
            <w:tcW w:w="689" w:type="pct"/>
            <w:vAlign w:val="center"/>
          </w:tcPr>
          <w:p w14:paraId="6C4DF9DE">
            <w:pPr>
              <w:pStyle w:val="64"/>
              <w:adjustRightInd w:val="0"/>
              <w:snapToGrid w:val="0"/>
              <w:rPr>
                <w:szCs w:val="22"/>
                <w14:ligatures w14:val="none"/>
              </w:rPr>
            </w:pPr>
            <w:r>
              <w:rPr>
                <w:rFonts w:hint="eastAsia"/>
                <w:szCs w:val="22"/>
                <w14:ligatures w14:val="none"/>
              </w:rPr>
              <w:t>/</w:t>
            </w:r>
          </w:p>
        </w:tc>
        <w:tc>
          <w:tcPr>
            <w:tcW w:w="689" w:type="pct"/>
            <w:vAlign w:val="center"/>
          </w:tcPr>
          <w:p w14:paraId="0677A147">
            <w:pPr>
              <w:pStyle w:val="64"/>
              <w:adjustRightInd w:val="0"/>
              <w:snapToGrid w:val="0"/>
              <w:rPr>
                <w:szCs w:val="22"/>
                <w14:ligatures w14:val="none"/>
              </w:rPr>
            </w:pPr>
            <w:r>
              <w:rPr>
                <w:rFonts w:hint="eastAsia"/>
                <w:szCs w:val="22"/>
                <w14:ligatures w14:val="none"/>
              </w:rPr>
              <w:t>/</w:t>
            </w:r>
          </w:p>
        </w:tc>
        <w:tc>
          <w:tcPr>
            <w:tcW w:w="670" w:type="pct"/>
            <w:vAlign w:val="center"/>
          </w:tcPr>
          <w:p w14:paraId="3672DC5D">
            <w:pPr>
              <w:pStyle w:val="64"/>
              <w:adjustRightInd w:val="0"/>
              <w:snapToGrid w:val="0"/>
              <w:rPr>
                <w:szCs w:val="22"/>
                <w14:ligatures w14:val="none"/>
              </w:rPr>
            </w:pPr>
            <w:r>
              <w:rPr>
                <w:rFonts w:hint="eastAsia"/>
                <w:szCs w:val="22"/>
                <w14:ligatures w14:val="none"/>
              </w:rPr>
              <w:t>/</w:t>
            </w:r>
          </w:p>
        </w:tc>
        <w:tc>
          <w:tcPr>
            <w:tcW w:w="664" w:type="pct"/>
            <w:vAlign w:val="center"/>
          </w:tcPr>
          <w:p w14:paraId="6F7C9EC5">
            <w:pPr>
              <w:pStyle w:val="64"/>
              <w:adjustRightInd w:val="0"/>
              <w:snapToGrid w:val="0"/>
              <w:rPr>
                <w:szCs w:val="22"/>
                <w14:ligatures w14:val="none"/>
              </w:rPr>
            </w:pPr>
            <w:r>
              <w:rPr>
                <w:rFonts w:hint="eastAsia"/>
                <w:szCs w:val="22"/>
                <w14:ligatures w14:val="none"/>
              </w:rPr>
              <w:t>/</w:t>
            </w:r>
          </w:p>
        </w:tc>
      </w:tr>
      <w:tr w14:paraId="50317D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887" w:type="pct"/>
            <w:vAlign w:val="center"/>
          </w:tcPr>
          <w:p w14:paraId="31521EEC">
            <w:pPr>
              <w:pStyle w:val="64"/>
              <w:adjustRightInd w:val="0"/>
              <w:snapToGrid w:val="0"/>
              <w:rPr>
                <w:szCs w:val="22"/>
                <w14:ligatures w14:val="none"/>
              </w:rPr>
            </w:pPr>
            <w:r>
              <w:rPr>
                <w:rFonts w:hint="eastAsia" w:cs="Times New Roman"/>
                <w:kern w:val="0"/>
                <w:szCs w:val="21"/>
                <w14:ligatures w14:val="none"/>
              </w:rPr>
              <w:t>酚类</w:t>
            </w:r>
          </w:p>
        </w:tc>
        <w:tc>
          <w:tcPr>
            <w:tcW w:w="780" w:type="pct"/>
            <w:vAlign w:val="center"/>
          </w:tcPr>
          <w:p w14:paraId="367919C1">
            <w:pPr>
              <w:pStyle w:val="64"/>
              <w:adjustRightInd w:val="0"/>
              <w:snapToGrid w:val="0"/>
              <w:rPr>
                <w:szCs w:val="22"/>
                <w14:ligatures w14:val="none"/>
              </w:rPr>
            </w:pPr>
            <w:r>
              <w:rPr>
                <w:rFonts w:hint="eastAsia"/>
                <w:szCs w:val="22"/>
                <w14:ligatures w14:val="none"/>
              </w:rPr>
              <w:t>116.97</w:t>
            </w:r>
          </w:p>
        </w:tc>
        <w:tc>
          <w:tcPr>
            <w:tcW w:w="621" w:type="pct"/>
            <w:vAlign w:val="center"/>
          </w:tcPr>
          <w:p w14:paraId="5EDDC8AB">
            <w:pPr>
              <w:pStyle w:val="64"/>
              <w:adjustRightInd w:val="0"/>
              <w:snapToGrid w:val="0"/>
              <w:rPr>
                <w:szCs w:val="22"/>
                <w14:ligatures w14:val="none"/>
              </w:rPr>
            </w:pPr>
            <w:r>
              <w:rPr>
                <w:rFonts w:hint="eastAsia"/>
                <w:szCs w:val="22"/>
                <w14:ligatures w14:val="none"/>
              </w:rPr>
              <w:t>/</w:t>
            </w:r>
          </w:p>
        </w:tc>
        <w:tc>
          <w:tcPr>
            <w:tcW w:w="689" w:type="pct"/>
            <w:vAlign w:val="center"/>
          </w:tcPr>
          <w:p w14:paraId="7D6833DD">
            <w:pPr>
              <w:pStyle w:val="64"/>
              <w:adjustRightInd w:val="0"/>
              <w:snapToGrid w:val="0"/>
              <w:rPr>
                <w:szCs w:val="22"/>
                <w14:ligatures w14:val="none"/>
              </w:rPr>
            </w:pPr>
            <w:r>
              <w:rPr>
                <w:rFonts w:hint="eastAsia"/>
                <w:szCs w:val="22"/>
                <w14:ligatures w14:val="none"/>
              </w:rPr>
              <w:t>/</w:t>
            </w:r>
          </w:p>
        </w:tc>
        <w:tc>
          <w:tcPr>
            <w:tcW w:w="689" w:type="pct"/>
            <w:vAlign w:val="center"/>
          </w:tcPr>
          <w:p w14:paraId="219AAD22">
            <w:pPr>
              <w:pStyle w:val="64"/>
              <w:adjustRightInd w:val="0"/>
              <w:snapToGrid w:val="0"/>
              <w:rPr>
                <w:szCs w:val="22"/>
                <w14:ligatures w14:val="none"/>
              </w:rPr>
            </w:pPr>
            <w:r>
              <w:rPr>
                <w:rFonts w:hint="eastAsia"/>
                <w:szCs w:val="22"/>
                <w14:ligatures w14:val="none"/>
              </w:rPr>
              <w:t>/</w:t>
            </w:r>
          </w:p>
        </w:tc>
        <w:tc>
          <w:tcPr>
            <w:tcW w:w="670" w:type="pct"/>
            <w:vAlign w:val="center"/>
          </w:tcPr>
          <w:p w14:paraId="45F0B0F7">
            <w:pPr>
              <w:pStyle w:val="64"/>
              <w:adjustRightInd w:val="0"/>
              <w:snapToGrid w:val="0"/>
              <w:rPr>
                <w:szCs w:val="22"/>
                <w14:ligatures w14:val="none"/>
              </w:rPr>
            </w:pPr>
            <w:r>
              <w:rPr>
                <w:rFonts w:hint="eastAsia"/>
                <w:szCs w:val="22"/>
                <w14:ligatures w14:val="none"/>
              </w:rPr>
              <w:t>/</w:t>
            </w:r>
          </w:p>
        </w:tc>
        <w:tc>
          <w:tcPr>
            <w:tcW w:w="664" w:type="pct"/>
            <w:vAlign w:val="center"/>
          </w:tcPr>
          <w:p w14:paraId="3DC1D5BD">
            <w:pPr>
              <w:pStyle w:val="64"/>
              <w:adjustRightInd w:val="0"/>
              <w:snapToGrid w:val="0"/>
              <w:rPr>
                <w:szCs w:val="22"/>
                <w14:ligatures w14:val="none"/>
              </w:rPr>
            </w:pPr>
            <w:r>
              <w:rPr>
                <w:rFonts w:hint="eastAsia"/>
                <w:szCs w:val="22"/>
                <w14:ligatures w14:val="none"/>
              </w:rPr>
              <w:t>/</w:t>
            </w:r>
          </w:p>
        </w:tc>
      </w:tr>
    </w:tbl>
    <w:p w14:paraId="15ACD498">
      <w:pPr>
        <w:snapToGrid w:val="0"/>
        <w:rPr>
          <w:rFonts w:cs="Times New Roman"/>
          <w:szCs w:val="22"/>
          <w14:ligatures w14:val="none"/>
        </w:rPr>
      </w:pPr>
    </w:p>
    <w:p w14:paraId="2264758E">
      <w:pPr>
        <w:snapToGrid w:val="0"/>
        <w:ind w:firstLine="480" w:firstLineChars="200"/>
        <w:rPr>
          <w:rFonts w:cs="Times New Roman"/>
          <w:szCs w:val="22"/>
          <w14:ligatures w14:val="none"/>
        </w:rPr>
      </w:pPr>
      <w:r>
        <w:rPr>
          <w:rFonts w:hint="eastAsia" w:cs="Times New Roman"/>
          <w:szCs w:val="22"/>
          <w14:ligatures w14:val="none"/>
        </w:rPr>
        <w:t>根据预测结果，本项目排放的废气污染物酚类、非甲烷总烃在</w:t>
      </w:r>
      <w:r>
        <w:rPr>
          <w:rFonts w:hint="eastAsia"/>
        </w:rPr>
        <w:t>落地浓度极大值网格内</w:t>
      </w:r>
      <w:r>
        <w:rPr>
          <w:rFonts w:hint="eastAsia" w:cs="Times New Roman"/>
          <w:szCs w:val="22"/>
          <w14:ligatures w14:val="none"/>
        </w:rPr>
        <w:t>土壤中的累积最大预测值较小，沉降后对周边环境影响较小。</w:t>
      </w:r>
    </w:p>
    <w:p w14:paraId="02FE941E">
      <w:pPr>
        <w:pStyle w:val="82"/>
        <w:ind w:firstLine="480"/>
        <w:jc w:val="both"/>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2、垂直入渗</w:t>
      </w:r>
    </w:p>
    <w:p w14:paraId="7B84F9F8">
      <w:pPr>
        <w:pStyle w:val="82"/>
        <w:ind w:firstLine="480"/>
        <w:jc w:val="both"/>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根据区域水文地质资料，区域土壤与地下水水力联系如下：</w:t>
      </w:r>
    </w:p>
    <w:p w14:paraId="37768C58">
      <w:pPr>
        <w:pStyle w:val="82"/>
        <w:ind w:firstLine="480"/>
        <w:jc w:val="both"/>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①第一弱透水层与地表水体</w:t>
      </w:r>
    </w:p>
    <w:p w14:paraId="59F2D014">
      <w:pPr>
        <w:pStyle w:val="82"/>
        <w:ind w:firstLine="480"/>
        <w:jc w:val="both"/>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该弱透水层直接与地表水体接触，该层岩性为第四系上更新统粘土、粉细砂和粉土夹砂，具有弱透水性，使得第一弱透水层与上部地表水有一定的水力联系，根据监测，一般情况下，地下水补给地表水体，但在汛期洪峰时，出现地表水补给地下水。</w:t>
      </w:r>
    </w:p>
    <w:p w14:paraId="53256D60">
      <w:pPr>
        <w:pStyle w:val="82"/>
        <w:ind w:firstLine="480"/>
        <w:jc w:val="both"/>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 xml:space="preserve">②第一含水层与地表水体和第一弱透水层 </w:t>
      </w:r>
    </w:p>
    <w:p w14:paraId="5DE1DB1B">
      <w:pPr>
        <w:pStyle w:val="82"/>
        <w:ind w:firstLine="480"/>
        <w:jc w:val="both"/>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该含水层上部有第一隔水层存在，岩性为为上更新统的粘土，分布稳定，并且未发育“天窗”，有一定的隔水性能，使得第一含水层与第一弱透水层无水力联系，且区内河流和水塘均未切至第一含水层，使得第一含水层与上部地表水体无水力联系。</w:t>
      </w:r>
    </w:p>
    <w:p w14:paraId="3C9F95D7">
      <w:pPr>
        <w:pStyle w:val="82"/>
        <w:ind w:firstLine="480"/>
        <w:jc w:val="both"/>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 xml:space="preserve">③地下水的补、径、排条件 </w:t>
      </w:r>
    </w:p>
    <w:p w14:paraId="51443CAF">
      <w:pPr>
        <w:pStyle w:val="82"/>
        <w:ind w:firstLine="480"/>
        <w:jc w:val="both"/>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第一弱透水层的补给来源主要为大气降水补给，评价区处于该层地下水的径流区，地下水的流向由西北向东南，地下水排泄以蒸发、人工开采和补给地表水体为主。</w:t>
      </w:r>
    </w:p>
    <w:p w14:paraId="41D8EEC6">
      <w:pPr>
        <w:pStyle w:val="82"/>
        <w:ind w:firstLine="480"/>
        <w:jc w:val="both"/>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第一含水层的补给来源主要为第一弱透水层垂直入渗补给和侧向径流补给，评价区处于该层地下水的径流区，地下水的流向由西北向东南，地下水排泄以人工开采为主，其次为侧向径流。</w:t>
      </w:r>
    </w:p>
    <w:p w14:paraId="3A4CFCAB">
      <w:pPr>
        <w:pStyle w:val="82"/>
        <w:ind w:firstLine="480"/>
        <w:jc w:val="both"/>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根据预测结果，在发生物料泄漏事故的情况下，其影响范围主要集中在地下水径流的下游方向，污染物在地下水对流作用的影响下，污染中心区域向下游迁移，同时在弥散作用的影响下，污染的范围会向四周不断扩大，影响距离逐渐增大。渗漏事故发生后，渗漏区域污染物浓度逐渐降低，在预测的较长时间内(渗漏事故发生20年后)，污染影响范围仍主要在项目厂区内。</w:t>
      </w:r>
    </w:p>
    <w:p w14:paraId="368604B0">
      <w:pPr>
        <w:pStyle w:val="82"/>
        <w:ind w:firstLine="480"/>
        <w:jc w:val="both"/>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建设单位认真落实废气、废水、地下水防渗、土壤硬化、危险废物暂存库污染防治措施的基础下，项目建成运营对区域土壤环境影响较小，项目对土壤环境影响可以接受。</w:t>
      </w:r>
    </w:p>
    <w:p w14:paraId="4E6EA23D">
      <w:pPr>
        <w:pStyle w:val="4"/>
        <w:rPr>
          <w:rFonts w:hint="eastAsia"/>
        </w:rPr>
      </w:pPr>
      <w:bookmarkStart w:id="115" w:name="_Toc221056433"/>
      <w:r>
        <w:rPr>
          <w:rFonts w:hint="eastAsia"/>
        </w:rPr>
        <w:t>6.7.4土壤环境影响评价自查表</w:t>
      </w:r>
      <w:bookmarkEnd w:id="115"/>
    </w:p>
    <w:p w14:paraId="0552D0E3">
      <w:pPr>
        <w:ind w:firstLine="468" w:firstLineChars="200"/>
        <w:rPr>
          <w:rFonts w:cs="Times New Roman"/>
          <w:spacing w:val="-3"/>
        </w:rPr>
      </w:pPr>
      <w:r>
        <w:rPr>
          <w:rFonts w:hint="eastAsia" w:cs="Times New Roman"/>
          <w:spacing w:val="-3"/>
        </w:rPr>
        <w:t>本项目土壤环境影响评价工作等级为二级，通过类比分析方法对土壤环境影响进行评价分析，项目生产过程不涉及土壤环境质量标准中的基本因子和特征因子，满足土壤环境质量标准要求，项目在做好土壤污染防控措施的前提下，其建设运营对土壤环境影响较小，从土壤环境影响的角度，项目建设可行。</w:t>
      </w:r>
    </w:p>
    <w:p w14:paraId="552435F5">
      <w:pPr>
        <w:pStyle w:val="28"/>
        <w:rPr>
          <w:rFonts w:hint="eastAsia"/>
          <w:lang w:val="zh-CN"/>
        </w:rPr>
      </w:pPr>
      <w:r>
        <w:t>表</w:t>
      </w:r>
      <w:r>
        <w:rPr>
          <w:rFonts w:hint="eastAsia"/>
        </w:rPr>
        <w:t>6</w:t>
      </w:r>
      <w:r>
        <w:t>.</w:t>
      </w:r>
      <w:r>
        <w:rPr>
          <w:rFonts w:hint="eastAsia"/>
        </w:rPr>
        <w:t>7</w:t>
      </w:r>
      <w:r>
        <w:t>-</w:t>
      </w:r>
      <w:r>
        <w:rPr>
          <w:rFonts w:hint="eastAsia"/>
        </w:rPr>
        <w:t xml:space="preserve">4 </w:t>
      </w:r>
      <w:r>
        <w:t xml:space="preserve"> </w:t>
      </w:r>
      <w:r>
        <w:rPr>
          <w:rFonts w:hint="eastAsia"/>
          <w:lang w:val="zh-CN"/>
        </w:rPr>
        <w:t>土壤环境影响评价自查表</w:t>
      </w:r>
    </w:p>
    <w:tbl>
      <w:tblPr>
        <w:tblStyle w:val="36"/>
        <w:tblW w:w="9071" w:type="dxa"/>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432"/>
        <w:gridCol w:w="1661"/>
        <w:gridCol w:w="1269"/>
        <w:gridCol w:w="35"/>
        <w:gridCol w:w="1146"/>
        <w:gridCol w:w="1345"/>
        <w:gridCol w:w="2124"/>
        <w:gridCol w:w="1059"/>
      </w:tblGrid>
      <w:tr w14:paraId="13BB18E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c>
          <w:tcPr>
            <w:tcW w:w="2093" w:type="dxa"/>
            <w:gridSpan w:val="2"/>
            <w:tcBorders>
              <w:top w:val="single" w:color="auto" w:sz="4" w:space="0"/>
              <w:left w:val="single" w:color="auto" w:sz="4" w:space="0"/>
              <w:bottom w:val="single" w:color="auto" w:sz="4" w:space="0"/>
              <w:right w:val="single" w:color="auto" w:sz="4" w:space="0"/>
              <w:tl2br w:val="nil"/>
              <w:tr2bl w:val="nil"/>
            </w:tcBorders>
            <w:noWrap/>
            <w:tcMar>
              <w:top w:w="15" w:type="dxa"/>
              <w:left w:w="15" w:type="dxa"/>
              <w:right w:w="15" w:type="dxa"/>
            </w:tcMar>
            <w:vAlign w:val="center"/>
          </w:tcPr>
          <w:p w14:paraId="6936D942">
            <w:pPr>
              <w:pStyle w:val="64"/>
            </w:pPr>
            <w:r>
              <w:t>工作内容</w:t>
            </w:r>
          </w:p>
        </w:tc>
        <w:tc>
          <w:tcPr>
            <w:tcW w:w="5919" w:type="dxa"/>
            <w:gridSpan w:val="5"/>
            <w:tcBorders>
              <w:top w:val="single" w:color="auto" w:sz="4" w:space="0"/>
              <w:left w:val="single" w:color="auto" w:sz="4" w:space="0"/>
              <w:bottom w:val="single" w:color="auto" w:sz="4" w:space="0"/>
              <w:right w:val="single" w:color="auto" w:sz="4" w:space="0"/>
              <w:tl2br w:val="nil"/>
              <w:tr2bl w:val="nil"/>
            </w:tcBorders>
            <w:noWrap/>
            <w:tcMar>
              <w:top w:w="15" w:type="dxa"/>
              <w:left w:w="15" w:type="dxa"/>
              <w:right w:w="15" w:type="dxa"/>
            </w:tcMar>
            <w:vAlign w:val="center"/>
          </w:tcPr>
          <w:p w14:paraId="7839B056">
            <w:pPr>
              <w:pStyle w:val="64"/>
            </w:pPr>
            <w:r>
              <w:t>完成情况</w:t>
            </w:r>
          </w:p>
        </w:tc>
        <w:tc>
          <w:tcPr>
            <w:tcW w:w="1059" w:type="dxa"/>
            <w:tcBorders>
              <w:top w:val="single" w:color="auto" w:sz="4" w:space="0"/>
              <w:left w:val="single" w:color="auto" w:sz="4" w:space="0"/>
              <w:bottom w:val="single" w:color="auto" w:sz="4" w:space="0"/>
              <w:right w:val="single" w:color="auto" w:sz="4" w:space="0"/>
              <w:tl2br w:val="nil"/>
              <w:tr2bl w:val="nil"/>
            </w:tcBorders>
            <w:noWrap/>
            <w:tcMar>
              <w:top w:w="15" w:type="dxa"/>
              <w:left w:w="15" w:type="dxa"/>
              <w:right w:w="15" w:type="dxa"/>
            </w:tcMar>
            <w:vAlign w:val="center"/>
          </w:tcPr>
          <w:p w14:paraId="582EBAA4">
            <w:pPr>
              <w:pStyle w:val="64"/>
            </w:pPr>
            <w:r>
              <w:t>备注</w:t>
            </w:r>
          </w:p>
        </w:tc>
      </w:tr>
      <w:tr w14:paraId="6297DB4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c>
          <w:tcPr>
            <w:tcW w:w="432" w:type="dxa"/>
            <w:vMerge w:val="restart"/>
            <w:tcBorders>
              <w:top w:val="single" w:color="auto" w:sz="4" w:space="0"/>
              <w:left w:val="single" w:color="auto" w:sz="4" w:space="0"/>
              <w:bottom w:val="single" w:color="auto" w:sz="4" w:space="0"/>
              <w:right w:val="single" w:color="auto" w:sz="4" w:space="0"/>
              <w:tl2br w:val="nil"/>
              <w:tr2bl w:val="nil"/>
            </w:tcBorders>
            <w:noWrap/>
            <w:tcMar>
              <w:top w:w="15" w:type="dxa"/>
              <w:left w:w="15" w:type="dxa"/>
              <w:right w:w="15" w:type="dxa"/>
            </w:tcMar>
            <w:vAlign w:val="center"/>
          </w:tcPr>
          <w:p w14:paraId="0BB6D193">
            <w:pPr>
              <w:pStyle w:val="64"/>
            </w:pPr>
            <w:r>
              <w:t>影 响 识 别</w:t>
            </w:r>
          </w:p>
        </w:tc>
        <w:tc>
          <w:tcPr>
            <w:tcW w:w="1661" w:type="dxa"/>
            <w:tcBorders>
              <w:top w:val="single" w:color="auto" w:sz="4" w:space="0"/>
              <w:left w:val="single" w:color="auto" w:sz="4" w:space="0"/>
              <w:bottom w:val="single" w:color="auto" w:sz="4" w:space="0"/>
              <w:right w:val="single" w:color="auto" w:sz="4" w:space="0"/>
              <w:tl2br w:val="nil"/>
              <w:tr2bl w:val="nil"/>
            </w:tcBorders>
            <w:noWrap/>
            <w:tcMar>
              <w:top w:w="15" w:type="dxa"/>
              <w:left w:w="15" w:type="dxa"/>
              <w:right w:w="15" w:type="dxa"/>
            </w:tcMar>
            <w:vAlign w:val="center"/>
          </w:tcPr>
          <w:p w14:paraId="7F92B9B5">
            <w:pPr>
              <w:pStyle w:val="64"/>
            </w:pPr>
            <w:r>
              <w:t>影响类型</w:t>
            </w:r>
          </w:p>
        </w:tc>
        <w:tc>
          <w:tcPr>
            <w:tcW w:w="5919" w:type="dxa"/>
            <w:gridSpan w:val="5"/>
            <w:tcBorders>
              <w:top w:val="single" w:color="auto" w:sz="4" w:space="0"/>
              <w:left w:val="single" w:color="auto" w:sz="4" w:space="0"/>
              <w:bottom w:val="single" w:color="auto" w:sz="4" w:space="0"/>
              <w:right w:val="single" w:color="auto" w:sz="4" w:space="0"/>
              <w:tl2br w:val="nil"/>
              <w:tr2bl w:val="nil"/>
            </w:tcBorders>
            <w:noWrap/>
            <w:tcMar>
              <w:top w:w="15" w:type="dxa"/>
              <w:left w:w="15" w:type="dxa"/>
              <w:right w:w="15" w:type="dxa"/>
            </w:tcMar>
            <w:vAlign w:val="center"/>
          </w:tcPr>
          <w:p w14:paraId="3AEB55A2">
            <w:pPr>
              <w:pStyle w:val="64"/>
            </w:pPr>
            <w:r>
              <w:t>污染影响型</w:t>
            </w:r>
            <w:r>
              <w:rPr/>
              <w:sym w:font="Wingdings 2" w:char="0052"/>
            </w:r>
            <w:r>
              <w:t>； 生态影响型□； 两种兼有□</w:t>
            </w:r>
          </w:p>
        </w:tc>
        <w:tc>
          <w:tcPr>
            <w:tcW w:w="1059" w:type="dxa"/>
            <w:tcBorders>
              <w:top w:val="single" w:color="auto" w:sz="4" w:space="0"/>
              <w:left w:val="single" w:color="auto" w:sz="4" w:space="0"/>
              <w:bottom w:val="single" w:color="auto" w:sz="4" w:space="0"/>
              <w:right w:val="single" w:color="auto" w:sz="4" w:space="0"/>
              <w:tl2br w:val="nil"/>
              <w:tr2bl w:val="nil"/>
            </w:tcBorders>
            <w:noWrap/>
            <w:tcMar>
              <w:top w:w="15" w:type="dxa"/>
              <w:left w:w="15" w:type="dxa"/>
              <w:right w:w="15" w:type="dxa"/>
            </w:tcMar>
            <w:vAlign w:val="center"/>
          </w:tcPr>
          <w:p w14:paraId="7140EB82">
            <w:pPr>
              <w:pStyle w:val="64"/>
            </w:pPr>
          </w:p>
        </w:tc>
      </w:tr>
      <w:tr w14:paraId="1351575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c>
          <w:tcPr>
            <w:tcW w:w="432" w:type="dxa"/>
            <w:vMerge w:val="continue"/>
            <w:tcBorders>
              <w:top w:val="single" w:color="auto" w:sz="4" w:space="0"/>
              <w:left w:val="single" w:color="auto" w:sz="4" w:space="0"/>
              <w:bottom w:val="single" w:color="auto" w:sz="4" w:space="0"/>
              <w:right w:val="single" w:color="auto" w:sz="4" w:space="0"/>
              <w:tl2br w:val="nil"/>
              <w:tr2bl w:val="nil"/>
            </w:tcBorders>
            <w:noWrap/>
            <w:tcMar>
              <w:top w:w="15" w:type="dxa"/>
              <w:left w:w="15" w:type="dxa"/>
              <w:right w:w="15" w:type="dxa"/>
            </w:tcMar>
            <w:vAlign w:val="center"/>
          </w:tcPr>
          <w:p w14:paraId="76C31E5B">
            <w:pPr>
              <w:pStyle w:val="64"/>
            </w:pPr>
          </w:p>
        </w:tc>
        <w:tc>
          <w:tcPr>
            <w:tcW w:w="1661" w:type="dxa"/>
            <w:tcBorders>
              <w:top w:val="single" w:color="auto" w:sz="4" w:space="0"/>
              <w:left w:val="single" w:color="auto" w:sz="4" w:space="0"/>
              <w:bottom w:val="single" w:color="auto" w:sz="4" w:space="0"/>
              <w:right w:val="single" w:color="auto" w:sz="4" w:space="0"/>
              <w:tl2br w:val="nil"/>
              <w:tr2bl w:val="nil"/>
            </w:tcBorders>
            <w:noWrap/>
            <w:tcMar>
              <w:top w:w="15" w:type="dxa"/>
              <w:left w:w="15" w:type="dxa"/>
              <w:right w:w="15" w:type="dxa"/>
            </w:tcMar>
            <w:vAlign w:val="center"/>
          </w:tcPr>
          <w:p w14:paraId="36708FC8">
            <w:pPr>
              <w:pStyle w:val="64"/>
            </w:pPr>
            <w:r>
              <w:t>土地利用类型</w:t>
            </w:r>
          </w:p>
        </w:tc>
        <w:tc>
          <w:tcPr>
            <w:tcW w:w="5919" w:type="dxa"/>
            <w:gridSpan w:val="5"/>
            <w:tcBorders>
              <w:top w:val="single" w:color="auto" w:sz="4" w:space="0"/>
              <w:left w:val="single" w:color="auto" w:sz="4" w:space="0"/>
              <w:bottom w:val="single" w:color="auto" w:sz="4" w:space="0"/>
              <w:right w:val="single" w:color="auto" w:sz="4" w:space="0"/>
              <w:tl2br w:val="nil"/>
              <w:tr2bl w:val="nil"/>
            </w:tcBorders>
            <w:noWrap/>
            <w:tcMar>
              <w:top w:w="15" w:type="dxa"/>
              <w:left w:w="15" w:type="dxa"/>
              <w:right w:w="15" w:type="dxa"/>
            </w:tcMar>
            <w:vAlign w:val="center"/>
          </w:tcPr>
          <w:p w14:paraId="1748B5EA">
            <w:pPr>
              <w:pStyle w:val="64"/>
            </w:pPr>
            <w:r>
              <w:t>建设用地</w:t>
            </w:r>
            <w:r>
              <w:rPr/>
              <w:sym w:font="Wingdings 2" w:char="0052"/>
            </w:r>
            <w:r>
              <w:t>； 农用地□； 未利用地□</w:t>
            </w:r>
          </w:p>
        </w:tc>
        <w:tc>
          <w:tcPr>
            <w:tcW w:w="1059" w:type="dxa"/>
            <w:tcBorders>
              <w:top w:val="single" w:color="auto" w:sz="4" w:space="0"/>
              <w:left w:val="single" w:color="auto" w:sz="4" w:space="0"/>
              <w:bottom w:val="single" w:color="auto" w:sz="4" w:space="0"/>
              <w:right w:val="single" w:color="auto" w:sz="4" w:space="0"/>
              <w:tl2br w:val="nil"/>
              <w:tr2bl w:val="nil"/>
            </w:tcBorders>
            <w:noWrap/>
            <w:tcMar>
              <w:top w:w="15" w:type="dxa"/>
              <w:left w:w="15" w:type="dxa"/>
              <w:right w:w="15" w:type="dxa"/>
            </w:tcMar>
            <w:vAlign w:val="center"/>
          </w:tcPr>
          <w:p w14:paraId="5B7785B5">
            <w:pPr>
              <w:pStyle w:val="64"/>
            </w:pPr>
            <w:r>
              <w:t>土地利用类型图</w:t>
            </w:r>
          </w:p>
        </w:tc>
      </w:tr>
      <w:tr w14:paraId="519E11D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c>
          <w:tcPr>
            <w:tcW w:w="432" w:type="dxa"/>
            <w:vMerge w:val="continue"/>
            <w:tcBorders>
              <w:top w:val="single" w:color="auto" w:sz="4" w:space="0"/>
              <w:left w:val="single" w:color="auto" w:sz="4" w:space="0"/>
              <w:bottom w:val="single" w:color="auto" w:sz="4" w:space="0"/>
              <w:right w:val="single" w:color="auto" w:sz="4" w:space="0"/>
              <w:tl2br w:val="nil"/>
              <w:tr2bl w:val="nil"/>
            </w:tcBorders>
            <w:noWrap/>
            <w:tcMar>
              <w:top w:w="15" w:type="dxa"/>
              <w:left w:w="15" w:type="dxa"/>
              <w:right w:w="15" w:type="dxa"/>
            </w:tcMar>
            <w:vAlign w:val="center"/>
          </w:tcPr>
          <w:p w14:paraId="329024E8">
            <w:pPr>
              <w:pStyle w:val="64"/>
            </w:pPr>
          </w:p>
        </w:tc>
        <w:tc>
          <w:tcPr>
            <w:tcW w:w="1661" w:type="dxa"/>
            <w:tcBorders>
              <w:top w:val="single" w:color="auto" w:sz="4" w:space="0"/>
              <w:left w:val="single" w:color="auto" w:sz="4" w:space="0"/>
              <w:bottom w:val="single" w:color="auto" w:sz="4" w:space="0"/>
              <w:right w:val="single" w:color="auto" w:sz="4" w:space="0"/>
              <w:tl2br w:val="nil"/>
              <w:tr2bl w:val="nil"/>
            </w:tcBorders>
            <w:noWrap/>
            <w:tcMar>
              <w:top w:w="15" w:type="dxa"/>
              <w:left w:w="15" w:type="dxa"/>
              <w:right w:w="15" w:type="dxa"/>
            </w:tcMar>
            <w:vAlign w:val="center"/>
          </w:tcPr>
          <w:p w14:paraId="5EE4A7A1">
            <w:pPr>
              <w:pStyle w:val="64"/>
            </w:pPr>
            <w:r>
              <w:t>占地规模</w:t>
            </w:r>
          </w:p>
        </w:tc>
        <w:tc>
          <w:tcPr>
            <w:tcW w:w="5919" w:type="dxa"/>
            <w:gridSpan w:val="5"/>
            <w:tcBorders>
              <w:top w:val="single" w:color="auto" w:sz="4" w:space="0"/>
              <w:left w:val="single" w:color="auto" w:sz="4" w:space="0"/>
              <w:bottom w:val="single" w:color="auto" w:sz="4" w:space="0"/>
              <w:right w:val="single" w:color="auto" w:sz="4" w:space="0"/>
              <w:tl2br w:val="nil"/>
              <w:tr2bl w:val="nil"/>
            </w:tcBorders>
            <w:noWrap/>
            <w:tcMar>
              <w:top w:w="15" w:type="dxa"/>
              <w:left w:w="15" w:type="dxa"/>
              <w:right w:w="15" w:type="dxa"/>
            </w:tcMar>
            <w:vAlign w:val="center"/>
          </w:tcPr>
          <w:p w14:paraId="04FFB30B">
            <w:pPr>
              <w:pStyle w:val="64"/>
            </w:pPr>
            <w:r>
              <w:t>(</w:t>
            </w:r>
            <w:r>
              <w:rPr>
                <w:rFonts w:hint="eastAsia"/>
              </w:rPr>
              <w:t>33335</w:t>
            </w:r>
            <w:r>
              <w:t>)m</w:t>
            </w:r>
            <w:r>
              <w:rPr>
                <w:vertAlign w:val="superscript"/>
              </w:rPr>
              <w:t>2</w:t>
            </w:r>
          </w:p>
        </w:tc>
        <w:tc>
          <w:tcPr>
            <w:tcW w:w="1059" w:type="dxa"/>
            <w:tcBorders>
              <w:top w:val="single" w:color="auto" w:sz="4" w:space="0"/>
              <w:left w:val="single" w:color="auto" w:sz="4" w:space="0"/>
              <w:bottom w:val="single" w:color="auto" w:sz="4" w:space="0"/>
              <w:right w:val="single" w:color="auto" w:sz="4" w:space="0"/>
              <w:tl2br w:val="nil"/>
              <w:tr2bl w:val="nil"/>
            </w:tcBorders>
            <w:noWrap/>
            <w:tcMar>
              <w:top w:w="15" w:type="dxa"/>
              <w:left w:w="15" w:type="dxa"/>
              <w:right w:w="15" w:type="dxa"/>
            </w:tcMar>
            <w:vAlign w:val="center"/>
          </w:tcPr>
          <w:p w14:paraId="60846185">
            <w:pPr>
              <w:pStyle w:val="64"/>
            </w:pPr>
          </w:p>
        </w:tc>
      </w:tr>
      <w:tr w14:paraId="6D225D3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c>
          <w:tcPr>
            <w:tcW w:w="432" w:type="dxa"/>
            <w:vMerge w:val="continue"/>
            <w:tcBorders>
              <w:top w:val="single" w:color="auto" w:sz="4" w:space="0"/>
              <w:left w:val="single" w:color="auto" w:sz="4" w:space="0"/>
              <w:bottom w:val="single" w:color="auto" w:sz="4" w:space="0"/>
              <w:right w:val="single" w:color="auto" w:sz="4" w:space="0"/>
              <w:tl2br w:val="nil"/>
              <w:tr2bl w:val="nil"/>
            </w:tcBorders>
            <w:noWrap/>
            <w:tcMar>
              <w:top w:w="15" w:type="dxa"/>
              <w:left w:w="15" w:type="dxa"/>
              <w:right w:w="15" w:type="dxa"/>
            </w:tcMar>
            <w:vAlign w:val="center"/>
          </w:tcPr>
          <w:p w14:paraId="381E6B59">
            <w:pPr>
              <w:pStyle w:val="64"/>
            </w:pPr>
          </w:p>
        </w:tc>
        <w:tc>
          <w:tcPr>
            <w:tcW w:w="1661" w:type="dxa"/>
            <w:tcBorders>
              <w:top w:val="single" w:color="auto" w:sz="4" w:space="0"/>
              <w:left w:val="single" w:color="auto" w:sz="4" w:space="0"/>
              <w:bottom w:val="single" w:color="auto" w:sz="4" w:space="0"/>
              <w:right w:val="single" w:color="auto" w:sz="4" w:space="0"/>
              <w:tl2br w:val="nil"/>
              <w:tr2bl w:val="nil"/>
            </w:tcBorders>
            <w:noWrap/>
            <w:tcMar>
              <w:top w:w="15" w:type="dxa"/>
              <w:left w:w="15" w:type="dxa"/>
              <w:right w:w="15" w:type="dxa"/>
            </w:tcMar>
            <w:vAlign w:val="center"/>
          </w:tcPr>
          <w:p w14:paraId="020908CE">
            <w:pPr>
              <w:pStyle w:val="64"/>
            </w:pPr>
            <w:r>
              <w:t>敏感目标信息</w:t>
            </w:r>
          </w:p>
        </w:tc>
        <w:tc>
          <w:tcPr>
            <w:tcW w:w="5919" w:type="dxa"/>
            <w:gridSpan w:val="5"/>
            <w:tcBorders>
              <w:top w:val="single" w:color="auto" w:sz="4" w:space="0"/>
              <w:left w:val="single" w:color="auto" w:sz="4" w:space="0"/>
              <w:bottom w:val="single" w:color="auto" w:sz="4" w:space="0"/>
              <w:right w:val="single" w:color="auto" w:sz="4" w:space="0"/>
              <w:tl2br w:val="nil"/>
              <w:tr2bl w:val="nil"/>
            </w:tcBorders>
            <w:noWrap/>
            <w:tcMar>
              <w:top w:w="15" w:type="dxa"/>
              <w:left w:w="15" w:type="dxa"/>
              <w:right w:w="15" w:type="dxa"/>
            </w:tcMar>
            <w:vAlign w:val="center"/>
          </w:tcPr>
          <w:p w14:paraId="2FA387A6">
            <w:pPr>
              <w:pStyle w:val="64"/>
            </w:pPr>
            <w:r>
              <w:t>敏感目标(</w:t>
            </w:r>
            <w:r>
              <w:rPr>
                <w:rFonts w:hint="eastAsia"/>
              </w:rPr>
              <w:t>耕地</w:t>
            </w:r>
            <w:r>
              <w:t>)、 方位(</w:t>
            </w:r>
            <w:r>
              <w:rPr>
                <w:rFonts w:hint="eastAsia"/>
              </w:rPr>
              <w:t>E</w:t>
            </w:r>
            <w:r>
              <w:t>)、 距离(</w:t>
            </w:r>
            <w:r>
              <w:rPr>
                <w:rFonts w:hint="eastAsia"/>
              </w:rPr>
              <w:t>20m</w:t>
            </w:r>
            <w:r>
              <w:t>)</w:t>
            </w:r>
          </w:p>
        </w:tc>
        <w:tc>
          <w:tcPr>
            <w:tcW w:w="1059" w:type="dxa"/>
            <w:tcBorders>
              <w:top w:val="single" w:color="auto" w:sz="4" w:space="0"/>
              <w:left w:val="single" w:color="auto" w:sz="4" w:space="0"/>
              <w:bottom w:val="single" w:color="auto" w:sz="4" w:space="0"/>
              <w:right w:val="single" w:color="auto" w:sz="4" w:space="0"/>
              <w:tl2br w:val="nil"/>
              <w:tr2bl w:val="nil"/>
            </w:tcBorders>
            <w:noWrap/>
            <w:tcMar>
              <w:top w:w="15" w:type="dxa"/>
              <w:left w:w="15" w:type="dxa"/>
              <w:right w:w="15" w:type="dxa"/>
            </w:tcMar>
            <w:vAlign w:val="center"/>
          </w:tcPr>
          <w:p w14:paraId="2F97C9B8">
            <w:pPr>
              <w:pStyle w:val="64"/>
            </w:pPr>
          </w:p>
        </w:tc>
      </w:tr>
      <w:tr w14:paraId="33ECAEC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c>
          <w:tcPr>
            <w:tcW w:w="432" w:type="dxa"/>
            <w:vMerge w:val="continue"/>
            <w:tcBorders>
              <w:top w:val="single" w:color="auto" w:sz="4" w:space="0"/>
              <w:left w:val="single" w:color="auto" w:sz="4" w:space="0"/>
              <w:bottom w:val="single" w:color="auto" w:sz="4" w:space="0"/>
              <w:right w:val="single" w:color="auto" w:sz="4" w:space="0"/>
              <w:tl2br w:val="nil"/>
              <w:tr2bl w:val="nil"/>
            </w:tcBorders>
            <w:noWrap/>
            <w:tcMar>
              <w:top w:w="15" w:type="dxa"/>
              <w:left w:w="15" w:type="dxa"/>
              <w:right w:w="15" w:type="dxa"/>
            </w:tcMar>
            <w:vAlign w:val="center"/>
          </w:tcPr>
          <w:p w14:paraId="5A5F5B8D">
            <w:pPr>
              <w:pStyle w:val="64"/>
            </w:pPr>
          </w:p>
        </w:tc>
        <w:tc>
          <w:tcPr>
            <w:tcW w:w="1661" w:type="dxa"/>
            <w:tcBorders>
              <w:top w:val="single" w:color="auto" w:sz="4" w:space="0"/>
              <w:left w:val="single" w:color="auto" w:sz="4" w:space="0"/>
              <w:bottom w:val="single" w:color="auto" w:sz="4" w:space="0"/>
              <w:right w:val="single" w:color="auto" w:sz="4" w:space="0"/>
              <w:tl2br w:val="nil"/>
              <w:tr2bl w:val="nil"/>
            </w:tcBorders>
            <w:noWrap/>
            <w:tcMar>
              <w:top w:w="15" w:type="dxa"/>
              <w:left w:w="15" w:type="dxa"/>
              <w:right w:w="15" w:type="dxa"/>
            </w:tcMar>
            <w:vAlign w:val="center"/>
          </w:tcPr>
          <w:p w14:paraId="17481634">
            <w:pPr>
              <w:pStyle w:val="64"/>
            </w:pPr>
            <w:r>
              <w:t>影响途径</w:t>
            </w:r>
          </w:p>
        </w:tc>
        <w:tc>
          <w:tcPr>
            <w:tcW w:w="5919" w:type="dxa"/>
            <w:gridSpan w:val="5"/>
            <w:tcBorders>
              <w:top w:val="single" w:color="auto" w:sz="4" w:space="0"/>
              <w:left w:val="single" w:color="auto" w:sz="4" w:space="0"/>
              <w:bottom w:val="single" w:color="auto" w:sz="4" w:space="0"/>
              <w:right w:val="single" w:color="auto" w:sz="4" w:space="0"/>
              <w:tl2br w:val="nil"/>
              <w:tr2bl w:val="nil"/>
            </w:tcBorders>
            <w:noWrap/>
            <w:tcMar>
              <w:top w:w="15" w:type="dxa"/>
              <w:left w:w="15" w:type="dxa"/>
              <w:right w:w="15" w:type="dxa"/>
            </w:tcMar>
            <w:vAlign w:val="center"/>
          </w:tcPr>
          <w:p w14:paraId="43888489">
            <w:pPr>
              <w:pStyle w:val="64"/>
            </w:pPr>
            <w:r>
              <w:t>大气沉降</w:t>
            </w:r>
            <w:r>
              <w:rPr/>
              <w:sym w:font="Wingdings 2" w:char="0052"/>
            </w:r>
            <w:r>
              <w:t>；地面漫流□；垂直入渗</w:t>
            </w:r>
            <w:r>
              <w:rPr/>
              <w:sym w:font="Wingdings 2" w:char="0052"/>
            </w:r>
            <w:r>
              <w:t>；地下水位□；其他()</w:t>
            </w:r>
          </w:p>
        </w:tc>
        <w:tc>
          <w:tcPr>
            <w:tcW w:w="1059" w:type="dxa"/>
            <w:tcBorders>
              <w:top w:val="single" w:color="auto" w:sz="4" w:space="0"/>
              <w:left w:val="single" w:color="auto" w:sz="4" w:space="0"/>
              <w:bottom w:val="single" w:color="auto" w:sz="4" w:space="0"/>
              <w:right w:val="single" w:color="auto" w:sz="4" w:space="0"/>
              <w:tl2br w:val="nil"/>
              <w:tr2bl w:val="nil"/>
            </w:tcBorders>
            <w:noWrap/>
            <w:tcMar>
              <w:top w:w="15" w:type="dxa"/>
              <w:left w:w="15" w:type="dxa"/>
              <w:right w:w="15" w:type="dxa"/>
            </w:tcMar>
            <w:vAlign w:val="center"/>
          </w:tcPr>
          <w:p w14:paraId="675145B9">
            <w:pPr>
              <w:pStyle w:val="64"/>
            </w:pPr>
          </w:p>
        </w:tc>
      </w:tr>
      <w:tr w14:paraId="353003B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c>
          <w:tcPr>
            <w:tcW w:w="432" w:type="dxa"/>
            <w:vMerge w:val="continue"/>
            <w:tcBorders>
              <w:top w:val="single" w:color="auto" w:sz="4" w:space="0"/>
              <w:left w:val="single" w:color="auto" w:sz="4" w:space="0"/>
              <w:bottom w:val="single" w:color="auto" w:sz="4" w:space="0"/>
              <w:right w:val="single" w:color="auto" w:sz="4" w:space="0"/>
              <w:tl2br w:val="nil"/>
              <w:tr2bl w:val="nil"/>
            </w:tcBorders>
            <w:noWrap/>
            <w:tcMar>
              <w:top w:w="15" w:type="dxa"/>
              <w:left w:w="15" w:type="dxa"/>
              <w:right w:w="15" w:type="dxa"/>
            </w:tcMar>
            <w:vAlign w:val="center"/>
          </w:tcPr>
          <w:p w14:paraId="19F93F8A">
            <w:pPr>
              <w:pStyle w:val="64"/>
            </w:pPr>
          </w:p>
        </w:tc>
        <w:tc>
          <w:tcPr>
            <w:tcW w:w="1661" w:type="dxa"/>
            <w:tcBorders>
              <w:top w:val="single" w:color="auto" w:sz="4" w:space="0"/>
              <w:left w:val="single" w:color="auto" w:sz="4" w:space="0"/>
              <w:bottom w:val="single" w:color="auto" w:sz="4" w:space="0"/>
              <w:right w:val="single" w:color="auto" w:sz="4" w:space="0"/>
              <w:tl2br w:val="nil"/>
              <w:tr2bl w:val="nil"/>
            </w:tcBorders>
            <w:noWrap/>
            <w:tcMar>
              <w:top w:w="15" w:type="dxa"/>
              <w:left w:w="15" w:type="dxa"/>
              <w:right w:w="15" w:type="dxa"/>
            </w:tcMar>
            <w:vAlign w:val="center"/>
          </w:tcPr>
          <w:p w14:paraId="0A075CAA">
            <w:pPr>
              <w:pStyle w:val="64"/>
            </w:pPr>
            <w:r>
              <w:t>全部污染物</w:t>
            </w:r>
          </w:p>
        </w:tc>
        <w:tc>
          <w:tcPr>
            <w:tcW w:w="5919" w:type="dxa"/>
            <w:gridSpan w:val="5"/>
            <w:tcBorders>
              <w:top w:val="single" w:color="auto" w:sz="4" w:space="0"/>
              <w:left w:val="single" w:color="auto" w:sz="4" w:space="0"/>
              <w:bottom w:val="single" w:color="auto" w:sz="4" w:space="0"/>
              <w:right w:val="single" w:color="auto" w:sz="4" w:space="0"/>
              <w:tl2br w:val="nil"/>
              <w:tr2bl w:val="nil"/>
            </w:tcBorders>
            <w:noWrap/>
            <w:tcMar>
              <w:top w:w="15" w:type="dxa"/>
              <w:left w:w="15" w:type="dxa"/>
              <w:right w:w="15" w:type="dxa"/>
            </w:tcMar>
            <w:vAlign w:val="center"/>
          </w:tcPr>
          <w:p w14:paraId="577A9CD4">
            <w:pPr>
              <w:pStyle w:val="64"/>
            </w:pPr>
            <w:r>
              <w:t>COD</w:t>
            </w:r>
            <w:r>
              <w:rPr>
                <w:rFonts w:hint="eastAsia"/>
              </w:rPr>
              <w:t>、挥发酚</w:t>
            </w:r>
          </w:p>
        </w:tc>
        <w:tc>
          <w:tcPr>
            <w:tcW w:w="1059" w:type="dxa"/>
            <w:tcBorders>
              <w:top w:val="single" w:color="auto" w:sz="4" w:space="0"/>
              <w:left w:val="single" w:color="auto" w:sz="4" w:space="0"/>
              <w:bottom w:val="single" w:color="auto" w:sz="4" w:space="0"/>
              <w:right w:val="single" w:color="auto" w:sz="4" w:space="0"/>
              <w:tl2br w:val="nil"/>
              <w:tr2bl w:val="nil"/>
            </w:tcBorders>
            <w:noWrap/>
            <w:tcMar>
              <w:top w:w="15" w:type="dxa"/>
              <w:left w:w="15" w:type="dxa"/>
              <w:right w:w="15" w:type="dxa"/>
            </w:tcMar>
            <w:vAlign w:val="center"/>
          </w:tcPr>
          <w:p w14:paraId="15DF5E44">
            <w:pPr>
              <w:pStyle w:val="64"/>
            </w:pPr>
          </w:p>
        </w:tc>
      </w:tr>
      <w:tr w14:paraId="2938C6A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c>
          <w:tcPr>
            <w:tcW w:w="432" w:type="dxa"/>
            <w:vMerge w:val="continue"/>
            <w:tcBorders>
              <w:top w:val="single" w:color="auto" w:sz="4" w:space="0"/>
              <w:left w:val="single" w:color="auto" w:sz="4" w:space="0"/>
              <w:bottom w:val="single" w:color="auto" w:sz="4" w:space="0"/>
              <w:right w:val="single" w:color="auto" w:sz="4" w:space="0"/>
              <w:tl2br w:val="nil"/>
              <w:tr2bl w:val="nil"/>
            </w:tcBorders>
            <w:noWrap/>
            <w:tcMar>
              <w:top w:w="15" w:type="dxa"/>
              <w:left w:w="15" w:type="dxa"/>
              <w:right w:w="15" w:type="dxa"/>
            </w:tcMar>
            <w:vAlign w:val="center"/>
          </w:tcPr>
          <w:p w14:paraId="0E0C2382">
            <w:pPr>
              <w:pStyle w:val="64"/>
            </w:pPr>
          </w:p>
        </w:tc>
        <w:tc>
          <w:tcPr>
            <w:tcW w:w="1661" w:type="dxa"/>
            <w:tcBorders>
              <w:top w:val="single" w:color="auto" w:sz="4" w:space="0"/>
              <w:left w:val="single" w:color="auto" w:sz="4" w:space="0"/>
              <w:bottom w:val="single" w:color="auto" w:sz="4" w:space="0"/>
              <w:right w:val="single" w:color="auto" w:sz="4" w:space="0"/>
              <w:tl2br w:val="nil"/>
              <w:tr2bl w:val="nil"/>
            </w:tcBorders>
            <w:noWrap/>
            <w:tcMar>
              <w:top w:w="15" w:type="dxa"/>
              <w:left w:w="15" w:type="dxa"/>
              <w:right w:w="15" w:type="dxa"/>
            </w:tcMar>
            <w:vAlign w:val="center"/>
          </w:tcPr>
          <w:p w14:paraId="02BAEE66">
            <w:pPr>
              <w:pStyle w:val="64"/>
            </w:pPr>
            <w:r>
              <w:t>特征因子</w:t>
            </w:r>
          </w:p>
        </w:tc>
        <w:tc>
          <w:tcPr>
            <w:tcW w:w="5919" w:type="dxa"/>
            <w:gridSpan w:val="5"/>
            <w:tcBorders>
              <w:top w:val="single" w:color="auto" w:sz="4" w:space="0"/>
              <w:left w:val="single" w:color="auto" w:sz="4" w:space="0"/>
              <w:bottom w:val="single" w:color="auto" w:sz="4" w:space="0"/>
              <w:right w:val="single" w:color="auto" w:sz="4" w:space="0"/>
              <w:tl2br w:val="nil"/>
              <w:tr2bl w:val="nil"/>
            </w:tcBorders>
            <w:noWrap/>
            <w:tcMar>
              <w:top w:w="15" w:type="dxa"/>
              <w:left w:w="15" w:type="dxa"/>
              <w:right w:w="15" w:type="dxa"/>
            </w:tcMar>
            <w:vAlign w:val="center"/>
          </w:tcPr>
          <w:p w14:paraId="58586D0F">
            <w:pPr>
              <w:pStyle w:val="64"/>
            </w:pPr>
            <w:r>
              <w:t>COD</w:t>
            </w:r>
            <w:r>
              <w:rPr>
                <w:rFonts w:hint="eastAsia"/>
              </w:rPr>
              <w:t>、挥发酚</w:t>
            </w:r>
          </w:p>
        </w:tc>
        <w:tc>
          <w:tcPr>
            <w:tcW w:w="1059" w:type="dxa"/>
            <w:tcBorders>
              <w:top w:val="single" w:color="auto" w:sz="4" w:space="0"/>
              <w:left w:val="single" w:color="auto" w:sz="4" w:space="0"/>
              <w:bottom w:val="single" w:color="auto" w:sz="4" w:space="0"/>
              <w:right w:val="single" w:color="auto" w:sz="4" w:space="0"/>
              <w:tl2br w:val="nil"/>
              <w:tr2bl w:val="nil"/>
            </w:tcBorders>
            <w:noWrap/>
            <w:tcMar>
              <w:top w:w="15" w:type="dxa"/>
              <w:left w:w="15" w:type="dxa"/>
              <w:right w:w="15" w:type="dxa"/>
            </w:tcMar>
            <w:vAlign w:val="center"/>
          </w:tcPr>
          <w:p w14:paraId="535CC685">
            <w:pPr>
              <w:pStyle w:val="64"/>
            </w:pPr>
          </w:p>
        </w:tc>
      </w:tr>
      <w:tr w14:paraId="5F2593B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c>
          <w:tcPr>
            <w:tcW w:w="432" w:type="dxa"/>
            <w:vMerge w:val="continue"/>
            <w:tcBorders>
              <w:top w:val="single" w:color="auto" w:sz="4" w:space="0"/>
              <w:left w:val="single" w:color="auto" w:sz="4" w:space="0"/>
              <w:bottom w:val="single" w:color="auto" w:sz="4" w:space="0"/>
              <w:right w:val="single" w:color="auto" w:sz="4" w:space="0"/>
              <w:tl2br w:val="nil"/>
              <w:tr2bl w:val="nil"/>
            </w:tcBorders>
            <w:noWrap/>
            <w:tcMar>
              <w:top w:w="15" w:type="dxa"/>
              <w:left w:w="15" w:type="dxa"/>
              <w:right w:w="15" w:type="dxa"/>
            </w:tcMar>
            <w:vAlign w:val="center"/>
          </w:tcPr>
          <w:p w14:paraId="022951C1">
            <w:pPr>
              <w:pStyle w:val="64"/>
            </w:pPr>
          </w:p>
        </w:tc>
        <w:tc>
          <w:tcPr>
            <w:tcW w:w="1661" w:type="dxa"/>
            <w:tcBorders>
              <w:top w:val="single" w:color="auto" w:sz="4" w:space="0"/>
              <w:left w:val="single" w:color="auto" w:sz="4" w:space="0"/>
              <w:bottom w:val="single" w:color="auto" w:sz="4" w:space="0"/>
              <w:right w:val="single" w:color="auto" w:sz="4" w:space="0"/>
              <w:tl2br w:val="nil"/>
              <w:tr2bl w:val="nil"/>
            </w:tcBorders>
            <w:noWrap/>
            <w:tcMar>
              <w:top w:w="15" w:type="dxa"/>
              <w:left w:w="15" w:type="dxa"/>
              <w:right w:w="15" w:type="dxa"/>
            </w:tcMar>
            <w:vAlign w:val="center"/>
          </w:tcPr>
          <w:p w14:paraId="06321A3B">
            <w:pPr>
              <w:pStyle w:val="64"/>
            </w:pPr>
            <w:r>
              <w:t>所属土壤环境影响评价项目类别</w:t>
            </w:r>
          </w:p>
        </w:tc>
        <w:tc>
          <w:tcPr>
            <w:tcW w:w="5919" w:type="dxa"/>
            <w:gridSpan w:val="5"/>
            <w:tcBorders>
              <w:top w:val="single" w:color="auto" w:sz="4" w:space="0"/>
              <w:left w:val="single" w:color="auto" w:sz="4" w:space="0"/>
              <w:bottom w:val="single" w:color="auto" w:sz="4" w:space="0"/>
              <w:right w:val="single" w:color="auto" w:sz="4" w:space="0"/>
              <w:tl2br w:val="nil"/>
              <w:tr2bl w:val="nil"/>
            </w:tcBorders>
            <w:noWrap/>
            <w:tcMar>
              <w:top w:w="15" w:type="dxa"/>
              <w:left w:w="15" w:type="dxa"/>
              <w:right w:w="15" w:type="dxa"/>
            </w:tcMar>
            <w:vAlign w:val="center"/>
          </w:tcPr>
          <w:p w14:paraId="4B24F6FE">
            <w:pPr>
              <w:pStyle w:val="64"/>
            </w:pPr>
            <w:r>
              <w:t>Ⅰ类</w:t>
            </w:r>
            <w:r>
              <w:rPr/>
              <w:sym w:font="Wingdings 2" w:char="0052"/>
            </w:r>
            <w:r>
              <w:t>； Ⅱ类</w:t>
            </w:r>
            <w:r>
              <w:rPr/>
              <w:sym w:font="Wingdings 2" w:char="00A3"/>
            </w:r>
            <w:r>
              <w:t>； Ⅲ类</w:t>
            </w:r>
            <w:r>
              <w:rPr/>
              <w:sym w:font="Wingdings 2" w:char="00A3"/>
            </w:r>
            <w:r>
              <w:t>； Ⅳ类</w:t>
            </w:r>
            <w:r>
              <w:rPr/>
              <w:sym w:font="Wingdings 2" w:char="00A3"/>
            </w:r>
          </w:p>
        </w:tc>
        <w:tc>
          <w:tcPr>
            <w:tcW w:w="1059" w:type="dxa"/>
            <w:tcBorders>
              <w:top w:val="single" w:color="auto" w:sz="4" w:space="0"/>
              <w:left w:val="single" w:color="auto" w:sz="4" w:space="0"/>
              <w:bottom w:val="single" w:color="auto" w:sz="4" w:space="0"/>
              <w:right w:val="single" w:color="auto" w:sz="4" w:space="0"/>
              <w:tl2br w:val="nil"/>
              <w:tr2bl w:val="nil"/>
            </w:tcBorders>
            <w:noWrap/>
            <w:tcMar>
              <w:top w:w="15" w:type="dxa"/>
              <w:left w:w="15" w:type="dxa"/>
              <w:right w:w="15" w:type="dxa"/>
            </w:tcMar>
            <w:vAlign w:val="center"/>
          </w:tcPr>
          <w:p w14:paraId="64244986">
            <w:pPr>
              <w:pStyle w:val="64"/>
            </w:pPr>
          </w:p>
        </w:tc>
      </w:tr>
      <w:tr w14:paraId="5907F4F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c>
          <w:tcPr>
            <w:tcW w:w="432" w:type="dxa"/>
            <w:vMerge w:val="continue"/>
            <w:tcBorders>
              <w:top w:val="single" w:color="auto" w:sz="4" w:space="0"/>
              <w:left w:val="single" w:color="auto" w:sz="4" w:space="0"/>
              <w:bottom w:val="single" w:color="auto" w:sz="4" w:space="0"/>
              <w:right w:val="single" w:color="auto" w:sz="4" w:space="0"/>
              <w:tl2br w:val="nil"/>
              <w:tr2bl w:val="nil"/>
            </w:tcBorders>
            <w:noWrap/>
            <w:tcMar>
              <w:top w:w="15" w:type="dxa"/>
              <w:left w:w="15" w:type="dxa"/>
              <w:right w:w="15" w:type="dxa"/>
            </w:tcMar>
            <w:vAlign w:val="center"/>
          </w:tcPr>
          <w:p w14:paraId="3FA18F61">
            <w:pPr>
              <w:pStyle w:val="64"/>
            </w:pPr>
          </w:p>
        </w:tc>
        <w:tc>
          <w:tcPr>
            <w:tcW w:w="1661" w:type="dxa"/>
            <w:tcBorders>
              <w:top w:val="single" w:color="auto" w:sz="4" w:space="0"/>
              <w:left w:val="single" w:color="auto" w:sz="4" w:space="0"/>
              <w:bottom w:val="single" w:color="auto" w:sz="4" w:space="0"/>
              <w:right w:val="single" w:color="auto" w:sz="4" w:space="0"/>
              <w:tl2br w:val="nil"/>
              <w:tr2bl w:val="nil"/>
            </w:tcBorders>
            <w:noWrap/>
            <w:tcMar>
              <w:top w:w="15" w:type="dxa"/>
              <w:left w:w="15" w:type="dxa"/>
              <w:right w:w="15" w:type="dxa"/>
            </w:tcMar>
            <w:vAlign w:val="center"/>
          </w:tcPr>
          <w:p w14:paraId="34064E49">
            <w:pPr>
              <w:pStyle w:val="64"/>
            </w:pPr>
            <w:r>
              <w:t>敏感程度</w:t>
            </w:r>
          </w:p>
        </w:tc>
        <w:tc>
          <w:tcPr>
            <w:tcW w:w="5919" w:type="dxa"/>
            <w:gridSpan w:val="5"/>
            <w:tcBorders>
              <w:top w:val="single" w:color="auto" w:sz="4" w:space="0"/>
              <w:left w:val="single" w:color="auto" w:sz="4" w:space="0"/>
              <w:bottom w:val="single" w:color="auto" w:sz="4" w:space="0"/>
              <w:right w:val="single" w:color="auto" w:sz="4" w:space="0"/>
              <w:tl2br w:val="nil"/>
              <w:tr2bl w:val="nil"/>
            </w:tcBorders>
            <w:noWrap/>
            <w:tcMar>
              <w:top w:w="15" w:type="dxa"/>
              <w:left w:w="15" w:type="dxa"/>
              <w:right w:w="15" w:type="dxa"/>
            </w:tcMar>
            <w:vAlign w:val="center"/>
          </w:tcPr>
          <w:p w14:paraId="70F61C62">
            <w:pPr>
              <w:pStyle w:val="64"/>
            </w:pPr>
            <w:r>
              <w:t>敏感</w:t>
            </w:r>
            <w:r>
              <w:rPr/>
              <w:sym w:font="Wingdings 2" w:char="0052"/>
            </w:r>
            <w:r>
              <w:t xml:space="preserve"> 较敏感</w:t>
            </w:r>
            <w:r>
              <w:rPr/>
              <w:sym w:font="Wingdings 2" w:char="00A3"/>
            </w:r>
            <w:r>
              <w:t>； 不敏感</w:t>
            </w:r>
            <w:r>
              <w:rPr/>
              <w:sym w:font="Wingdings 2" w:char="00A3"/>
            </w:r>
          </w:p>
        </w:tc>
        <w:tc>
          <w:tcPr>
            <w:tcW w:w="1059" w:type="dxa"/>
            <w:tcBorders>
              <w:top w:val="single" w:color="auto" w:sz="4" w:space="0"/>
              <w:left w:val="single" w:color="auto" w:sz="4" w:space="0"/>
              <w:bottom w:val="single" w:color="auto" w:sz="4" w:space="0"/>
              <w:right w:val="single" w:color="auto" w:sz="4" w:space="0"/>
              <w:tl2br w:val="nil"/>
              <w:tr2bl w:val="nil"/>
            </w:tcBorders>
            <w:noWrap/>
            <w:tcMar>
              <w:top w:w="15" w:type="dxa"/>
              <w:left w:w="15" w:type="dxa"/>
              <w:right w:w="15" w:type="dxa"/>
            </w:tcMar>
            <w:vAlign w:val="center"/>
          </w:tcPr>
          <w:p w14:paraId="2CABE1F3">
            <w:pPr>
              <w:pStyle w:val="64"/>
            </w:pPr>
          </w:p>
        </w:tc>
      </w:tr>
      <w:tr w14:paraId="5948006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c>
          <w:tcPr>
            <w:tcW w:w="2093" w:type="dxa"/>
            <w:gridSpan w:val="2"/>
            <w:tcBorders>
              <w:top w:val="single" w:color="auto" w:sz="4" w:space="0"/>
              <w:left w:val="single" w:color="auto" w:sz="4" w:space="0"/>
              <w:bottom w:val="single" w:color="auto" w:sz="4" w:space="0"/>
              <w:right w:val="single" w:color="auto" w:sz="4" w:space="0"/>
              <w:tl2br w:val="nil"/>
              <w:tr2bl w:val="nil"/>
            </w:tcBorders>
            <w:noWrap/>
            <w:tcMar>
              <w:top w:w="15" w:type="dxa"/>
              <w:left w:w="15" w:type="dxa"/>
              <w:right w:w="15" w:type="dxa"/>
            </w:tcMar>
            <w:vAlign w:val="center"/>
          </w:tcPr>
          <w:p w14:paraId="214E0286">
            <w:pPr>
              <w:pStyle w:val="64"/>
            </w:pPr>
            <w:r>
              <w:t>评价工作等级</w:t>
            </w:r>
          </w:p>
        </w:tc>
        <w:tc>
          <w:tcPr>
            <w:tcW w:w="5919" w:type="dxa"/>
            <w:gridSpan w:val="5"/>
            <w:tcBorders>
              <w:top w:val="single" w:color="auto" w:sz="4" w:space="0"/>
              <w:left w:val="single" w:color="auto" w:sz="4" w:space="0"/>
              <w:bottom w:val="single" w:color="auto" w:sz="4" w:space="0"/>
              <w:right w:val="single" w:color="auto" w:sz="4" w:space="0"/>
              <w:tl2br w:val="nil"/>
              <w:tr2bl w:val="nil"/>
            </w:tcBorders>
            <w:noWrap/>
            <w:tcMar>
              <w:top w:w="15" w:type="dxa"/>
              <w:left w:w="15" w:type="dxa"/>
              <w:right w:w="15" w:type="dxa"/>
            </w:tcMar>
            <w:vAlign w:val="center"/>
          </w:tcPr>
          <w:p w14:paraId="48C39124">
            <w:pPr>
              <w:pStyle w:val="64"/>
            </w:pPr>
            <w:r>
              <w:t>一级</w:t>
            </w:r>
            <w:r>
              <w:rPr/>
              <w:sym w:font="Wingdings 2" w:char="0052"/>
            </w:r>
            <w:r>
              <w:t>； 二级</w:t>
            </w:r>
            <w:r>
              <w:rPr/>
              <w:sym w:font="Wingdings 2" w:char="00A3"/>
            </w:r>
            <w:r>
              <w:t>； 三级</w:t>
            </w:r>
            <w:r>
              <w:rPr/>
              <w:sym w:font="Wingdings 2" w:char="00A3"/>
            </w:r>
          </w:p>
        </w:tc>
        <w:tc>
          <w:tcPr>
            <w:tcW w:w="1059" w:type="dxa"/>
            <w:tcBorders>
              <w:top w:val="single" w:color="auto" w:sz="4" w:space="0"/>
              <w:left w:val="single" w:color="auto" w:sz="4" w:space="0"/>
              <w:bottom w:val="single" w:color="auto" w:sz="4" w:space="0"/>
              <w:right w:val="single" w:color="auto" w:sz="4" w:space="0"/>
              <w:tl2br w:val="nil"/>
              <w:tr2bl w:val="nil"/>
            </w:tcBorders>
            <w:noWrap/>
            <w:tcMar>
              <w:top w:w="15" w:type="dxa"/>
              <w:left w:w="15" w:type="dxa"/>
              <w:right w:w="15" w:type="dxa"/>
            </w:tcMar>
            <w:vAlign w:val="center"/>
          </w:tcPr>
          <w:p w14:paraId="11A3F057">
            <w:pPr>
              <w:pStyle w:val="64"/>
            </w:pPr>
          </w:p>
        </w:tc>
      </w:tr>
      <w:tr w14:paraId="47690B2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c>
          <w:tcPr>
            <w:tcW w:w="432" w:type="dxa"/>
            <w:vMerge w:val="restart"/>
            <w:tcBorders>
              <w:top w:val="single" w:color="auto" w:sz="4" w:space="0"/>
              <w:left w:val="single" w:color="auto" w:sz="4" w:space="0"/>
              <w:bottom w:val="single" w:color="auto" w:sz="4" w:space="0"/>
              <w:right w:val="single" w:color="auto" w:sz="4" w:space="0"/>
              <w:tl2br w:val="nil"/>
              <w:tr2bl w:val="nil"/>
            </w:tcBorders>
            <w:noWrap/>
            <w:tcMar>
              <w:top w:w="15" w:type="dxa"/>
              <w:left w:w="15" w:type="dxa"/>
              <w:right w:w="15" w:type="dxa"/>
            </w:tcMar>
            <w:vAlign w:val="center"/>
          </w:tcPr>
          <w:p w14:paraId="3A44AEEF">
            <w:pPr>
              <w:pStyle w:val="64"/>
            </w:pPr>
            <w:r>
              <w:t>现 状 调 查 内 容</w:t>
            </w:r>
          </w:p>
        </w:tc>
        <w:tc>
          <w:tcPr>
            <w:tcW w:w="1661" w:type="dxa"/>
            <w:tcBorders>
              <w:top w:val="single" w:color="auto" w:sz="4" w:space="0"/>
              <w:left w:val="single" w:color="auto" w:sz="4" w:space="0"/>
              <w:bottom w:val="single" w:color="auto" w:sz="4" w:space="0"/>
              <w:right w:val="single" w:color="auto" w:sz="4" w:space="0"/>
              <w:tl2br w:val="nil"/>
              <w:tr2bl w:val="nil"/>
            </w:tcBorders>
            <w:noWrap/>
            <w:tcMar>
              <w:top w:w="15" w:type="dxa"/>
              <w:left w:w="15" w:type="dxa"/>
              <w:right w:w="15" w:type="dxa"/>
            </w:tcMar>
            <w:vAlign w:val="center"/>
          </w:tcPr>
          <w:p w14:paraId="77F7EB26">
            <w:pPr>
              <w:pStyle w:val="64"/>
            </w:pPr>
            <w:r>
              <w:t>资料收集</w:t>
            </w:r>
          </w:p>
        </w:tc>
        <w:tc>
          <w:tcPr>
            <w:tcW w:w="5919" w:type="dxa"/>
            <w:gridSpan w:val="5"/>
            <w:tcBorders>
              <w:top w:val="single" w:color="auto" w:sz="4" w:space="0"/>
              <w:left w:val="single" w:color="auto" w:sz="4" w:space="0"/>
              <w:bottom w:val="single" w:color="auto" w:sz="4" w:space="0"/>
              <w:right w:val="single" w:color="auto" w:sz="4" w:space="0"/>
              <w:tl2br w:val="nil"/>
              <w:tr2bl w:val="nil"/>
            </w:tcBorders>
            <w:noWrap/>
            <w:tcMar>
              <w:top w:w="15" w:type="dxa"/>
              <w:left w:w="15" w:type="dxa"/>
              <w:right w:w="15" w:type="dxa"/>
            </w:tcMar>
            <w:vAlign w:val="center"/>
          </w:tcPr>
          <w:p w14:paraId="7D051952">
            <w:pPr>
              <w:pStyle w:val="64"/>
              <w:rPr>
                <w:rFonts w:eastAsia="TimesNewRomanPSMT"/>
              </w:rPr>
            </w:pPr>
            <w:r>
              <w:rPr>
                <w:rFonts w:eastAsia="TimesNewRomanPSMT"/>
              </w:rPr>
              <w:t>a</w:t>
            </w:r>
            <w:r>
              <w:rPr>
                <w:rFonts w:hint="eastAsia" w:ascii="宋体" w:hAnsi="宋体" w:cs="宋体"/>
              </w:rPr>
              <w:t>)</w:t>
            </w:r>
            <w:r>
              <w:rPr>
                <w:rFonts w:eastAsia="TimesNewRomanPSMT"/>
              </w:rPr>
              <w:sym w:font="Wingdings 2" w:char="0052"/>
            </w:r>
            <w:r>
              <w:rPr>
                <w:rFonts w:hint="eastAsia" w:ascii="宋体" w:hAnsi="宋体" w:cs="宋体"/>
              </w:rPr>
              <w:t>；</w:t>
            </w:r>
            <w:r>
              <w:rPr>
                <w:rFonts w:eastAsia="TimesNewRomanPSMT"/>
              </w:rPr>
              <w:t xml:space="preserve"> b</w:t>
            </w:r>
            <w:r>
              <w:rPr>
                <w:rFonts w:hint="eastAsia" w:ascii="宋体" w:hAnsi="宋体" w:cs="宋体"/>
              </w:rPr>
              <w:t>)</w:t>
            </w:r>
            <w:r>
              <w:rPr>
                <w:rFonts w:eastAsia="TimesNewRomanPSMT"/>
              </w:rPr>
              <w:sym w:font="Wingdings 2" w:char="0052"/>
            </w:r>
            <w:r>
              <w:rPr>
                <w:rFonts w:hint="eastAsia" w:ascii="宋体" w:hAnsi="宋体" w:cs="宋体"/>
              </w:rPr>
              <w:t>；</w:t>
            </w:r>
            <w:r>
              <w:rPr>
                <w:rFonts w:eastAsia="TimesNewRomanPSMT"/>
              </w:rPr>
              <w:t xml:space="preserve"> c</w:t>
            </w:r>
            <w:r>
              <w:rPr>
                <w:rFonts w:hint="eastAsia" w:ascii="宋体" w:hAnsi="宋体" w:cs="宋体"/>
              </w:rPr>
              <w:t>)</w:t>
            </w:r>
            <w:r>
              <w:rPr>
                <w:rFonts w:eastAsia="TimesNewRomanPSMT"/>
              </w:rPr>
              <w:sym w:font="Wingdings 2" w:char="0052"/>
            </w:r>
            <w:r>
              <w:rPr>
                <w:rFonts w:hint="eastAsia" w:ascii="宋体" w:hAnsi="宋体" w:cs="宋体"/>
              </w:rPr>
              <w:t>；</w:t>
            </w:r>
            <w:r>
              <w:rPr>
                <w:rFonts w:eastAsia="TimesNewRomanPSMT"/>
              </w:rPr>
              <w:t xml:space="preserve"> d</w:t>
            </w:r>
            <w:r>
              <w:rPr>
                <w:rFonts w:hint="eastAsia" w:ascii="宋体" w:hAnsi="宋体" w:cs="宋体"/>
              </w:rPr>
              <w:t>)</w:t>
            </w:r>
            <w:r>
              <w:rPr>
                <w:rFonts w:eastAsia="TimesNewRomanPSMT"/>
              </w:rPr>
              <w:sym w:font="Wingdings 2" w:char="0052"/>
            </w:r>
          </w:p>
        </w:tc>
        <w:tc>
          <w:tcPr>
            <w:tcW w:w="1059" w:type="dxa"/>
            <w:tcBorders>
              <w:top w:val="single" w:color="auto" w:sz="4" w:space="0"/>
              <w:left w:val="single" w:color="auto" w:sz="4" w:space="0"/>
              <w:bottom w:val="single" w:color="auto" w:sz="4" w:space="0"/>
              <w:right w:val="single" w:color="auto" w:sz="4" w:space="0"/>
              <w:tl2br w:val="nil"/>
              <w:tr2bl w:val="nil"/>
            </w:tcBorders>
            <w:noWrap/>
            <w:tcMar>
              <w:top w:w="15" w:type="dxa"/>
              <w:left w:w="15" w:type="dxa"/>
              <w:right w:w="15" w:type="dxa"/>
            </w:tcMar>
            <w:vAlign w:val="center"/>
          </w:tcPr>
          <w:p w14:paraId="47A95D31">
            <w:pPr>
              <w:pStyle w:val="64"/>
            </w:pPr>
          </w:p>
        </w:tc>
      </w:tr>
      <w:tr w14:paraId="48F5EE4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c>
          <w:tcPr>
            <w:tcW w:w="432" w:type="dxa"/>
            <w:vMerge w:val="continue"/>
            <w:tcBorders>
              <w:top w:val="single" w:color="auto" w:sz="4" w:space="0"/>
              <w:left w:val="single" w:color="auto" w:sz="4" w:space="0"/>
              <w:bottom w:val="single" w:color="auto" w:sz="4" w:space="0"/>
              <w:right w:val="single" w:color="auto" w:sz="4" w:space="0"/>
              <w:tl2br w:val="nil"/>
              <w:tr2bl w:val="nil"/>
            </w:tcBorders>
            <w:noWrap/>
            <w:tcMar>
              <w:top w:w="15" w:type="dxa"/>
              <w:left w:w="15" w:type="dxa"/>
              <w:right w:w="15" w:type="dxa"/>
            </w:tcMar>
            <w:vAlign w:val="center"/>
          </w:tcPr>
          <w:p w14:paraId="23DC9ACD">
            <w:pPr>
              <w:pStyle w:val="64"/>
            </w:pPr>
          </w:p>
        </w:tc>
        <w:tc>
          <w:tcPr>
            <w:tcW w:w="1661" w:type="dxa"/>
            <w:tcBorders>
              <w:top w:val="single" w:color="auto" w:sz="4" w:space="0"/>
              <w:left w:val="single" w:color="auto" w:sz="4" w:space="0"/>
              <w:bottom w:val="single" w:color="auto" w:sz="4" w:space="0"/>
              <w:right w:val="single" w:color="auto" w:sz="4" w:space="0"/>
              <w:tl2br w:val="nil"/>
              <w:tr2bl w:val="nil"/>
            </w:tcBorders>
            <w:noWrap/>
            <w:tcMar>
              <w:top w:w="15" w:type="dxa"/>
              <w:left w:w="15" w:type="dxa"/>
              <w:right w:w="15" w:type="dxa"/>
            </w:tcMar>
            <w:vAlign w:val="center"/>
          </w:tcPr>
          <w:p w14:paraId="612B6B95">
            <w:pPr>
              <w:pStyle w:val="64"/>
            </w:pPr>
            <w:r>
              <w:t>理化特性</w:t>
            </w:r>
          </w:p>
        </w:tc>
        <w:tc>
          <w:tcPr>
            <w:tcW w:w="5919" w:type="dxa"/>
            <w:gridSpan w:val="5"/>
            <w:tcBorders>
              <w:top w:val="single" w:color="auto" w:sz="4" w:space="0"/>
              <w:left w:val="single" w:color="auto" w:sz="4" w:space="0"/>
              <w:bottom w:val="single" w:color="auto" w:sz="4" w:space="0"/>
              <w:right w:val="single" w:color="auto" w:sz="4" w:space="0"/>
              <w:tl2br w:val="nil"/>
              <w:tr2bl w:val="nil"/>
            </w:tcBorders>
            <w:noWrap/>
            <w:tcMar>
              <w:top w:w="15" w:type="dxa"/>
              <w:left w:w="15" w:type="dxa"/>
              <w:right w:w="15" w:type="dxa"/>
            </w:tcMar>
            <w:vAlign w:val="center"/>
          </w:tcPr>
          <w:p w14:paraId="59CB2D69">
            <w:pPr>
              <w:pStyle w:val="64"/>
            </w:pPr>
            <w:r>
              <w:t>见表4.</w:t>
            </w:r>
            <w:r>
              <w:rPr>
                <w:rFonts w:hint="eastAsia"/>
              </w:rPr>
              <w:t>6-4</w:t>
            </w:r>
          </w:p>
        </w:tc>
        <w:tc>
          <w:tcPr>
            <w:tcW w:w="1059" w:type="dxa"/>
            <w:tcBorders>
              <w:top w:val="single" w:color="auto" w:sz="4" w:space="0"/>
              <w:left w:val="single" w:color="auto" w:sz="4" w:space="0"/>
              <w:bottom w:val="single" w:color="auto" w:sz="4" w:space="0"/>
              <w:right w:val="single" w:color="auto" w:sz="4" w:space="0"/>
              <w:tl2br w:val="nil"/>
              <w:tr2bl w:val="nil"/>
            </w:tcBorders>
            <w:noWrap/>
            <w:tcMar>
              <w:top w:w="15" w:type="dxa"/>
              <w:left w:w="15" w:type="dxa"/>
              <w:right w:w="15" w:type="dxa"/>
            </w:tcMar>
            <w:vAlign w:val="center"/>
          </w:tcPr>
          <w:p w14:paraId="6299FFC4">
            <w:pPr>
              <w:pStyle w:val="64"/>
            </w:pPr>
            <w:r>
              <w:t xml:space="preserve">见附录 </w:t>
            </w:r>
            <w:r>
              <w:rPr>
                <w:rFonts w:eastAsia="TimesNewRomanPSMT"/>
              </w:rPr>
              <w:t>C</w:t>
            </w:r>
          </w:p>
        </w:tc>
      </w:tr>
      <w:tr w14:paraId="259AFA1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c>
          <w:tcPr>
            <w:tcW w:w="432" w:type="dxa"/>
            <w:vMerge w:val="continue"/>
            <w:tcBorders>
              <w:top w:val="single" w:color="auto" w:sz="4" w:space="0"/>
              <w:left w:val="single" w:color="auto" w:sz="4" w:space="0"/>
              <w:bottom w:val="single" w:color="auto" w:sz="4" w:space="0"/>
              <w:right w:val="single" w:color="auto" w:sz="4" w:space="0"/>
              <w:tl2br w:val="nil"/>
              <w:tr2bl w:val="nil"/>
            </w:tcBorders>
            <w:noWrap/>
            <w:tcMar>
              <w:top w:w="15" w:type="dxa"/>
              <w:left w:w="15" w:type="dxa"/>
              <w:right w:w="15" w:type="dxa"/>
            </w:tcMar>
            <w:vAlign w:val="center"/>
          </w:tcPr>
          <w:p w14:paraId="1DC1E43F">
            <w:pPr>
              <w:pStyle w:val="64"/>
            </w:pPr>
          </w:p>
        </w:tc>
        <w:tc>
          <w:tcPr>
            <w:tcW w:w="1661" w:type="dxa"/>
            <w:vMerge w:val="restart"/>
            <w:tcBorders>
              <w:top w:val="single" w:color="auto" w:sz="4" w:space="0"/>
              <w:left w:val="single" w:color="auto" w:sz="4" w:space="0"/>
              <w:bottom w:val="single" w:color="auto" w:sz="4" w:space="0"/>
              <w:right w:val="single" w:color="auto" w:sz="4" w:space="0"/>
              <w:tl2br w:val="nil"/>
              <w:tr2bl w:val="nil"/>
            </w:tcBorders>
            <w:noWrap/>
            <w:tcMar>
              <w:top w:w="15" w:type="dxa"/>
              <w:left w:w="15" w:type="dxa"/>
              <w:right w:w="15" w:type="dxa"/>
            </w:tcMar>
            <w:vAlign w:val="center"/>
          </w:tcPr>
          <w:p w14:paraId="325DF3F1">
            <w:pPr>
              <w:pStyle w:val="64"/>
            </w:pPr>
            <w:r>
              <w:t>现状监测点位</w:t>
            </w:r>
          </w:p>
        </w:tc>
        <w:tc>
          <w:tcPr>
            <w:tcW w:w="1269" w:type="dxa"/>
            <w:tcBorders>
              <w:top w:val="single" w:color="auto" w:sz="4" w:space="0"/>
              <w:left w:val="single" w:color="auto" w:sz="4" w:space="0"/>
              <w:bottom w:val="single" w:color="auto" w:sz="4" w:space="0"/>
              <w:right w:val="single" w:color="auto" w:sz="4" w:space="0"/>
              <w:tl2br w:val="nil"/>
              <w:tr2bl w:val="nil"/>
            </w:tcBorders>
            <w:noWrap/>
            <w:tcMar>
              <w:top w:w="15" w:type="dxa"/>
              <w:left w:w="15" w:type="dxa"/>
              <w:right w:w="15" w:type="dxa"/>
            </w:tcMar>
            <w:vAlign w:val="center"/>
          </w:tcPr>
          <w:p w14:paraId="59644116">
            <w:pPr>
              <w:pStyle w:val="64"/>
            </w:pPr>
          </w:p>
        </w:tc>
        <w:tc>
          <w:tcPr>
            <w:tcW w:w="1181" w:type="dxa"/>
            <w:gridSpan w:val="2"/>
            <w:tcBorders>
              <w:top w:val="single" w:color="auto" w:sz="4" w:space="0"/>
              <w:left w:val="single" w:color="auto" w:sz="4" w:space="0"/>
              <w:bottom w:val="single" w:color="auto" w:sz="4" w:space="0"/>
              <w:right w:val="single" w:color="auto" w:sz="4" w:space="0"/>
              <w:tl2br w:val="nil"/>
              <w:tr2bl w:val="nil"/>
            </w:tcBorders>
            <w:noWrap/>
            <w:tcMar>
              <w:top w:w="15" w:type="dxa"/>
              <w:left w:w="15" w:type="dxa"/>
              <w:right w:w="15" w:type="dxa"/>
            </w:tcMar>
            <w:vAlign w:val="center"/>
          </w:tcPr>
          <w:p w14:paraId="7621CF57">
            <w:pPr>
              <w:pStyle w:val="64"/>
            </w:pPr>
            <w:r>
              <w:t>占地范围内</w:t>
            </w:r>
          </w:p>
        </w:tc>
        <w:tc>
          <w:tcPr>
            <w:tcW w:w="1345" w:type="dxa"/>
            <w:tcBorders>
              <w:top w:val="single" w:color="auto" w:sz="4" w:space="0"/>
              <w:left w:val="single" w:color="auto" w:sz="4" w:space="0"/>
              <w:bottom w:val="single" w:color="auto" w:sz="4" w:space="0"/>
              <w:right w:val="single" w:color="auto" w:sz="4" w:space="0"/>
              <w:tl2br w:val="nil"/>
              <w:tr2bl w:val="nil"/>
            </w:tcBorders>
            <w:noWrap/>
            <w:tcMar>
              <w:top w:w="15" w:type="dxa"/>
              <w:left w:w="15" w:type="dxa"/>
              <w:right w:w="15" w:type="dxa"/>
            </w:tcMar>
            <w:vAlign w:val="center"/>
          </w:tcPr>
          <w:p w14:paraId="0A1C4175">
            <w:pPr>
              <w:pStyle w:val="64"/>
            </w:pPr>
            <w:r>
              <w:t>占地范围外</w:t>
            </w:r>
          </w:p>
        </w:tc>
        <w:tc>
          <w:tcPr>
            <w:tcW w:w="2124" w:type="dxa"/>
            <w:tcBorders>
              <w:top w:val="single" w:color="auto" w:sz="4" w:space="0"/>
              <w:left w:val="single" w:color="auto" w:sz="4" w:space="0"/>
              <w:bottom w:val="single" w:color="auto" w:sz="4" w:space="0"/>
              <w:right w:val="single" w:color="auto" w:sz="4" w:space="0"/>
              <w:tl2br w:val="nil"/>
              <w:tr2bl w:val="nil"/>
            </w:tcBorders>
            <w:noWrap/>
            <w:tcMar>
              <w:top w:w="15" w:type="dxa"/>
              <w:left w:w="15" w:type="dxa"/>
              <w:right w:w="15" w:type="dxa"/>
            </w:tcMar>
            <w:vAlign w:val="center"/>
          </w:tcPr>
          <w:p w14:paraId="7907DAED">
            <w:pPr>
              <w:pStyle w:val="64"/>
            </w:pPr>
            <w:r>
              <w:t>深度</w:t>
            </w:r>
          </w:p>
        </w:tc>
        <w:tc>
          <w:tcPr>
            <w:tcW w:w="1059" w:type="dxa"/>
            <w:vMerge w:val="restart"/>
            <w:tcBorders>
              <w:top w:val="single" w:color="auto" w:sz="4" w:space="0"/>
              <w:left w:val="single" w:color="auto" w:sz="4" w:space="0"/>
              <w:bottom w:val="single" w:color="auto" w:sz="4" w:space="0"/>
              <w:right w:val="single" w:color="auto" w:sz="4" w:space="0"/>
              <w:tl2br w:val="nil"/>
              <w:tr2bl w:val="nil"/>
            </w:tcBorders>
            <w:noWrap/>
            <w:tcMar>
              <w:top w:w="15" w:type="dxa"/>
              <w:left w:w="15" w:type="dxa"/>
              <w:right w:w="15" w:type="dxa"/>
            </w:tcMar>
            <w:vAlign w:val="center"/>
          </w:tcPr>
          <w:p w14:paraId="3D66A37E">
            <w:pPr>
              <w:pStyle w:val="64"/>
            </w:pPr>
            <w:r>
              <w:t>点位布置图</w:t>
            </w:r>
          </w:p>
        </w:tc>
      </w:tr>
      <w:tr w14:paraId="311094F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c>
          <w:tcPr>
            <w:tcW w:w="432" w:type="dxa"/>
            <w:vMerge w:val="continue"/>
            <w:tcBorders>
              <w:top w:val="single" w:color="auto" w:sz="4" w:space="0"/>
              <w:left w:val="single" w:color="auto" w:sz="4" w:space="0"/>
              <w:bottom w:val="single" w:color="auto" w:sz="4" w:space="0"/>
              <w:right w:val="single" w:color="auto" w:sz="4" w:space="0"/>
              <w:tl2br w:val="nil"/>
              <w:tr2bl w:val="nil"/>
            </w:tcBorders>
            <w:noWrap/>
            <w:tcMar>
              <w:top w:w="15" w:type="dxa"/>
              <w:left w:w="15" w:type="dxa"/>
              <w:right w:w="15" w:type="dxa"/>
            </w:tcMar>
            <w:vAlign w:val="center"/>
          </w:tcPr>
          <w:p w14:paraId="4579B5C6">
            <w:pPr>
              <w:pStyle w:val="64"/>
            </w:pPr>
          </w:p>
        </w:tc>
        <w:tc>
          <w:tcPr>
            <w:tcW w:w="1661" w:type="dxa"/>
            <w:vMerge w:val="continue"/>
            <w:tcBorders>
              <w:top w:val="single" w:color="auto" w:sz="4" w:space="0"/>
              <w:left w:val="single" w:color="auto" w:sz="4" w:space="0"/>
              <w:bottom w:val="single" w:color="auto" w:sz="4" w:space="0"/>
              <w:right w:val="single" w:color="auto" w:sz="4" w:space="0"/>
              <w:tl2br w:val="nil"/>
              <w:tr2bl w:val="nil"/>
            </w:tcBorders>
            <w:noWrap/>
            <w:tcMar>
              <w:top w:w="15" w:type="dxa"/>
              <w:left w:w="15" w:type="dxa"/>
              <w:right w:w="15" w:type="dxa"/>
            </w:tcMar>
            <w:vAlign w:val="center"/>
          </w:tcPr>
          <w:p w14:paraId="693F5035">
            <w:pPr>
              <w:pStyle w:val="64"/>
            </w:pPr>
          </w:p>
        </w:tc>
        <w:tc>
          <w:tcPr>
            <w:tcW w:w="1269" w:type="dxa"/>
            <w:tcBorders>
              <w:top w:val="single" w:color="auto" w:sz="4" w:space="0"/>
              <w:left w:val="single" w:color="auto" w:sz="4" w:space="0"/>
              <w:bottom w:val="single" w:color="auto" w:sz="4" w:space="0"/>
              <w:right w:val="single" w:color="auto" w:sz="4" w:space="0"/>
              <w:tl2br w:val="nil"/>
              <w:tr2bl w:val="nil"/>
            </w:tcBorders>
            <w:noWrap/>
            <w:tcMar>
              <w:top w:w="15" w:type="dxa"/>
              <w:left w:w="15" w:type="dxa"/>
              <w:right w:w="15" w:type="dxa"/>
            </w:tcMar>
            <w:vAlign w:val="center"/>
          </w:tcPr>
          <w:p w14:paraId="3CF4F4F2">
            <w:pPr>
              <w:pStyle w:val="64"/>
            </w:pPr>
            <w:r>
              <w:t>表层样点数</w:t>
            </w:r>
          </w:p>
        </w:tc>
        <w:tc>
          <w:tcPr>
            <w:tcW w:w="1181" w:type="dxa"/>
            <w:gridSpan w:val="2"/>
            <w:tcBorders>
              <w:top w:val="single" w:color="auto" w:sz="4" w:space="0"/>
              <w:left w:val="single" w:color="auto" w:sz="4" w:space="0"/>
              <w:bottom w:val="single" w:color="auto" w:sz="4" w:space="0"/>
              <w:right w:val="single" w:color="auto" w:sz="4" w:space="0"/>
              <w:tl2br w:val="nil"/>
              <w:tr2bl w:val="nil"/>
            </w:tcBorders>
            <w:noWrap/>
            <w:tcMar>
              <w:top w:w="15" w:type="dxa"/>
              <w:left w:w="15" w:type="dxa"/>
              <w:right w:w="15" w:type="dxa"/>
            </w:tcMar>
            <w:vAlign w:val="center"/>
          </w:tcPr>
          <w:p w14:paraId="1C65ACC7">
            <w:pPr>
              <w:pStyle w:val="64"/>
            </w:pPr>
            <w:r>
              <w:t>2</w:t>
            </w:r>
          </w:p>
        </w:tc>
        <w:tc>
          <w:tcPr>
            <w:tcW w:w="1345" w:type="dxa"/>
            <w:tcBorders>
              <w:top w:val="single" w:color="auto" w:sz="4" w:space="0"/>
              <w:left w:val="single" w:color="auto" w:sz="4" w:space="0"/>
              <w:bottom w:val="single" w:color="auto" w:sz="4" w:space="0"/>
              <w:right w:val="single" w:color="auto" w:sz="4" w:space="0"/>
              <w:tl2br w:val="nil"/>
              <w:tr2bl w:val="nil"/>
            </w:tcBorders>
            <w:noWrap/>
            <w:tcMar>
              <w:top w:w="15" w:type="dxa"/>
              <w:left w:w="15" w:type="dxa"/>
              <w:right w:w="15" w:type="dxa"/>
            </w:tcMar>
            <w:vAlign w:val="center"/>
          </w:tcPr>
          <w:p w14:paraId="03A1FF00">
            <w:pPr>
              <w:pStyle w:val="64"/>
            </w:pPr>
            <w:r>
              <w:t>5</w:t>
            </w:r>
          </w:p>
        </w:tc>
        <w:tc>
          <w:tcPr>
            <w:tcW w:w="2124" w:type="dxa"/>
            <w:tcBorders>
              <w:top w:val="single" w:color="auto" w:sz="4" w:space="0"/>
              <w:left w:val="single" w:color="auto" w:sz="4" w:space="0"/>
              <w:bottom w:val="single" w:color="auto" w:sz="4" w:space="0"/>
              <w:right w:val="single" w:color="auto" w:sz="4" w:space="0"/>
              <w:tl2br w:val="nil"/>
              <w:tr2bl w:val="nil"/>
            </w:tcBorders>
            <w:noWrap/>
            <w:tcMar>
              <w:top w:w="15" w:type="dxa"/>
              <w:left w:w="15" w:type="dxa"/>
              <w:right w:w="15" w:type="dxa"/>
            </w:tcMar>
            <w:vAlign w:val="center"/>
          </w:tcPr>
          <w:p w14:paraId="78C05905">
            <w:pPr>
              <w:pStyle w:val="64"/>
            </w:pPr>
            <w:r>
              <w:rPr>
                <w:rFonts w:hint="eastAsia"/>
              </w:rPr>
              <w:t>0~</w:t>
            </w:r>
            <w:r>
              <w:t>0.2m</w:t>
            </w:r>
          </w:p>
        </w:tc>
        <w:tc>
          <w:tcPr>
            <w:tcW w:w="1059" w:type="dxa"/>
            <w:vMerge w:val="continue"/>
            <w:tcBorders>
              <w:top w:val="single" w:color="auto" w:sz="4" w:space="0"/>
              <w:left w:val="single" w:color="auto" w:sz="4" w:space="0"/>
              <w:bottom w:val="single" w:color="auto" w:sz="4" w:space="0"/>
              <w:right w:val="single" w:color="auto" w:sz="4" w:space="0"/>
              <w:tl2br w:val="nil"/>
              <w:tr2bl w:val="nil"/>
            </w:tcBorders>
            <w:noWrap/>
            <w:tcMar>
              <w:top w:w="15" w:type="dxa"/>
              <w:left w:w="15" w:type="dxa"/>
              <w:right w:w="15" w:type="dxa"/>
            </w:tcMar>
            <w:vAlign w:val="center"/>
          </w:tcPr>
          <w:p w14:paraId="06241399">
            <w:pPr>
              <w:pStyle w:val="64"/>
            </w:pPr>
          </w:p>
        </w:tc>
      </w:tr>
      <w:tr w14:paraId="38DE631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c>
          <w:tcPr>
            <w:tcW w:w="432" w:type="dxa"/>
            <w:vMerge w:val="continue"/>
            <w:tcBorders>
              <w:top w:val="single" w:color="auto" w:sz="4" w:space="0"/>
              <w:left w:val="single" w:color="auto" w:sz="4" w:space="0"/>
              <w:bottom w:val="single" w:color="auto" w:sz="4" w:space="0"/>
              <w:right w:val="single" w:color="auto" w:sz="4" w:space="0"/>
              <w:tl2br w:val="nil"/>
              <w:tr2bl w:val="nil"/>
            </w:tcBorders>
            <w:noWrap/>
            <w:tcMar>
              <w:top w:w="15" w:type="dxa"/>
              <w:left w:w="15" w:type="dxa"/>
              <w:right w:w="15" w:type="dxa"/>
            </w:tcMar>
            <w:vAlign w:val="center"/>
          </w:tcPr>
          <w:p w14:paraId="642EE2E0">
            <w:pPr>
              <w:pStyle w:val="64"/>
            </w:pPr>
          </w:p>
        </w:tc>
        <w:tc>
          <w:tcPr>
            <w:tcW w:w="1661" w:type="dxa"/>
            <w:vMerge w:val="continue"/>
            <w:tcBorders>
              <w:top w:val="single" w:color="auto" w:sz="4" w:space="0"/>
              <w:left w:val="single" w:color="auto" w:sz="4" w:space="0"/>
              <w:bottom w:val="single" w:color="auto" w:sz="4" w:space="0"/>
              <w:right w:val="single" w:color="auto" w:sz="4" w:space="0"/>
              <w:tl2br w:val="nil"/>
              <w:tr2bl w:val="nil"/>
            </w:tcBorders>
            <w:noWrap/>
            <w:tcMar>
              <w:top w:w="15" w:type="dxa"/>
              <w:left w:w="15" w:type="dxa"/>
              <w:right w:w="15" w:type="dxa"/>
            </w:tcMar>
            <w:vAlign w:val="center"/>
          </w:tcPr>
          <w:p w14:paraId="75C298D8">
            <w:pPr>
              <w:pStyle w:val="64"/>
            </w:pPr>
          </w:p>
        </w:tc>
        <w:tc>
          <w:tcPr>
            <w:tcW w:w="1269" w:type="dxa"/>
            <w:tcBorders>
              <w:top w:val="single" w:color="auto" w:sz="4" w:space="0"/>
              <w:left w:val="single" w:color="auto" w:sz="4" w:space="0"/>
              <w:bottom w:val="single" w:color="auto" w:sz="4" w:space="0"/>
              <w:right w:val="single" w:color="auto" w:sz="4" w:space="0"/>
              <w:tl2br w:val="nil"/>
              <w:tr2bl w:val="nil"/>
            </w:tcBorders>
            <w:noWrap/>
            <w:tcMar>
              <w:top w:w="15" w:type="dxa"/>
              <w:left w:w="15" w:type="dxa"/>
              <w:right w:w="15" w:type="dxa"/>
            </w:tcMar>
            <w:vAlign w:val="center"/>
          </w:tcPr>
          <w:p w14:paraId="456E7EC5">
            <w:pPr>
              <w:pStyle w:val="64"/>
            </w:pPr>
            <w:r>
              <w:t>柱状样点数</w:t>
            </w:r>
          </w:p>
        </w:tc>
        <w:tc>
          <w:tcPr>
            <w:tcW w:w="1181" w:type="dxa"/>
            <w:gridSpan w:val="2"/>
            <w:tcBorders>
              <w:top w:val="single" w:color="auto" w:sz="4" w:space="0"/>
              <w:left w:val="single" w:color="auto" w:sz="4" w:space="0"/>
              <w:bottom w:val="single" w:color="auto" w:sz="4" w:space="0"/>
              <w:right w:val="single" w:color="auto" w:sz="4" w:space="0"/>
              <w:tl2br w:val="nil"/>
              <w:tr2bl w:val="nil"/>
            </w:tcBorders>
            <w:noWrap/>
            <w:tcMar>
              <w:top w:w="15" w:type="dxa"/>
              <w:left w:w="15" w:type="dxa"/>
              <w:right w:w="15" w:type="dxa"/>
            </w:tcMar>
            <w:vAlign w:val="center"/>
          </w:tcPr>
          <w:p w14:paraId="3B021F69">
            <w:pPr>
              <w:pStyle w:val="64"/>
            </w:pPr>
            <w:r>
              <w:t>5</w:t>
            </w:r>
          </w:p>
        </w:tc>
        <w:tc>
          <w:tcPr>
            <w:tcW w:w="1345" w:type="dxa"/>
            <w:tcBorders>
              <w:top w:val="single" w:color="auto" w:sz="4" w:space="0"/>
              <w:left w:val="single" w:color="auto" w:sz="4" w:space="0"/>
              <w:bottom w:val="single" w:color="auto" w:sz="4" w:space="0"/>
              <w:right w:val="single" w:color="auto" w:sz="4" w:space="0"/>
              <w:tl2br w:val="nil"/>
              <w:tr2bl w:val="nil"/>
            </w:tcBorders>
            <w:noWrap/>
            <w:tcMar>
              <w:top w:w="15" w:type="dxa"/>
              <w:left w:w="15" w:type="dxa"/>
              <w:right w:w="15" w:type="dxa"/>
            </w:tcMar>
            <w:vAlign w:val="center"/>
          </w:tcPr>
          <w:p w14:paraId="5B7BE2CC">
            <w:pPr>
              <w:pStyle w:val="64"/>
            </w:pPr>
            <w:r>
              <w:t>0</w:t>
            </w:r>
          </w:p>
        </w:tc>
        <w:tc>
          <w:tcPr>
            <w:tcW w:w="2124" w:type="dxa"/>
            <w:tcBorders>
              <w:top w:val="single" w:color="auto" w:sz="4" w:space="0"/>
              <w:left w:val="single" w:color="auto" w:sz="4" w:space="0"/>
              <w:bottom w:val="single" w:color="auto" w:sz="4" w:space="0"/>
              <w:right w:val="single" w:color="auto" w:sz="4" w:space="0"/>
              <w:tl2br w:val="nil"/>
              <w:tr2bl w:val="nil"/>
            </w:tcBorders>
            <w:noWrap/>
            <w:tcMar>
              <w:top w:w="15" w:type="dxa"/>
              <w:left w:w="15" w:type="dxa"/>
              <w:right w:w="15" w:type="dxa"/>
            </w:tcMar>
            <w:vAlign w:val="center"/>
          </w:tcPr>
          <w:p w14:paraId="3AB89C47">
            <w:pPr>
              <w:pStyle w:val="64"/>
            </w:pPr>
            <w:r>
              <w:t>0~</w:t>
            </w:r>
            <w:r>
              <w:rPr>
                <w:rFonts w:hint="eastAsia"/>
              </w:rPr>
              <w:t>6</w:t>
            </w:r>
            <w:r>
              <w:t>m</w:t>
            </w:r>
          </w:p>
        </w:tc>
        <w:tc>
          <w:tcPr>
            <w:tcW w:w="1059" w:type="dxa"/>
            <w:vMerge w:val="continue"/>
            <w:tcBorders>
              <w:top w:val="single" w:color="auto" w:sz="4" w:space="0"/>
              <w:left w:val="single" w:color="auto" w:sz="4" w:space="0"/>
              <w:bottom w:val="single" w:color="auto" w:sz="4" w:space="0"/>
              <w:right w:val="single" w:color="auto" w:sz="4" w:space="0"/>
              <w:tl2br w:val="nil"/>
              <w:tr2bl w:val="nil"/>
            </w:tcBorders>
            <w:noWrap/>
            <w:tcMar>
              <w:top w:w="15" w:type="dxa"/>
              <w:left w:w="15" w:type="dxa"/>
              <w:right w:w="15" w:type="dxa"/>
            </w:tcMar>
            <w:vAlign w:val="center"/>
          </w:tcPr>
          <w:p w14:paraId="57502669">
            <w:pPr>
              <w:pStyle w:val="64"/>
            </w:pPr>
          </w:p>
        </w:tc>
      </w:tr>
      <w:tr w14:paraId="67BA8A0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c>
          <w:tcPr>
            <w:tcW w:w="432" w:type="dxa"/>
            <w:vMerge w:val="continue"/>
            <w:tcBorders>
              <w:top w:val="single" w:color="auto" w:sz="4" w:space="0"/>
              <w:left w:val="single" w:color="auto" w:sz="4" w:space="0"/>
              <w:bottom w:val="single" w:color="auto" w:sz="4" w:space="0"/>
              <w:right w:val="single" w:color="auto" w:sz="4" w:space="0"/>
              <w:tl2br w:val="nil"/>
              <w:tr2bl w:val="nil"/>
            </w:tcBorders>
            <w:noWrap/>
            <w:tcMar>
              <w:top w:w="15" w:type="dxa"/>
              <w:left w:w="15" w:type="dxa"/>
              <w:right w:w="15" w:type="dxa"/>
            </w:tcMar>
            <w:vAlign w:val="center"/>
          </w:tcPr>
          <w:p w14:paraId="468C0DC5">
            <w:pPr>
              <w:pStyle w:val="64"/>
            </w:pPr>
          </w:p>
        </w:tc>
        <w:tc>
          <w:tcPr>
            <w:tcW w:w="1661" w:type="dxa"/>
            <w:tcBorders>
              <w:top w:val="single" w:color="auto" w:sz="4" w:space="0"/>
              <w:left w:val="single" w:color="auto" w:sz="4" w:space="0"/>
              <w:bottom w:val="single" w:color="auto" w:sz="4" w:space="0"/>
              <w:right w:val="single" w:color="auto" w:sz="4" w:space="0"/>
              <w:tl2br w:val="nil"/>
              <w:tr2bl w:val="nil"/>
            </w:tcBorders>
            <w:noWrap/>
            <w:tcMar>
              <w:top w:w="15" w:type="dxa"/>
              <w:left w:w="15" w:type="dxa"/>
              <w:right w:w="15" w:type="dxa"/>
            </w:tcMar>
            <w:vAlign w:val="center"/>
          </w:tcPr>
          <w:p w14:paraId="05F9230D">
            <w:pPr>
              <w:pStyle w:val="64"/>
            </w:pPr>
            <w:r>
              <w:t>现状监测因子</w:t>
            </w:r>
          </w:p>
        </w:tc>
        <w:tc>
          <w:tcPr>
            <w:tcW w:w="5919" w:type="dxa"/>
            <w:gridSpan w:val="5"/>
            <w:tcBorders>
              <w:top w:val="single" w:color="auto" w:sz="4" w:space="0"/>
              <w:left w:val="single" w:color="auto" w:sz="4" w:space="0"/>
              <w:bottom w:val="single" w:color="auto" w:sz="4" w:space="0"/>
              <w:right w:val="single" w:color="auto" w:sz="4" w:space="0"/>
              <w:tl2br w:val="nil"/>
              <w:tr2bl w:val="nil"/>
            </w:tcBorders>
            <w:noWrap/>
            <w:tcMar>
              <w:top w:w="15" w:type="dxa"/>
              <w:left w:w="15" w:type="dxa"/>
              <w:right w:w="15" w:type="dxa"/>
            </w:tcMar>
            <w:vAlign w:val="center"/>
          </w:tcPr>
          <w:p w14:paraId="41C24D17">
            <w:pPr>
              <w:pStyle w:val="64"/>
              <w:jc w:val="both"/>
            </w:pPr>
            <w:r>
              <w:rPr>
                <w:rFonts w:hint="eastAsia"/>
              </w:rPr>
              <w:t>建设用地：《土壤环境质量 建设用地土壤污染风险管控标准》(试行)(GB36600-2018)中45项基本因子及石油烃(C</w:t>
            </w:r>
            <w:r>
              <w:rPr>
                <w:rFonts w:hint="eastAsia"/>
                <w:vertAlign w:val="subscript"/>
              </w:rPr>
              <w:t>10</w:t>
            </w:r>
            <w:r>
              <w:rPr>
                <w:rFonts w:hint="eastAsia"/>
              </w:rPr>
              <w:t>~C</w:t>
            </w:r>
            <w:r>
              <w:rPr>
                <w:rFonts w:hint="eastAsia"/>
                <w:vertAlign w:val="subscript"/>
              </w:rPr>
              <w:t>40</w:t>
            </w:r>
            <w:r>
              <w:rPr>
                <w:rFonts w:hint="eastAsia"/>
              </w:rPr>
              <w:t>)</w:t>
            </w:r>
          </w:p>
          <w:p w14:paraId="56143B01">
            <w:pPr>
              <w:pStyle w:val="64"/>
              <w:jc w:val="both"/>
            </w:pPr>
            <w:r>
              <w:rPr>
                <w:rFonts w:hint="eastAsia"/>
              </w:rPr>
              <w:t>农用地：pH、镉、汞、砷、铅、铬、铜、镍、锌、石油烃(C</w:t>
            </w:r>
            <w:r>
              <w:rPr>
                <w:rFonts w:hint="eastAsia"/>
                <w:vertAlign w:val="subscript"/>
              </w:rPr>
              <w:t>10</w:t>
            </w:r>
            <w:r>
              <w:rPr>
                <w:rFonts w:hint="eastAsia"/>
              </w:rPr>
              <w:t>-C</w:t>
            </w:r>
            <w:r>
              <w:rPr>
                <w:rFonts w:hint="eastAsia"/>
                <w:vertAlign w:val="subscript"/>
              </w:rPr>
              <w:t>40</w:t>
            </w:r>
            <w:r>
              <w:rPr>
                <w:rFonts w:hint="eastAsia"/>
              </w:rPr>
              <w:t>)</w:t>
            </w:r>
          </w:p>
        </w:tc>
        <w:tc>
          <w:tcPr>
            <w:tcW w:w="1059" w:type="dxa"/>
            <w:tcBorders>
              <w:top w:val="single" w:color="auto" w:sz="4" w:space="0"/>
              <w:left w:val="single" w:color="auto" w:sz="4" w:space="0"/>
              <w:bottom w:val="single" w:color="auto" w:sz="4" w:space="0"/>
              <w:right w:val="single" w:color="auto" w:sz="4" w:space="0"/>
              <w:tl2br w:val="nil"/>
              <w:tr2bl w:val="nil"/>
            </w:tcBorders>
            <w:noWrap/>
            <w:tcMar>
              <w:top w:w="15" w:type="dxa"/>
              <w:left w:w="15" w:type="dxa"/>
              <w:right w:w="15" w:type="dxa"/>
            </w:tcMar>
            <w:vAlign w:val="center"/>
          </w:tcPr>
          <w:p w14:paraId="6128726C">
            <w:pPr>
              <w:pStyle w:val="64"/>
            </w:pPr>
          </w:p>
        </w:tc>
      </w:tr>
      <w:tr w14:paraId="47C71E9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c>
          <w:tcPr>
            <w:tcW w:w="432" w:type="dxa"/>
            <w:vMerge w:val="restart"/>
            <w:tcBorders>
              <w:top w:val="single" w:color="auto" w:sz="4" w:space="0"/>
              <w:left w:val="single" w:color="auto" w:sz="4" w:space="0"/>
              <w:bottom w:val="single" w:color="auto" w:sz="4" w:space="0"/>
              <w:right w:val="single" w:color="auto" w:sz="4" w:space="0"/>
              <w:tl2br w:val="nil"/>
              <w:tr2bl w:val="nil"/>
            </w:tcBorders>
            <w:noWrap/>
            <w:tcMar>
              <w:top w:w="15" w:type="dxa"/>
              <w:left w:w="15" w:type="dxa"/>
              <w:right w:w="15" w:type="dxa"/>
            </w:tcMar>
            <w:vAlign w:val="center"/>
          </w:tcPr>
          <w:p w14:paraId="7A4D09FF">
            <w:pPr>
              <w:pStyle w:val="64"/>
            </w:pPr>
            <w:r>
              <w:t>现 状 评 价</w:t>
            </w:r>
          </w:p>
        </w:tc>
        <w:tc>
          <w:tcPr>
            <w:tcW w:w="1661" w:type="dxa"/>
            <w:tcBorders>
              <w:top w:val="single" w:color="auto" w:sz="4" w:space="0"/>
              <w:left w:val="single" w:color="auto" w:sz="4" w:space="0"/>
              <w:bottom w:val="single" w:color="auto" w:sz="4" w:space="0"/>
              <w:right w:val="single" w:color="auto" w:sz="4" w:space="0"/>
              <w:tl2br w:val="nil"/>
              <w:tr2bl w:val="nil"/>
            </w:tcBorders>
            <w:noWrap/>
            <w:tcMar>
              <w:top w:w="15" w:type="dxa"/>
              <w:left w:w="15" w:type="dxa"/>
              <w:right w:w="15" w:type="dxa"/>
            </w:tcMar>
            <w:vAlign w:val="center"/>
          </w:tcPr>
          <w:p w14:paraId="78858055">
            <w:pPr>
              <w:pStyle w:val="64"/>
            </w:pPr>
            <w:r>
              <w:t>评价因子</w:t>
            </w:r>
          </w:p>
        </w:tc>
        <w:tc>
          <w:tcPr>
            <w:tcW w:w="5919" w:type="dxa"/>
            <w:gridSpan w:val="5"/>
            <w:tcBorders>
              <w:top w:val="single" w:color="auto" w:sz="4" w:space="0"/>
              <w:left w:val="single" w:color="auto" w:sz="4" w:space="0"/>
              <w:bottom w:val="single" w:color="auto" w:sz="4" w:space="0"/>
              <w:right w:val="single" w:color="auto" w:sz="4" w:space="0"/>
              <w:tl2br w:val="nil"/>
              <w:tr2bl w:val="nil"/>
            </w:tcBorders>
            <w:noWrap/>
            <w:tcMar>
              <w:top w:w="15" w:type="dxa"/>
              <w:left w:w="15" w:type="dxa"/>
              <w:right w:w="15" w:type="dxa"/>
            </w:tcMar>
            <w:vAlign w:val="center"/>
          </w:tcPr>
          <w:p w14:paraId="34993118">
            <w:pPr>
              <w:pStyle w:val="64"/>
              <w:jc w:val="both"/>
            </w:pPr>
            <w:r>
              <w:rPr>
                <w:rFonts w:hint="eastAsia"/>
              </w:rPr>
              <w:t>建设用地：《土壤环境质量 建设用地土壤污染风险管控标准》(试行)(GB36600-2018)中45项基本因子及石油烃(C</w:t>
            </w:r>
            <w:r>
              <w:rPr>
                <w:rFonts w:hint="eastAsia"/>
                <w:vertAlign w:val="subscript"/>
              </w:rPr>
              <w:t>10</w:t>
            </w:r>
            <w:r>
              <w:rPr>
                <w:rFonts w:hint="eastAsia"/>
              </w:rPr>
              <w:t>~C</w:t>
            </w:r>
            <w:r>
              <w:rPr>
                <w:rFonts w:hint="eastAsia"/>
                <w:vertAlign w:val="subscript"/>
              </w:rPr>
              <w:t>40</w:t>
            </w:r>
            <w:r>
              <w:rPr>
                <w:rFonts w:hint="eastAsia"/>
              </w:rPr>
              <w:t>)</w:t>
            </w:r>
          </w:p>
          <w:p w14:paraId="73FD3511">
            <w:pPr>
              <w:pStyle w:val="64"/>
              <w:jc w:val="both"/>
            </w:pPr>
            <w:r>
              <w:rPr>
                <w:rFonts w:hint="eastAsia"/>
              </w:rPr>
              <w:t>农用地：pH、镉、汞、砷、铅、铬、铜、镍、锌、石油烃(C</w:t>
            </w:r>
            <w:r>
              <w:rPr>
                <w:rFonts w:hint="eastAsia"/>
                <w:vertAlign w:val="subscript"/>
              </w:rPr>
              <w:t>10</w:t>
            </w:r>
            <w:r>
              <w:rPr>
                <w:rFonts w:hint="eastAsia"/>
              </w:rPr>
              <w:t>-C</w:t>
            </w:r>
            <w:r>
              <w:rPr>
                <w:rFonts w:hint="eastAsia"/>
                <w:vertAlign w:val="subscript"/>
              </w:rPr>
              <w:t>40</w:t>
            </w:r>
            <w:r>
              <w:rPr>
                <w:rFonts w:hint="eastAsia"/>
              </w:rPr>
              <w:t>)</w:t>
            </w:r>
          </w:p>
        </w:tc>
        <w:tc>
          <w:tcPr>
            <w:tcW w:w="1059" w:type="dxa"/>
            <w:tcBorders>
              <w:top w:val="single" w:color="auto" w:sz="4" w:space="0"/>
              <w:left w:val="single" w:color="auto" w:sz="4" w:space="0"/>
              <w:bottom w:val="single" w:color="auto" w:sz="4" w:space="0"/>
              <w:right w:val="single" w:color="auto" w:sz="4" w:space="0"/>
              <w:tl2br w:val="nil"/>
              <w:tr2bl w:val="nil"/>
            </w:tcBorders>
            <w:noWrap/>
            <w:tcMar>
              <w:top w:w="15" w:type="dxa"/>
              <w:left w:w="15" w:type="dxa"/>
              <w:right w:w="15" w:type="dxa"/>
            </w:tcMar>
            <w:vAlign w:val="center"/>
          </w:tcPr>
          <w:p w14:paraId="53E9B4BA">
            <w:pPr>
              <w:pStyle w:val="64"/>
            </w:pPr>
          </w:p>
        </w:tc>
      </w:tr>
      <w:tr w14:paraId="370D79B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c>
          <w:tcPr>
            <w:tcW w:w="432" w:type="dxa"/>
            <w:vMerge w:val="continue"/>
            <w:tcBorders>
              <w:top w:val="single" w:color="auto" w:sz="4" w:space="0"/>
              <w:left w:val="single" w:color="auto" w:sz="4" w:space="0"/>
              <w:bottom w:val="single" w:color="auto" w:sz="4" w:space="0"/>
              <w:right w:val="single" w:color="auto" w:sz="4" w:space="0"/>
              <w:tl2br w:val="nil"/>
              <w:tr2bl w:val="nil"/>
            </w:tcBorders>
            <w:noWrap/>
            <w:tcMar>
              <w:top w:w="15" w:type="dxa"/>
              <w:left w:w="15" w:type="dxa"/>
              <w:right w:w="15" w:type="dxa"/>
            </w:tcMar>
            <w:vAlign w:val="center"/>
          </w:tcPr>
          <w:p w14:paraId="3CEE14BF">
            <w:pPr>
              <w:pStyle w:val="64"/>
            </w:pPr>
          </w:p>
        </w:tc>
        <w:tc>
          <w:tcPr>
            <w:tcW w:w="1661" w:type="dxa"/>
            <w:tcBorders>
              <w:top w:val="single" w:color="auto" w:sz="4" w:space="0"/>
              <w:left w:val="single" w:color="auto" w:sz="4" w:space="0"/>
              <w:bottom w:val="single" w:color="auto" w:sz="4" w:space="0"/>
              <w:right w:val="single" w:color="auto" w:sz="4" w:space="0"/>
              <w:tl2br w:val="nil"/>
              <w:tr2bl w:val="nil"/>
            </w:tcBorders>
            <w:noWrap/>
            <w:tcMar>
              <w:top w:w="15" w:type="dxa"/>
              <w:left w:w="15" w:type="dxa"/>
              <w:right w:w="15" w:type="dxa"/>
            </w:tcMar>
            <w:vAlign w:val="center"/>
          </w:tcPr>
          <w:p w14:paraId="149EC792">
            <w:pPr>
              <w:pStyle w:val="64"/>
            </w:pPr>
            <w:r>
              <w:t>评价标准</w:t>
            </w:r>
          </w:p>
        </w:tc>
        <w:tc>
          <w:tcPr>
            <w:tcW w:w="5919" w:type="dxa"/>
            <w:gridSpan w:val="5"/>
            <w:tcBorders>
              <w:top w:val="single" w:color="auto" w:sz="4" w:space="0"/>
              <w:left w:val="single" w:color="auto" w:sz="4" w:space="0"/>
              <w:bottom w:val="single" w:color="auto" w:sz="4" w:space="0"/>
              <w:right w:val="single" w:color="auto" w:sz="4" w:space="0"/>
              <w:tl2br w:val="nil"/>
              <w:tr2bl w:val="nil"/>
            </w:tcBorders>
            <w:noWrap/>
            <w:tcMar>
              <w:top w:w="15" w:type="dxa"/>
              <w:left w:w="15" w:type="dxa"/>
              <w:right w:w="15" w:type="dxa"/>
            </w:tcMar>
            <w:vAlign w:val="center"/>
          </w:tcPr>
          <w:p w14:paraId="2A5AD9E6">
            <w:pPr>
              <w:pStyle w:val="64"/>
              <w:rPr>
                <w:rFonts w:eastAsia="TimesNewRomanPSMT"/>
              </w:rPr>
            </w:pPr>
            <w:r>
              <w:rPr>
                <w:rFonts w:eastAsia="TimesNewRomanPSMT"/>
              </w:rPr>
              <w:t>GB 15618</w:t>
            </w:r>
            <w:r>
              <w:rPr>
                <w:rFonts w:eastAsia="TimesNewRomanPSMT"/>
              </w:rPr>
              <w:sym w:font="Wingdings 2" w:char="0052"/>
            </w:r>
            <w:r>
              <w:rPr>
                <w:rFonts w:hint="eastAsia" w:ascii="宋体" w:hAnsi="宋体" w:cs="宋体"/>
              </w:rPr>
              <w:t>；</w:t>
            </w:r>
            <w:r>
              <w:rPr>
                <w:rFonts w:eastAsia="TimesNewRomanPSMT"/>
              </w:rPr>
              <w:t xml:space="preserve"> GB 36600</w:t>
            </w:r>
            <w:r>
              <w:rPr>
                <w:rFonts w:eastAsia="TimesNewRomanPSMT"/>
              </w:rPr>
              <w:sym w:font="Wingdings 2" w:char="0052"/>
            </w:r>
            <w:r>
              <w:rPr>
                <w:rFonts w:hint="eastAsia" w:ascii="宋体" w:hAnsi="宋体" w:cs="宋体"/>
              </w:rPr>
              <w:t>；</w:t>
            </w:r>
            <w:r>
              <w:rPr>
                <w:rFonts w:eastAsia="TimesNewRomanPSMT"/>
              </w:rPr>
              <w:t xml:space="preserve"> </w:t>
            </w:r>
            <w:r>
              <w:rPr>
                <w:rFonts w:hint="eastAsia" w:ascii="宋体" w:hAnsi="宋体" w:cs="宋体"/>
              </w:rPr>
              <w:t>表</w:t>
            </w:r>
            <w:r>
              <w:rPr>
                <w:rFonts w:eastAsia="TimesNewRomanPSMT"/>
              </w:rPr>
              <w:t xml:space="preserve"> D.1□</w:t>
            </w:r>
            <w:r>
              <w:rPr>
                <w:rFonts w:hint="eastAsia" w:ascii="宋体" w:hAnsi="宋体" w:cs="宋体"/>
              </w:rPr>
              <w:t>；</w:t>
            </w:r>
            <w:r>
              <w:rPr>
                <w:rFonts w:eastAsia="TimesNewRomanPSMT"/>
              </w:rPr>
              <w:t xml:space="preserve"> </w:t>
            </w:r>
            <w:r>
              <w:rPr>
                <w:rFonts w:hint="eastAsia" w:ascii="宋体" w:hAnsi="宋体" w:cs="宋体"/>
              </w:rPr>
              <w:t>表</w:t>
            </w:r>
            <w:r>
              <w:rPr>
                <w:rFonts w:eastAsia="TimesNewRomanPSMT"/>
              </w:rPr>
              <w:t xml:space="preserve"> D.2□</w:t>
            </w:r>
            <w:r>
              <w:rPr>
                <w:rFonts w:hint="eastAsia" w:ascii="宋体" w:hAnsi="宋体" w:cs="宋体"/>
              </w:rPr>
              <w:t>；</w:t>
            </w:r>
            <w:r>
              <w:rPr>
                <w:rFonts w:eastAsia="TimesNewRomanPSMT"/>
              </w:rPr>
              <w:t xml:space="preserve"> </w:t>
            </w:r>
            <w:r>
              <w:rPr>
                <w:rFonts w:hint="eastAsia" w:ascii="宋体" w:hAnsi="宋体" w:cs="宋体"/>
              </w:rPr>
              <w:t>其他(</w:t>
            </w:r>
            <w:r>
              <w:rPr>
                <w:rFonts w:eastAsia="TimesNewRomanPSMT"/>
              </w:rPr>
              <w:t xml:space="preserve"> </w:t>
            </w:r>
            <w:r>
              <w:rPr>
                <w:rFonts w:hint="eastAsia" w:ascii="宋体" w:hAnsi="宋体" w:cs="宋体"/>
              </w:rPr>
              <w:t>)</w:t>
            </w:r>
          </w:p>
        </w:tc>
        <w:tc>
          <w:tcPr>
            <w:tcW w:w="1059" w:type="dxa"/>
            <w:tcBorders>
              <w:top w:val="single" w:color="auto" w:sz="4" w:space="0"/>
              <w:left w:val="single" w:color="auto" w:sz="4" w:space="0"/>
              <w:bottom w:val="single" w:color="auto" w:sz="4" w:space="0"/>
              <w:right w:val="single" w:color="auto" w:sz="4" w:space="0"/>
              <w:tl2br w:val="nil"/>
              <w:tr2bl w:val="nil"/>
            </w:tcBorders>
            <w:noWrap/>
            <w:tcMar>
              <w:top w:w="15" w:type="dxa"/>
              <w:left w:w="15" w:type="dxa"/>
              <w:right w:w="15" w:type="dxa"/>
            </w:tcMar>
            <w:vAlign w:val="center"/>
          </w:tcPr>
          <w:p w14:paraId="7A660652">
            <w:pPr>
              <w:pStyle w:val="64"/>
            </w:pPr>
          </w:p>
        </w:tc>
      </w:tr>
      <w:tr w14:paraId="540844B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c>
          <w:tcPr>
            <w:tcW w:w="432" w:type="dxa"/>
            <w:vMerge w:val="continue"/>
            <w:tcBorders>
              <w:top w:val="single" w:color="auto" w:sz="4" w:space="0"/>
              <w:left w:val="single" w:color="auto" w:sz="4" w:space="0"/>
              <w:bottom w:val="single" w:color="auto" w:sz="4" w:space="0"/>
              <w:right w:val="single" w:color="auto" w:sz="4" w:space="0"/>
              <w:tl2br w:val="nil"/>
              <w:tr2bl w:val="nil"/>
            </w:tcBorders>
            <w:noWrap/>
            <w:tcMar>
              <w:top w:w="15" w:type="dxa"/>
              <w:left w:w="15" w:type="dxa"/>
              <w:right w:w="15" w:type="dxa"/>
            </w:tcMar>
            <w:vAlign w:val="center"/>
          </w:tcPr>
          <w:p w14:paraId="1B033A20">
            <w:pPr>
              <w:pStyle w:val="64"/>
            </w:pPr>
          </w:p>
        </w:tc>
        <w:tc>
          <w:tcPr>
            <w:tcW w:w="1661" w:type="dxa"/>
            <w:tcBorders>
              <w:top w:val="single" w:color="auto" w:sz="4" w:space="0"/>
              <w:left w:val="single" w:color="auto" w:sz="4" w:space="0"/>
              <w:bottom w:val="single" w:color="auto" w:sz="4" w:space="0"/>
              <w:right w:val="single" w:color="auto" w:sz="4" w:space="0"/>
              <w:tl2br w:val="nil"/>
              <w:tr2bl w:val="nil"/>
            </w:tcBorders>
            <w:noWrap/>
            <w:tcMar>
              <w:top w:w="15" w:type="dxa"/>
              <w:left w:w="15" w:type="dxa"/>
              <w:right w:w="15" w:type="dxa"/>
            </w:tcMar>
            <w:vAlign w:val="center"/>
          </w:tcPr>
          <w:p w14:paraId="65D98C87">
            <w:pPr>
              <w:pStyle w:val="64"/>
            </w:pPr>
            <w:r>
              <w:t>现状评价结论</w:t>
            </w:r>
          </w:p>
        </w:tc>
        <w:tc>
          <w:tcPr>
            <w:tcW w:w="5919" w:type="dxa"/>
            <w:gridSpan w:val="5"/>
            <w:tcBorders>
              <w:top w:val="single" w:color="auto" w:sz="4" w:space="0"/>
              <w:left w:val="single" w:color="auto" w:sz="4" w:space="0"/>
              <w:bottom w:val="single" w:color="auto" w:sz="4" w:space="0"/>
              <w:right w:val="single" w:color="auto" w:sz="4" w:space="0"/>
              <w:tl2br w:val="nil"/>
              <w:tr2bl w:val="nil"/>
            </w:tcBorders>
            <w:noWrap/>
            <w:tcMar>
              <w:top w:w="15" w:type="dxa"/>
              <w:left w:w="15" w:type="dxa"/>
              <w:right w:w="15" w:type="dxa"/>
            </w:tcMar>
            <w:vAlign w:val="center"/>
          </w:tcPr>
          <w:p w14:paraId="65F10C01">
            <w:pPr>
              <w:pStyle w:val="64"/>
            </w:pPr>
            <w:r>
              <w:t>各监测点各监测项均满足</w:t>
            </w:r>
            <w:r>
              <w:rPr>
                <w:rFonts w:eastAsia="TimesNewRomanPSMT"/>
              </w:rPr>
              <w:t>GB15618</w:t>
            </w:r>
            <w:r>
              <w:t>中风险筛选值要求</w:t>
            </w:r>
          </w:p>
        </w:tc>
        <w:tc>
          <w:tcPr>
            <w:tcW w:w="1059" w:type="dxa"/>
            <w:tcBorders>
              <w:top w:val="single" w:color="auto" w:sz="4" w:space="0"/>
              <w:left w:val="single" w:color="auto" w:sz="4" w:space="0"/>
              <w:bottom w:val="single" w:color="auto" w:sz="4" w:space="0"/>
              <w:right w:val="single" w:color="auto" w:sz="4" w:space="0"/>
              <w:tl2br w:val="nil"/>
              <w:tr2bl w:val="nil"/>
            </w:tcBorders>
            <w:noWrap/>
            <w:tcMar>
              <w:top w:w="15" w:type="dxa"/>
              <w:left w:w="15" w:type="dxa"/>
              <w:right w:w="15" w:type="dxa"/>
            </w:tcMar>
            <w:vAlign w:val="center"/>
          </w:tcPr>
          <w:p w14:paraId="6B6670F5">
            <w:pPr>
              <w:pStyle w:val="64"/>
            </w:pPr>
          </w:p>
        </w:tc>
      </w:tr>
      <w:tr w14:paraId="5ED50B7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c>
          <w:tcPr>
            <w:tcW w:w="432" w:type="dxa"/>
            <w:vMerge w:val="restart"/>
            <w:tcBorders>
              <w:top w:val="single" w:color="auto" w:sz="4" w:space="0"/>
              <w:left w:val="single" w:color="auto" w:sz="4" w:space="0"/>
              <w:bottom w:val="single" w:color="auto" w:sz="4" w:space="0"/>
              <w:right w:val="single" w:color="auto" w:sz="4" w:space="0"/>
              <w:tl2br w:val="nil"/>
              <w:tr2bl w:val="nil"/>
            </w:tcBorders>
            <w:noWrap/>
            <w:tcMar>
              <w:top w:w="15" w:type="dxa"/>
              <w:left w:w="15" w:type="dxa"/>
              <w:right w:w="15" w:type="dxa"/>
            </w:tcMar>
            <w:vAlign w:val="center"/>
          </w:tcPr>
          <w:p w14:paraId="5C41E97D">
            <w:pPr>
              <w:pStyle w:val="64"/>
            </w:pPr>
            <w:r>
              <w:t>影 响 预 测</w:t>
            </w:r>
          </w:p>
        </w:tc>
        <w:tc>
          <w:tcPr>
            <w:tcW w:w="1661" w:type="dxa"/>
            <w:tcBorders>
              <w:top w:val="single" w:color="auto" w:sz="4" w:space="0"/>
              <w:left w:val="single" w:color="auto" w:sz="4" w:space="0"/>
              <w:bottom w:val="single" w:color="auto" w:sz="4" w:space="0"/>
              <w:right w:val="single" w:color="auto" w:sz="4" w:space="0"/>
              <w:tl2br w:val="nil"/>
              <w:tr2bl w:val="nil"/>
            </w:tcBorders>
            <w:noWrap/>
            <w:tcMar>
              <w:top w:w="15" w:type="dxa"/>
              <w:left w:w="15" w:type="dxa"/>
              <w:right w:w="15" w:type="dxa"/>
            </w:tcMar>
            <w:vAlign w:val="center"/>
          </w:tcPr>
          <w:p w14:paraId="67A750A7">
            <w:pPr>
              <w:pStyle w:val="64"/>
            </w:pPr>
            <w:r>
              <w:t>预测因子</w:t>
            </w:r>
          </w:p>
        </w:tc>
        <w:tc>
          <w:tcPr>
            <w:tcW w:w="5919" w:type="dxa"/>
            <w:gridSpan w:val="5"/>
            <w:tcBorders>
              <w:top w:val="single" w:color="auto" w:sz="4" w:space="0"/>
              <w:left w:val="single" w:color="auto" w:sz="4" w:space="0"/>
              <w:bottom w:val="single" w:color="auto" w:sz="4" w:space="0"/>
              <w:right w:val="single" w:color="auto" w:sz="4" w:space="0"/>
              <w:tl2br w:val="nil"/>
              <w:tr2bl w:val="nil"/>
            </w:tcBorders>
            <w:noWrap/>
            <w:tcMar>
              <w:top w:w="15" w:type="dxa"/>
              <w:left w:w="15" w:type="dxa"/>
              <w:right w:w="15" w:type="dxa"/>
            </w:tcMar>
            <w:vAlign w:val="center"/>
          </w:tcPr>
          <w:p w14:paraId="18CDF442">
            <w:pPr>
              <w:pStyle w:val="64"/>
            </w:pPr>
            <w:r>
              <w:rPr>
                <w:rFonts w:hint="eastAsia"/>
              </w:rPr>
              <w:t>非甲烷总烃、酚类</w:t>
            </w:r>
          </w:p>
        </w:tc>
        <w:tc>
          <w:tcPr>
            <w:tcW w:w="1059" w:type="dxa"/>
            <w:tcBorders>
              <w:top w:val="single" w:color="auto" w:sz="4" w:space="0"/>
              <w:left w:val="single" w:color="auto" w:sz="4" w:space="0"/>
              <w:bottom w:val="single" w:color="auto" w:sz="4" w:space="0"/>
              <w:right w:val="single" w:color="auto" w:sz="4" w:space="0"/>
              <w:tl2br w:val="nil"/>
              <w:tr2bl w:val="nil"/>
            </w:tcBorders>
            <w:noWrap/>
            <w:tcMar>
              <w:top w:w="15" w:type="dxa"/>
              <w:left w:w="15" w:type="dxa"/>
              <w:right w:w="15" w:type="dxa"/>
            </w:tcMar>
            <w:vAlign w:val="center"/>
          </w:tcPr>
          <w:p w14:paraId="3020366F">
            <w:pPr>
              <w:pStyle w:val="64"/>
            </w:pPr>
          </w:p>
        </w:tc>
      </w:tr>
      <w:tr w14:paraId="2C1CCC3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c>
          <w:tcPr>
            <w:tcW w:w="432" w:type="dxa"/>
            <w:vMerge w:val="continue"/>
            <w:tcBorders>
              <w:top w:val="single" w:color="auto" w:sz="4" w:space="0"/>
              <w:left w:val="single" w:color="auto" w:sz="4" w:space="0"/>
              <w:bottom w:val="single" w:color="auto" w:sz="4" w:space="0"/>
              <w:right w:val="single" w:color="auto" w:sz="4" w:space="0"/>
              <w:tl2br w:val="nil"/>
              <w:tr2bl w:val="nil"/>
            </w:tcBorders>
            <w:noWrap/>
            <w:tcMar>
              <w:top w:w="15" w:type="dxa"/>
              <w:left w:w="15" w:type="dxa"/>
              <w:right w:w="15" w:type="dxa"/>
            </w:tcMar>
            <w:vAlign w:val="center"/>
          </w:tcPr>
          <w:p w14:paraId="2E262847">
            <w:pPr>
              <w:pStyle w:val="64"/>
            </w:pPr>
          </w:p>
        </w:tc>
        <w:tc>
          <w:tcPr>
            <w:tcW w:w="1661" w:type="dxa"/>
            <w:tcBorders>
              <w:top w:val="single" w:color="auto" w:sz="4" w:space="0"/>
              <w:left w:val="single" w:color="auto" w:sz="4" w:space="0"/>
              <w:bottom w:val="single" w:color="auto" w:sz="4" w:space="0"/>
              <w:right w:val="single" w:color="auto" w:sz="4" w:space="0"/>
              <w:tl2br w:val="nil"/>
              <w:tr2bl w:val="nil"/>
            </w:tcBorders>
            <w:noWrap/>
            <w:tcMar>
              <w:top w:w="15" w:type="dxa"/>
              <w:left w:w="15" w:type="dxa"/>
              <w:right w:w="15" w:type="dxa"/>
            </w:tcMar>
            <w:vAlign w:val="center"/>
          </w:tcPr>
          <w:p w14:paraId="08E40749">
            <w:pPr>
              <w:pStyle w:val="64"/>
            </w:pPr>
            <w:r>
              <w:t>预测方法</w:t>
            </w:r>
          </w:p>
        </w:tc>
        <w:tc>
          <w:tcPr>
            <w:tcW w:w="5919" w:type="dxa"/>
            <w:gridSpan w:val="5"/>
            <w:tcBorders>
              <w:top w:val="single" w:color="auto" w:sz="4" w:space="0"/>
              <w:left w:val="single" w:color="auto" w:sz="4" w:space="0"/>
              <w:bottom w:val="single" w:color="auto" w:sz="4" w:space="0"/>
              <w:right w:val="single" w:color="auto" w:sz="4" w:space="0"/>
              <w:tl2br w:val="nil"/>
              <w:tr2bl w:val="nil"/>
            </w:tcBorders>
            <w:noWrap/>
            <w:tcMar>
              <w:top w:w="15" w:type="dxa"/>
              <w:left w:w="15" w:type="dxa"/>
              <w:right w:w="15" w:type="dxa"/>
            </w:tcMar>
            <w:vAlign w:val="center"/>
          </w:tcPr>
          <w:p w14:paraId="2EF826AE">
            <w:pPr>
              <w:pStyle w:val="64"/>
            </w:pPr>
            <w:r>
              <w:t>附录 ER； 附录 F□； 其他(</w:t>
            </w:r>
            <w:r>
              <w:rPr>
                <w:rFonts w:hint="eastAsia"/>
              </w:rPr>
              <w:t>类比分析</w:t>
            </w:r>
            <w:r>
              <w:t xml:space="preserve"> )</w:t>
            </w:r>
          </w:p>
        </w:tc>
        <w:tc>
          <w:tcPr>
            <w:tcW w:w="1059" w:type="dxa"/>
            <w:tcBorders>
              <w:top w:val="single" w:color="auto" w:sz="4" w:space="0"/>
              <w:left w:val="single" w:color="auto" w:sz="4" w:space="0"/>
              <w:bottom w:val="single" w:color="auto" w:sz="4" w:space="0"/>
              <w:right w:val="single" w:color="auto" w:sz="4" w:space="0"/>
              <w:tl2br w:val="nil"/>
              <w:tr2bl w:val="nil"/>
            </w:tcBorders>
            <w:noWrap/>
            <w:tcMar>
              <w:top w:w="15" w:type="dxa"/>
              <w:left w:w="15" w:type="dxa"/>
              <w:right w:w="15" w:type="dxa"/>
            </w:tcMar>
            <w:vAlign w:val="center"/>
          </w:tcPr>
          <w:p w14:paraId="00F0ACAB">
            <w:pPr>
              <w:pStyle w:val="64"/>
            </w:pPr>
          </w:p>
        </w:tc>
      </w:tr>
      <w:tr w14:paraId="189FA10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c>
          <w:tcPr>
            <w:tcW w:w="432" w:type="dxa"/>
            <w:vMerge w:val="continue"/>
            <w:tcBorders>
              <w:top w:val="single" w:color="auto" w:sz="4" w:space="0"/>
              <w:left w:val="single" w:color="auto" w:sz="4" w:space="0"/>
              <w:bottom w:val="single" w:color="auto" w:sz="4" w:space="0"/>
              <w:right w:val="single" w:color="auto" w:sz="4" w:space="0"/>
              <w:tl2br w:val="nil"/>
              <w:tr2bl w:val="nil"/>
            </w:tcBorders>
            <w:noWrap/>
            <w:tcMar>
              <w:top w:w="15" w:type="dxa"/>
              <w:left w:w="15" w:type="dxa"/>
              <w:right w:w="15" w:type="dxa"/>
            </w:tcMar>
            <w:vAlign w:val="center"/>
          </w:tcPr>
          <w:p w14:paraId="67D39813">
            <w:pPr>
              <w:pStyle w:val="64"/>
            </w:pPr>
          </w:p>
        </w:tc>
        <w:tc>
          <w:tcPr>
            <w:tcW w:w="1661" w:type="dxa"/>
            <w:tcBorders>
              <w:top w:val="single" w:color="auto" w:sz="4" w:space="0"/>
              <w:left w:val="single" w:color="auto" w:sz="4" w:space="0"/>
              <w:bottom w:val="single" w:color="auto" w:sz="4" w:space="0"/>
              <w:right w:val="single" w:color="auto" w:sz="4" w:space="0"/>
              <w:tl2br w:val="nil"/>
              <w:tr2bl w:val="nil"/>
            </w:tcBorders>
            <w:noWrap/>
            <w:tcMar>
              <w:top w:w="15" w:type="dxa"/>
              <w:left w:w="15" w:type="dxa"/>
              <w:right w:w="15" w:type="dxa"/>
            </w:tcMar>
            <w:vAlign w:val="center"/>
          </w:tcPr>
          <w:p w14:paraId="3B7DEF6D">
            <w:pPr>
              <w:pStyle w:val="64"/>
            </w:pPr>
            <w:r>
              <w:t>预测分析内容</w:t>
            </w:r>
          </w:p>
        </w:tc>
        <w:tc>
          <w:tcPr>
            <w:tcW w:w="5919" w:type="dxa"/>
            <w:gridSpan w:val="5"/>
            <w:tcBorders>
              <w:top w:val="single" w:color="auto" w:sz="4" w:space="0"/>
              <w:left w:val="single" w:color="auto" w:sz="4" w:space="0"/>
              <w:bottom w:val="single" w:color="auto" w:sz="4" w:space="0"/>
              <w:right w:val="single" w:color="auto" w:sz="4" w:space="0"/>
              <w:tl2br w:val="nil"/>
              <w:tr2bl w:val="nil"/>
            </w:tcBorders>
            <w:noWrap/>
            <w:tcMar>
              <w:top w:w="15" w:type="dxa"/>
              <w:left w:w="15" w:type="dxa"/>
              <w:right w:w="15" w:type="dxa"/>
            </w:tcMar>
            <w:vAlign w:val="center"/>
          </w:tcPr>
          <w:p w14:paraId="6956F493">
            <w:pPr>
              <w:pStyle w:val="64"/>
            </w:pPr>
            <w:r>
              <w:t>影响范围(项目边界外0.2km区域)</w:t>
            </w:r>
            <w:r>
              <w:br w:type="textWrapping"/>
            </w:r>
            <w:r>
              <w:t>影响程度(较小)</w:t>
            </w:r>
          </w:p>
        </w:tc>
        <w:tc>
          <w:tcPr>
            <w:tcW w:w="1059" w:type="dxa"/>
            <w:tcBorders>
              <w:top w:val="single" w:color="auto" w:sz="4" w:space="0"/>
              <w:left w:val="single" w:color="auto" w:sz="4" w:space="0"/>
              <w:bottom w:val="single" w:color="auto" w:sz="4" w:space="0"/>
              <w:right w:val="single" w:color="auto" w:sz="4" w:space="0"/>
              <w:tl2br w:val="nil"/>
              <w:tr2bl w:val="nil"/>
            </w:tcBorders>
            <w:noWrap/>
            <w:tcMar>
              <w:top w:w="15" w:type="dxa"/>
              <w:left w:w="15" w:type="dxa"/>
              <w:right w:w="15" w:type="dxa"/>
            </w:tcMar>
            <w:vAlign w:val="center"/>
          </w:tcPr>
          <w:p w14:paraId="47F18C49">
            <w:pPr>
              <w:pStyle w:val="64"/>
            </w:pPr>
          </w:p>
        </w:tc>
      </w:tr>
      <w:tr w14:paraId="417FF9D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c>
          <w:tcPr>
            <w:tcW w:w="432" w:type="dxa"/>
            <w:vMerge w:val="continue"/>
            <w:tcBorders>
              <w:top w:val="single" w:color="auto" w:sz="4" w:space="0"/>
              <w:left w:val="single" w:color="auto" w:sz="4" w:space="0"/>
              <w:bottom w:val="single" w:color="auto" w:sz="4" w:space="0"/>
              <w:right w:val="single" w:color="auto" w:sz="4" w:space="0"/>
              <w:tl2br w:val="nil"/>
              <w:tr2bl w:val="nil"/>
            </w:tcBorders>
            <w:noWrap/>
            <w:tcMar>
              <w:top w:w="15" w:type="dxa"/>
              <w:left w:w="15" w:type="dxa"/>
              <w:right w:w="15" w:type="dxa"/>
            </w:tcMar>
            <w:vAlign w:val="center"/>
          </w:tcPr>
          <w:p w14:paraId="3EF1D247">
            <w:pPr>
              <w:pStyle w:val="64"/>
            </w:pPr>
          </w:p>
        </w:tc>
        <w:tc>
          <w:tcPr>
            <w:tcW w:w="1661" w:type="dxa"/>
            <w:tcBorders>
              <w:top w:val="single" w:color="auto" w:sz="4" w:space="0"/>
              <w:left w:val="single" w:color="auto" w:sz="4" w:space="0"/>
              <w:bottom w:val="single" w:color="auto" w:sz="4" w:space="0"/>
              <w:right w:val="single" w:color="auto" w:sz="4" w:space="0"/>
              <w:tl2br w:val="nil"/>
              <w:tr2bl w:val="nil"/>
            </w:tcBorders>
            <w:noWrap/>
            <w:tcMar>
              <w:top w:w="15" w:type="dxa"/>
              <w:left w:w="15" w:type="dxa"/>
              <w:right w:w="15" w:type="dxa"/>
            </w:tcMar>
            <w:vAlign w:val="center"/>
          </w:tcPr>
          <w:p w14:paraId="5E1CB8DF">
            <w:pPr>
              <w:pStyle w:val="64"/>
            </w:pPr>
            <w:r>
              <w:t>预测结论</w:t>
            </w:r>
          </w:p>
        </w:tc>
        <w:tc>
          <w:tcPr>
            <w:tcW w:w="5919" w:type="dxa"/>
            <w:gridSpan w:val="5"/>
            <w:tcBorders>
              <w:top w:val="single" w:color="auto" w:sz="4" w:space="0"/>
              <w:left w:val="single" w:color="auto" w:sz="4" w:space="0"/>
              <w:bottom w:val="single" w:color="auto" w:sz="4" w:space="0"/>
              <w:right w:val="single" w:color="auto" w:sz="4" w:space="0"/>
              <w:tl2br w:val="nil"/>
              <w:tr2bl w:val="nil"/>
            </w:tcBorders>
            <w:noWrap/>
            <w:tcMar>
              <w:top w:w="15" w:type="dxa"/>
              <w:left w:w="15" w:type="dxa"/>
              <w:right w:w="15" w:type="dxa"/>
            </w:tcMar>
            <w:vAlign w:val="center"/>
          </w:tcPr>
          <w:p w14:paraId="0EED1D01">
            <w:pPr>
              <w:pStyle w:val="64"/>
            </w:pPr>
            <w:r>
              <w:t xml:space="preserve">达标结论： a) </w:t>
            </w:r>
            <w:r>
              <w:rPr/>
              <w:sym w:font="Wingdings 2" w:char="0052"/>
            </w:r>
            <w:r>
              <w:t>； b) □； c) □</w:t>
            </w:r>
            <w:r>
              <w:br w:type="textWrapping"/>
            </w:r>
            <w:r>
              <w:t>不达标结论： a) □； b) □</w:t>
            </w:r>
          </w:p>
        </w:tc>
        <w:tc>
          <w:tcPr>
            <w:tcW w:w="1059" w:type="dxa"/>
            <w:tcBorders>
              <w:top w:val="single" w:color="auto" w:sz="4" w:space="0"/>
              <w:left w:val="single" w:color="auto" w:sz="4" w:space="0"/>
              <w:bottom w:val="single" w:color="auto" w:sz="4" w:space="0"/>
              <w:right w:val="single" w:color="auto" w:sz="4" w:space="0"/>
              <w:tl2br w:val="nil"/>
              <w:tr2bl w:val="nil"/>
            </w:tcBorders>
            <w:noWrap/>
            <w:tcMar>
              <w:top w:w="15" w:type="dxa"/>
              <w:left w:w="15" w:type="dxa"/>
              <w:right w:w="15" w:type="dxa"/>
            </w:tcMar>
            <w:vAlign w:val="center"/>
          </w:tcPr>
          <w:p w14:paraId="397E689C">
            <w:pPr>
              <w:pStyle w:val="64"/>
            </w:pPr>
          </w:p>
        </w:tc>
      </w:tr>
      <w:tr w14:paraId="2C6A2B2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c>
          <w:tcPr>
            <w:tcW w:w="432" w:type="dxa"/>
            <w:vMerge w:val="restart"/>
            <w:tcBorders>
              <w:top w:val="single" w:color="auto" w:sz="4" w:space="0"/>
              <w:left w:val="single" w:color="auto" w:sz="4" w:space="0"/>
              <w:bottom w:val="single" w:color="auto" w:sz="4" w:space="0"/>
              <w:right w:val="single" w:color="auto" w:sz="4" w:space="0"/>
              <w:tl2br w:val="nil"/>
              <w:tr2bl w:val="nil"/>
            </w:tcBorders>
            <w:noWrap/>
            <w:tcMar>
              <w:top w:w="15" w:type="dxa"/>
              <w:left w:w="15" w:type="dxa"/>
              <w:right w:w="15" w:type="dxa"/>
            </w:tcMar>
            <w:vAlign w:val="center"/>
          </w:tcPr>
          <w:p w14:paraId="659FBC43">
            <w:pPr>
              <w:pStyle w:val="64"/>
            </w:pPr>
            <w:r>
              <w:t>防 治 措 施</w:t>
            </w:r>
          </w:p>
        </w:tc>
        <w:tc>
          <w:tcPr>
            <w:tcW w:w="1661" w:type="dxa"/>
            <w:tcBorders>
              <w:top w:val="single" w:color="auto" w:sz="4" w:space="0"/>
              <w:left w:val="single" w:color="auto" w:sz="4" w:space="0"/>
              <w:bottom w:val="single" w:color="auto" w:sz="4" w:space="0"/>
              <w:right w:val="single" w:color="auto" w:sz="4" w:space="0"/>
              <w:tl2br w:val="nil"/>
              <w:tr2bl w:val="nil"/>
            </w:tcBorders>
            <w:noWrap/>
            <w:tcMar>
              <w:top w:w="15" w:type="dxa"/>
              <w:left w:w="15" w:type="dxa"/>
              <w:right w:w="15" w:type="dxa"/>
            </w:tcMar>
            <w:vAlign w:val="center"/>
          </w:tcPr>
          <w:p w14:paraId="3C06416A">
            <w:pPr>
              <w:pStyle w:val="64"/>
            </w:pPr>
            <w:r>
              <w:t>防控措施</w:t>
            </w:r>
          </w:p>
        </w:tc>
        <w:tc>
          <w:tcPr>
            <w:tcW w:w="5919" w:type="dxa"/>
            <w:gridSpan w:val="5"/>
            <w:tcBorders>
              <w:top w:val="single" w:color="auto" w:sz="4" w:space="0"/>
              <w:left w:val="single" w:color="auto" w:sz="4" w:space="0"/>
              <w:bottom w:val="single" w:color="auto" w:sz="4" w:space="0"/>
              <w:right w:val="single" w:color="auto" w:sz="4" w:space="0"/>
              <w:tl2br w:val="nil"/>
              <w:tr2bl w:val="nil"/>
            </w:tcBorders>
            <w:noWrap/>
            <w:tcMar>
              <w:top w:w="15" w:type="dxa"/>
              <w:left w:w="15" w:type="dxa"/>
              <w:right w:w="15" w:type="dxa"/>
            </w:tcMar>
            <w:vAlign w:val="center"/>
          </w:tcPr>
          <w:p w14:paraId="570848A3">
            <w:pPr>
              <w:pStyle w:val="64"/>
            </w:pPr>
            <w:r>
              <w:t>土壤环境质量现状保障□； 源头控制</w:t>
            </w:r>
            <w:r>
              <w:rPr/>
              <w:sym w:font="Wingdings 2" w:char="0052"/>
            </w:r>
            <w:r>
              <w:t>； 过程防控</w:t>
            </w:r>
            <w:r>
              <w:rPr/>
              <w:sym w:font="Wingdings 2" w:char="0052"/>
            </w:r>
            <w:r>
              <w:t>； 其他( )</w:t>
            </w:r>
          </w:p>
        </w:tc>
        <w:tc>
          <w:tcPr>
            <w:tcW w:w="1059" w:type="dxa"/>
            <w:tcBorders>
              <w:top w:val="single" w:color="auto" w:sz="4" w:space="0"/>
              <w:left w:val="single" w:color="auto" w:sz="4" w:space="0"/>
              <w:bottom w:val="single" w:color="auto" w:sz="4" w:space="0"/>
              <w:right w:val="single" w:color="auto" w:sz="4" w:space="0"/>
              <w:tl2br w:val="nil"/>
              <w:tr2bl w:val="nil"/>
            </w:tcBorders>
            <w:noWrap/>
            <w:tcMar>
              <w:top w:w="15" w:type="dxa"/>
              <w:left w:w="15" w:type="dxa"/>
              <w:right w:w="15" w:type="dxa"/>
            </w:tcMar>
            <w:vAlign w:val="center"/>
          </w:tcPr>
          <w:p w14:paraId="73D779D7">
            <w:pPr>
              <w:pStyle w:val="64"/>
            </w:pPr>
          </w:p>
        </w:tc>
      </w:tr>
      <w:tr w14:paraId="68AA24E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c>
          <w:tcPr>
            <w:tcW w:w="432" w:type="dxa"/>
            <w:vMerge w:val="continue"/>
            <w:tcBorders>
              <w:top w:val="single" w:color="auto" w:sz="4" w:space="0"/>
              <w:left w:val="single" w:color="auto" w:sz="4" w:space="0"/>
              <w:bottom w:val="single" w:color="auto" w:sz="4" w:space="0"/>
              <w:right w:val="single" w:color="auto" w:sz="4" w:space="0"/>
              <w:tl2br w:val="nil"/>
              <w:tr2bl w:val="nil"/>
            </w:tcBorders>
            <w:noWrap/>
            <w:tcMar>
              <w:top w:w="15" w:type="dxa"/>
              <w:left w:w="15" w:type="dxa"/>
              <w:right w:w="15" w:type="dxa"/>
            </w:tcMar>
            <w:vAlign w:val="center"/>
          </w:tcPr>
          <w:p w14:paraId="0005A547">
            <w:pPr>
              <w:pStyle w:val="64"/>
            </w:pPr>
          </w:p>
        </w:tc>
        <w:tc>
          <w:tcPr>
            <w:tcW w:w="1661" w:type="dxa"/>
            <w:vMerge w:val="restart"/>
            <w:tcBorders>
              <w:top w:val="single" w:color="auto" w:sz="4" w:space="0"/>
              <w:left w:val="single" w:color="auto" w:sz="4" w:space="0"/>
              <w:bottom w:val="single" w:color="auto" w:sz="4" w:space="0"/>
              <w:right w:val="single" w:color="auto" w:sz="4" w:space="0"/>
              <w:tl2br w:val="nil"/>
              <w:tr2bl w:val="nil"/>
            </w:tcBorders>
            <w:noWrap/>
            <w:tcMar>
              <w:top w:w="15" w:type="dxa"/>
              <w:left w:w="15" w:type="dxa"/>
              <w:right w:w="15" w:type="dxa"/>
            </w:tcMar>
            <w:vAlign w:val="center"/>
          </w:tcPr>
          <w:p w14:paraId="73A233CF">
            <w:pPr>
              <w:pStyle w:val="64"/>
            </w:pPr>
            <w:r>
              <w:t>跟踪监测</w:t>
            </w:r>
          </w:p>
        </w:tc>
        <w:tc>
          <w:tcPr>
            <w:tcW w:w="1304" w:type="dxa"/>
            <w:gridSpan w:val="2"/>
            <w:tcBorders>
              <w:top w:val="single" w:color="auto" w:sz="4" w:space="0"/>
              <w:left w:val="single" w:color="auto" w:sz="4" w:space="0"/>
              <w:bottom w:val="single" w:color="auto" w:sz="4" w:space="0"/>
              <w:right w:val="single" w:color="auto" w:sz="4" w:space="0"/>
              <w:tl2br w:val="nil"/>
              <w:tr2bl w:val="nil"/>
            </w:tcBorders>
            <w:noWrap/>
            <w:tcMar>
              <w:top w:w="15" w:type="dxa"/>
              <w:left w:w="15" w:type="dxa"/>
              <w:right w:w="15" w:type="dxa"/>
            </w:tcMar>
            <w:vAlign w:val="center"/>
          </w:tcPr>
          <w:p w14:paraId="30AA940C">
            <w:pPr>
              <w:pStyle w:val="64"/>
            </w:pPr>
            <w:r>
              <w:t>监测点数</w:t>
            </w:r>
          </w:p>
        </w:tc>
        <w:tc>
          <w:tcPr>
            <w:tcW w:w="2491" w:type="dxa"/>
            <w:gridSpan w:val="2"/>
            <w:tcBorders>
              <w:top w:val="single" w:color="auto" w:sz="4" w:space="0"/>
              <w:left w:val="single" w:color="auto" w:sz="4" w:space="0"/>
              <w:bottom w:val="single" w:color="auto" w:sz="4" w:space="0"/>
              <w:right w:val="single" w:color="auto" w:sz="4" w:space="0"/>
              <w:tl2br w:val="nil"/>
              <w:tr2bl w:val="nil"/>
            </w:tcBorders>
            <w:noWrap/>
            <w:tcMar>
              <w:top w:w="15" w:type="dxa"/>
              <w:left w:w="15" w:type="dxa"/>
              <w:right w:w="15" w:type="dxa"/>
            </w:tcMar>
            <w:vAlign w:val="center"/>
          </w:tcPr>
          <w:p w14:paraId="1AFE5DC3">
            <w:pPr>
              <w:pStyle w:val="64"/>
            </w:pPr>
            <w:r>
              <w:t>监测指标</w:t>
            </w:r>
          </w:p>
        </w:tc>
        <w:tc>
          <w:tcPr>
            <w:tcW w:w="2124" w:type="dxa"/>
            <w:tcBorders>
              <w:top w:val="single" w:color="auto" w:sz="4" w:space="0"/>
              <w:left w:val="single" w:color="auto" w:sz="4" w:space="0"/>
              <w:bottom w:val="single" w:color="auto" w:sz="4" w:space="0"/>
              <w:right w:val="single" w:color="auto" w:sz="4" w:space="0"/>
              <w:tl2br w:val="nil"/>
              <w:tr2bl w:val="nil"/>
            </w:tcBorders>
            <w:noWrap/>
            <w:tcMar>
              <w:top w:w="15" w:type="dxa"/>
              <w:left w:w="15" w:type="dxa"/>
              <w:right w:w="15" w:type="dxa"/>
            </w:tcMar>
            <w:vAlign w:val="center"/>
          </w:tcPr>
          <w:p w14:paraId="2B5FCDAB">
            <w:pPr>
              <w:pStyle w:val="64"/>
            </w:pPr>
            <w:r>
              <w:t>监测频次</w:t>
            </w:r>
          </w:p>
        </w:tc>
        <w:tc>
          <w:tcPr>
            <w:tcW w:w="1059" w:type="dxa"/>
            <w:vMerge w:val="restart"/>
            <w:tcBorders>
              <w:top w:val="single" w:color="auto" w:sz="4" w:space="0"/>
              <w:left w:val="single" w:color="auto" w:sz="4" w:space="0"/>
              <w:bottom w:val="single" w:color="auto" w:sz="4" w:space="0"/>
              <w:right w:val="single" w:color="auto" w:sz="4" w:space="0"/>
              <w:tl2br w:val="nil"/>
              <w:tr2bl w:val="nil"/>
            </w:tcBorders>
            <w:noWrap/>
            <w:tcMar>
              <w:top w:w="15" w:type="dxa"/>
              <w:left w:w="15" w:type="dxa"/>
              <w:right w:w="15" w:type="dxa"/>
            </w:tcMar>
            <w:vAlign w:val="center"/>
          </w:tcPr>
          <w:p w14:paraId="1561EC12">
            <w:pPr>
              <w:pStyle w:val="64"/>
            </w:pPr>
          </w:p>
        </w:tc>
      </w:tr>
      <w:tr w14:paraId="05C78BB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c>
          <w:tcPr>
            <w:tcW w:w="432" w:type="dxa"/>
            <w:vMerge w:val="continue"/>
            <w:tcBorders>
              <w:top w:val="single" w:color="auto" w:sz="4" w:space="0"/>
              <w:left w:val="single" w:color="auto" w:sz="4" w:space="0"/>
              <w:bottom w:val="single" w:color="auto" w:sz="4" w:space="0"/>
              <w:right w:val="single" w:color="auto" w:sz="4" w:space="0"/>
              <w:tl2br w:val="nil"/>
              <w:tr2bl w:val="nil"/>
            </w:tcBorders>
            <w:noWrap/>
            <w:tcMar>
              <w:top w:w="15" w:type="dxa"/>
              <w:left w:w="15" w:type="dxa"/>
              <w:right w:w="15" w:type="dxa"/>
            </w:tcMar>
            <w:vAlign w:val="center"/>
          </w:tcPr>
          <w:p w14:paraId="6257E014">
            <w:pPr>
              <w:pStyle w:val="64"/>
            </w:pPr>
          </w:p>
        </w:tc>
        <w:tc>
          <w:tcPr>
            <w:tcW w:w="1661" w:type="dxa"/>
            <w:vMerge w:val="continue"/>
            <w:tcBorders>
              <w:top w:val="single" w:color="auto" w:sz="4" w:space="0"/>
              <w:left w:val="single" w:color="auto" w:sz="4" w:space="0"/>
              <w:bottom w:val="single" w:color="auto" w:sz="4" w:space="0"/>
              <w:right w:val="single" w:color="auto" w:sz="4" w:space="0"/>
              <w:tl2br w:val="nil"/>
              <w:tr2bl w:val="nil"/>
            </w:tcBorders>
            <w:noWrap/>
            <w:tcMar>
              <w:top w:w="15" w:type="dxa"/>
              <w:left w:w="15" w:type="dxa"/>
              <w:right w:w="15" w:type="dxa"/>
            </w:tcMar>
            <w:vAlign w:val="center"/>
          </w:tcPr>
          <w:p w14:paraId="603C57C0">
            <w:pPr>
              <w:pStyle w:val="64"/>
            </w:pPr>
          </w:p>
        </w:tc>
        <w:tc>
          <w:tcPr>
            <w:tcW w:w="1304" w:type="dxa"/>
            <w:gridSpan w:val="2"/>
            <w:tcBorders>
              <w:top w:val="single" w:color="auto" w:sz="4" w:space="0"/>
              <w:left w:val="single" w:color="auto" w:sz="4" w:space="0"/>
              <w:bottom w:val="single" w:color="auto" w:sz="4" w:space="0"/>
              <w:right w:val="single" w:color="auto" w:sz="4" w:space="0"/>
              <w:tl2br w:val="nil"/>
              <w:tr2bl w:val="nil"/>
            </w:tcBorders>
            <w:noWrap/>
            <w:tcMar>
              <w:top w:w="15" w:type="dxa"/>
              <w:left w:w="15" w:type="dxa"/>
              <w:right w:w="15" w:type="dxa"/>
            </w:tcMar>
            <w:vAlign w:val="center"/>
          </w:tcPr>
          <w:p w14:paraId="05FF3D97">
            <w:pPr>
              <w:pStyle w:val="64"/>
            </w:pPr>
            <w:r>
              <w:rPr>
                <w:rFonts w:hint="eastAsia"/>
              </w:rPr>
              <w:t>1</w:t>
            </w:r>
          </w:p>
        </w:tc>
        <w:tc>
          <w:tcPr>
            <w:tcW w:w="2491" w:type="dxa"/>
            <w:gridSpan w:val="2"/>
            <w:tcBorders>
              <w:top w:val="single" w:color="auto" w:sz="4" w:space="0"/>
              <w:left w:val="single" w:color="auto" w:sz="4" w:space="0"/>
              <w:bottom w:val="single" w:color="auto" w:sz="4" w:space="0"/>
              <w:right w:val="single" w:color="auto" w:sz="4" w:space="0"/>
              <w:tl2br w:val="nil"/>
              <w:tr2bl w:val="nil"/>
            </w:tcBorders>
            <w:noWrap/>
            <w:tcMar>
              <w:top w:w="15" w:type="dxa"/>
              <w:left w:w="15" w:type="dxa"/>
              <w:right w:w="15" w:type="dxa"/>
            </w:tcMar>
            <w:vAlign w:val="center"/>
          </w:tcPr>
          <w:p w14:paraId="2BEA7F5B">
            <w:pPr>
              <w:pStyle w:val="64"/>
            </w:pPr>
            <w:r>
              <w:t>挥发性有机物、半挥发性有机物共38项指标</w:t>
            </w:r>
          </w:p>
        </w:tc>
        <w:tc>
          <w:tcPr>
            <w:tcW w:w="2124" w:type="dxa"/>
            <w:tcBorders>
              <w:top w:val="single" w:color="auto" w:sz="4" w:space="0"/>
              <w:left w:val="single" w:color="auto" w:sz="4" w:space="0"/>
              <w:bottom w:val="single" w:color="auto" w:sz="4" w:space="0"/>
              <w:right w:val="single" w:color="auto" w:sz="4" w:space="0"/>
              <w:tl2br w:val="nil"/>
              <w:tr2bl w:val="nil"/>
            </w:tcBorders>
            <w:noWrap/>
            <w:tcMar>
              <w:top w:w="15" w:type="dxa"/>
              <w:left w:w="15" w:type="dxa"/>
              <w:right w:w="15" w:type="dxa"/>
            </w:tcMar>
            <w:vAlign w:val="center"/>
          </w:tcPr>
          <w:p w14:paraId="5E24940F">
            <w:pPr>
              <w:pStyle w:val="64"/>
            </w:pPr>
            <w:r>
              <w:t>每</w:t>
            </w:r>
            <w:r>
              <w:rPr>
                <w:rFonts w:hint="eastAsia"/>
              </w:rPr>
              <w:t>3</w:t>
            </w:r>
            <w:r>
              <w:t>年监测一次</w:t>
            </w:r>
          </w:p>
        </w:tc>
        <w:tc>
          <w:tcPr>
            <w:tcW w:w="1059" w:type="dxa"/>
            <w:vMerge w:val="continue"/>
            <w:tcBorders>
              <w:top w:val="single" w:color="auto" w:sz="4" w:space="0"/>
              <w:left w:val="single" w:color="auto" w:sz="4" w:space="0"/>
              <w:bottom w:val="single" w:color="auto" w:sz="4" w:space="0"/>
              <w:right w:val="single" w:color="auto" w:sz="4" w:space="0"/>
              <w:tl2br w:val="nil"/>
              <w:tr2bl w:val="nil"/>
            </w:tcBorders>
            <w:noWrap/>
            <w:tcMar>
              <w:top w:w="15" w:type="dxa"/>
              <w:left w:w="15" w:type="dxa"/>
              <w:right w:w="15" w:type="dxa"/>
            </w:tcMar>
            <w:vAlign w:val="center"/>
          </w:tcPr>
          <w:p w14:paraId="3C50E0A9">
            <w:pPr>
              <w:pStyle w:val="64"/>
            </w:pPr>
          </w:p>
        </w:tc>
      </w:tr>
      <w:tr w14:paraId="559C8B6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c>
          <w:tcPr>
            <w:tcW w:w="432" w:type="dxa"/>
            <w:vMerge w:val="continue"/>
            <w:tcBorders>
              <w:top w:val="single" w:color="auto" w:sz="4" w:space="0"/>
              <w:left w:val="single" w:color="auto" w:sz="4" w:space="0"/>
              <w:bottom w:val="single" w:color="auto" w:sz="4" w:space="0"/>
              <w:right w:val="single" w:color="auto" w:sz="4" w:space="0"/>
              <w:tl2br w:val="nil"/>
              <w:tr2bl w:val="nil"/>
            </w:tcBorders>
            <w:noWrap/>
            <w:tcMar>
              <w:top w:w="15" w:type="dxa"/>
              <w:left w:w="15" w:type="dxa"/>
              <w:right w:w="15" w:type="dxa"/>
            </w:tcMar>
            <w:vAlign w:val="center"/>
          </w:tcPr>
          <w:p w14:paraId="53488B0E">
            <w:pPr>
              <w:pStyle w:val="64"/>
            </w:pPr>
          </w:p>
        </w:tc>
        <w:tc>
          <w:tcPr>
            <w:tcW w:w="1661" w:type="dxa"/>
            <w:tcBorders>
              <w:top w:val="single" w:color="auto" w:sz="4" w:space="0"/>
              <w:left w:val="single" w:color="auto" w:sz="4" w:space="0"/>
              <w:bottom w:val="single" w:color="auto" w:sz="4" w:space="0"/>
              <w:right w:val="single" w:color="auto" w:sz="4" w:space="0"/>
              <w:tl2br w:val="nil"/>
              <w:tr2bl w:val="nil"/>
            </w:tcBorders>
            <w:noWrap/>
            <w:tcMar>
              <w:top w:w="15" w:type="dxa"/>
              <w:left w:w="15" w:type="dxa"/>
              <w:right w:w="15" w:type="dxa"/>
            </w:tcMar>
            <w:vAlign w:val="center"/>
          </w:tcPr>
          <w:p w14:paraId="210B772C">
            <w:pPr>
              <w:pStyle w:val="64"/>
            </w:pPr>
            <w:r>
              <w:t>信息公开指标</w:t>
            </w:r>
          </w:p>
        </w:tc>
        <w:tc>
          <w:tcPr>
            <w:tcW w:w="5919" w:type="dxa"/>
            <w:gridSpan w:val="5"/>
            <w:tcBorders>
              <w:top w:val="single" w:color="auto" w:sz="4" w:space="0"/>
              <w:left w:val="single" w:color="auto" w:sz="4" w:space="0"/>
              <w:bottom w:val="single" w:color="auto" w:sz="4" w:space="0"/>
              <w:right w:val="single" w:color="auto" w:sz="4" w:space="0"/>
              <w:tl2br w:val="nil"/>
              <w:tr2bl w:val="nil"/>
            </w:tcBorders>
            <w:noWrap/>
            <w:tcMar>
              <w:top w:w="15" w:type="dxa"/>
              <w:left w:w="15" w:type="dxa"/>
              <w:right w:w="15" w:type="dxa"/>
            </w:tcMar>
            <w:vAlign w:val="center"/>
          </w:tcPr>
          <w:p w14:paraId="4FE799B7">
            <w:pPr>
              <w:pStyle w:val="64"/>
            </w:pPr>
            <w:r>
              <w:t>挥发性有机物、半挥发性有机物共38项指标</w:t>
            </w:r>
          </w:p>
        </w:tc>
        <w:tc>
          <w:tcPr>
            <w:tcW w:w="1059" w:type="dxa"/>
            <w:vMerge w:val="continue"/>
            <w:tcBorders>
              <w:top w:val="single" w:color="auto" w:sz="4" w:space="0"/>
              <w:left w:val="single" w:color="auto" w:sz="4" w:space="0"/>
              <w:bottom w:val="single" w:color="auto" w:sz="4" w:space="0"/>
              <w:right w:val="single" w:color="auto" w:sz="4" w:space="0"/>
              <w:tl2br w:val="nil"/>
              <w:tr2bl w:val="nil"/>
            </w:tcBorders>
            <w:noWrap/>
            <w:tcMar>
              <w:top w:w="15" w:type="dxa"/>
              <w:left w:w="15" w:type="dxa"/>
              <w:right w:w="15" w:type="dxa"/>
            </w:tcMar>
            <w:vAlign w:val="center"/>
          </w:tcPr>
          <w:p w14:paraId="0300ED4E">
            <w:pPr>
              <w:pStyle w:val="64"/>
            </w:pPr>
          </w:p>
        </w:tc>
      </w:tr>
      <w:tr w14:paraId="4845CDC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c>
          <w:tcPr>
            <w:tcW w:w="2093" w:type="dxa"/>
            <w:gridSpan w:val="2"/>
            <w:tcBorders>
              <w:top w:val="single" w:color="auto" w:sz="4" w:space="0"/>
              <w:left w:val="single" w:color="auto" w:sz="4" w:space="0"/>
              <w:bottom w:val="single" w:color="auto" w:sz="4" w:space="0"/>
              <w:right w:val="single" w:color="auto" w:sz="4" w:space="0"/>
              <w:tl2br w:val="nil"/>
              <w:tr2bl w:val="nil"/>
            </w:tcBorders>
            <w:noWrap/>
            <w:tcMar>
              <w:top w:w="15" w:type="dxa"/>
              <w:left w:w="15" w:type="dxa"/>
              <w:right w:w="15" w:type="dxa"/>
            </w:tcMar>
            <w:vAlign w:val="center"/>
          </w:tcPr>
          <w:p w14:paraId="719D9004">
            <w:pPr>
              <w:pStyle w:val="64"/>
            </w:pPr>
            <w:r>
              <w:t>评价结论</w:t>
            </w:r>
          </w:p>
        </w:tc>
        <w:tc>
          <w:tcPr>
            <w:tcW w:w="5919" w:type="dxa"/>
            <w:gridSpan w:val="5"/>
            <w:tcBorders>
              <w:top w:val="single" w:color="auto" w:sz="4" w:space="0"/>
              <w:left w:val="single" w:color="auto" w:sz="4" w:space="0"/>
              <w:bottom w:val="single" w:color="auto" w:sz="4" w:space="0"/>
              <w:right w:val="single" w:color="auto" w:sz="4" w:space="0"/>
              <w:tl2br w:val="nil"/>
              <w:tr2bl w:val="nil"/>
            </w:tcBorders>
            <w:noWrap/>
            <w:tcMar>
              <w:top w:w="15" w:type="dxa"/>
              <w:left w:w="15" w:type="dxa"/>
              <w:right w:w="15" w:type="dxa"/>
            </w:tcMar>
            <w:vAlign w:val="center"/>
          </w:tcPr>
          <w:p w14:paraId="44AADBDE">
            <w:pPr>
              <w:pStyle w:val="64"/>
            </w:pPr>
            <w:r>
              <w:t>建设项目对土壤环境影响可以接受</w:t>
            </w:r>
          </w:p>
        </w:tc>
        <w:tc>
          <w:tcPr>
            <w:tcW w:w="1059" w:type="dxa"/>
            <w:tcBorders>
              <w:top w:val="single" w:color="auto" w:sz="4" w:space="0"/>
              <w:left w:val="single" w:color="auto" w:sz="4" w:space="0"/>
              <w:bottom w:val="single" w:color="auto" w:sz="4" w:space="0"/>
              <w:right w:val="single" w:color="auto" w:sz="4" w:space="0"/>
              <w:tl2br w:val="nil"/>
              <w:tr2bl w:val="nil"/>
            </w:tcBorders>
            <w:noWrap/>
            <w:tcMar>
              <w:top w:w="15" w:type="dxa"/>
              <w:left w:w="15" w:type="dxa"/>
              <w:right w:w="15" w:type="dxa"/>
            </w:tcMar>
            <w:vAlign w:val="center"/>
          </w:tcPr>
          <w:p w14:paraId="69C1BB92">
            <w:pPr>
              <w:pStyle w:val="64"/>
            </w:pPr>
          </w:p>
        </w:tc>
      </w:tr>
      <w:tr w14:paraId="7C912D2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c>
          <w:tcPr>
            <w:tcW w:w="9071" w:type="dxa"/>
            <w:gridSpan w:val="8"/>
            <w:tcBorders>
              <w:top w:val="single" w:color="auto" w:sz="4" w:space="0"/>
              <w:left w:val="single" w:color="auto" w:sz="4" w:space="0"/>
              <w:bottom w:val="single" w:color="auto" w:sz="4" w:space="0"/>
              <w:right w:val="single" w:color="auto" w:sz="4" w:space="0"/>
              <w:tl2br w:val="nil"/>
              <w:tr2bl w:val="nil"/>
            </w:tcBorders>
            <w:noWrap/>
            <w:tcMar>
              <w:top w:w="15" w:type="dxa"/>
              <w:left w:w="15" w:type="dxa"/>
              <w:right w:w="15" w:type="dxa"/>
            </w:tcMar>
            <w:vAlign w:val="center"/>
          </w:tcPr>
          <w:p w14:paraId="38F3D077">
            <w:pPr>
              <w:pStyle w:val="64"/>
            </w:pPr>
            <w:r>
              <w:t>注 1： “□” 为勾选项， 可√； “() ” 为内容填写项； “备注” 为其他补充内容。</w:t>
            </w:r>
            <w:r>
              <w:br w:type="textWrapping"/>
            </w:r>
            <w:r>
              <w:t>注 2： 需要分别开展土壤环境影响评级工作的， 分别填写自查表。</w:t>
            </w:r>
          </w:p>
        </w:tc>
      </w:tr>
    </w:tbl>
    <w:p w14:paraId="687E661E">
      <w:pPr>
        <w:rPr>
          <w:rFonts w:cs="Times New Roman"/>
          <w:spacing w:val="-3"/>
        </w:rPr>
      </w:pPr>
    </w:p>
    <w:p w14:paraId="54208036">
      <w:pPr>
        <w:pStyle w:val="3"/>
        <w:spacing w:before="326"/>
        <w:rPr>
          <w:rFonts w:hint="eastAsia"/>
        </w:rPr>
      </w:pPr>
      <w:bookmarkStart w:id="116" w:name="_Toc221056434"/>
      <w:r>
        <w:rPr>
          <w:rFonts w:hint="eastAsia"/>
        </w:rPr>
        <w:t>6.8环境风险分析与评价</w:t>
      </w:r>
      <w:bookmarkEnd w:id="116"/>
    </w:p>
    <w:p w14:paraId="7DE3865C">
      <w:pPr>
        <w:ind w:firstLine="480" w:firstLineChars="200"/>
      </w:pPr>
      <w:r>
        <w:t>环境风险评价是指对人类的各种开发行为所引发的或面临的危害(包括自然危害)对人体健康、社会经济发展、生态系统等所造成的风险可能带来的损失进行评估，并据此进行管理和决策的过程。</w:t>
      </w:r>
    </w:p>
    <w:p w14:paraId="1CA66319">
      <w:pPr>
        <w:pStyle w:val="4"/>
        <w:rPr>
          <w:rFonts w:hint="eastAsia"/>
        </w:rPr>
      </w:pPr>
      <w:bookmarkStart w:id="117" w:name="_Toc195625014"/>
      <w:bookmarkStart w:id="118" w:name="_Toc210925779"/>
      <w:bookmarkStart w:id="119" w:name="_Toc221056435"/>
      <w:r>
        <w:rPr>
          <w:rFonts w:hint="eastAsia"/>
        </w:rPr>
        <w:t>6</w:t>
      </w:r>
      <w:r>
        <w:t>.</w:t>
      </w:r>
      <w:r>
        <w:rPr>
          <w:rFonts w:hint="eastAsia"/>
        </w:rPr>
        <w:t>8</w:t>
      </w:r>
      <w:r>
        <w:t>.1评价原则与程序</w:t>
      </w:r>
      <w:bookmarkEnd w:id="117"/>
      <w:bookmarkEnd w:id="118"/>
      <w:bookmarkEnd w:id="119"/>
    </w:p>
    <w:p w14:paraId="36346A4F">
      <w:pPr>
        <w:ind w:firstLine="480" w:firstLineChars="200"/>
      </w:pPr>
      <w:r>
        <w:t>按照《建设项目环境风险评价技术导则》(HJ169-2018)的要求，环境风险评价应以突发性事故导致的危险物质环境急性损害防控为目标，对建设项目的环境风险进行分析、预测和评估，提出环境风险预防、控制、减缓措施，明确环境风险监控及应急要求，为建设项目环境风险防控提供科学依据。本次评价工作程序见图</w:t>
      </w:r>
      <w:r>
        <w:rPr>
          <w:rFonts w:hint="eastAsia"/>
        </w:rPr>
        <w:t>6</w:t>
      </w:r>
      <w:r>
        <w:t>.</w:t>
      </w:r>
      <w:r>
        <w:rPr>
          <w:rFonts w:hint="eastAsia"/>
        </w:rPr>
        <w:t>8</w:t>
      </w:r>
      <w:r>
        <w:t>-1。</w:t>
      </w:r>
    </w:p>
    <w:tbl>
      <w:tblPr>
        <w:tblStyle w:val="36"/>
        <w:tblW w:w="0" w:type="auto"/>
        <w:jc w:val="center"/>
        <w:tblCellSpacing w:w="0" w:type="dxa"/>
        <w:tblLayout w:type="autofit"/>
        <w:tblCellMar>
          <w:top w:w="0" w:type="dxa"/>
          <w:left w:w="0" w:type="dxa"/>
          <w:bottom w:w="0" w:type="dxa"/>
          <w:right w:w="0" w:type="dxa"/>
        </w:tblCellMar>
      </w:tblPr>
      <w:tblGrid>
        <w:gridCol w:w="6"/>
        <w:gridCol w:w="6960"/>
      </w:tblGrid>
      <w:tr w14:paraId="2D83256C">
        <w:tblPrEx>
          <w:tblCellMar>
            <w:top w:w="0" w:type="dxa"/>
            <w:left w:w="0" w:type="dxa"/>
            <w:bottom w:w="0" w:type="dxa"/>
            <w:right w:w="0" w:type="dxa"/>
          </w:tblCellMar>
        </w:tblPrEx>
        <w:trPr>
          <w:tblCellSpacing w:w="0" w:type="dxa"/>
          <w:jc w:val="center"/>
        </w:trPr>
        <w:tc>
          <w:tcPr>
            <w:tcW w:w="0" w:type="auto"/>
            <w:vAlign w:val="center"/>
          </w:tcPr>
          <w:p w14:paraId="13DF2355"/>
        </w:tc>
        <w:tc>
          <w:tcPr>
            <w:tcW w:w="0" w:type="auto"/>
            <w:vAlign w:val="center"/>
          </w:tcPr>
          <w:p w14:paraId="725B240E">
            <w:pPr>
              <w:spacing w:line="240" w:lineRule="auto"/>
            </w:pPr>
            <w:r>
              <w:rPr>
                <w:rFonts w:hint="eastAsia"/>
              </w:rPr>
              <w:drawing>
                <wp:inline distT="0" distB="0" distL="0" distR="0">
                  <wp:extent cx="4419600" cy="5122545"/>
                  <wp:effectExtent l="0" t="0" r="0" b="1905"/>
                  <wp:docPr id="140379470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794709" name="图片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a:xfrm>
                            <a:off x="0" y="0"/>
                            <a:ext cx="4425060" cy="5129244"/>
                          </a:xfrm>
                          <a:prstGeom prst="rect">
                            <a:avLst/>
                          </a:prstGeom>
                          <a:noFill/>
                          <a:ln>
                            <a:noFill/>
                          </a:ln>
                        </pic:spPr>
                      </pic:pic>
                    </a:graphicData>
                  </a:graphic>
                </wp:inline>
              </w:drawing>
            </w:r>
          </w:p>
        </w:tc>
      </w:tr>
    </w:tbl>
    <w:p w14:paraId="1B3F6F49">
      <w:pPr>
        <w:jc w:val="center"/>
        <w:rPr>
          <w:rFonts w:hint="eastAsia" w:ascii="黑体" w:hAnsi="黑体" w:eastAsia="黑体" w:cs="Times New Roman"/>
        </w:rPr>
      </w:pPr>
      <w:r>
        <w:rPr>
          <w:rFonts w:ascii="黑体" w:hAnsi="黑体" w:eastAsia="黑体" w:cs="Times New Roman"/>
        </w:rPr>
        <w:t>图</w:t>
      </w:r>
      <w:r>
        <w:rPr>
          <w:rFonts w:hint="eastAsia" w:ascii="黑体" w:hAnsi="黑体" w:eastAsia="黑体" w:cs="Times New Roman"/>
        </w:rPr>
        <w:t>6</w:t>
      </w:r>
      <w:r>
        <w:rPr>
          <w:rFonts w:ascii="黑体" w:hAnsi="黑体" w:eastAsia="黑体" w:cs="Times New Roman"/>
        </w:rPr>
        <w:t>.</w:t>
      </w:r>
      <w:r>
        <w:rPr>
          <w:rFonts w:hint="eastAsia" w:ascii="黑体" w:hAnsi="黑体" w:eastAsia="黑体" w:cs="Times New Roman"/>
        </w:rPr>
        <w:t>8</w:t>
      </w:r>
      <w:r>
        <w:rPr>
          <w:rFonts w:ascii="黑体" w:hAnsi="黑体" w:eastAsia="黑体" w:cs="Times New Roman"/>
        </w:rPr>
        <w:t>-1 评价工作程序</w:t>
      </w:r>
    </w:p>
    <w:p w14:paraId="6B9D0F32">
      <w:pPr>
        <w:pStyle w:val="4"/>
        <w:rPr>
          <w:rFonts w:hint="eastAsia"/>
        </w:rPr>
      </w:pPr>
      <w:bookmarkStart w:id="120" w:name="_Toc221056436"/>
      <w:r>
        <w:rPr>
          <w:rFonts w:hint="eastAsia"/>
        </w:rPr>
        <w:t>6.8.2企业现有风险防控措施体系</w:t>
      </w:r>
      <w:bookmarkEnd w:id="120"/>
    </w:p>
    <w:p w14:paraId="035CDC8A">
      <w:pPr>
        <w:ind w:firstLine="480" w:firstLineChars="200"/>
      </w:pPr>
      <w:r>
        <w:rPr>
          <w:rFonts w:hint="eastAsia"/>
        </w:rPr>
        <w:t>2024年12月，安徽海华科技集团有限公司编制了《安徽海华科技集团有限公司二分厂突发环境事件应急预案(修订)》，蚌埠市淮上区生态环境分局对企业应急预案予以备案，备案编号：340311-2022-018-H，版本号：A/03，编制部门安全环保处。预案分成四个部分，第一部分为环境综合应急预案，第二部分为现场处置预案，第三部分为资源调查报告，第四部分为环境风险评估报告。</w:t>
      </w:r>
    </w:p>
    <w:p w14:paraId="1C8558DA">
      <w:pPr>
        <w:ind w:firstLine="480" w:firstLineChars="200"/>
      </w:pPr>
      <w:r>
        <w:rPr>
          <w:rFonts w:hint="eastAsia"/>
        </w:rPr>
        <w:t>1、厂区现有风险源及防范措施</w:t>
      </w:r>
    </w:p>
    <w:p w14:paraId="42AE57F2">
      <w:pPr>
        <w:ind w:firstLine="480" w:firstLineChars="200"/>
      </w:pPr>
      <w:r>
        <w:rPr>
          <w:rFonts w:hint="eastAsia"/>
        </w:rPr>
        <w:t>根据安徽海华科技集团有限公司编制了《安徽海华科技集团有限公司二分厂突发环境事件应急预案(修订)》，结合现场踏勘，海华科技内现有主要风险源及风险防范措施见表6.8-1。</w:t>
      </w:r>
    </w:p>
    <w:p w14:paraId="3570B3F5">
      <w:pPr>
        <w:ind w:firstLine="480" w:firstLineChars="200"/>
      </w:pPr>
    </w:p>
    <w:p w14:paraId="3FB49E10">
      <w:pPr>
        <w:sectPr>
          <w:pgSz w:w="11906" w:h="16838"/>
          <w:pgMar w:top="1418" w:right="1418" w:bottom="1418" w:left="1418" w:header="851" w:footer="992" w:gutter="0"/>
          <w:cols w:space="425" w:num="1"/>
          <w:docGrid w:type="lines" w:linePitch="326" w:charSpace="0"/>
        </w:sectPr>
      </w:pPr>
    </w:p>
    <w:p w14:paraId="0F20A069">
      <w:pPr>
        <w:pStyle w:val="28"/>
        <w:rPr>
          <w:rFonts w:hint="eastAsia"/>
        </w:rPr>
      </w:pPr>
      <w:r>
        <w:rPr>
          <w:rFonts w:hint="eastAsia"/>
        </w:rPr>
        <w:t>表6.8-1  现有主要环境风险防范措施一览表</w:t>
      </w:r>
    </w:p>
    <w:tbl>
      <w:tblPr>
        <w:tblStyle w:val="19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7" w:type="dxa"/>
          <w:bottom w:w="0" w:type="dxa"/>
          <w:right w:w="57" w:type="dxa"/>
        </w:tblCellMar>
      </w:tblPr>
      <w:tblGrid>
        <w:gridCol w:w="870"/>
        <w:gridCol w:w="1174"/>
        <w:gridCol w:w="1872"/>
        <w:gridCol w:w="1228"/>
        <w:gridCol w:w="1146"/>
        <w:gridCol w:w="1429"/>
        <w:gridCol w:w="1143"/>
        <w:gridCol w:w="5254"/>
      </w:tblGrid>
      <w:tr w14:paraId="2BFDAB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08" w:type="pct"/>
            <w:vMerge w:val="restart"/>
            <w:vAlign w:val="center"/>
          </w:tcPr>
          <w:p w14:paraId="71B69264">
            <w:pPr>
              <w:pStyle w:val="64"/>
              <w:adjustRightInd w:val="0"/>
              <w:snapToGrid w:val="0"/>
              <w:rPr>
                <w:szCs w:val="22"/>
                <w:lang w:val="zh-CN" w:bidi="zh-CN"/>
                <w14:ligatures w14:val="none"/>
              </w:rPr>
            </w:pPr>
            <w:r>
              <w:rPr>
                <w:szCs w:val="22"/>
                <w:lang w:val="zh-CN" w:bidi="zh-CN"/>
                <w14:ligatures w14:val="none"/>
              </w:rPr>
              <w:t>事件情景</w:t>
            </w:r>
          </w:p>
        </w:tc>
        <w:tc>
          <w:tcPr>
            <w:tcW w:w="416" w:type="pct"/>
            <w:vMerge w:val="restart"/>
            <w:vAlign w:val="center"/>
          </w:tcPr>
          <w:p w14:paraId="041AF3A7">
            <w:pPr>
              <w:pStyle w:val="64"/>
              <w:adjustRightInd w:val="0"/>
              <w:snapToGrid w:val="0"/>
              <w:rPr>
                <w:szCs w:val="22"/>
                <w:lang w:val="zh-CN" w:bidi="zh-CN"/>
                <w14:ligatures w14:val="none"/>
              </w:rPr>
            </w:pPr>
            <w:r>
              <w:rPr>
                <w:szCs w:val="22"/>
                <w:lang w:val="zh-CN" w:bidi="zh-CN"/>
                <w14:ligatures w14:val="none"/>
              </w:rPr>
              <w:t>风险物质</w:t>
            </w:r>
          </w:p>
        </w:tc>
        <w:tc>
          <w:tcPr>
            <w:tcW w:w="663" w:type="pct"/>
            <w:vMerge w:val="restart"/>
            <w:vAlign w:val="center"/>
          </w:tcPr>
          <w:p w14:paraId="190201BF">
            <w:pPr>
              <w:pStyle w:val="64"/>
              <w:adjustRightInd w:val="0"/>
              <w:snapToGrid w:val="0"/>
              <w:rPr>
                <w:szCs w:val="22"/>
                <w:lang w:val="zh-CN" w:bidi="zh-CN"/>
                <w14:ligatures w14:val="none"/>
              </w:rPr>
            </w:pPr>
            <w:r>
              <w:rPr>
                <w:szCs w:val="22"/>
                <w:lang w:val="zh-CN" w:bidi="zh-CN"/>
                <w14:ligatures w14:val="none"/>
              </w:rPr>
              <w:t>发生地点</w:t>
            </w:r>
          </w:p>
        </w:tc>
        <w:tc>
          <w:tcPr>
            <w:tcW w:w="1752" w:type="pct"/>
            <w:gridSpan w:val="4"/>
            <w:vAlign w:val="center"/>
          </w:tcPr>
          <w:p w14:paraId="7D09B913">
            <w:pPr>
              <w:pStyle w:val="64"/>
              <w:adjustRightInd w:val="0"/>
              <w:snapToGrid w:val="0"/>
              <w:rPr>
                <w:szCs w:val="22"/>
                <w:lang w:val="zh-CN" w:bidi="zh-CN"/>
                <w14:ligatures w14:val="none"/>
              </w:rPr>
            </w:pPr>
            <w:r>
              <w:rPr>
                <w:szCs w:val="22"/>
                <w:lang w:val="zh-CN" w:bidi="zh-CN"/>
                <w14:ligatures w14:val="none"/>
              </w:rPr>
              <w:t>事件分级</w:t>
            </w:r>
          </w:p>
        </w:tc>
        <w:tc>
          <w:tcPr>
            <w:tcW w:w="1862" w:type="pct"/>
            <w:vMerge w:val="restart"/>
            <w:vAlign w:val="center"/>
          </w:tcPr>
          <w:p w14:paraId="790E130C">
            <w:pPr>
              <w:pStyle w:val="64"/>
              <w:adjustRightInd w:val="0"/>
              <w:snapToGrid w:val="0"/>
              <w:rPr>
                <w:szCs w:val="22"/>
                <w:lang w:val="zh-CN" w:bidi="zh-CN"/>
                <w14:ligatures w14:val="none"/>
              </w:rPr>
            </w:pPr>
            <w:r>
              <w:rPr>
                <w:szCs w:val="22"/>
                <w:lang w:val="zh-CN" w:bidi="zh-CN"/>
                <w14:ligatures w14:val="none"/>
              </w:rPr>
              <w:t>防控措施</w:t>
            </w:r>
          </w:p>
        </w:tc>
      </w:tr>
      <w:tr w14:paraId="3AA2AC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08" w:type="pct"/>
            <w:vMerge w:val="continue"/>
            <w:vAlign w:val="center"/>
          </w:tcPr>
          <w:p w14:paraId="3D96BBCE">
            <w:pPr>
              <w:pStyle w:val="64"/>
              <w:adjustRightInd w:val="0"/>
              <w:snapToGrid w:val="0"/>
              <w:rPr>
                <w:sz w:val="2"/>
                <w:szCs w:val="2"/>
                <w:lang w:val="zh-CN" w:bidi="zh-CN"/>
                <w14:ligatures w14:val="none"/>
              </w:rPr>
            </w:pPr>
          </w:p>
        </w:tc>
        <w:tc>
          <w:tcPr>
            <w:tcW w:w="416" w:type="pct"/>
            <w:vMerge w:val="continue"/>
            <w:vAlign w:val="center"/>
          </w:tcPr>
          <w:p w14:paraId="5AAF9145">
            <w:pPr>
              <w:pStyle w:val="64"/>
              <w:adjustRightInd w:val="0"/>
              <w:snapToGrid w:val="0"/>
              <w:rPr>
                <w:sz w:val="2"/>
                <w:szCs w:val="2"/>
                <w:lang w:val="zh-CN" w:bidi="zh-CN"/>
                <w14:ligatures w14:val="none"/>
              </w:rPr>
            </w:pPr>
          </w:p>
        </w:tc>
        <w:tc>
          <w:tcPr>
            <w:tcW w:w="663" w:type="pct"/>
            <w:vMerge w:val="continue"/>
            <w:vAlign w:val="center"/>
          </w:tcPr>
          <w:p w14:paraId="1C64F031">
            <w:pPr>
              <w:pStyle w:val="64"/>
              <w:adjustRightInd w:val="0"/>
              <w:snapToGrid w:val="0"/>
              <w:rPr>
                <w:sz w:val="2"/>
                <w:szCs w:val="2"/>
                <w:lang w:val="zh-CN" w:bidi="zh-CN"/>
                <w14:ligatures w14:val="none"/>
              </w:rPr>
            </w:pPr>
          </w:p>
        </w:tc>
        <w:tc>
          <w:tcPr>
            <w:tcW w:w="435" w:type="pct"/>
            <w:vAlign w:val="center"/>
          </w:tcPr>
          <w:p w14:paraId="675F3F65">
            <w:pPr>
              <w:pStyle w:val="64"/>
              <w:adjustRightInd w:val="0"/>
              <w:snapToGrid w:val="0"/>
              <w:rPr>
                <w:szCs w:val="22"/>
                <w:lang w:bidi="zh-CN"/>
                <w14:ligatures w14:val="none"/>
              </w:rPr>
            </w:pPr>
            <w:r>
              <w:rPr>
                <w:szCs w:val="22"/>
                <w:lang w:bidi="zh-CN"/>
                <w14:ligatures w14:val="none"/>
              </w:rPr>
              <w:t>IV级</w:t>
            </w:r>
          </w:p>
          <w:p w14:paraId="4C0FFD5A">
            <w:pPr>
              <w:pStyle w:val="64"/>
              <w:adjustRightInd w:val="0"/>
              <w:snapToGrid w:val="0"/>
              <w:rPr>
                <w:szCs w:val="22"/>
                <w:lang w:bidi="zh-CN"/>
                <w14:ligatures w14:val="none"/>
              </w:rPr>
            </w:pPr>
            <w:r>
              <w:rPr>
                <w:rFonts w:hint="eastAsia"/>
                <w:szCs w:val="22"/>
                <w:lang w:bidi="zh-CN"/>
                <w14:ligatures w14:val="none"/>
              </w:rPr>
              <w:t>(</w:t>
            </w:r>
            <w:r>
              <w:rPr>
                <w:szCs w:val="22"/>
                <w:lang w:bidi="zh-CN"/>
                <w14:ligatures w14:val="none"/>
              </w:rPr>
              <w:t>班组级</w:t>
            </w:r>
            <w:r>
              <w:rPr>
                <w:rFonts w:hint="eastAsia"/>
                <w:szCs w:val="22"/>
                <w:lang w:bidi="zh-CN"/>
                <w14:ligatures w14:val="none"/>
              </w:rPr>
              <w:t>)</w:t>
            </w:r>
          </w:p>
        </w:tc>
        <w:tc>
          <w:tcPr>
            <w:tcW w:w="406" w:type="pct"/>
            <w:vAlign w:val="center"/>
          </w:tcPr>
          <w:p w14:paraId="1C77429C">
            <w:pPr>
              <w:pStyle w:val="64"/>
              <w:adjustRightInd w:val="0"/>
              <w:snapToGrid w:val="0"/>
              <w:rPr>
                <w:szCs w:val="22"/>
                <w:lang w:bidi="zh-CN"/>
                <w14:ligatures w14:val="none"/>
              </w:rPr>
            </w:pPr>
            <w:r>
              <w:rPr>
                <w:szCs w:val="22"/>
                <w:lang w:bidi="zh-CN"/>
                <w14:ligatures w14:val="none"/>
              </w:rPr>
              <w:t>III级</w:t>
            </w:r>
          </w:p>
          <w:p w14:paraId="26431724">
            <w:pPr>
              <w:pStyle w:val="64"/>
              <w:adjustRightInd w:val="0"/>
              <w:snapToGrid w:val="0"/>
              <w:rPr>
                <w:szCs w:val="22"/>
                <w:lang w:bidi="zh-CN"/>
                <w14:ligatures w14:val="none"/>
              </w:rPr>
            </w:pPr>
            <w:r>
              <w:rPr>
                <w:rFonts w:hint="eastAsia"/>
                <w:szCs w:val="22"/>
                <w:lang w:bidi="zh-CN"/>
                <w14:ligatures w14:val="none"/>
              </w:rPr>
              <w:t>(</w:t>
            </w:r>
            <w:r>
              <w:rPr>
                <w:szCs w:val="22"/>
                <w:lang w:bidi="zh-CN"/>
                <w14:ligatures w14:val="none"/>
              </w:rPr>
              <w:t>车间级</w:t>
            </w:r>
            <w:r>
              <w:rPr>
                <w:rFonts w:hint="eastAsia"/>
                <w:szCs w:val="22"/>
                <w:lang w:bidi="zh-CN"/>
                <w14:ligatures w14:val="none"/>
              </w:rPr>
              <w:t>)</w:t>
            </w:r>
          </w:p>
        </w:tc>
        <w:tc>
          <w:tcPr>
            <w:tcW w:w="506" w:type="pct"/>
            <w:vAlign w:val="center"/>
          </w:tcPr>
          <w:p w14:paraId="76DB89F4">
            <w:pPr>
              <w:pStyle w:val="64"/>
              <w:adjustRightInd w:val="0"/>
              <w:snapToGrid w:val="0"/>
              <w:rPr>
                <w:szCs w:val="22"/>
                <w:lang w:bidi="zh-CN"/>
                <w14:ligatures w14:val="none"/>
              </w:rPr>
            </w:pPr>
            <w:r>
              <w:rPr>
                <w:szCs w:val="22"/>
                <w:lang w:bidi="zh-CN"/>
                <w14:ligatures w14:val="none"/>
              </w:rPr>
              <w:t>II级</w:t>
            </w:r>
          </w:p>
          <w:p w14:paraId="5F485996">
            <w:pPr>
              <w:pStyle w:val="64"/>
              <w:adjustRightInd w:val="0"/>
              <w:snapToGrid w:val="0"/>
              <w:rPr>
                <w:szCs w:val="22"/>
                <w:lang w:bidi="zh-CN"/>
                <w14:ligatures w14:val="none"/>
              </w:rPr>
            </w:pPr>
            <w:r>
              <w:rPr>
                <w:rFonts w:hint="eastAsia"/>
                <w:szCs w:val="22"/>
                <w:lang w:bidi="zh-CN"/>
                <w14:ligatures w14:val="none"/>
              </w:rPr>
              <w:t>(部门</w:t>
            </w:r>
            <w:r>
              <w:rPr>
                <w:szCs w:val="22"/>
                <w:lang w:bidi="zh-CN"/>
                <w14:ligatures w14:val="none"/>
              </w:rPr>
              <w:t>级</w:t>
            </w:r>
            <w:r>
              <w:rPr>
                <w:rFonts w:hint="eastAsia"/>
                <w:szCs w:val="22"/>
                <w:lang w:bidi="zh-CN"/>
                <w14:ligatures w14:val="none"/>
              </w:rPr>
              <w:t>)</w:t>
            </w:r>
          </w:p>
        </w:tc>
        <w:tc>
          <w:tcPr>
            <w:tcW w:w="405" w:type="pct"/>
            <w:vAlign w:val="center"/>
          </w:tcPr>
          <w:p w14:paraId="75A1CABF">
            <w:pPr>
              <w:pStyle w:val="64"/>
              <w:adjustRightInd w:val="0"/>
              <w:snapToGrid w:val="0"/>
              <w:rPr>
                <w:szCs w:val="22"/>
                <w:lang w:bidi="zh-CN"/>
                <w14:ligatures w14:val="none"/>
              </w:rPr>
            </w:pPr>
            <w:r>
              <w:rPr>
                <w:szCs w:val="22"/>
                <w:lang w:bidi="zh-CN"/>
                <w14:ligatures w14:val="none"/>
              </w:rPr>
              <w:t>I级</w:t>
            </w:r>
          </w:p>
          <w:p w14:paraId="5AEBF9DF">
            <w:pPr>
              <w:pStyle w:val="64"/>
              <w:adjustRightInd w:val="0"/>
              <w:snapToGrid w:val="0"/>
              <w:rPr>
                <w:szCs w:val="22"/>
                <w:lang w:bidi="zh-CN"/>
                <w14:ligatures w14:val="none"/>
              </w:rPr>
            </w:pPr>
            <w:r>
              <w:rPr>
                <w:rFonts w:hint="eastAsia"/>
                <w:szCs w:val="22"/>
                <w:lang w:bidi="zh-CN"/>
                <w14:ligatures w14:val="none"/>
              </w:rPr>
              <w:t>(</w:t>
            </w:r>
            <w:r>
              <w:rPr>
                <w:szCs w:val="22"/>
                <w:lang w:bidi="zh-CN"/>
                <w14:ligatures w14:val="none"/>
              </w:rPr>
              <w:t>公司级</w:t>
            </w:r>
            <w:r>
              <w:rPr>
                <w:rFonts w:hint="eastAsia"/>
                <w:szCs w:val="22"/>
                <w:lang w:bidi="zh-CN"/>
                <w14:ligatures w14:val="none"/>
              </w:rPr>
              <w:t>)</w:t>
            </w:r>
          </w:p>
        </w:tc>
        <w:tc>
          <w:tcPr>
            <w:tcW w:w="1862" w:type="pct"/>
            <w:vMerge w:val="continue"/>
            <w:vAlign w:val="center"/>
          </w:tcPr>
          <w:p w14:paraId="29DDBCD9">
            <w:pPr>
              <w:pStyle w:val="64"/>
              <w:adjustRightInd w:val="0"/>
              <w:snapToGrid w:val="0"/>
              <w:rPr>
                <w:sz w:val="2"/>
                <w:szCs w:val="2"/>
                <w:lang w:val="zh-CN" w:bidi="zh-CN"/>
                <w14:ligatures w14:val="none"/>
              </w:rPr>
            </w:pPr>
          </w:p>
        </w:tc>
      </w:tr>
      <w:tr w14:paraId="6BD805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08" w:type="pct"/>
            <w:vMerge w:val="restart"/>
            <w:vAlign w:val="center"/>
          </w:tcPr>
          <w:p w14:paraId="0DC7F6AB">
            <w:pPr>
              <w:pStyle w:val="64"/>
              <w:adjustRightInd w:val="0"/>
              <w:snapToGrid w:val="0"/>
              <w:rPr>
                <w:szCs w:val="22"/>
                <w:lang w:val="zh-CN" w:bidi="zh-CN"/>
                <w14:ligatures w14:val="none"/>
              </w:rPr>
            </w:pPr>
            <w:r>
              <w:rPr>
                <w:rFonts w:hint="eastAsia"/>
                <w:szCs w:val="22"/>
                <w:lang w:val="zh-CN" w:bidi="zh-CN"/>
                <w14:ligatures w14:val="none"/>
              </w:rPr>
              <w:t>化学品</w:t>
            </w:r>
            <w:r>
              <w:rPr>
                <w:szCs w:val="22"/>
                <w:lang w:val="zh-CN" w:bidi="zh-CN"/>
                <w14:ligatures w14:val="none"/>
              </w:rPr>
              <w:t>泄漏</w:t>
            </w:r>
          </w:p>
        </w:tc>
        <w:tc>
          <w:tcPr>
            <w:tcW w:w="416" w:type="pct"/>
            <w:vAlign w:val="center"/>
          </w:tcPr>
          <w:p w14:paraId="4B4EB4F8">
            <w:pPr>
              <w:pStyle w:val="64"/>
              <w:adjustRightInd w:val="0"/>
              <w:snapToGrid w:val="0"/>
              <w:rPr>
                <w:szCs w:val="22"/>
                <w:lang w:val="zh-CN" w:bidi="zh-CN"/>
                <w14:ligatures w14:val="none"/>
              </w:rPr>
            </w:pPr>
            <w:r>
              <w:rPr>
                <w:rFonts w:hint="eastAsia"/>
                <w:kern w:val="0"/>
                <w:szCs w:val="21"/>
                <w14:ligatures w14:val="none"/>
              </w:rPr>
              <w:t>苯酚</w:t>
            </w:r>
          </w:p>
        </w:tc>
        <w:tc>
          <w:tcPr>
            <w:tcW w:w="663" w:type="pct"/>
            <w:vAlign w:val="center"/>
          </w:tcPr>
          <w:p w14:paraId="25816670">
            <w:pPr>
              <w:pStyle w:val="64"/>
              <w:adjustRightInd w:val="0"/>
              <w:snapToGrid w:val="0"/>
              <w:rPr>
                <w:szCs w:val="22"/>
                <w:lang w:val="zh-CN" w:bidi="zh-CN"/>
                <w14:ligatures w14:val="none"/>
              </w:rPr>
            </w:pPr>
            <w:r>
              <w:rPr>
                <w:rFonts w:hint="eastAsia"/>
                <w:kern w:val="0"/>
                <w:szCs w:val="21"/>
                <w14:ligatures w14:val="none"/>
              </w:rPr>
              <w:t>罐区、生产装置区</w:t>
            </w:r>
          </w:p>
        </w:tc>
        <w:tc>
          <w:tcPr>
            <w:tcW w:w="435" w:type="pct"/>
            <w:vMerge w:val="restart"/>
            <w:vAlign w:val="center"/>
          </w:tcPr>
          <w:p w14:paraId="70439014">
            <w:pPr>
              <w:pStyle w:val="64"/>
              <w:adjustRightInd w:val="0"/>
              <w:snapToGrid w:val="0"/>
              <w:rPr>
                <w:szCs w:val="22"/>
                <w:lang w:val="zh-CN" w:bidi="zh-CN"/>
                <w14:ligatures w14:val="none"/>
              </w:rPr>
            </w:pPr>
            <w:r>
              <w:rPr>
                <w:spacing w:val="-6"/>
                <w:szCs w:val="22"/>
                <w:lang w:val="zh-CN" w:bidi="zh-CN"/>
                <w14:ligatures w14:val="none"/>
              </w:rPr>
              <w:t>不与储罐、装置相连</w:t>
            </w:r>
            <w:r>
              <w:rPr>
                <w:szCs w:val="22"/>
                <w:lang w:val="zh-CN" w:bidi="zh-CN"/>
                <w14:ligatures w14:val="none"/>
              </w:rPr>
              <w:t>的管</w:t>
            </w:r>
            <w:r>
              <w:rPr>
                <w:spacing w:val="-6"/>
                <w:szCs w:val="22"/>
                <w:lang w:val="zh-CN" w:bidi="zh-CN"/>
                <w14:ligatures w14:val="none"/>
              </w:rPr>
              <w:t>道、阀门破损泄漏，泄漏量较小</w:t>
            </w:r>
          </w:p>
        </w:tc>
        <w:tc>
          <w:tcPr>
            <w:tcW w:w="406" w:type="pct"/>
            <w:vMerge w:val="restart"/>
            <w:vAlign w:val="center"/>
          </w:tcPr>
          <w:p w14:paraId="6AFB54B6">
            <w:pPr>
              <w:pStyle w:val="64"/>
              <w:adjustRightInd w:val="0"/>
              <w:snapToGrid w:val="0"/>
              <w:rPr>
                <w:szCs w:val="22"/>
                <w:lang w:val="zh-CN" w:bidi="zh-CN"/>
                <w14:ligatures w14:val="none"/>
              </w:rPr>
            </w:pPr>
            <w:r>
              <w:rPr>
                <w:spacing w:val="-6"/>
                <w:szCs w:val="22"/>
                <w:lang w:val="zh-CN" w:bidi="zh-CN"/>
                <w14:ligatures w14:val="none"/>
              </w:rPr>
              <w:t>不与储罐、装置相连</w:t>
            </w:r>
            <w:r>
              <w:rPr>
                <w:szCs w:val="22"/>
                <w:lang w:val="zh-CN" w:bidi="zh-CN"/>
                <w14:ligatures w14:val="none"/>
              </w:rPr>
              <w:t>的管</w:t>
            </w:r>
            <w:r>
              <w:rPr>
                <w:spacing w:val="-6"/>
                <w:szCs w:val="22"/>
                <w:lang w:val="zh-CN" w:bidi="zh-CN"/>
                <w14:ligatures w14:val="none"/>
              </w:rPr>
              <w:t>道、阀门破损泄漏，泄漏量较大</w:t>
            </w:r>
          </w:p>
        </w:tc>
        <w:tc>
          <w:tcPr>
            <w:tcW w:w="506" w:type="pct"/>
            <w:vMerge w:val="restart"/>
            <w:vAlign w:val="center"/>
          </w:tcPr>
          <w:p w14:paraId="46EDB74A">
            <w:pPr>
              <w:pStyle w:val="64"/>
              <w:adjustRightInd w:val="0"/>
              <w:snapToGrid w:val="0"/>
              <w:rPr>
                <w:szCs w:val="22"/>
                <w:lang w:val="zh-CN" w:bidi="zh-CN"/>
                <w14:ligatures w14:val="none"/>
              </w:rPr>
            </w:pPr>
            <w:r>
              <w:rPr>
                <w:spacing w:val="-5"/>
                <w:szCs w:val="22"/>
                <w:lang w:val="zh-CN" w:bidi="zh-CN"/>
                <w14:ligatures w14:val="none"/>
              </w:rPr>
              <w:t>与储罐、装置相连的管道、阀门破损泄漏，发生泄漏，泄漏量大</w:t>
            </w:r>
          </w:p>
        </w:tc>
        <w:tc>
          <w:tcPr>
            <w:tcW w:w="405" w:type="pct"/>
            <w:vMerge w:val="restart"/>
            <w:vAlign w:val="center"/>
          </w:tcPr>
          <w:p w14:paraId="289D5E63">
            <w:pPr>
              <w:pStyle w:val="64"/>
              <w:adjustRightInd w:val="0"/>
              <w:snapToGrid w:val="0"/>
              <w:rPr>
                <w:szCs w:val="22"/>
                <w:lang w:val="zh-CN" w:bidi="zh-CN"/>
                <w14:ligatures w14:val="none"/>
              </w:rPr>
            </w:pPr>
            <w:r>
              <w:rPr>
                <w:rFonts w:hint="eastAsia"/>
                <w:spacing w:val="-1"/>
                <w:szCs w:val="22"/>
                <w:lang w:val="zh-CN" w:bidi="zh-CN"/>
                <w14:ligatures w14:val="none"/>
              </w:rPr>
              <w:t>/</w:t>
            </w:r>
          </w:p>
        </w:tc>
        <w:tc>
          <w:tcPr>
            <w:tcW w:w="1862" w:type="pct"/>
            <w:vMerge w:val="restart"/>
            <w:vAlign w:val="center"/>
          </w:tcPr>
          <w:p w14:paraId="383AC0E6">
            <w:pPr>
              <w:pStyle w:val="64"/>
              <w:adjustRightInd w:val="0"/>
              <w:snapToGrid w:val="0"/>
              <w:jc w:val="both"/>
              <w:rPr>
                <w:szCs w:val="22"/>
                <w:lang w:val="zh-CN" w:bidi="zh-CN"/>
                <w14:ligatures w14:val="none"/>
              </w:rPr>
            </w:pPr>
            <w:r>
              <w:rPr>
                <w:rFonts w:hint="eastAsia"/>
                <w:szCs w:val="22"/>
                <w:lang w:val="zh-CN" w:bidi="zh-CN"/>
                <w14:ligatures w14:val="none"/>
              </w:rPr>
              <w:t>第一级防控系统：生产装置区围堤、罐区围堰，收集一般事故泄漏的物料，防止轻微事故泄漏造成的水环境污染；</w:t>
            </w:r>
          </w:p>
          <w:p w14:paraId="41071597">
            <w:pPr>
              <w:pStyle w:val="64"/>
              <w:adjustRightInd w:val="0"/>
              <w:snapToGrid w:val="0"/>
              <w:jc w:val="both"/>
              <w:rPr>
                <w:szCs w:val="22"/>
                <w:lang w:val="zh-CN" w:bidi="zh-CN"/>
                <w14:ligatures w14:val="none"/>
              </w:rPr>
            </w:pPr>
            <w:r>
              <w:rPr>
                <w:rFonts w:hint="eastAsia"/>
                <w:szCs w:val="22"/>
                <w:lang w:val="zh-CN" w:bidi="zh-CN"/>
                <w14:ligatures w14:val="none"/>
              </w:rPr>
              <w:t>第二级防控系统：生产装置区围堤、罐区围堰均与事故应急池连通，可有效切断事故性排放废水与外部的通道。</w:t>
            </w:r>
          </w:p>
          <w:p w14:paraId="47D41A1F">
            <w:pPr>
              <w:pStyle w:val="64"/>
              <w:adjustRightInd w:val="0"/>
              <w:snapToGrid w:val="0"/>
              <w:jc w:val="both"/>
              <w:rPr>
                <w:szCs w:val="22"/>
                <w:lang w:val="zh-CN" w:bidi="zh-CN"/>
                <w14:ligatures w14:val="none"/>
              </w:rPr>
            </w:pPr>
            <w:r>
              <w:rPr>
                <w:rFonts w:hint="eastAsia"/>
                <w:szCs w:val="22"/>
                <w:lang w:val="zh-CN" w:bidi="zh-CN"/>
                <w14:ligatures w14:val="none"/>
              </w:rPr>
              <w:t>第三级防控系统区雨水总排口设置控制闸。若厂区事故废水外溢，立即关闭园区雨水管网总排口闸门，控制事故废水流入园区污水处理厂事故应急池，杜绝事故废水未经处理达标排入环境。</w:t>
            </w:r>
          </w:p>
          <w:p w14:paraId="2EFAF00E">
            <w:pPr>
              <w:pStyle w:val="64"/>
              <w:adjustRightInd w:val="0"/>
              <w:snapToGrid w:val="0"/>
              <w:jc w:val="both"/>
              <w:rPr>
                <w:szCs w:val="22"/>
                <w14:ligatures w14:val="none"/>
              </w:rPr>
            </w:pPr>
            <w:r>
              <w:rPr>
                <w:rFonts w:hint="eastAsia"/>
                <w:szCs w:val="22"/>
                <w:lang w:val="zh-CN" w:bidi="zh-CN"/>
                <w14:ligatures w14:val="none"/>
              </w:rPr>
              <w:t>本项目发生重大的火灾、爆炸事故时，消防水及其携带的物料通过第一级防控系统进入第二级防控系统，依次通过围堰或围堤、环形沟进入厂区事故池储存，再泵入厂区污水处理站处理。特殊情况下若厂区事故废水外溢，立即关闭园区雨水管网总排口闸门，控制事故废水流入园区污水处理厂事故应急池，杜绝事故废水未经处理达标排入环境。各生产装置装置内设有气化装置，采用可靠的集散控制系统(DCS)及事故紧急停车系统(ESD)，实现生产过程的正常操作、开停车操作以及生产过程数据采集、信息管理和生产管理的集中控制。安装了有毒气体报警装置，并有电视监控系统</w:t>
            </w:r>
          </w:p>
        </w:tc>
      </w:tr>
      <w:tr w14:paraId="381CAB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08" w:type="pct"/>
            <w:vMerge w:val="continue"/>
            <w:vAlign w:val="center"/>
          </w:tcPr>
          <w:p w14:paraId="596841D1">
            <w:pPr>
              <w:pStyle w:val="64"/>
              <w:adjustRightInd w:val="0"/>
              <w:snapToGrid w:val="0"/>
              <w:rPr>
                <w:sz w:val="2"/>
                <w:szCs w:val="2"/>
                <w:lang w:val="zh-CN" w:bidi="zh-CN"/>
                <w14:ligatures w14:val="none"/>
              </w:rPr>
            </w:pPr>
          </w:p>
        </w:tc>
        <w:tc>
          <w:tcPr>
            <w:tcW w:w="416" w:type="pct"/>
            <w:vAlign w:val="center"/>
          </w:tcPr>
          <w:p w14:paraId="0FB1DE59">
            <w:pPr>
              <w:pStyle w:val="64"/>
              <w:adjustRightInd w:val="0"/>
              <w:snapToGrid w:val="0"/>
              <w:rPr>
                <w:szCs w:val="22"/>
                <w:lang w:val="zh-CN" w:bidi="zh-CN"/>
                <w14:ligatures w14:val="none"/>
              </w:rPr>
            </w:pPr>
            <w:r>
              <w:rPr>
                <w:rFonts w:hint="eastAsia"/>
                <w:kern w:val="0"/>
                <w:szCs w:val="21"/>
                <w14:ligatures w14:val="none"/>
              </w:rPr>
              <w:t>二甲酚</w:t>
            </w:r>
          </w:p>
        </w:tc>
        <w:tc>
          <w:tcPr>
            <w:tcW w:w="663" w:type="pct"/>
            <w:vAlign w:val="center"/>
          </w:tcPr>
          <w:p w14:paraId="35ABB3A1">
            <w:pPr>
              <w:pStyle w:val="64"/>
              <w:adjustRightInd w:val="0"/>
              <w:snapToGrid w:val="0"/>
              <w:rPr>
                <w:szCs w:val="22"/>
                <w:lang w:val="zh-CN" w:bidi="zh-CN"/>
                <w14:ligatures w14:val="none"/>
              </w:rPr>
            </w:pPr>
            <w:r>
              <w:rPr>
                <w:rFonts w:hint="eastAsia"/>
                <w:kern w:val="0"/>
                <w:szCs w:val="21"/>
                <w14:ligatures w14:val="none"/>
              </w:rPr>
              <w:t>罐区、生产装置区</w:t>
            </w:r>
          </w:p>
        </w:tc>
        <w:tc>
          <w:tcPr>
            <w:tcW w:w="435" w:type="pct"/>
            <w:vMerge w:val="continue"/>
            <w:vAlign w:val="center"/>
          </w:tcPr>
          <w:p w14:paraId="17170347">
            <w:pPr>
              <w:pStyle w:val="64"/>
              <w:adjustRightInd w:val="0"/>
              <w:snapToGrid w:val="0"/>
              <w:rPr>
                <w:sz w:val="2"/>
                <w:szCs w:val="2"/>
                <w:lang w:val="zh-CN" w:bidi="zh-CN"/>
                <w14:ligatures w14:val="none"/>
              </w:rPr>
            </w:pPr>
          </w:p>
        </w:tc>
        <w:tc>
          <w:tcPr>
            <w:tcW w:w="406" w:type="pct"/>
            <w:vMerge w:val="continue"/>
            <w:vAlign w:val="center"/>
          </w:tcPr>
          <w:p w14:paraId="68E581D3">
            <w:pPr>
              <w:pStyle w:val="64"/>
              <w:adjustRightInd w:val="0"/>
              <w:snapToGrid w:val="0"/>
              <w:rPr>
                <w:sz w:val="2"/>
                <w:szCs w:val="2"/>
                <w:lang w:val="zh-CN" w:bidi="zh-CN"/>
                <w14:ligatures w14:val="none"/>
              </w:rPr>
            </w:pPr>
          </w:p>
        </w:tc>
        <w:tc>
          <w:tcPr>
            <w:tcW w:w="506" w:type="pct"/>
            <w:vMerge w:val="continue"/>
            <w:vAlign w:val="center"/>
          </w:tcPr>
          <w:p w14:paraId="47B25CFC">
            <w:pPr>
              <w:pStyle w:val="64"/>
              <w:adjustRightInd w:val="0"/>
              <w:snapToGrid w:val="0"/>
              <w:rPr>
                <w:sz w:val="2"/>
                <w:szCs w:val="2"/>
                <w:lang w:val="zh-CN" w:bidi="zh-CN"/>
                <w14:ligatures w14:val="none"/>
              </w:rPr>
            </w:pPr>
          </w:p>
        </w:tc>
        <w:tc>
          <w:tcPr>
            <w:tcW w:w="405" w:type="pct"/>
            <w:vMerge w:val="continue"/>
            <w:vAlign w:val="center"/>
          </w:tcPr>
          <w:p w14:paraId="20A60784">
            <w:pPr>
              <w:pStyle w:val="64"/>
              <w:adjustRightInd w:val="0"/>
              <w:snapToGrid w:val="0"/>
              <w:rPr>
                <w:sz w:val="2"/>
                <w:szCs w:val="2"/>
                <w:lang w:val="zh-CN" w:bidi="zh-CN"/>
                <w14:ligatures w14:val="none"/>
              </w:rPr>
            </w:pPr>
          </w:p>
        </w:tc>
        <w:tc>
          <w:tcPr>
            <w:tcW w:w="1862" w:type="pct"/>
            <w:vMerge w:val="continue"/>
            <w:vAlign w:val="center"/>
          </w:tcPr>
          <w:p w14:paraId="1C7B0FDF">
            <w:pPr>
              <w:pStyle w:val="64"/>
              <w:adjustRightInd w:val="0"/>
              <w:snapToGrid w:val="0"/>
              <w:jc w:val="both"/>
              <w:rPr>
                <w:sz w:val="2"/>
                <w:szCs w:val="2"/>
                <w:lang w:val="zh-CN" w:bidi="zh-CN"/>
                <w14:ligatures w14:val="none"/>
              </w:rPr>
            </w:pPr>
          </w:p>
        </w:tc>
      </w:tr>
      <w:tr w14:paraId="3D836C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08" w:type="pct"/>
            <w:vMerge w:val="continue"/>
            <w:vAlign w:val="center"/>
          </w:tcPr>
          <w:p w14:paraId="3EE5ED77">
            <w:pPr>
              <w:pStyle w:val="64"/>
              <w:adjustRightInd w:val="0"/>
              <w:snapToGrid w:val="0"/>
              <w:rPr>
                <w:sz w:val="2"/>
                <w:szCs w:val="2"/>
                <w:lang w:val="zh-CN" w:bidi="zh-CN"/>
                <w14:ligatures w14:val="none"/>
              </w:rPr>
            </w:pPr>
          </w:p>
        </w:tc>
        <w:tc>
          <w:tcPr>
            <w:tcW w:w="416" w:type="pct"/>
            <w:vAlign w:val="center"/>
          </w:tcPr>
          <w:p w14:paraId="15D3C54D">
            <w:pPr>
              <w:pStyle w:val="64"/>
              <w:adjustRightInd w:val="0"/>
              <w:snapToGrid w:val="0"/>
              <w:rPr>
                <w:szCs w:val="22"/>
                <w:lang w:val="zh-CN" w:bidi="zh-CN"/>
                <w14:ligatures w14:val="none"/>
              </w:rPr>
            </w:pPr>
            <w:r>
              <w:rPr>
                <w:rFonts w:hint="eastAsia"/>
                <w:kern w:val="0"/>
                <w:szCs w:val="21"/>
                <w14:ligatures w14:val="none"/>
              </w:rPr>
              <w:t>甲苯</w:t>
            </w:r>
          </w:p>
        </w:tc>
        <w:tc>
          <w:tcPr>
            <w:tcW w:w="663" w:type="pct"/>
            <w:vAlign w:val="center"/>
          </w:tcPr>
          <w:p w14:paraId="7844D0FE">
            <w:pPr>
              <w:pStyle w:val="64"/>
              <w:adjustRightInd w:val="0"/>
              <w:snapToGrid w:val="0"/>
              <w:rPr>
                <w:szCs w:val="22"/>
                <w:lang w:val="zh-CN" w:bidi="zh-CN"/>
                <w14:ligatures w14:val="none"/>
              </w:rPr>
            </w:pPr>
            <w:r>
              <w:rPr>
                <w:rFonts w:hint="eastAsia"/>
                <w:kern w:val="0"/>
                <w:szCs w:val="21"/>
                <w14:ligatures w14:val="none"/>
              </w:rPr>
              <w:t>大罐区、氯化甲苯车间</w:t>
            </w:r>
          </w:p>
        </w:tc>
        <w:tc>
          <w:tcPr>
            <w:tcW w:w="435" w:type="pct"/>
            <w:vMerge w:val="continue"/>
            <w:vAlign w:val="center"/>
          </w:tcPr>
          <w:p w14:paraId="03129F0E">
            <w:pPr>
              <w:pStyle w:val="64"/>
              <w:adjustRightInd w:val="0"/>
              <w:snapToGrid w:val="0"/>
              <w:rPr>
                <w:sz w:val="2"/>
                <w:szCs w:val="2"/>
                <w:lang w:val="zh-CN" w:bidi="zh-CN"/>
                <w14:ligatures w14:val="none"/>
              </w:rPr>
            </w:pPr>
          </w:p>
        </w:tc>
        <w:tc>
          <w:tcPr>
            <w:tcW w:w="406" w:type="pct"/>
            <w:vMerge w:val="continue"/>
            <w:vAlign w:val="center"/>
          </w:tcPr>
          <w:p w14:paraId="7C6C9C72">
            <w:pPr>
              <w:pStyle w:val="64"/>
              <w:adjustRightInd w:val="0"/>
              <w:snapToGrid w:val="0"/>
              <w:rPr>
                <w:sz w:val="2"/>
                <w:szCs w:val="2"/>
                <w:lang w:val="zh-CN" w:bidi="zh-CN"/>
                <w14:ligatures w14:val="none"/>
              </w:rPr>
            </w:pPr>
          </w:p>
        </w:tc>
        <w:tc>
          <w:tcPr>
            <w:tcW w:w="506" w:type="pct"/>
            <w:vMerge w:val="continue"/>
            <w:vAlign w:val="center"/>
          </w:tcPr>
          <w:p w14:paraId="6DBAC2BD">
            <w:pPr>
              <w:pStyle w:val="64"/>
              <w:adjustRightInd w:val="0"/>
              <w:snapToGrid w:val="0"/>
              <w:rPr>
                <w:sz w:val="2"/>
                <w:szCs w:val="2"/>
                <w:lang w:val="zh-CN" w:bidi="zh-CN"/>
                <w14:ligatures w14:val="none"/>
              </w:rPr>
            </w:pPr>
          </w:p>
        </w:tc>
        <w:tc>
          <w:tcPr>
            <w:tcW w:w="405" w:type="pct"/>
            <w:vMerge w:val="continue"/>
            <w:vAlign w:val="center"/>
          </w:tcPr>
          <w:p w14:paraId="30CDD136">
            <w:pPr>
              <w:pStyle w:val="64"/>
              <w:adjustRightInd w:val="0"/>
              <w:snapToGrid w:val="0"/>
              <w:rPr>
                <w:sz w:val="2"/>
                <w:szCs w:val="2"/>
                <w:lang w:val="zh-CN" w:bidi="zh-CN"/>
                <w14:ligatures w14:val="none"/>
              </w:rPr>
            </w:pPr>
          </w:p>
        </w:tc>
        <w:tc>
          <w:tcPr>
            <w:tcW w:w="1862" w:type="pct"/>
            <w:vMerge w:val="continue"/>
            <w:vAlign w:val="center"/>
          </w:tcPr>
          <w:p w14:paraId="62DFC487">
            <w:pPr>
              <w:pStyle w:val="64"/>
              <w:adjustRightInd w:val="0"/>
              <w:snapToGrid w:val="0"/>
              <w:jc w:val="both"/>
              <w:rPr>
                <w:sz w:val="2"/>
                <w:szCs w:val="2"/>
                <w:lang w:val="zh-CN" w:bidi="zh-CN"/>
                <w14:ligatures w14:val="none"/>
              </w:rPr>
            </w:pPr>
          </w:p>
        </w:tc>
      </w:tr>
      <w:tr w14:paraId="2B1B7A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08" w:type="pct"/>
            <w:vMerge w:val="continue"/>
            <w:vAlign w:val="center"/>
          </w:tcPr>
          <w:p w14:paraId="75F67991">
            <w:pPr>
              <w:pStyle w:val="64"/>
              <w:adjustRightInd w:val="0"/>
              <w:snapToGrid w:val="0"/>
              <w:rPr>
                <w:sz w:val="2"/>
                <w:szCs w:val="2"/>
                <w:lang w:val="zh-CN" w:bidi="zh-CN"/>
                <w14:ligatures w14:val="none"/>
              </w:rPr>
            </w:pPr>
          </w:p>
        </w:tc>
        <w:tc>
          <w:tcPr>
            <w:tcW w:w="416" w:type="pct"/>
            <w:vAlign w:val="center"/>
          </w:tcPr>
          <w:p w14:paraId="0BA295BB">
            <w:pPr>
              <w:pStyle w:val="64"/>
              <w:adjustRightInd w:val="0"/>
              <w:snapToGrid w:val="0"/>
              <w:rPr>
                <w:szCs w:val="22"/>
                <w:lang w:val="zh-CN" w:bidi="zh-CN"/>
                <w14:ligatures w14:val="none"/>
              </w:rPr>
            </w:pPr>
            <w:r>
              <w:rPr>
                <w:rFonts w:hint="eastAsia"/>
                <w:kern w:val="0"/>
                <w:szCs w:val="21"/>
                <w14:ligatures w14:val="none"/>
              </w:rPr>
              <w:t>盐酸</w:t>
            </w:r>
          </w:p>
        </w:tc>
        <w:tc>
          <w:tcPr>
            <w:tcW w:w="663" w:type="pct"/>
            <w:vAlign w:val="center"/>
          </w:tcPr>
          <w:p w14:paraId="7756E9B1">
            <w:pPr>
              <w:pStyle w:val="64"/>
              <w:adjustRightInd w:val="0"/>
              <w:snapToGrid w:val="0"/>
              <w:rPr>
                <w:szCs w:val="22"/>
                <w:lang w:val="zh-CN" w:bidi="zh-CN"/>
                <w14:ligatures w14:val="none"/>
              </w:rPr>
            </w:pPr>
            <w:r>
              <w:rPr>
                <w:rFonts w:hint="eastAsia"/>
                <w:kern w:val="0"/>
                <w:szCs w:val="21"/>
                <w14:ligatures w14:val="none"/>
              </w:rPr>
              <w:t>盐酸罐区</w:t>
            </w:r>
          </w:p>
        </w:tc>
        <w:tc>
          <w:tcPr>
            <w:tcW w:w="435" w:type="pct"/>
            <w:vMerge w:val="continue"/>
            <w:vAlign w:val="center"/>
          </w:tcPr>
          <w:p w14:paraId="5C50256F">
            <w:pPr>
              <w:pStyle w:val="64"/>
              <w:adjustRightInd w:val="0"/>
              <w:snapToGrid w:val="0"/>
              <w:rPr>
                <w:sz w:val="2"/>
                <w:szCs w:val="2"/>
                <w:lang w:val="zh-CN" w:bidi="zh-CN"/>
                <w14:ligatures w14:val="none"/>
              </w:rPr>
            </w:pPr>
          </w:p>
        </w:tc>
        <w:tc>
          <w:tcPr>
            <w:tcW w:w="406" w:type="pct"/>
            <w:vMerge w:val="continue"/>
            <w:vAlign w:val="center"/>
          </w:tcPr>
          <w:p w14:paraId="09B8F02A">
            <w:pPr>
              <w:pStyle w:val="64"/>
              <w:adjustRightInd w:val="0"/>
              <w:snapToGrid w:val="0"/>
              <w:rPr>
                <w:sz w:val="2"/>
                <w:szCs w:val="2"/>
                <w:lang w:val="zh-CN" w:bidi="zh-CN"/>
                <w14:ligatures w14:val="none"/>
              </w:rPr>
            </w:pPr>
          </w:p>
        </w:tc>
        <w:tc>
          <w:tcPr>
            <w:tcW w:w="506" w:type="pct"/>
            <w:vMerge w:val="continue"/>
            <w:vAlign w:val="center"/>
          </w:tcPr>
          <w:p w14:paraId="16E230C2">
            <w:pPr>
              <w:pStyle w:val="64"/>
              <w:adjustRightInd w:val="0"/>
              <w:snapToGrid w:val="0"/>
              <w:rPr>
                <w:sz w:val="2"/>
                <w:szCs w:val="2"/>
                <w:lang w:val="zh-CN" w:bidi="zh-CN"/>
                <w14:ligatures w14:val="none"/>
              </w:rPr>
            </w:pPr>
          </w:p>
        </w:tc>
        <w:tc>
          <w:tcPr>
            <w:tcW w:w="405" w:type="pct"/>
            <w:vMerge w:val="continue"/>
            <w:vAlign w:val="center"/>
          </w:tcPr>
          <w:p w14:paraId="7E755079">
            <w:pPr>
              <w:pStyle w:val="64"/>
              <w:adjustRightInd w:val="0"/>
              <w:snapToGrid w:val="0"/>
              <w:rPr>
                <w:sz w:val="2"/>
                <w:szCs w:val="2"/>
                <w:lang w:val="zh-CN" w:bidi="zh-CN"/>
                <w14:ligatures w14:val="none"/>
              </w:rPr>
            </w:pPr>
          </w:p>
        </w:tc>
        <w:tc>
          <w:tcPr>
            <w:tcW w:w="1862" w:type="pct"/>
            <w:vMerge w:val="continue"/>
            <w:vAlign w:val="center"/>
          </w:tcPr>
          <w:p w14:paraId="759D3587">
            <w:pPr>
              <w:pStyle w:val="64"/>
              <w:adjustRightInd w:val="0"/>
              <w:snapToGrid w:val="0"/>
              <w:jc w:val="both"/>
              <w:rPr>
                <w:sz w:val="2"/>
                <w:szCs w:val="2"/>
                <w:lang w:val="zh-CN" w:bidi="zh-CN"/>
                <w14:ligatures w14:val="none"/>
              </w:rPr>
            </w:pPr>
          </w:p>
        </w:tc>
      </w:tr>
      <w:tr w14:paraId="67C1A3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08" w:type="pct"/>
            <w:vMerge w:val="continue"/>
            <w:vAlign w:val="center"/>
          </w:tcPr>
          <w:p w14:paraId="5840D138">
            <w:pPr>
              <w:pStyle w:val="64"/>
              <w:adjustRightInd w:val="0"/>
              <w:snapToGrid w:val="0"/>
              <w:rPr>
                <w:sz w:val="2"/>
                <w:szCs w:val="2"/>
                <w:lang w:val="zh-CN" w:bidi="zh-CN"/>
                <w14:ligatures w14:val="none"/>
              </w:rPr>
            </w:pPr>
          </w:p>
        </w:tc>
        <w:tc>
          <w:tcPr>
            <w:tcW w:w="416" w:type="pct"/>
            <w:vAlign w:val="center"/>
          </w:tcPr>
          <w:p w14:paraId="49A73765">
            <w:pPr>
              <w:pStyle w:val="64"/>
              <w:adjustRightInd w:val="0"/>
              <w:snapToGrid w:val="0"/>
              <w:rPr>
                <w:szCs w:val="22"/>
                <w:lang w:val="zh-CN" w:bidi="zh-CN"/>
                <w14:ligatures w14:val="none"/>
              </w:rPr>
            </w:pPr>
            <w:r>
              <w:rPr>
                <w:rFonts w:hint="eastAsia"/>
                <w:kern w:val="0"/>
                <w:szCs w:val="21"/>
                <w14:ligatures w14:val="none"/>
              </w:rPr>
              <w:t>邻甲酚</w:t>
            </w:r>
          </w:p>
        </w:tc>
        <w:tc>
          <w:tcPr>
            <w:tcW w:w="663" w:type="pct"/>
            <w:vAlign w:val="center"/>
          </w:tcPr>
          <w:p w14:paraId="2F0506AB">
            <w:pPr>
              <w:pStyle w:val="64"/>
              <w:adjustRightInd w:val="0"/>
              <w:snapToGrid w:val="0"/>
              <w:rPr>
                <w:szCs w:val="22"/>
                <w:lang w:val="zh-CN" w:bidi="zh-CN"/>
                <w14:ligatures w14:val="none"/>
              </w:rPr>
            </w:pPr>
            <w:r>
              <w:rPr>
                <w:rFonts w:hint="eastAsia"/>
                <w:kern w:val="0"/>
                <w:szCs w:val="21"/>
                <w14:ligatures w14:val="none"/>
              </w:rPr>
              <w:t>甲酚车间、仓库</w:t>
            </w:r>
          </w:p>
        </w:tc>
        <w:tc>
          <w:tcPr>
            <w:tcW w:w="435" w:type="pct"/>
            <w:vMerge w:val="continue"/>
            <w:vAlign w:val="center"/>
          </w:tcPr>
          <w:p w14:paraId="6EDD93F4">
            <w:pPr>
              <w:pStyle w:val="64"/>
              <w:adjustRightInd w:val="0"/>
              <w:snapToGrid w:val="0"/>
              <w:rPr>
                <w:sz w:val="2"/>
                <w:szCs w:val="2"/>
                <w:lang w:val="zh-CN" w:bidi="zh-CN"/>
                <w14:ligatures w14:val="none"/>
              </w:rPr>
            </w:pPr>
          </w:p>
        </w:tc>
        <w:tc>
          <w:tcPr>
            <w:tcW w:w="406" w:type="pct"/>
            <w:vMerge w:val="continue"/>
            <w:vAlign w:val="center"/>
          </w:tcPr>
          <w:p w14:paraId="4581DC92">
            <w:pPr>
              <w:pStyle w:val="64"/>
              <w:adjustRightInd w:val="0"/>
              <w:snapToGrid w:val="0"/>
              <w:rPr>
                <w:sz w:val="2"/>
                <w:szCs w:val="2"/>
                <w:lang w:val="zh-CN" w:bidi="zh-CN"/>
                <w14:ligatures w14:val="none"/>
              </w:rPr>
            </w:pPr>
          </w:p>
        </w:tc>
        <w:tc>
          <w:tcPr>
            <w:tcW w:w="506" w:type="pct"/>
            <w:vMerge w:val="continue"/>
            <w:vAlign w:val="center"/>
          </w:tcPr>
          <w:p w14:paraId="21F79A4B">
            <w:pPr>
              <w:pStyle w:val="64"/>
              <w:adjustRightInd w:val="0"/>
              <w:snapToGrid w:val="0"/>
              <w:rPr>
                <w:sz w:val="2"/>
                <w:szCs w:val="2"/>
                <w:lang w:val="zh-CN" w:bidi="zh-CN"/>
                <w14:ligatures w14:val="none"/>
              </w:rPr>
            </w:pPr>
          </w:p>
        </w:tc>
        <w:tc>
          <w:tcPr>
            <w:tcW w:w="405" w:type="pct"/>
            <w:vMerge w:val="continue"/>
            <w:vAlign w:val="center"/>
          </w:tcPr>
          <w:p w14:paraId="32E6ED23">
            <w:pPr>
              <w:pStyle w:val="64"/>
              <w:adjustRightInd w:val="0"/>
              <w:snapToGrid w:val="0"/>
              <w:rPr>
                <w:sz w:val="2"/>
                <w:szCs w:val="2"/>
                <w:lang w:val="zh-CN" w:bidi="zh-CN"/>
                <w14:ligatures w14:val="none"/>
              </w:rPr>
            </w:pPr>
          </w:p>
        </w:tc>
        <w:tc>
          <w:tcPr>
            <w:tcW w:w="1862" w:type="pct"/>
            <w:vMerge w:val="continue"/>
            <w:vAlign w:val="center"/>
          </w:tcPr>
          <w:p w14:paraId="602432E7">
            <w:pPr>
              <w:pStyle w:val="64"/>
              <w:adjustRightInd w:val="0"/>
              <w:snapToGrid w:val="0"/>
              <w:jc w:val="both"/>
              <w:rPr>
                <w:sz w:val="2"/>
                <w:szCs w:val="2"/>
                <w:lang w:val="zh-CN" w:bidi="zh-CN"/>
                <w14:ligatures w14:val="none"/>
              </w:rPr>
            </w:pPr>
          </w:p>
        </w:tc>
      </w:tr>
      <w:tr w14:paraId="5671AA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08" w:type="pct"/>
            <w:vMerge w:val="continue"/>
            <w:vAlign w:val="center"/>
          </w:tcPr>
          <w:p w14:paraId="0ABABD67">
            <w:pPr>
              <w:pStyle w:val="64"/>
              <w:adjustRightInd w:val="0"/>
              <w:snapToGrid w:val="0"/>
              <w:rPr>
                <w:sz w:val="2"/>
                <w:szCs w:val="2"/>
                <w:lang w:val="zh-CN" w:bidi="zh-CN"/>
                <w14:ligatures w14:val="none"/>
              </w:rPr>
            </w:pPr>
          </w:p>
        </w:tc>
        <w:tc>
          <w:tcPr>
            <w:tcW w:w="416" w:type="pct"/>
            <w:vAlign w:val="center"/>
          </w:tcPr>
          <w:p w14:paraId="3900C706">
            <w:pPr>
              <w:pStyle w:val="64"/>
              <w:adjustRightInd w:val="0"/>
              <w:snapToGrid w:val="0"/>
              <w:rPr>
                <w:szCs w:val="22"/>
                <w:lang w:val="zh-CN" w:bidi="zh-CN"/>
                <w14:ligatures w14:val="none"/>
              </w:rPr>
            </w:pPr>
            <w:r>
              <w:rPr>
                <w:rFonts w:hint="eastAsia"/>
                <w:kern w:val="0"/>
                <w:szCs w:val="21"/>
                <w14:ligatures w14:val="none"/>
              </w:rPr>
              <w:t>氢氧化钠</w:t>
            </w:r>
          </w:p>
        </w:tc>
        <w:tc>
          <w:tcPr>
            <w:tcW w:w="663" w:type="pct"/>
            <w:vAlign w:val="center"/>
          </w:tcPr>
          <w:p w14:paraId="6DE00A44">
            <w:pPr>
              <w:pStyle w:val="64"/>
              <w:adjustRightInd w:val="0"/>
              <w:snapToGrid w:val="0"/>
              <w:rPr>
                <w:szCs w:val="22"/>
                <w:lang w:val="zh-CN" w:bidi="zh-CN"/>
                <w14:ligatures w14:val="none"/>
              </w:rPr>
            </w:pPr>
            <w:r>
              <w:rPr>
                <w:rFonts w:hint="eastAsia"/>
                <w:kern w:val="0"/>
                <w:szCs w:val="21"/>
                <w14:ligatures w14:val="none"/>
              </w:rPr>
              <w:t>大罐区、甲酚合成车间</w:t>
            </w:r>
          </w:p>
        </w:tc>
        <w:tc>
          <w:tcPr>
            <w:tcW w:w="435" w:type="pct"/>
            <w:vMerge w:val="continue"/>
            <w:vAlign w:val="center"/>
          </w:tcPr>
          <w:p w14:paraId="46F6D1C8">
            <w:pPr>
              <w:pStyle w:val="64"/>
              <w:adjustRightInd w:val="0"/>
              <w:snapToGrid w:val="0"/>
              <w:rPr>
                <w:sz w:val="2"/>
                <w:szCs w:val="2"/>
                <w:lang w:val="zh-CN" w:bidi="zh-CN"/>
                <w14:ligatures w14:val="none"/>
              </w:rPr>
            </w:pPr>
          </w:p>
        </w:tc>
        <w:tc>
          <w:tcPr>
            <w:tcW w:w="406" w:type="pct"/>
            <w:vMerge w:val="continue"/>
            <w:vAlign w:val="center"/>
          </w:tcPr>
          <w:p w14:paraId="05DAC1E6">
            <w:pPr>
              <w:pStyle w:val="64"/>
              <w:adjustRightInd w:val="0"/>
              <w:snapToGrid w:val="0"/>
              <w:rPr>
                <w:sz w:val="2"/>
                <w:szCs w:val="2"/>
                <w:lang w:val="zh-CN" w:bidi="zh-CN"/>
                <w14:ligatures w14:val="none"/>
              </w:rPr>
            </w:pPr>
          </w:p>
        </w:tc>
        <w:tc>
          <w:tcPr>
            <w:tcW w:w="506" w:type="pct"/>
            <w:vMerge w:val="continue"/>
            <w:vAlign w:val="center"/>
          </w:tcPr>
          <w:p w14:paraId="344D38AC">
            <w:pPr>
              <w:pStyle w:val="64"/>
              <w:adjustRightInd w:val="0"/>
              <w:snapToGrid w:val="0"/>
              <w:rPr>
                <w:sz w:val="2"/>
                <w:szCs w:val="2"/>
                <w:lang w:val="zh-CN" w:bidi="zh-CN"/>
                <w14:ligatures w14:val="none"/>
              </w:rPr>
            </w:pPr>
          </w:p>
        </w:tc>
        <w:tc>
          <w:tcPr>
            <w:tcW w:w="405" w:type="pct"/>
            <w:vMerge w:val="continue"/>
            <w:vAlign w:val="center"/>
          </w:tcPr>
          <w:p w14:paraId="1183E718">
            <w:pPr>
              <w:pStyle w:val="64"/>
              <w:adjustRightInd w:val="0"/>
              <w:snapToGrid w:val="0"/>
              <w:rPr>
                <w:sz w:val="2"/>
                <w:szCs w:val="2"/>
                <w:lang w:val="zh-CN" w:bidi="zh-CN"/>
                <w14:ligatures w14:val="none"/>
              </w:rPr>
            </w:pPr>
          </w:p>
        </w:tc>
        <w:tc>
          <w:tcPr>
            <w:tcW w:w="1862" w:type="pct"/>
            <w:vMerge w:val="continue"/>
            <w:vAlign w:val="center"/>
          </w:tcPr>
          <w:p w14:paraId="0C453793">
            <w:pPr>
              <w:pStyle w:val="64"/>
              <w:adjustRightInd w:val="0"/>
              <w:snapToGrid w:val="0"/>
              <w:jc w:val="both"/>
              <w:rPr>
                <w:sz w:val="2"/>
                <w:szCs w:val="2"/>
                <w:lang w:val="zh-CN" w:bidi="zh-CN"/>
                <w14:ligatures w14:val="none"/>
              </w:rPr>
            </w:pPr>
          </w:p>
        </w:tc>
      </w:tr>
      <w:tr w14:paraId="601C21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08" w:type="pct"/>
            <w:vMerge w:val="continue"/>
            <w:vAlign w:val="center"/>
          </w:tcPr>
          <w:p w14:paraId="619ADE95">
            <w:pPr>
              <w:pStyle w:val="64"/>
              <w:adjustRightInd w:val="0"/>
              <w:snapToGrid w:val="0"/>
              <w:rPr>
                <w:sz w:val="2"/>
                <w:szCs w:val="2"/>
                <w:lang w:val="zh-CN" w:bidi="zh-CN"/>
                <w14:ligatures w14:val="none"/>
              </w:rPr>
            </w:pPr>
          </w:p>
        </w:tc>
        <w:tc>
          <w:tcPr>
            <w:tcW w:w="416" w:type="pct"/>
            <w:vAlign w:val="center"/>
          </w:tcPr>
          <w:p w14:paraId="0D59F098">
            <w:pPr>
              <w:pStyle w:val="64"/>
              <w:adjustRightInd w:val="0"/>
              <w:snapToGrid w:val="0"/>
              <w:rPr>
                <w:szCs w:val="22"/>
                <w:lang w:val="zh-CN" w:bidi="zh-CN"/>
                <w14:ligatures w14:val="none"/>
              </w:rPr>
            </w:pPr>
            <w:r>
              <w:rPr>
                <w:rFonts w:hint="eastAsia"/>
                <w:kern w:val="0"/>
                <w:szCs w:val="21"/>
                <w14:ligatures w14:val="none"/>
              </w:rPr>
              <w:t>母液</w:t>
            </w:r>
          </w:p>
        </w:tc>
        <w:tc>
          <w:tcPr>
            <w:tcW w:w="663" w:type="pct"/>
            <w:vAlign w:val="center"/>
          </w:tcPr>
          <w:p w14:paraId="4E6FB15D">
            <w:pPr>
              <w:pStyle w:val="64"/>
              <w:adjustRightInd w:val="0"/>
              <w:snapToGrid w:val="0"/>
              <w:rPr>
                <w:szCs w:val="22"/>
                <w:lang w:val="zh-CN" w:bidi="zh-CN"/>
                <w14:ligatures w14:val="none"/>
              </w:rPr>
            </w:pPr>
            <w:r>
              <w:rPr>
                <w:rFonts w:hint="eastAsia"/>
                <w:kern w:val="0"/>
                <w:szCs w:val="21"/>
                <w14:ligatures w14:val="none"/>
              </w:rPr>
              <w:t>大罐区</w:t>
            </w:r>
          </w:p>
        </w:tc>
        <w:tc>
          <w:tcPr>
            <w:tcW w:w="435" w:type="pct"/>
            <w:vMerge w:val="continue"/>
            <w:vAlign w:val="center"/>
          </w:tcPr>
          <w:p w14:paraId="2DF414D4">
            <w:pPr>
              <w:pStyle w:val="64"/>
              <w:adjustRightInd w:val="0"/>
              <w:snapToGrid w:val="0"/>
              <w:rPr>
                <w:sz w:val="2"/>
                <w:szCs w:val="2"/>
                <w:lang w:val="zh-CN" w:bidi="zh-CN"/>
                <w14:ligatures w14:val="none"/>
              </w:rPr>
            </w:pPr>
          </w:p>
        </w:tc>
        <w:tc>
          <w:tcPr>
            <w:tcW w:w="406" w:type="pct"/>
            <w:vMerge w:val="continue"/>
            <w:vAlign w:val="center"/>
          </w:tcPr>
          <w:p w14:paraId="07CFCCE8">
            <w:pPr>
              <w:pStyle w:val="64"/>
              <w:adjustRightInd w:val="0"/>
              <w:snapToGrid w:val="0"/>
              <w:rPr>
                <w:sz w:val="2"/>
                <w:szCs w:val="2"/>
                <w:lang w:val="zh-CN" w:bidi="zh-CN"/>
                <w14:ligatures w14:val="none"/>
              </w:rPr>
            </w:pPr>
          </w:p>
        </w:tc>
        <w:tc>
          <w:tcPr>
            <w:tcW w:w="506" w:type="pct"/>
            <w:vMerge w:val="continue"/>
            <w:vAlign w:val="center"/>
          </w:tcPr>
          <w:p w14:paraId="49F4831F">
            <w:pPr>
              <w:pStyle w:val="64"/>
              <w:adjustRightInd w:val="0"/>
              <w:snapToGrid w:val="0"/>
              <w:rPr>
                <w:sz w:val="2"/>
                <w:szCs w:val="2"/>
                <w:lang w:val="zh-CN" w:bidi="zh-CN"/>
                <w14:ligatures w14:val="none"/>
              </w:rPr>
            </w:pPr>
          </w:p>
        </w:tc>
        <w:tc>
          <w:tcPr>
            <w:tcW w:w="405" w:type="pct"/>
            <w:vMerge w:val="continue"/>
            <w:vAlign w:val="center"/>
          </w:tcPr>
          <w:p w14:paraId="445727DC">
            <w:pPr>
              <w:pStyle w:val="64"/>
              <w:adjustRightInd w:val="0"/>
              <w:snapToGrid w:val="0"/>
              <w:rPr>
                <w:sz w:val="2"/>
                <w:szCs w:val="2"/>
                <w:lang w:val="zh-CN" w:bidi="zh-CN"/>
                <w14:ligatures w14:val="none"/>
              </w:rPr>
            </w:pPr>
          </w:p>
        </w:tc>
        <w:tc>
          <w:tcPr>
            <w:tcW w:w="1862" w:type="pct"/>
            <w:vMerge w:val="continue"/>
            <w:vAlign w:val="center"/>
          </w:tcPr>
          <w:p w14:paraId="5EA0F677">
            <w:pPr>
              <w:pStyle w:val="64"/>
              <w:adjustRightInd w:val="0"/>
              <w:snapToGrid w:val="0"/>
              <w:jc w:val="both"/>
              <w:rPr>
                <w:sz w:val="2"/>
                <w:szCs w:val="2"/>
                <w:lang w:val="zh-CN" w:bidi="zh-CN"/>
                <w14:ligatures w14:val="none"/>
              </w:rPr>
            </w:pPr>
          </w:p>
        </w:tc>
      </w:tr>
      <w:tr w14:paraId="1886DB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08" w:type="pct"/>
            <w:vMerge w:val="continue"/>
            <w:vAlign w:val="center"/>
          </w:tcPr>
          <w:p w14:paraId="32393A2A">
            <w:pPr>
              <w:pStyle w:val="64"/>
              <w:adjustRightInd w:val="0"/>
              <w:snapToGrid w:val="0"/>
              <w:rPr>
                <w:sz w:val="2"/>
                <w:szCs w:val="2"/>
                <w14:ligatures w14:val="none"/>
              </w:rPr>
            </w:pPr>
          </w:p>
        </w:tc>
        <w:tc>
          <w:tcPr>
            <w:tcW w:w="416" w:type="pct"/>
            <w:vAlign w:val="center"/>
          </w:tcPr>
          <w:p w14:paraId="58793260">
            <w:pPr>
              <w:pStyle w:val="64"/>
              <w:adjustRightInd w:val="0"/>
              <w:snapToGrid w:val="0"/>
              <w:rPr>
                <w:szCs w:val="22"/>
                <w14:ligatures w14:val="none"/>
              </w:rPr>
            </w:pPr>
            <w:r>
              <w:rPr>
                <w:rFonts w:hint="eastAsia"/>
                <w:kern w:val="0"/>
                <w:szCs w:val="21"/>
                <w14:ligatures w14:val="none"/>
              </w:rPr>
              <w:t>硫酸</w:t>
            </w:r>
          </w:p>
        </w:tc>
        <w:tc>
          <w:tcPr>
            <w:tcW w:w="663" w:type="pct"/>
            <w:vAlign w:val="center"/>
          </w:tcPr>
          <w:p w14:paraId="3C8E73E7">
            <w:pPr>
              <w:pStyle w:val="64"/>
              <w:adjustRightInd w:val="0"/>
              <w:snapToGrid w:val="0"/>
              <w:rPr>
                <w:szCs w:val="22"/>
                <w14:ligatures w14:val="none"/>
              </w:rPr>
            </w:pPr>
            <w:r>
              <w:rPr>
                <w:rFonts w:hint="eastAsia"/>
                <w:kern w:val="0"/>
                <w:szCs w:val="21"/>
                <w14:ligatures w14:val="none"/>
              </w:rPr>
              <w:t>中间罐区、甲酚分离车间</w:t>
            </w:r>
          </w:p>
        </w:tc>
        <w:tc>
          <w:tcPr>
            <w:tcW w:w="435" w:type="pct"/>
            <w:vMerge w:val="continue"/>
            <w:vAlign w:val="center"/>
          </w:tcPr>
          <w:p w14:paraId="40013564">
            <w:pPr>
              <w:pStyle w:val="64"/>
              <w:adjustRightInd w:val="0"/>
              <w:snapToGrid w:val="0"/>
              <w:rPr>
                <w:sz w:val="2"/>
                <w:szCs w:val="2"/>
                <w14:ligatures w14:val="none"/>
              </w:rPr>
            </w:pPr>
          </w:p>
        </w:tc>
        <w:tc>
          <w:tcPr>
            <w:tcW w:w="406" w:type="pct"/>
            <w:vMerge w:val="continue"/>
            <w:vAlign w:val="center"/>
          </w:tcPr>
          <w:p w14:paraId="096A1A51">
            <w:pPr>
              <w:pStyle w:val="64"/>
              <w:adjustRightInd w:val="0"/>
              <w:snapToGrid w:val="0"/>
              <w:rPr>
                <w:sz w:val="2"/>
                <w:szCs w:val="2"/>
                <w14:ligatures w14:val="none"/>
              </w:rPr>
            </w:pPr>
          </w:p>
        </w:tc>
        <w:tc>
          <w:tcPr>
            <w:tcW w:w="506" w:type="pct"/>
            <w:vMerge w:val="continue"/>
            <w:vAlign w:val="center"/>
          </w:tcPr>
          <w:p w14:paraId="468058DC">
            <w:pPr>
              <w:pStyle w:val="64"/>
              <w:adjustRightInd w:val="0"/>
              <w:snapToGrid w:val="0"/>
              <w:rPr>
                <w:sz w:val="2"/>
                <w:szCs w:val="2"/>
                <w14:ligatures w14:val="none"/>
              </w:rPr>
            </w:pPr>
          </w:p>
        </w:tc>
        <w:tc>
          <w:tcPr>
            <w:tcW w:w="405" w:type="pct"/>
            <w:vMerge w:val="continue"/>
            <w:vAlign w:val="center"/>
          </w:tcPr>
          <w:p w14:paraId="44DDDC0B">
            <w:pPr>
              <w:pStyle w:val="64"/>
              <w:adjustRightInd w:val="0"/>
              <w:snapToGrid w:val="0"/>
              <w:rPr>
                <w:sz w:val="2"/>
                <w:szCs w:val="2"/>
                <w14:ligatures w14:val="none"/>
              </w:rPr>
            </w:pPr>
          </w:p>
        </w:tc>
        <w:tc>
          <w:tcPr>
            <w:tcW w:w="1862" w:type="pct"/>
            <w:vMerge w:val="continue"/>
            <w:vAlign w:val="center"/>
          </w:tcPr>
          <w:p w14:paraId="0E4F6FF6">
            <w:pPr>
              <w:pStyle w:val="64"/>
              <w:adjustRightInd w:val="0"/>
              <w:snapToGrid w:val="0"/>
              <w:jc w:val="both"/>
              <w:rPr>
                <w:sz w:val="2"/>
                <w:szCs w:val="2"/>
                <w14:ligatures w14:val="none"/>
              </w:rPr>
            </w:pPr>
          </w:p>
        </w:tc>
      </w:tr>
      <w:tr w14:paraId="0BAAC6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08" w:type="pct"/>
            <w:vMerge w:val="continue"/>
            <w:vAlign w:val="center"/>
          </w:tcPr>
          <w:p w14:paraId="0897F5E3">
            <w:pPr>
              <w:pStyle w:val="64"/>
              <w:adjustRightInd w:val="0"/>
              <w:snapToGrid w:val="0"/>
              <w:rPr>
                <w:sz w:val="2"/>
                <w:szCs w:val="2"/>
                <w14:ligatures w14:val="none"/>
              </w:rPr>
            </w:pPr>
          </w:p>
        </w:tc>
        <w:tc>
          <w:tcPr>
            <w:tcW w:w="416" w:type="pct"/>
            <w:vAlign w:val="center"/>
          </w:tcPr>
          <w:p w14:paraId="48C0C1EF">
            <w:pPr>
              <w:pStyle w:val="64"/>
              <w:adjustRightInd w:val="0"/>
              <w:snapToGrid w:val="0"/>
              <w:rPr>
                <w:szCs w:val="22"/>
                <w14:ligatures w14:val="none"/>
              </w:rPr>
            </w:pPr>
            <w:r>
              <w:rPr>
                <w:rFonts w:hint="eastAsia"/>
                <w:kern w:val="0"/>
                <w:szCs w:val="21"/>
                <w14:ligatures w14:val="none"/>
              </w:rPr>
              <w:t>间甲酚</w:t>
            </w:r>
          </w:p>
        </w:tc>
        <w:tc>
          <w:tcPr>
            <w:tcW w:w="663" w:type="pct"/>
            <w:vAlign w:val="center"/>
          </w:tcPr>
          <w:p w14:paraId="25DCB7B5">
            <w:pPr>
              <w:pStyle w:val="64"/>
              <w:adjustRightInd w:val="0"/>
              <w:snapToGrid w:val="0"/>
              <w:rPr>
                <w:szCs w:val="22"/>
                <w14:ligatures w14:val="none"/>
              </w:rPr>
            </w:pPr>
            <w:r>
              <w:rPr>
                <w:rFonts w:hint="eastAsia"/>
                <w:kern w:val="0"/>
                <w:szCs w:val="21"/>
                <w14:ligatures w14:val="none"/>
              </w:rPr>
              <w:t>大罐区、甲酚分离车间</w:t>
            </w:r>
          </w:p>
        </w:tc>
        <w:tc>
          <w:tcPr>
            <w:tcW w:w="435" w:type="pct"/>
            <w:vMerge w:val="continue"/>
            <w:vAlign w:val="center"/>
          </w:tcPr>
          <w:p w14:paraId="1F8051FA">
            <w:pPr>
              <w:pStyle w:val="64"/>
              <w:adjustRightInd w:val="0"/>
              <w:snapToGrid w:val="0"/>
              <w:rPr>
                <w:sz w:val="2"/>
                <w:szCs w:val="2"/>
                <w14:ligatures w14:val="none"/>
              </w:rPr>
            </w:pPr>
          </w:p>
        </w:tc>
        <w:tc>
          <w:tcPr>
            <w:tcW w:w="406" w:type="pct"/>
            <w:vMerge w:val="continue"/>
            <w:vAlign w:val="center"/>
          </w:tcPr>
          <w:p w14:paraId="18D5B8A4">
            <w:pPr>
              <w:pStyle w:val="64"/>
              <w:adjustRightInd w:val="0"/>
              <w:snapToGrid w:val="0"/>
              <w:rPr>
                <w:sz w:val="2"/>
                <w:szCs w:val="2"/>
                <w14:ligatures w14:val="none"/>
              </w:rPr>
            </w:pPr>
          </w:p>
        </w:tc>
        <w:tc>
          <w:tcPr>
            <w:tcW w:w="506" w:type="pct"/>
            <w:vMerge w:val="continue"/>
            <w:vAlign w:val="center"/>
          </w:tcPr>
          <w:p w14:paraId="5A1936BB">
            <w:pPr>
              <w:pStyle w:val="64"/>
              <w:adjustRightInd w:val="0"/>
              <w:snapToGrid w:val="0"/>
              <w:rPr>
                <w:sz w:val="2"/>
                <w:szCs w:val="2"/>
                <w14:ligatures w14:val="none"/>
              </w:rPr>
            </w:pPr>
          </w:p>
        </w:tc>
        <w:tc>
          <w:tcPr>
            <w:tcW w:w="405" w:type="pct"/>
            <w:vMerge w:val="continue"/>
            <w:vAlign w:val="center"/>
          </w:tcPr>
          <w:p w14:paraId="145584E5">
            <w:pPr>
              <w:pStyle w:val="64"/>
              <w:adjustRightInd w:val="0"/>
              <w:snapToGrid w:val="0"/>
              <w:rPr>
                <w:sz w:val="2"/>
                <w:szCs w:val="2"/>
                <w14:ligatures w14:val="none"/>
              </w:rPr>
            </w:pPr>
          </w:p>
        </w:tc>
        <w:tc>
          <w:tcPr>
            <w:tcW w:w="1862" w:type="pct"/>
            <w:vMerge w:val="continue"/>
            <w:vAlign w:val="center"/>
          </w:tcPr>
          <w:p w14:paraId="2FD7FA51">
            <w:pPr>
              <w:pStyle w:val="64"/>
              <w:adjustRightInd w:val="0"/>
              <w:snapToGrid w:val="0"/>
              <w:jc w:val="both"/>
              <w:rPr>
                <w:sz w:val="2"/>
                <w:szCs w:val="2"/>
                <w14:ligatures w14:val="none"/>
              </w:rPr>
            </w:pPr>
          </w:p>
        </w:tc>
      </w:tr>
      <w:tr w14:paraId="418090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08" w:type="pct"/>
            <w:vMerge w:val="continue"/>
            <w:vAlign w:val="center"/>
          </w:tcPr>
          <w:p w14:paraId="319F23BB">
            <w:pPr>
              <w:pStyle w:val="64"/>
              <w:adjustRightInd w:val="0"/>
              <w:snapToGrid w:val="0"/>
              <w:rPr>
                <w:sz w:val="2"/>
                <w:szCs w:val="2"/>
                <w14:ligatures w14:val="none"/>
              </w:rPr>
            </w:pPr>
          </w:p>
        </w:tc>
        <w:tc>
          <w:tcPr>
            <w:tcW w:w="416" w:type="pct"/>
            <w:vAlign w:val="center"/>
          </w:tcPr>
          <w:p w14:paraId="412A9367">
            <w:pPr>
              <w:pStyle w:val="64"/>
              <w:adjustRightInd w:val="0"/>
              <w:snapToGrid w:val="0"/>
              <w:rPr>
                <w:szCs w:val="22"/>
                <w14:ligatures w14:val="none"/>
              </w:rPr>
            </w:pPr>
            <w:r>
              <w:rPr>
                <w:rFonts w:hint="eastAsia"/>
                <w:kern w:val="0"/>
                <w:szCs w:val="21"/>
                <w14:ligatures w14:val="none"/>
              </w:rPr>
              <w:t>对甲酚</w:t>
            </w:r>
          </w:p>
        </w:tc>
        <w:tc>
          <w:tcPr>
            <w:tcW w:w="663" w:type="pct"/>
            <w:vAlign w:val="center"/>
          </w:tcPr>
          <w:p w14:paraId="1965A16D">
            <w:pPr>
              <w:pStyle w:val="64"/>
              <w:adjustRightInd w:val="0"/>
              <w:snapToGrid w:val="0"/>
              <w:rPr>
                <w:szCs w:val="22"/>
                <w14:ligatures w14:val="none"/>
              </w:rPr>
            </w:pPr>
            <w:r>
              <w:rPr>
                <w:rFonts w:hint="eastAsia"/>
                <w:kern w:val="0"/>
                <w:szCs w:val="21"/>
                <w14:ligatures w14:val="none"/>
              </w:rPr>
              <w:t>甲酚车间、仓库</w:t>
            </w:r>
          </w:p>
        </w:tc>
        <w:tc>
          <w:tcPr>
            <w:tcW w:w="435" w:type="pct"/>
            <w:vMerge w:val="continue"/>
            <w:vAlign w:val="center"/>
          </w:tcPr>
          <w:p w14:paraId="6AEE7F41">
            <w:pPr>
              <w:pStyle w:val="64"/>
              <w:adjustRightInd w:val="0"/>
              <w:snapToGrid w:val="0"/>
              <w:rPr>
                <w:sz w:val="2"/>
                <w:szCs w:val="2"/>
                <w14:ligatures w14:val="none"/>
              </w:rPr>
            </w:pPr>
          </w:p>
        </w:tc>
        <w:tc>
          <w:tcPr>
            <w:tcW w:w="406" w:type="pct"/>
            <w:vMerge w:val="continue"/>
            <w:vAlign w:val="center"/>
          </w:tcPr>
          <w:p w14:paraId="5A94C457">
            <w:pPr>
              <w:pStyle w:val="64"/>
              <w:adjustRightInd w:val="0"/>
              <w:snapToGrid w:val="0"/>
              <w:rPr>
                <w:sz w:val="2"/>
                <w:szCs w:val="2"/>
                <w14:ligatures w14:val="none"/>
              </w:rPr>
            </w:pPr>
          </w:p>
        </w:tc>
        <w:tc>
          <w:tcPr>
            <w:tcW w:w="506" w:type="pct"/>
            <w:vMerge w:val="continue"/>
            <w:vAlign w:val="center"/>
          </w:tcPr>
          <w:p w14:paraId="183D34D2">
            <w:pPr>
              <w:pStyle w:val="64"/>
              <w:adjustRightInd w:val="0"/>
              <w:snapToGrid w:val="0"/>
              <w:rPr>
                <w:sz w:val="2"/>
                <w:szCs w:val="2"/>
                <w14:ligatures w14:val="none"/>
              </w:rPr>
            </w:pPr>
          </w:p>
        </w:tc>
        <w:tc>
          <w:tcPr>
            <w:tcW w:w="405" w:type="pct"/>
            <w:vMerge w:val="continue"/>
            <w:vAlign w:val="center"/>
          </w:tcPr>
          <w:p w14:paraId="7F200F63">
            <w:pPr>
              <w:pStyle w:val="64"/>
              <w:adjustRightInd w:val="0"/>
              <w:snapToGrid w:val="0"/>
              <w:rPr>
                <w:sz w:val="2"/>
                <w:szCs w:val="2"/>
                <w14:ligatures w14:val="none"/>
              </w:rPr>
            </w:pPr>
          </w:p>
        </w:tc>
        <w:tc>
          <w:tcPr>
            <w:tcW w:w="1862" w:type="pct"/>
            <w:vMerge w:val="continue"/>
            <w:vAlign w:val="center"/>
          </w:tcPr>
          <w:p w14:paraId="0BFB4486">
            <w:pPr>
              <w:pStyle w:val="64"/>
              <w:adjustRightInd w:val="0"/>
              <w:snapToGrid w:val="0"/>
              <w:jc w:val="both"/>
              <w:rPr>
                <w:sz w:val="2"/>
                <w:szCs w:val="2"/>
                <w14:ligatures w14:val="none"/>
              </w:rPr>
            </w:pPr>
          </w:p>
        </w:tc>
      </w:tr>
      <w:tr w14:paraId="1C311C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08" w:type="pct"/>
            <w:vMerge w:val="continue"/>
            <w:vAlign w:val="center"/>
          </w:tcPr>
          <w:p w14:paraId="7C2FF948">
            <w:pPr>
              <w:pStyle w:val="64"/>
              <w:adjustRightInd w:val="0"/>
              <w:snapToGrid w:val="0"/>
              <w:rPr>
                <w:sz w:val="2"/>
                <w:szCs w:val="2"/>
                <w14:ligatures w14:val="none"/>
              </w:rPr>
            </w:pPr>
          </w:p>
        </w:tc>
        <w:tc>
          <w:tcPr>
            <w:tcW w:w="416" w:type="pct"/>
            <w:vAlign w:val="center"/>
          </w:tcPr>
          <w:p w14:paraId="577B3EC2">
            <w:pPr>
              <w:pStyle w:val="64"/>
              <w:adjustRightInd w:val="0"/>
              <w:snapToGrid w:val="0"/>
              <w:rPr>
                <w:szCs w:val="22"/>
                <w14:ligatures w14:val="none"/>
              </w:rPr>
            </w:pPr>
            <w:r>
              <w:rPr>
                <w:rFonts w:hint="eastAsia"/>
                <w:kern w:val="0"/>
                <w:szCs w:val="21"/>
                <w14:ligatures w14:val="none"/>
              </w:rPr>
              <w:t>酚混合物</w:t>
            </w:r>
          </w:p>
        </w:tc>
        <w:tc>
          <w:tcPr>
            <w:tcW w:w="663" w:type="pct"/>
            <w:vAlign w:val="center"/>
          </w:tcPr>
          <w:p w14:paraId="2E237F34">
            <w:pPr>
              <w:pStyle w:val="64"/>
              <w:adjustRightInd w:val="0"/>
              <w:snapToGrid w:val="0"/>
              <w:rPr>
                <w:szCs w:val="22"/>
                <w14:ligatures w14:val="none"/>
              </w:rPr>
            </w:pPr>
            <w:r>
              <w:rPr>
                <w:rFonts w:hint="eastAsia"/>
                <w:kern w:val="0"/>
                <w:szCs w:val="21"/>
                <w14:ligatures w14:val="none"/>
              </w:rPr>
              <w:t>中间灌区</w:t>
            </w:r>
          </w:p>
        </w:tc>
        <w:tc>
          <w:tcPr>
            <w:tcW w:w="435" w:type="pct"/>
            <w:vMerge w:val="continue"/>
            <w:vAlign w:val="center"/>
          </w:tcPr>
          <w:p w14:paraId="22D3C8DB">
            <w:pPr>
              <w:pStyle w:val="64"/>
              <w:adjustRightInd w:val="0"/>
              <w:snapToGrid w:val="0"/>
              <w:rPr>
                <w:sz w:val="2"/>
                <w:szCs w:val="2"/>
                <w14:ligatures w14:val="none"/>
              </w:rPr>
            </w:pPr>
          </w:p>
        </w:tc>
        <w:tc>
          <w:tcPr>
            <w:tcW w:w="406" w:type="pct"/>
            <w:vMerge w:val="continue"/>
            <w:vAlign w:val="center"/>
          </w:tcPr>
          <w:p w14:paraId="31CD40AB">
            <w:pPr>
              <w:pStyle w:val="64"/>
              <w:adjustRightInd w:val="0"/>
              <w:snapToGrid w:val="0"/>
              <w:rPr>
                <w:sz w:val="2"/>
                <w:szCs w:val="2"/>
                <w14:ligatures w14:val="none"/>
              </w:rPr>
            </w:pPr>
          </w:p>
        </w:tc>
        <w:tc>
          <w:tcPr>
            <w:tcW w:w="506" w:type="pct"/>
            <w:vMerge w:val="continue"/>
            <w:vAlign w:val="center"/>
          </w:tcPr>
          <w:p w14:paraId="2A36A20F">
            <w:pPr>
              <w:pStyle w:val="64"/>
              <w:adjustRightInd w:val="0"/>
              <w:snapToGrid w:val="0"/>
              <w:rPr>
                <w:sz w:val="2"/>
                <w:szCs w:val="2"/>
                <w14:ligatures w14:val="none"/>
              </w:rPr>
            </w:pPr>
          </w:p>
        </w:tc>
        <w:tc>
          <w:tcPr>
            <w:tcW w:w="405" w:type="pct"/>
            <w:vMerge w:val="continue"/>
            <w:vAlign w:val="center"/>
          </w:tcPr>
          <w:p w14:paraId="0CF3ED4C">
            <w:pPr>
              <w:pStyle w:val="64"/>
              <w:adjustRightInd w:val="0"/>
              <w:snapToGrid w:val="0"/>
              <w:rPr>
                <w:sz w:val="2"/>
                <w:szCs w:val="2"/>
                <w14:ligatures w14:val="none"/>
              </w:rPr>
            </w:pPr>
          </w:p>
        </w:tc>
        <w:tc>
          <w:tcPr>
            <w:tcW w:w="1862" w:type="pct"/>
            <w:vMerge w:val="continue"/>
            <w:vAlign w:val="center"/>
          </w:tcPr>
          <w:p w14:paraId="04E339E8">
            <w:pPr>
              <w:pStyle w:val="64"/>
              <w:adjustRightInd w:val="0"/>
              <w:snapToGrid w:val="0"/>
              <w:jc w:val="both"/>
              <w:rPr>
                <w:sz w:val="2"/>
                <w:szCs w:val="2"/>
                <w14:ligatures w14:val="none"/>
              </w:rPr>
            </w:pPr>
          </w:p>
        </w:tc>
      </w:tr>
      <w:tr w14:paraId="5ACD71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08" w:type="pct"/>
            <w:vMerge w:val="continue"/>
            <w:vAlign w:val="center"/>
          </w:tcPr>
          <w:p w14:paraId="2327BBD4">
            <w:pPr>
              <w:pStyle w:val="64"/>
              <w:adjustRightInd w:val="0"/>
              <w:snapToGrid w:val="0"/>
              <w:rPr>
                <w:sz w:val="2"/>
                <w:szCs w:val="2"/>
                <w14:ligatures w14:val="none"/>
              </w:rPr>
            </w:pPr>
          </w:p>
        </w:tc>
        <w:tc>
          <w:tcPr>
            <w:tcW w:w="416" w:type="pct"/>
            <w:vAlign w:val="center"/>
          </w:tcPr>
          <w:p w14:paraId="465D6698">
            <w:pPr>
              <w:pStyle w:val="64"/>
              <w:adjustRightInd w:val="0"/>
              <w:snapToGrid w:val="0"/>
              <w:rPr>
                <w:szCs w:val="22"/>
                <w14:ligatures w14:val="none"/>
              </w:rPr>
            </w:pPr>
            <w:r>
              <w:rPr>
                <w:rFonts w:hint="eastAsia"/>
                <w:kern w:val="0"/>
                <w:szCs w:val="21"/>
                <w14:ligatures w14:val="none"/>
              </w:rPr>
              <w:t>次氯酸钠</w:t>
            </w:r>
          </w:p>
        </w:tc>
        <w:tc>
          <w:tcPr>
            <w:tcW w:w="663" w:type="pct"/>
            <w:vAlign w:val="center"/>
          </w:tcPr>
          <w:p w14:paraId="0835A000">
            <w:pPr>
              <w:pStyle w:val="64"/>
              <w:adjustRightInd w:val="0"/>
              <w:snapToGrid w:val="0"/>
              <w:rPr>
                <w:szCs w:val="22"/>
                <w14:ligatures w14:val="none"/>
              </w:rPr>
            </w:pPr>
            <w:r>
              <w:rPr>
                <w:rFonts w:hint="eastAsia"/>
                <w:kern w:val="0"/>
                <w:szCs w:val="21"/>
                <w14:ligatures w14:val="none"/>
              </w:rPr>
              <w:t>氯化甲苯车间</w:t>
            </w:r>
          </w:p>
        </w:tc>
        <w:tc>
          <w:tcPr>
            <w:tcW w:w="435" w:type="pct"/>
            <w:vMerge w:val="continue"/>
            <w:vAlign w:val="center"/>
          </w:tcPr>
          <w:p w14:paraId="0C47DE1E">
            <w:pPr>
              <w:pStyle w:val="64"/>
              <w:adjustRightInd w:val="0"/>
              <w:snapToGrid w:val="0"/>
              <w:rPr>
                <w:sz w:val="2"/>
                <w:szCs w:val="2"/>
                <w14:ligatures w14:val="none"/>
              </w:rPr>
            </w:pPr>
          </w:p>
        </w:tc>
        <w:tc>
          <w:tcPr>
            <w:tcW w:w="406" w:type="pct"/>
            <w:vMerge w:val="continue"/>
            <w:vAlign w:val="center"/>
          </w:tcPr>
          <w:p w14:paraId="3C20EEA1">
            <w:pPr>
              <w:pStyle w:val="64"/>
              <w:adjustRightInd w:val="0"/>
              <w:snapToGrid w:val="0"/>
              <w:rPr>
                <w:sz w:val="2"/>
                <w:szCs w:val="2"/>
                <w14:ligatures w14:val="none"/>
              </w:rPr>
            </w:pPr>
          </w:p>
        </w:tc>
        <w:tc>
          <w:tcPr>
            <w:tcW w:w="506" w:type="pct"/>
            <w:vMerge w:val="continue"/>
            <w:vAlign w:val="center"/>
          </w:tcPr>
          <w:p w14:paraId="566F6623">
            <w:pPr>
              <w:pStyle w:val="64"/>
              <w:adjustRightInd w:val="0"/>
              <w:snapToGrid w:val="0"/>
              <w:rPr>
                <w:sz w:val="2"/>
                <w:szCs w:val="2"/>
                <w14:ligatures w14:val="none"/>
              </w:rPr>
            </w:pPr>
          </w:p>
        </w:tc>
        <w:tc>
          <w:tcPr>
            <w:tcW w:w="405" w:type="pct"/>
            <w:vMerge w:val="continue"/>
            <w:vAlign w:val="center"/>
          </w:tcPr>
          <w:p w14:paraId="0AAE29C8">
            <w:pPr>
              <w:pStyle w:val="64"/>
              <w:adjustRightInd w:val="0"/>
              <w:snapToGrid w:val="0"/>
              <w:rPr>
                <w:sz w:val="2"/>
                <w:szCs w:val="2"/>
                <w14:ligatures w14:val="none"/>
              </w:rPr>
            </w:pPr>
          </w:p>
        </w:tc>
        <w:tc>
          <w:tcPr>
            <w:tcW w:w="1862" w:type="pct"/>
            <w:vMerge w:val="continue"/>
            <w:vAlign w:val="center"/>
          </w:tcPr>
          <w:p w14:paraId="568581B2">
            <w:pPr>
              <w:pStyle w:val="64"/>
              <w:adjustRightInd w:val="0"/>
              <w:snapToGrid w:val="0"/>
              <w:jc w:val="both"/>
              <w:rPr>
                <w:sz w:val="2"/>
                <w:szCs w:val="2"/>
                <w14:ligatures w14:val="none"/>
              </w:rPr>
            </w:pPr>
          </w:p>
        </w:tc>
      </w:tr>
      <w:tr w14:paraId="5973BB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08" w:type="pct"/>
            <w:vMerge w:val="continue"/>
            <w:vAlign w:val="center"/>
          </w:tcPr>
          <w:p w14:paraId="168E6518">
            <w:pPr>
              <w:pStyle w:val="64"/>
              <w:adjustRightInd w:val="0"/>
              <w:snapToGrid w:val="0"/>
              <w:rPr>
                <w:sz w:val="2"/>
                <w:szCs w:val="2"/>
                <w14:ligatures w14:val="none"/>
              </w:rPr>
            </w:pPr>
          </w:p>
        </w:tc>
        <w:tc>
          <w:tcPr>
            <w:tcW w:w="416" w:type="pct"/>
            <w:vAlign w:val="center"/>
          </w:tcPr>
          <w:p w14:paraId="6FC9177E">
            <w:pPr>
              <w:pStyle w:val="64"/>
              <w:adjustRightInd w:val="0"/>
              <w:snapToGrid w:val="0"/>
              <w:rPr>
                <w:szCs w:val="22"/>
                <w14:ligatures w14:val="none"/>
              </w:rPr>
            </w:pPr>
            <w:r>
              <w:rPr>
                <w:rFonts w:hint="eastAsia"/>
                <w:kern w:val="0"/>
                <w:szCs w:val="21"/>
                <w14:ligatures w14:val="none"/>
              </w:rPr>
              <w:t>乙醇</w:t>
            </w:r>
          </w:p>
        </w:tc>
        <w:tc>
          <w:tcPr>
            <w:tcW w:w="663" w:type="pct"/>
            <w:vAlign w:val="center"/>
          </w:tcPr>
          <w:p w14:paraId="10972B72">
            <w:pPr>
              <w:pStyle w:val="64"/>
              <w:adjustRightInd w:val="0"/>
              <w:snapToGrid w:val="0"/>
              <w:rPr>
                <w:szCs w:val="22"/>
                <w14:ligatures w14:val="none"/>
              </w:rPr>
            </w:pPr>
            <w:r>
              <w:rPr>
                <w:kern w:val="0"/>
                <w:szCs w:val="21"/>
                <w14:ligatures w14:val="none"/>
              </w:rPr>
              <w:t>BHT</w:t>
            </w:r>
            <w:r>
              <w:rPr>
                <w:rFonts w:hint="eastAsia"/>
                <w:kern w:val="0"/>
                <w:szCs w:val="21"/>
                <w14:ligatures w14:val="none"/>
              </w:rPr>
              <w:t>车间</w:t>
            </w:r>
          </w:p>
        </w:tc>
        <w:tc>
          <w:tcPr>
            <w:tcW w:w="435" w:type="pct"/>
            <w:vMerge w:val="continue"/>
            <w:vAlign w:val="center"/>
          </w:tcPr>
          <w:p w14:paraId="126A72D5">
            <w:pPr>
              <w:pStyle w:val="64"/>
              <w:adjustRightInd w:val="0"/>
              <w:snapToGrid w:val="0"/>
              <w:rPr>
                <w:sz w:val="2"/>
                <w:szCs w:val="2"/>
                <w14:ligatures w14:val="none"/>
              </w:rPr>
            </w:pPr>
          </w:p>
        </w:tc>
        <w:tc>
          <w:tcPr>
            <w:tcW w:w="406" w:type="pct"/>
            <w:vMerge w:val="continue"/>
            <w:vAlign w:val="center"/>
          </w:tcPr>
          <w:p w14:paraId="18C4149F">
            <w:pPr>
              <w:pStyle w:val="64"/>
              <w:adjustRightInd w:val="0"/>
              <w:snapToGrid w:val="0"/>
              <w:rPr>
                <w:sz w:val="2"/>
                <w:szCs w:val="2"/>
                <w14:ligatures w14:val="none"/>
              </w:rPr>
            </w:pPr>
          </w:p>
        </w:tc>
        <w:tc>
          <w:tcPr>
            <w:tcW w:w="506" w:type="pct"/>
            <w:vMerge w:val="continue"/>
            <w:vAlign w:val="center"/>
          </w:tcPr>
          <w:p w14:paraId="3557D6ED">
            <w:pPr>
              <w:pStyle w:val="64"/>
              <w:adjustRightInd w:val="0"/>
              <w:snapToGrid w:val="0"/>
              <w:rPr>
                <w:sz w:val="2"/>
                <w:szCs w:val="2"/>
                <w14:ligatures w14:val="none"/>
              </w:rPr>
            </w:pPr>
          </w:p>
        </w:tc>
        <w:tc>
          <w:tcPr>
            <w:tcW w:w="405" w:type="pct"/>
            <w:vMerge w:val="continue"/>
            <w:vAlign w:val="center"/>
          </w:tcPr>
          <w:p w14:paraId="05DD20A9">
            <w:pPr>
              <w:pStyle w:val="64"/>
              <w:adjustRightInd w:val="0"/>
              <w:snapToGrid w:val="0"/>
              <w:rPr>
                <w:sz w:val="2"/>
                <w:szCs w:val="2"/>
                <w14:ligatures w14:val="none"/>
              </w:rPr>
            </w:pPr>
          </w:p>
        </w:tc>
        <w:tc>
          <w:tcPr>
            <w:tcW w:w="1862" w:type="pct"/>
            <w:vMerge w:val="continue"/>
            <w:vAlign w:val="center"/>
          </w:tcPr>
          <w:p w14:paraId="0F3AAFB7">
            <w:pPr>
              <w:pStyle w:val="64"/>
              <w:adjustRightInd w:val="0"/>
              <w:snapToGrid w:val="0"/>
              <w:jc w:val="both"/>
              <w:rPr>
                <w:sz w:val="2"/>
                <w:szCs w:val="2"/>
                <w14:ligatures w14:val="none"/>
              </w:rPr>
            </w:pPr>
          </w:p>
        </w:tc>
      </w:tr>
      <w:tr w14:paraId="0DD71C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08" w:type="pct"/>
            <w:vMerge w:val="continue"/>
            <w:vAlign w:val="center"/>
          </w:tcPr>
          <w:p w14:paraId="47EA0410">
            <w:pPr>
              <w:pStyle w:val="64"/>
              <w:adjustRightInd w:val="0"/>
              <w:snapToGrid w:val="0"/>
              <w:rPr>
                <w:sz w:val="2"/>
                <w:szCs w:val="2"/>
                <w14:ligatures w14:val="none"/>
              </w:rPr>
            </w:pPr>
          </w:p>
        </w:tc>
        <w:tc>
          <w:tcPr>
            <w:tcW w:w="416" w:type="pct"/>
            <w:vAlign w:val="center"/>
          </w:tcPr>
          <w:p w14:paraId="77AAADE1">
            <w:pPr>
              <w:pStyle w:val="64"/>
              <w:adjustRightInd w:val="0"/>
              <w:snapToGrid w:val="0"/>
              <w:rPr>
                <w:szCs w:val="22"/>
                <w14:ligatures w14:val="none"/>
              </w:rPr>
            </w:pPr>
            <w:r>
              <w:rPr>
                <w:rFonts w:hint="eastAsia"/>
                <w:szCs w:val="21"/>
                <w14:ligatures w14:val="none"/>
              </w:rPr>
              <w:t>氯</w:t>
            </w:r>
          </w:p>
        </w:tc>
        <w:tc>
          <w:tcPr>
            <w:tcW w:w="663" w:type="pct"/>
            <w:vAlign w:val="center"/>
          </w:tcPr>
          <w:p w14:paraId="69DD894C">
            <w:pPr>
              <w:pStyle w:val="64"/>
              <w:adjustRightInd w:val="0"/>
              <w:snapToGrid w:val="0"/>
              <w:rPr>
                <w:szCs w:val="22"/>
                <w14:ligatures w14:val="none"/>
              </w:rPr>
            </w:pPr>
            <w:r>
              <w:rPr>
                <w:rFonts w:hint="eastAsia"/>
                <w:szCs w:val="21"/>
                <w14:ligatures w14:val="none"/>
              </w:rPr>
              <w:t>氯气储罐、氯化甲苯车间</w:t>
            </w:r>
          </w:p>
        </w:tc>
        <w:tc>
          <w:tcPr>
            <w:tcW w:w="435" w:type="pct"/>
            <w:vAlign w:val="center"/>
          </w:tcPr>
          <w:p w14:paraId="72E90C7C">
            <w:pPr>
              <w:pStyle w:val="64"/>
              <w:adjustRightInd w:val="0"/>
              <w:snapToGrid w:val="0"/>
              <w:rPr>
                <w:szCs w:val="22"/>
                <w14:ligatures w14:val="none"/>
              </w:rPr>
            </w:pPr>
            <w:r>
              <w:rPr>
                <w:rFonts w:hint="eastAsia"/>
                <w:szCs w:val="21"/>
                <w14:ligatures w14:val="none"/>
              </w:rPr>
              <w:t>/</w:t>
            </w:r>
          </w:p>
        </w:tc>
        <w:tc>
          <w:tcPr>
            <w:tcW w:w="406" w:type="pct"/>
            <w:vAlign w:val="center"/>
          </w:tcPr>
          <w:p w14:paraId="7190F61E">
            <w:pPr>
              <w:pStyle w:val="64"/>
              <w:adjustRightInd w:val="0"/>
              <w:snapToGrid w:val="0"/>
              <w:rPr>
                <w:szCs w:val="22"/>
                <w14:ligatures w14:val="none"/>
              </w:rPr>
            </w:pPr>
            <w:r>
              <w:rPr>
                <w:rFonts w:hint="eastAsia"/>
                <w:szCs w:val="21"/>
                <w14:ligatures w14:val="none"/>
              </w:rPr>
              <w:t>/</w:t>
            </w:r>
          </w:p>
        </w:tc>
        <w:tc>
          <w:tcPr>
            <w:tcW w:w="506" w:type="pct"/>
            <w:vAlign w:val="center"/>
          </w:tcPr>
          <w:p w14:paraId="613ECD84">
            <w:pPr>
              <w:pStyle w:val="64"/>
              <w:adjustRightInd w:val="0"/>
              <w:snapToGrid w:val="0"/>
              <w:rPr>
                <w:szCs w:val="22"/>
                <w14:ligatures w14:val="none"/>
              </w:rPr>
            </w:pPr>
            <w:r>
              <w:rPr>
                <w:rFonts w:hint="eastAsia"/>
                <w:szCs w:val="21"/>
                <w14:ligatures w14:val="none"/>
              </w:rPr>
              <w:t>不与储罐、装置相连的管道阀门破损泄漏</w:t>
            </w:r>
          </w:p>
        </w:tc>
        <w:tc>
          <w:tcPr>
            <w:tcW w:w="405" w:type="pct"/>
            <w:vAlign w:val="center"/>
          </w:tcPr>
          <w:p w14:paraId="415F1B18">
            <w:pPr>
              <w:pStyle w:val="64"/>
              <w:adjustRightInd w:val="0"/>
              <w:snapToGrid w:val="0"/>
              <w:rPr>
                <w:szCs w:val="22"/>
                <w14:ligatures w14:val="none"/>
              </w:rPr>
            </w:pPr>
            <w:r>
              <w:rPr>
                <w:rFonts w:hint="eastAsia"/>
                <w:szCs w:val="21"/>
                <w14:ligatures w14:val="none"/>
              </w:rPr>
              <w:t>与储罐、装置相连的管道阀门泄漏</w:t>
            </w:r>
          </w:p>
        </w:tc>
        <w:tc>
          <w:tcPr>
            <w:tcW w:w="1862" w:type="pct"/>
            <w:vAlign w:val="center"/>
          </w:tcPr>
          <w:p w14:paraId="789F2EE6">
            <w:pPr>
              <w:pStyle w:val="64"/>
              <w:adjustRightInd w:val="0"/>
              <w:snapToGrid w:val="0"/>
              <w:jc w:val="both"/>
              <w:rPr>
                <w:szCs w:val="22"/>
                <w14:ligatures w14:val="none"/>
              </w:rPr>
            </w:pPr>
            <w:r>
              <w:rPr>
                <w:rFonts w:hint="eastAsia"/>
                <w:szCs w:val="21"/>
                <w14:ligatures w14:val="none"/>
              </w:rPr>
              <w:t>该装置内设有气化装置，采用可靠的集散控制系统</w:t>
            </w:r>
            <w:r>
              <w:rPr>
                <w:szCs w:val="21"/>
                <w14:ligatures w14:val="none"/>
              </w:rPr>
              <w:t>(DCS)</w:t>
            </w:r>
            <w:r>
              <w:rPr>
                <w:rFonts w:hint="eastAsia"/>
                <w:szCs w:val="21"/>
                <w14:ligatures w14:val="none"/>
              </w:rPr>
              <w:t>及事故紧急停车系统</w:t>
            </w:r>
            <w:r>
              <w:rPr>
                <w:szCs w:val="21"/>
                <w14:ligatures w14:val="none"/>
              </w:rPr>
              <w:t>(ESD)</w:t>
            </w:r>
            <w:r>
              <w:rPr>
                <w:rFonts w:hint="eastAsia"/>
                <w:szCs w:val="21"/>
                <w14:ligatures w14:val="none"/>
              </w:rPr>
              <w:t>，实现生产过程的正常操作、开停车操作以及生产过程数据采集、信息管理和生产管理的集中控制。安装了液氯报警装置，并有电视监控系统。设置了液氯泄漏水洗塔以及分解塔。罐区及卸车设施周围安装有液碱紧急泄漏喷淋分解系统，储罐安装在管棚内，一旦泄漏，可立即在控制室关闭罐棚卷帘门，阻止氯气扩散，完成事故自动抽风处理设施。</w:t>
            </w:r>
          </w:p>
        </w:tc>
      </w:tr>
      <w:tr w14:paraId="32AC45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08" w:type="pct"/>
            <w:vAlign w:val="center"/>
          </w:tcPr>
          <w:p w14:paraId="10799A74">
            <w:pPr>
              <w:pStyle w:val="64"/>
              <w:adjustRightInd w:val="0"/>
              <w:snapToGrid w:val="0"/>
              <w:rPr>
                <w:szCs w:val="22"/>
                <w14:ligatures w14:val="none"/>
              </w:rPr>
            </w:pPr>
            <w:r>
              <w:rPr>
                <w:rFonts w:hint="eastAsia"/>
                <w:szCs w:val="22"/>
                <w14:ligatures w14:val="none"/>
              </w:rPr>
              <w:t>危废</w:t>
            </w:r>
          </w:p>
          <w:p w14:paraId="242718C7">
            <w:pPr>
              <w:pStyle w:val="64"/>
              <w:adjustRightInd w:val="0"/>
              <w:snapToGrid w:val="0"/>
              <w:rPr>
                <w:szCs w:val="22"/>
                <w14:ligatures w14:val="none"/>
              </w:rPr>
            </w:pPr>
            <w:r>
              <w:rPr>
                <w:rFonts w:hint="eastAsia"/>
                <w:szCs w:val="22"/>
                <w14:ligatures w14:val="none"/>
              </w:rPr>
              <w:t>流失</w:t>
            </w:r>
          </w:p>
        </w:tc>
        <w:tc>
          <w:tcPr>
            <w:tcW w:w="416" w:type="pct"/>
            <w:vAlign w:val="center"/>
          </w:tcPr>
          <w:p w14:paraId="0AEE4C75">
            <w:pPr>
              <w:pStyle w:val="64"/>
              <w:adjustRightInd w:val="0"/>
              <w:snapToGrid w:val="0"/>
              <w:rPr>
                <w:szCs w:val="22"/>
                <w14:ligatures w14:val="none"/>
              </w:rPr>
            </w:pPr>
            <w:r>
              <w:rPr>
                <w:rFonts w:hint="eastAsia"/>
                <w:szCs w:val="21"/>
                <w14:ligatures w14:val="none"/>
              </w:rPr>
              <w:t>蒸馏残渣、废机油、污泥、焚烧炉飞灰等</w:t>
            </w:r>
          </w:p>
        </w:tc>
        <w:tc>
          <w:tcPr>
            <w:tcW w:w="663" w:type="pct"/>
            <w:vAlign w:val="center"/>
          </w:tcPr>
          <w:p w14:paraId="72F7E6E3">
            <w:pPr>
              <w:pStyle w:val="64"/>
              <w:adjustRightInd w:val="0"/>
              <w:snapToGrid w:val="0"/>
              <w:rPr>
                <w:szCs w:val="22"/>
                <w14:ligatures w14:val="none"/>
              </w:rPr>
            </w:pPr>
            <w:r>
              <w:rPr>
                <w:rFonts w:hint="eastAsia"/>
                <w:szCs w:val="21"/>
                <w14:ligatures w14:val="none"/>
              </w:rPr>
              <w:t>危废库</w:t>
            </w:r>
          </w:p>
        </w:tc>
        <w:tc>
          <w:tcPr>
            <w:tcW w:w="435" w:type="pct"/>
            <w:vAlign w:val="center"/>
          </w:tcPr>
          <w:p w14:paraId="2B61901F">
            <w:pPr>
              <w:pStyle w:val="64"/>
              <w:adjustRightInd w:val="0"/>
              <w:snapToGrid w:val="0"/>
              <w:rPr>
                <w:szCs w:val="22"/>
                <w14:ligatures w14:val="none"/>
              </w:rPr>
            </w:pPr>
            <w:r>
              <w:rPr>
                <w:rFonts w:cs="Times New Roman"/>
                <w:szCs w:val="21"/>
                <w14:ligatures w14:val="none"/>
              </w:rPr>
              <w:t>/</w:t>
            </w:r>
          </w:p>
        </w:tc>
        <w:tc>
          <w:tcPr>
            <w:tcW w:w="406" w:type="pct"/>
            <w:vAlign w:val="center"/>
          </w:tcPr>
          <w:p w14:paraId="58E2C044">
            <w:pPr>
              <w:pStyle w:val="64"/>
              <w:adjustRightInd w:val="0"/>
              <w:snapToGrid w:val="0"/>
              <w:rPr>
                <w:szCs w:val="22"/>
                <w14:ligatures w14:val="none"/>
              </w:rPr>
            </w:pPr>
            <w:r>
              <w:rPr>
                <w:rFonts w:hint="eastAsia" w:cs="Times New Roman"/>
                <w:szCs w:val="21"/>
                <w14:ligatures w14:val="none"/>
              </w:rPr>
              <w:t>单个包装容器发生流失</w:t>
            </w:r>
          </w:p>
        </w:tc>
        <w:tc>
          <w:tcPr>
            <w:tcW w:w="506" w:type="pct"/>
            <w:vAlign w:val="center"/>
          </w:tcPr>
          <w:p w14:paraId="0DF6C3BA">
            <w:pPr>
              <w:pStyle w:val="64"/>
              <w:adjustRightInd w:val="0"/>
              <w:snapToGrid w:val="0"/>
              <w:rPr>
                <w:szCs w:val="22"/>
                <w14:ligatures w14:val="none"/>
              </w:rPr>
            </w:pPr>
            <w:r>
              <w:rPr>
                <w:rFonts w:hint="eastAsia" w:cs="Times New Roman"/>
                <w:szCs w:val="21"/>
                <w14:ligatures w14:val="none"/>
              </w:rPr>
              <w:t>多个包装容器发生流失</w:t>
            </w:r>
          </w:p>
        </w:tc>
        <w:tc>
          <w:tcPr>
            <w:tcW w:w="405" w:type="pct"/>
            <w:vAlign w:val="center"/>
          </w:tcPr>
          <w:p w14:paraId="4EBF73F0">
            <w:pPr>
              <w:pStyle w:val="64"/>
              <w:adjustRightInd w:val="0"/>
              <w:snapToGrid w:val="0"/>
              <w:rPr>
                <w:szCs w:val="22"/>
                <w14:ligatures w14:val="none"/>
              </w:rPr>
            </w:pPr>
            <w:r>
              <w:rPr>
                <w:rFonts w:hint="eastAsia"/>
                <w:szCs w:val="21"/>
                <w14:ligatures w14:val="none"/>
              </w:rPr>
              <w:t>/</w:t>
            </w:r>
          </w:p>
        </w:tc>
        <w:tc>
          <w:tcPr>
            <w:tcW w:w="1862" w:type="pct"/>
            <w:vAlign w:val="center"/>
          </w:tcPr>
          <w:p w14:paraId="21CF8EF6">
            <w:pPr>
              <w:pStyle w:val="64"/>
              <w:adjustRightInd w:val="0"/>
              <w:snapToGrid w:val="0"/>
              <w:jc w:val="both"/>
              <w:rPr>
                <w:szCs w:val="22"/>
                <w14:ligatures w14:val="none"/>
              </w:rPr>
            </w:pPr>
            <w:r>
              <w:rPr>
                <w:rFonts w:hint="eastAsia"/>
                <w:szCs w:val="21"/>
                <w14:ligatures w14:val="none"/>
              </w:rPr>
              <w:t>危废暂存间内重点防渗，设有导流沟、积液池等收集设施</w:t>
            </w:r>
          </w:p>
        </w:tc>
      </w:tr>
      <w:tr w14:paraId="253147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08" w:type="pct"/>
            <w:vAlign w:val="center"/>
          </w:tcPr>
          <w:p w14:paraId="1601089A">
            <w:pPr>
              <w:pStyle w:val="64"/>
              <w:adjustRightInd w:val="0"/>
              <w:snapToGrid w:val="0"/>
              <w:rPr>
                <w:szCs w:val="22"/>
                <w14:ligatures w14:val="none"/>
              </w:rPr>
            </w:pPr>
            <w:r>
              <w:rPr>
                <w:rFonts w:hint="eastAsia"/>
                <w:szCs w:val="21"/>
                <w14:ligatures w14:val="none"/>
              </w:rPr>
              <w:t>废气异常排放</w:t>
            </w:r>
          </w:p>
        </w:tc>
        <w:tc>
          <w:tcPr>
            <w:tcW w:w="416" w:type="pct"/>
            <w:vAlign w:val="center"/>
          </w:tcPr>
          <w:p w14:paraId="40B3C334">
            <w:pPr>
              <w:pStyle w:val="64"/>
              <w:adjustRightInd w:val="0"/>
              <w:snapToGrid w:val="0"/>
              <w:jc w:val="both"/>
              <w:rPr>
                <w:rFonts w:eastAsia="Times New Roman"/>
                <w:szCs w:val="22"/>
                <w14:ligatures w14:val="none"/>
              </w:rPr>
            </w:pPr>
            <w:r>
              <w:rPr>
                <w:rFonts w:hint="eastAsia"/>
                <w:szCs w:val="21"/>
                <w14:ligatures w14:val="none"/>
              </w:rPr>
              <w:t>粉尘、</w:t>
            </w:r>
            <w:r>
              <w:rPr>
                <w:szCs w:val="21"/>
                <w14:ligatures w14:val="none"/>
              </w:rPr>
              <w:t>SO</w:t>
            </w:r>
            <w:r>
              <w:rPr>
                <w:szCs w:val="21"/>
                <w:vertAlign w:val="subscript"/>
                <w14:ligatures w14:val="none"/>
              </w:rPr>
              <w:t>2</w:t>
            </w:r>
            <w:r>
              <w:rPr>
                <w:rFonts w:hint="eastAsia"/>
                <w:szCs w:val="21"/>
                <w14:ligatures w14:val="none"/>
              </w:rPr>
              <w:t>、</w:t>
            </w:r>
            <w:r>
              <w:rPr>
                <w:szCs w:val="21"/>
                <w14:ligatures w14:val="none"/>
              </w:rPr>
              <w:t>NOx</w:t>
            </w:r>
            <w:r>
              <w:rPr>
                <w:rFonts w:hint="eastAsia"/>
                <w:szCs w:val="21"/>
                <w14:ligatures w14:val="none"/>
              </w:rPr>
              <w:t>、</w:t>
            </w:r>
            <w:r>
              <w:rPr>
                <w:szCs w:val="21"/>
                <w14:ligatures w14:val="none"/>
              </w:rPr>
              <w:t>VOC</w:t>
            </w:r>
            <w:r>
              <w:rPr>
                <w:rFonts w:hint="eastAsia"/>
                <w:szCs w:val="21"/>
                <w14:ligatures w14:val="none"/>
              </w:rPr>
              <w:t>、酚类等</w:t>
            </w:r>
          </w:p>
        </w:tc>
        <w:tc>
          <w:tcPr>
            <w:tcW w:w="663" w:type="pct"/>
            <w:vAlign w:val="center"/>
          </w:tcPr>
          <w:p w14:paraId="4B5471C4">
            <w:pPr>
              <w:pStyle w:val="64"/>
              <w:adjustRightInd w:val="0"/>
              <w:snapToGrid w:val="0"/>
              <w:rPr>
                <w:szCs w:val="22"/>
                <w14:ligatures w14:val="none"/>
              </w:rPr>
            </w:pPr>
            <w:r>
              <w:rPr>
                <w:rFonts w:hint="eastAsia"/>
                <w:szCs w:val="21"/>
                <w14:ligatures w14:val="none"/>
              </w:rPr>
              <w:t>各废气处理装置，</w:t>
            </w:r>
            <w:r>
              <w:rPr>
                <w:szCs w:val="21"/>
                <w14:ligatures w14:val="none"/>
              </w:rPr>
              <w:t>RTO</w:t>
            </w:r>
            <w:r>
              <w:rPr>
                <w:rFonts w:hint="eastAsia"/>
                <w:szCs w:val="21"/>
                <w14:ligatures w14:val="none"/>
              </w:rPr>
              <w:t>焚烧炉</w:t>
            </w:r>
          </w:p>
        </w:tc>
        <w:tc>
          <w:tcPr>
            <w:tcW w:w="435" w:type="pct"/>
            <w:vAlign w:val="center"/>
          </w:tcPr>
          <w:p w14:paraId="019D37CF">
            <w:pPr>
              <w:pStyle w:val="64"/>
              <w:adjustRightInd w:val="0"/>
              <w:snapToGrid w:val="0"/>
              <w:rPr>
                <w:szCs w:val="22"/>
                <w14:ligatures w14:val="none"/>
              </w:rPr>
            </w:pPr>
            <w:r>
              <w:rPr>
                <w:rFonts w:hint="eastAsia"/>
                <w:szCs w:val="21"/>
                <w14:ligatures w14:val="none"/>
              </w:rPr>
              <w:t>易损件破坏，及时能够更换</w:t>
            </w:r>
          </w:p>
        </w:tc>
        <w:tc>
          <w:tcPr>
            <w:tcW w:w="406" w:type="pct"/>
            <w:vAlign w:val="center"/>
          </w:tcPr>
          <w:p w14:paraId="0772BE3E">
            <w:pPr>
              <w:pStyle w:val="64"/>
              <w:adjustRightInd w:val="0"/>
              <w:snapToGrid w:val="0"/>
              <w:rPr>
                <w:szCs w:val="22"/>
                <w14:ligatures w14:val="none"/>
              </w:rPr>
            </w:pPr>
            <w:r>
              <w:rPr>
                <w:rFonts w:hint="eastAsia"/>
                <w:szCs w:val="21"/>
                <w14:ligatures w14:val="none"/>
              </w:rPr>
              <w:t>/</w:t>
            </w:r>
          </w:p>
        </w:tc>
        <w:tc>
          <w:tcPr>
            <w:tcW w:w="506" w:type="pct"/>
            <w:vAlign w:val="center"/>
          </w:tcPr>
          <w:p w14:paraId="57F91349">
            <w:pPr>
              <w:pStyle w:val="64"/>
              <w:adjustRightInd w:val="0"/>
              <w:snapToGrid w:val="0"/>
              <w:rPr>
                <w:szCs w:val="22"/>
                <w14:ligatures w14:val="none"/>
              </w:rPr>
            </w:pPr>
            <w:r>
              <w:rPr>
                <w:rFonts w:hint="eastAsia"/>
                <w:szCs w:val="21"/>
                <w14:ligatures w14:val="none"/>
              </w:rPr>
              <w:t>废气处理设备严重损</w:t>
            </w:r>
            <w:r>
              <w:rPr>
                <w:szCs w:val="21"/>
                <w14:ligatures w14:val="none"/>
              </w:rPr>
              <w:t xml:space="preserve"> </w:t>
            </w:r>
            <w:r>
              <w:rPr>
                <w:rFonts w:hint="eastAsia"/>
                <w:szCs w:val="21"/>
                <w14:ligatures w14:val="none"/>
              </w:rPr>
              <w:t>坏，需要设备厂家提供技术支持</w:t>
            </w:r>
          </w:p>
        </w:tc>
        <w:tc>
          <w:tcPr>
            <w:tcW w:w="405" w:type="pct"/>
            <w:vAlign w:val="center"/>
          </w:tcPr>
          <w:p w14:paraId="0965B6CB">
            <w:pPr>
              <w:pStyle w:val="64"/>
              <w:adjustRightInd w:val="0"/>
              <w:snapToGrid w:val="0"/>
              <w:rPr>
                <w:szCs w:val="22"/>
                <w14:ligatures w14:val="none"/>
              </w:rPr>
            </w:pPr>
            <w:r>
              <w:rPr>
                <w:rFonts w:hint="eastAsia"/>
                <w:szCs w:val="21"/>
                <w14:ligatures w14:val="none"/>
              </w:rPr>
              <w:t>/</w:t>
            </w:r>
          </w:p>
        </w:tc>
        <w:tc>
          <w:tcPr>
            <w:tcW w:w="1862" w:type="pct"/>
            <w:vAlign w:val="center"/>
          </w:tcPr>
          <w:p w14:paraId="1E224EAF">
            <w:pPr>
              <w:pStyle w:val="64"/>
              <w:adjustRightInd w:val="0"/>
              <w:snapToGrid w:val="0"/>
              <w:jc w:val="both"/>
              <w:rPr>
                <w:szCs w:val="22"/>
                <w14:ligatures w14:val="none"/>
              </w:rPr>
            </w:pPr>
            <w:r>
              <w:rPr>
                <w:rFonts w:hint="eastAsia"/>
                <w:szCs w:val="21"/>
                <w14:ligatures w14:val="none"/>
              </w:rPr>
              <w:t>有毒气体报警，可燃气体报警、消防器材、</w:t>
            </w:r>
            <w:r>
              <w:rPr>
                <w:szCs w:val="21"/>
                <w14:ligatures w14:val="none"/>
              </w:rPr>
              <w:t xml:space="preserve">DCS </w:t>
            </w:r>
            <w:r>
              <w:rPr>
                <w:rFonts w:hint="eastAsia"/>
                <w:szCs w:val="21"/>
                <w14:ligatures w14:val="none"/>
              </w:rPr>
              <w:t>视频监控，各车间精馏塔、蒸馏塔采用的冷凝，各车间设置尾气总管，将各精馏塔、蒸馏塔不凝气进行收集，在各车间尾气总管排口处设置“深冷”装置，将总管中的不凝气进一步进行处理，减少废气的排放。锅炉废气多管除尘</w:t>
            </w:r>
            <w:r>
              <w:rPr>
                <w:szCs w:val="21"/>
                <w14:ligatures w14:val="none"/>
              </w:rPr>
              <w:t>+</w:t>
            </w:r>
            <w:r>
              <w:rPr>
                <w:rFonts w:hint="eastAsia"/>
                <w:szCs w:val="21"/>
                <w14:ligatures w14:val="none"/>
              </w:rPr>
              <w:t>双级湿法</w:t>
            </w:r>
            <w:r>
              <w:rPr>
                <w:szCs w:val="21"/>
                <w14:ligatures w14:val="none"/>
              </w:rPr>
              <w:t>(</w:t>
            </w:r>
            <w:r>
              <w:rPr>
                <w:rFonts w:hint="eastAsia"/>
                <w:szCs w:val="21"/>
                <w14:ligatures w14:val="none"/>
              </w:rPr>
              <w:t>氢氧化钠溶液吸收</w:t>
            </w:r>
            <w:r>
              <w:rPr>
                <w:szCs w:val="21"/>
                <w14:ligatures w14:val="none"/>
              </w:rPr>
              <w:t>)</w:t>
            </w:r>
            <w:r>
              <w:rPr>
                <w:rFonts w:hint="eastAsia"/>
                <w:szCs w:val="21"/>
                <w14:ligatures w14:val="none"/>
              </w:rPr>
              <w:t>，原煤中加石灰，脱硫。提纯装置废气采用“两级冷冻回收”</w:t>
            </w:r>
            <w:r>
              <w:rPr>
                <w:szCs w:val="21"/>
                <w14:ligatures w14:val="none"/>
              </w:rPr>
              <w:t>+</w:t>
            </w:r>
            <w:r>
              <w:rPr>
                <w:rFonts w:hint="eastAsia"/>
                <w:szCs w:val="21"/>
                <w14:ligatures w14:val="none"/>
              </w:rPr>
              <w:t>“水洗吸收</w:t>
            </w:r>
            <w:r>
              <w:rPr>
                <w:szCs w:val="21"/>
                <w14:ligatures w14:val="none"/>
              </w:rPr>
              <w:t>+</w:t>
            </w:r>
            <w:r>
              <w:rPr>
                <w:rFonts w:hint="eastAsia"/>
                <w:szCs w:val="21"/>
                <w14:ligatures w14:val="none"/>
              </w:rPr>
              <w:t>汽水分离</w:t>
            </w:r>
            <w:r>
              <w:rPr>
                <w:szCs w:val="21"/>
                <w14:ligatures w14:val="none"/>
              </w:rPr>
              <w:t>+RTO</w:t>
            </w:r>
            <w:r>
              <w:rPr>
                <w:rFonts w:hint="eastAsia"/>
                <w:szCs w:val="21"/>
                <w14:ligatures w14:val="none"/>
              </w:rPr>
              <w:t>焚烧”尾气处理装置进行处理，减少废气的排放。</w:t>
            </w:r>
          </w:p>
        </w:tc>
      </w:tr>
      <w:tr w14:paraId="7A7724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08" w:type="pct"/>
            <w:vAlign w:val="center"/>
          </w:tcPr>
          <w:p w14:paraId="6E871426">
            <w:pPr>
              <w:pStyle w:val="64"/>
              <w:adjustRightInd w:val="0"/>
              <w:snapToGrid w:val="0"/>
              <w:rPr>
                <w:szCs w:val="21"/>
                <w14:ligatures w14:val="none"/>
              </w:rPr>
            </w:pPr>
            <w:r>
              <w:rPr>
                <w:rFonts w:hint="eastAsia"/>
                <w:szCs w:val="21"/>
                <w14:ligatures w14:val="none"/>
              </w:rPr>
              <w:t>废气异常排放</w:t>
            </w:r>
          </w:p>
        </w:tc>
        <w:tc>
          <w:tcPr>
            <w:tcW w:w="416" w:type="pct"/>
            <w:vAlign w:val="center"/>
          </w:tcPr>
          <w:p w14:paraId="4F1CF4F5">
            <w:pPr>
              <w:pStyle w:val="64"/>
              <w:adjustRightInd w:val="0"/>
              <w:snapToGrid w:val="0"/>
              <w:rPr>
                <w:szCs w:val="21"/>
                <w14:ligatures w14:val="none"/>
              </w:rPr>
            </w:pPr>
            <w:r>
              <w:rPr>
                <w:rFonts w:hint="eastAsia"/>
                <w:szCs w:val="21"/>
                <w14:ligatures w14:val="none"/>
              </w:rPr>
              <w:t>粉尘、</w:t>
            </w:r>
            <w:r>
              <w:rPr>
                <w:szCs w:val="21"/>
                <w14:ligatures w14:val="none"/>
              </w:rPr>
              <w:t>SO</w:t>
            </w:r>
            <w:r>
              <w:rPr>
                <w:szCs w:val="21"/>
                <w:vertAlign w:val="subscript"/>
                <w14:ligatures w14:val="none"/>
              </w:rPr>
              <w:t>2</w:t>
            </w:r>
            <w:r>
              <w:rPr>
                <w:rFonts w:hint="eastAsia"/>
                <w:szCs w:val="21"/>
                <w14:ligatures w14:val="none"/>
              </w:rPr>
              <w:t>、</w:t>
            </w:r>
            <w:r>
              <w:rPr>
                <w:szCs w:val="21"/>
                <w14:ligatures w14:val="none"/>
              </w:rPr>
              <w:t>NOx</w:t>
            </w:r>
            <w:r>
              <w:rPr>
                <w:rFonts w:hint="eastAsia"/>
                <w:szCs w:val="21"/>
                <w14:ligatures w14:val="none"/>
              </w:rPr>
              <w:t>、</w:t>
            </w:r>
            <w:r>
              <w:rPr>
                <w:szCs w:val="21"/>
                <w14:ligatures w14:val="none"/>
              </w:rPr>
              <w:t>VOC</w:t>
            </w:r>
            <w:r>
              <w:rPr>
                <w:rFonts w:hint="eastAsia"/>
                <w:szCs w:val="21"/>
                <w14:ligatures w14:val="none"/>
              </w:rPr>
              <w:t>、酚类等</w:t>
            </w:r>
          </w:p>
        </w:tc>
        <w:tc>
          <w:tcPr>
            <w:tcW w:w="663" w:type="pct"/>
            <w:vAlign w:val="center"/>
          </w:tcPr>
          <w:p w14:paraId="24EE3E49">
            <w:pPr>
              <w:pStyle w:val="64"/>
              <w:adjustRightInd w:val="0"/>
              <w:snapToGrid w:val="0"/>
              <w:rPr>
                <w:szCs w:val="21"/>
                <w14:ligatures w14:val="none"/>
              </w:rPr>
            </w:pPr>
            <w:r>
              <w:rPr>
                <w:rFonts w:hint="eastAsia"/>
                <w:szCs w:val="21"/>
                <w14:ligatures w14:val="none"/>
              </w:rPr>
              <w:t>各废气处理装置，</w:t>
            </w:r>
            <w:r>
              <w:rPr>
                <w:szCs w:val="21"/>
                <w14:ligatures w14:val="none"/>
              </w:rPr>
              <w:t>RTO</w:t>
            </w:r>
            <w:r>
              <w:rPr>
                <w:rFonts w:hint="eastAsia"/>
                <w:szCs w:val="21"/>
                <w14:ligatures w14:val="none"/>
              </w:rPr>
              <w:t>焚烧炉</w:t>
            </w:r>
          </w:p>
        </w:tc>
        <w:tc>
          <w:tcPr>
            <w:tcW w:w="435" w:type="pct"/>
            <w:vAlign w:val="center"/>
          </w:tcPr>
          <w:p w14:paraId="62D843D8">
            <w:pPr>
              <w:pStyle w:val="64"/>
              <w:adjustRightInd w:val="0"/>
              <w:snapToGrid w:val="0"/>
              <w:rPr>
                <w:szCs w:val="21"/>
                <w14:ligatures w14:val="none"/>
              </w:rPr>
            </w:pPr>
            <w:r>
              <w:rPr>
                <w:rFonts w:hint="eastAsia"/>
                <w:szCs w:val="21"/>
                <w14:ligatures w14:val="none"/>
              </w:rPr>
              <w:t>易损件破坏，及时能够更换</w:t>
            </w:r>
          </w:p>
        </w:tc>
        <w:tc>
          <w:tcPr>
            <w:tcW w:w="406" w:type="pct"/>
            <w:vAlign w:val="center"/>
          </w:tcPr>
          <w:p w14:paraId="1DAFA0B2">
            <w:pPr>
              <w:pStyle w:val="64"/>
              <w:adjustRightInd w:val="0"/>
              <w:snapToGrid w:val="0"/>
              <w:rPr>
                <w:szCs w:val="21"/>
                <w14:ligatures w14:val="none"/>
              </w:rPr>
            </w:pPr>
            <w:r>
              <w:rPr>
                <w:rFonts w:hint="eastAsia"/>
                <w:szCs w:val="21"/>
                <w14:ligatures w14:val="none"/>
              </w:rPr>
              <w:t>/</w:t>
            </w:r>
          </w:p>
        </w:tc>
        <w:tc>
          <w:tcPr>
            <w:tcW w:w="506" w:type="pct"/>
            <w:vAlign w:val="center"/>
          </w:tcPr>
          <w:p w14:paraId="75B47D5D">
            <w:pPr>
              <w:pStyle w:val="64"/>
              <w:adjustRightInd w:val="0"/>
              <w:snapToGrid w:val="0"/>
              <w:rPr>
                <w:szCs w:val="21"/>
                <w14:ligatures w14:val="none"/>
              </w:rPr>
            </w:pPr>
            <w:r>
              <w:rPr>
                <w:rFonts w:hint="eastAsia"/>
                <w:szCs w:val="21"/>
                <w14:ligatures w14:val="none"/>
              </w:rPr>
              <w:t>废气处理设备严重损坏，需要设备厂家提供技术支持</w:t>
            </w:r>
          </w:p>
        </w:tc>
        <w:tc>
          <w:tcPr>
            <w:tcW w:w="405" w:type="pct"/>
            <w:vAlign w:val="center"/>
          </w:tcPr>
          <w:p w14:paraId="283A5B89">
            <w:pPr>
              <w:pStyle w:val="64"/>
              <w:adjustRightInd w:val="0"/>
              <w:snapToGrid w:val="0"/>
              <w:rPr>
                <w:szCs w:val="21"/>
                <w14:ligatures w14:val="none"/>
              </w:rPr>
            </w:pPr>
            <w:r>
              <w:rPr>
                <w:rFonts w:hint="eastAsia"/>
                <w:szCs w:val="21"/>
                <w14:ligatures w14:val="none"/>
              </w:rPr>
              <w:t>/</w:t>
            </w:r>
          </w:p>
        </w:tc>
        <w:tc>
          <w:tcPr>
            <w:tcW w:w="1862" w:type="pct"/>
            <w:vAlign w:val="center"/>
          </w:tcPr>
          <w:p w14:paraId="61D66F42">
            <w:pPr>
              <w:pStyle w:val="64"/>
              <w:adjustRightInd w:val="0"/>
              <w:snapToGrid w:val="0"/>
              <w:jc w:val="both"/>
              <w:rPr>
                <w:szCs w:val="21"/>
                <w14:ligatures w14:val="none"/>
              </w:rPr>
            </w:pPr>
            <w:r>
              <w:rPr>
                <w:rFonts w:hint="eastAsia"/>
                <w:szCs w:val="21"/>
                <w14:ligatures w14:val="none"/>
              </w:rPr>
              <w:t>有毒气体报警，可燃气体报警、消防器材、</w:t>
            </w:r>
            <w:r>
              <w:rPr>
                <w:szCs w:val="21"/>
                <w14:ligatures w14:val="none"/>
              </w:rPr>
              <w:t>DCS</w:t>
            </w:r>
            <w:r>
              <w:rPr>
                <w:rFonts w:hint="eastAsia"/>
                <w:szCs w:val="21"/>
                <w14:ligatures w14:val="none"/>
              </w:rPr>
              <w:t>视频监控，各车间精馏塔、蒸馏塔采用的冷凝，各车间设置尾气总管，将各精馏塔、蒸馏塔不凝气进行收集，在各车间尾气总管排口处设置“深冷”装置，将总管中的不凝气进一步进行处理，减少废气的排放。锅炉废气经</w:t>
            </w:r>
            <w:r>
              <w:rPr>
                <w:rFonts w:hint="eastAsia" w:ascii="宋体" w:hAnsi="宋体"/>
                <w:szCs w:val="22"/>
                <w14:ligatures w14:val="none"/>
              </w:rPr>
              <w:t>“</w:t>
            </w:r>
            <w:r>
              <w:rPr>
                <w:szCs w:val="22"/>
                <w:lang w:val="zh-CN" w:bidi="zh-CN"/>
                <w14:ligatures w14:val="none"/>
              </w:rPr>
              <w:t>石灰石干法脱硫</w:t>
            </w:r>
            <w:r>
              <w:rPr>
                <w:rFonts w:eastAsia="Times New Roman"/>
                <w:szCs w:val="22"/>
                <w:lang w:val="zh-CN" w:bidi="zh-CN"/>
                <w14:ligatures w14:val="none"/>
              </w:rPr>
              <w:t>+</w:t>
            </w:r>
            <w:r>
              <w:rPr>
                <w:rFonts w:eastAsiaTheme="minorEastAsia"/>
                <w:szCs w:val="22"/>
                <w:lang w:val="zh-CN" w:bidi="zh-CN"/>
                <w14:ligatures w14:val="none"/>
              </w:rPr>
              <w:t>SNCR+SCR+</w:t>
            </w:r>
            <w:r>
              <w:rPr>
                <w:szCs w:val="22"/>
                <w:lang w:val="zh-CN" w:bidi="zh-CN"/>
                <w14:ligatures w14:val="none"/>
              </w:rPr>
              <w:t>布袋除尘器</w:t>
            </w:r>
            <w:r>
              <w:rPr>
                <w:rFonts w:eastAsia="Times New Roman"/>
                <w:szCs w:val="22"/>
                <w:lang w:val="zh-CN" w:bidi="zh-CN"/>
                <w14:ligatures w14:val="none"/>
              </w:rPr>
              <w:t>+</w:t>
            </w:r>
            <w:r>
              <w:rPr>
                <w:szCs w:val="22"/>
                <w:lang w:val="zh-CN" w:bidi="zh-CN"/>
                <w14:ligatures w14:val="none"/>
              </w:rPr>
              <w:t>脱硫(石灰石</w:t>
            </w:r>
            <w:r>
              <w:rPr>
                <w:rFonts w:eastAsia="Times New Roman"/>
                <w:szCs w:val="22"/>
                <w:lang w:val="zh-CN" w:bidi="zh-CN"/>
                <w14:ligatures w14:val="none"/>
              </w:rPr>
              <w:t>/</w:t>
            </w:r>
            <w:r>
              <w:rPr>
                <w:szCs w:val="22"/>
                <w:lang w:val="zh-CN" w:bidi="zh-CN"/>
                <w14:ligatures w14:val="none"/>
              </w:rPr>
              <w:t>石膏湿法)除尘一体化设施</w:t>
            </w:r>
            <w:r>
              <w:rPr>
                <w:rFonts w:hint="eastAsia" w:ascii="宋体" w:hAnsi="宋体"/>
                <w:szCs w:val="22"/>
                <w14:ligatures w14:val="none"/>
              </w:rPr>
              <w:t>”处理</w:t>
            </w:r>
            <w:r>
              <w:rPr>
                <w:rFonts w:hint="eastAsia"/>
                <w:szCs w:val="21"/>
                <w14:ligatures w14:val="none"/>
              </w:rPr>
              <w:t>。提纯装置废气采用“两级冷冻回收”</w:t>
            </w:r>
            <w:r>
              <w:rPr>
                <w:szCs w:val="21"/>
                <w14:ligatures w14:val="none"/>
              </w:rPr>
              <w:t>+</w:t>
            </w:r>
            <w:r>
              <w:rPr>
                <w:rFonts w:hint="eastAsia"/>
                <w:szCs w:val="21"/>
                <w14:ligatures w14:val="none"/>
              </w:rPr>
              <w:t>“水洗吸收</w:t>
            </w:r>
            <w:r>
              <w:rPr>
                <w:szCs w:val="21"/>
                <w14:ligatures w14:val="none"/>
              </w:rPr>
              <w:t>+</w:t>
            </w:r>
            <w:r>
              <w:rPr>
                <w:rFonts w:hint="eastAsia"/>
                <w:szCs w:val="21"/>
                <w14:ligatures w14:val="none"/>
              </w:rPr>
              <w:t>汽水分离</w:t>
            </w:r>
            <w:r>
              <w:rPr>
                <w:szCs w:val="21"/>
                <w14:ligatures w14:val="none"/>
              </w:rPr>
              <w:t>+RTO</w:t>
            </w:r>
            <w:r>
              <w:rPr>
                <w:rFonts w:hint="eastAsia"/>
                <w:szCs w:val="21"/>
                <w14:ligatures w14:val="none"/>
              </w:rPr>
              <w:t>焚烧”尾气处理装置进行处理，减少废气的排放。</w:t>
            </w:r>
          </w:p>
        </w:tc>
      </w:tr>
      <w:tr w14:paraId="748EF9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08" w:type="pct"/>
            <w:vAlign w:val="center"/>
          </w:tcPr>
          <w:p w14:paraId="47C6B153">
            <w:pPr>
              <w:pStyle w:val="64"/>
              <w:adjustRightInd w:val="0"/>
              <w:snapToGrid w:val="0"/>
              <w:rPr>
                <w:szCs w:val="22"/>
                <w14:ligatures w14:val="none"/>
              </w:rPr>
            </w:pPr>
            <w:r>
              <w:rPr>
                <w:rFonts w:hint="eastAsia"/>
                <w:szCs w:val="21"/>
                <w14:ligatures w14:val="none"/>
              </w:rPr>
              <w:t>火灾、爆炸伴生环境事件</w:t>
            </w:r>
          </w:p>
        </w:tc>
        <w:tc>
          <w:tcPr>
            <w:tcW w:w="416" w:type="pct"/>
            <w:vAlign w:val="center"/>
          </w:tcPr>
          <w:p w14:paraId="2C8DAB13">
            <w:pPr>
              <w:pStyle w:val="64"/>
              <w:adjustRightInd w:val="0"/>
              <w:snapToGrid w:val="0"/>
              <w:rPr>
                <w:szCs w:val="22"/>
                <w14:ligatures w14:val="none"/>
              </w:rPr>
            </w:pPr>
            <w:r>
              <w:rPr>
                <w:rFonts w:hint="eastAsia"/>
                <w:szCs w:val="21"/>
                <w14:ligatures w14:val="none"/>
              </w:rPr>
              <w:t>事故状态下消防水</w:t>
            </w:r>
          </w:p>
        </w:tc>
        <w:tc>
          <w:tcPr>
            <w:tcW w:w="663" w:type="pct"/>
            <w:vAlign w:val="center"/>
          </w:tcPr>
          <w:p w14:paraId="51E8BD49">
            <w:pPr>
              <w:pStyle w:val="64"/>
              <w:adjustRightInd w:val="0"/>
              <w:snapToGrid w:val="0"/>
              <w:rPr>
                <w:szCs w:val="22"/>
                <w14:ligatures w14:val="none"/>
              </w:rPr>
            </w:pPr>
            <w:r>
              <w:rPr>
                <w:rFonts w:hint="eastAsia"/>
                <w:szCs w:val="21"/>
                <w14:ligatures w14:val="none"/>
              </w:rPr>
              <w:t>罐区、中间罐区，各车间</w:t>
            </w:r>
          </w:p>
        </w:tc>
        <w:tc>
          <w:tcPr>
            <w:tcW w:w="435" w:type="pct"/>
            <w:vAlign w:val="center"/>
          </w:tcPr>
          <w:p w14:paraId="68B27B00">
            <w:pPr>
              <w:pStyle w:val="64"/>
              <w:adjustRightInd w:val="0"/>
              <w:snapToGrid w:val="0"/>
              <w:rPr>
                <w:szCs w:val="22"/>
                <w14:ligatures w14:val="none"/>
              </w:rPr>
            </w:pPr>
            <w:r>
              <w:rPr>
                <w:rFonts w:hint="eastAsia"/>
                <w:szCs w:val="21"/>
                <w14:ligatures w14:val="none"/>
              </w:rPr>
              <w:t>火灾事件能够有效控制</w:t>
            </w:r>
          </w:p>
        </w:tc>
        <w:tc>
          <w:tcPr>
            <w:tcW w:w="406" w:type="pct"/>
            <w:vAlign w:val="center"/>
          </w:tcPr>
          <w:p w14:paraId="222594E8">
            <w:pPr>
              <w:pStyle w:val="64"/>
              <w:adjustRightInd w:val="0"/>
              <w:snapToGrid w:val="0"/>
              <w:rPr>
                <w:szCs w:val="22"/>
                <w14:ligatures w14:val="none"/>
              </w:rPr>
            </w:pPr>
            <w:r>
              <w:rPr>
                <w:szCs w:val="21"/>
                <w14:ligatures w14:val="none"/>
              </w:rPr>
              <w:t>/</w:t>
            </w:r>
          </w:p>
        </w:tc>
        <w:tc>
          <w:tcPr>
            <w:tcW w:w="506" w:type="pct"/>
            <w:vAlign w:val="center"/>
          </w:tcPr>
          <w:p w14:paraId="16CE3CF5">
            <w:pPr>
              <w:pStyle w:val="64"/>
              <w:adjustRightInd w:val="0"/>
              <w:snapToGrid w:val="0"/>
              <w:rPr>
                <w:szCs w:val="22"/>
                <w14:ligatures w14:val="none"/>
              </w:rPr>
            </w:pPr>
            <w:r>
              <w:rPr>
                <w:szCs w:val="21"/>
                <w14:ligatures w14:val="none"/>
              </w:rPr>
              <w:t>/</w:t>
            </w:r>
          </w:p>
        </w:tc>
        <w:tc>
          <w:tcPr>
            <w:tcW w:w="405" w:type="pct"/>
            <w:vAlign w:val="center"/>
          </w:tcPr>
          <w:p w14:paraId="01055115">
            <w:pPr>
              <w:pStyle w:val="64"/>
              <w:adjustRightInd w:val="0"/>
              <w:snapToGrid w:val="0"/>
              <w:rPr>
                <w:szCs w:val="22"/>
                <w14:ligatures w14:val="none"/>
              </w:rPr>
            </w:pPr>
            <w:r>
              <w:rPr>
                <w:rFonts w:hint="eastAsia"/>
                <w:szCs w:val="21"/>
                <w14:ligatures w14:val="none"/>
              </w:rPr>
              <w:t>火灾后，无法控制，引发爆炸</w:t>
            </w:r>
          </w:p>
        </w:tc>
        <w:tc>
          <w:tcPr>
            <w:tcW w:w="1862" w:type="pct"/>
            <w:vAlign w:val="center"/>
          </w:tcPr>
          <w:p w14:paraId="44045072">
            <w:pPr>
              <w:pStyle w:val="64"/>
              <w:adjustRightInd w:val="0"/>
              <w:snapToGrid w:val="0"/>
              <w:jc w:val="both"/>
              <w:rPr>
                <w:szCs w:val="22"/>
                <w14:ligatures w14:val="none"/>
              </w:rPr>
            </w:pPr>
            <w:r>
              <w:rPr>
                <w:rFonts w:hint="eastAsia"/>
                <w:szCs w:val="21"/>
                <w14:ligatures w14:val="none"/>
              </w:rPr>
              <w:t>消防器材、泡沫站，可燃气体探测器报警，事故状态下，通过围堰，导流，事故池等措施，收集事故废水。</w:t>
            </w:r>
          </w:p>
        </w:tc>
      </w:tr>
    </w:tbl>
    <w:p w14:paraId="2C0BA773">
      <w:pPr>
        <w:rPr>
          <w:lang w:val="zh-CN"/>
        </w:rPr>
      </w:pPr>
    </w:p>
    <w:p w14:paraId="5623BA52"/>
    <w:p w14:paraId="33AFC9EF"/>
    <w:p w14:paraId="79E2B01C">
      <w:pPr>
        <w:sectPr>
          <w:pgSz w:w="16838" w:h="11906" w:orient="landscape"/>
          <w:pgMar w:top="1418" w:right="1418" w:bottom="1418" w:left="1418" w:header="851" w:footer="992" w:gutter="0"/>
          <w:cols w:space="425" w:num="1"/>
          <w:docGrid w:type="lines" w:linePitch="326" w:charSpace="0"/>
        </w:sectPr>
      </w:pPr>
    </w:p>
    <w:tbl>
      <w:tblPr>
        <w:tblStyle w:val="3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436"/>
        <w:gridCol w:w="4850"/>
      </w:tblGrid>
      <w:tr w14:paraId="25BF5B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28" w:type="dxa"/>
          </w:tcPr>
          <w:p w14:paraId="088B1DA8">
            <w:pPr>
              <w:pStyle w:val="64"/>
            </w:pPr>
            <w:r>
              <w:rPr>
                <w:sz w:val="20"/>
              </w:rPr>
              <w:drawing>
                <wp:inline distT="0" distB="0" distL="0" distR="0">
                  <wp:extent cx="2550160" cy="2822575"/>
                  <wp:effectExtent l="0" t="0" r="2540" b="0"/>
                  <wp:docPr id="1225" name="image1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 name="image122.jpeg"/>
                          <pic:cNvPicPr>
                            <a:picLocks noChangeAspect="1"/>
                          </pic:cNvPicPr>
                        </pic:nvPicPr>
                        <pic:blipFill>
                          <a:blip r:embed="rId48" cstate="print"/>
                          <a:stretch>
                            <a:fillRect/>
                          </a:stretch>
                        </pic:blipFill>
                        <pic:spPr>
                          <a:xfrm>
                            <a:off x="0" y="0"/>
                            <a:ext cx="2557406" cy="2830291"/>
                          </a:xfrm>
                          <a:prstGeom prst="rect">
                            <a:avLst/>
                          </a:prstGeom>
                        </pic:spPr>
                      </pic:pic>
                    </a:graphicData>
                  </a:graphic>
                </wp:inline>
              </w:drawing>
            </w:r>
          </w:p>
        </w:tc>
        <w:tc>
          <w:tcPr>
            <w:tcW w:w="4732" w:type="dxa"/>
          </w:tcPr>
          <w:p w14:paraId="5BFD76B1">
            <w:pPr>
              <w:pStyle w:val="64"/>
            </w:pPr>
            <w:r>
              <w:rPr>
                <w:sz w:val="20"/>
              </w:rPr>
              <w:drawing>
                <wp:inline distT="0" distB="0" distL="0" distR="0">
                  <wp:extent cx="3054350" cy="2726690"/>
                  <wp:effectExtent l="0" t="0" r="0" b="0"/>
                  <wp:docPr id="1226" name="image1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 name="image123.jpeg"/>
                          <pic:cNvPicPr>
                            <a:picLocks noChangeAspect="1"/>
                          </pic:cNvPicPr>
                        </pic:nvPicPr>
                        <pic:blipFill>
                          <a:blip r:embed="rId49" cstate="print"/>
                          <a:stretch>
                            <a:fillRect/>
                          </a:stretch>
                        </pic:blipFill>
                        <pic:spPr>
                          <a:xfrm>
                            <a:off x="0" y="0"/>
                            <a:ext cx="3083372" cy="2752989"/>
                          </a:xfrm>
                          <a:prstGeom prst="rect">
                            <a:avLst/>
                          </a:prstGeom>
                        </pic:spPr>
                      </pic:pic>
                    </a:graphicData>
                  </a:graphic>
                </wp:inline>
              </w:drawing>
            </w:r>
          </w:p>
        </w:tc>
      </w:tr>
      <w:tr w14:paraId="5F7ED0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28" w:type="dxa"/>
          </w:tcPr>
          <w:p w14:paraId="39182AB4">
            <w:pPr>
              <w:pStyle w:val="64"/>
            </w:pPr>
            <w:r>
              <w:rPr>
                <w:rFonts w:hint="eastAsia"/>
                <w:lang w:val="zh-CN"/>
              </w:rPr>
              <w:t>罐区泡沫站</w:t>
            </w:r>
          </w:p>
        </w:tc>
        <w:tc>
          <w:tcPr>
            <w:tcW w:w="4732" w:type="dxa"/>
          </w:tcPr>
          <w:p w14:paraId="6F2AFED3">
            <w:pPr>
              <w:pStyle w:val="64"/>
            </w:pPr>
            <w:r>
              <w:rPr>
                <w:rFonts w:hint="eastAsia"/>
                <w:lang w:val="zh-CN"/>
              </w:rPr>
              <w:t>液氯储罐有毒气体探测器</w:t>
            </w:r>
          </w:p>
        </w:tc>
      </w:tr>
      <w:tr w14:paraId="35563F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28" w:type="dxa"/>
          </w:tcPr>
          <w:p w14:paraId="1F1C19F8">
            <w:pPr>
              <w:pStyle w:val="64"/>
            </w:pPr>
            <w:r>
              <w:rPr>
                <w:sz w:val="20"/>
              </w:rPr>
              <w:drawing>
                <wp:inline distT="0" distB="0" distL="0" distR="0">
                  <wp:extent cx="2627630" cy="4672330"/>
                  <wp:effectExtent l="0" t="0" r="0" b="0"/>
                  <wp:docPr id="1227" name="image1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 name="image124.jpeg"/>
                          <pic:cNvPicPr>
                            <a:picLocks noChangeAspect="1"/>
                          </pic:cNvPicPr>
                        </pic:nvPicPr>
                        <pic:blipFill>
                          <a:blip r:embed="rId50" cstate="print"/>
                          <a:stretch>
                            <a:fillRect/>
                          </a:stretch>
                        </pic:blipFill>
                        <pic:spPr>
                          <a:xfrm>
                            <a:off x="0" y="0"/>
                            <a:ext cx="2627828" cy="4672584"/>
                          </a:xfrm>
                          <a:prstGeom prst="rect">
                            <a:avLst/>
                          </a:prstGeom>
                        </pic:spPr>
                      </pic:pic>
                    </a:graphicData>
                  </a:graphic>
                </wp:inline>
              </w:drawing>
            </w:r>
          </w:p>
        </w:tc>
        <w:tc>
          <w:tcPr>
            <w:tcW w:w="4732" w:type="dxa"/>
          </w:tcPr>
          <w:p w14:paraId="141CF100">
            <w:pPr>
              <w:pStyle w:val="64"/>
            </w:pPr>
            <w:r>
              <w:rPr>
                <w:sz w:val="20"/>
              </w:rPr>
              <w:drawing>
                <wp:inline distT="0" distB="0" distL="0" distR="0">
                  <wp:extent cx="2628900" cy="4674870"/>
                  <wp:effectExtent l="0" t="0" r="0" b="0"/>
                  <wp:docPr id="1228" name="image1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 name="image125.jpeg"/>
                          <pic:cNvPicPr>
                            <a:picLocks noChangeAspect="1"/>
                          </pic:cNvPicPr>
                        </pic:nvPicPr>
                        <pic:blipFill>
                          <a:blip r:embed="rId51" cstate="print"/>
                          <a:stretch>
                            <a:fillRect/>
                          </a:stretch>
                        </pic:blipFill>
                        <pic:spPr>
                          <a:xfrm>
                            <a:off x="0" y="0"/>
                            <a:ext cx="2635918" cy="4686977"/>
                          </a:xfrm>
                          <a:prstGeom prst="rect">
                            <a:avLst/>
                          </a:prstGeom>
                        </pic:spPr>
                      </pic:pic>
                    </a:graphicData>
                  </a:graphic>
                </wp:inline>
              </w:drawing>
            </w:r>
          </w:p>
        </w:tc>
      </w:tr>
      <w:tr w14:paraId="719D6B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28" w:type="dxa"/>
          </w:tcPr>
          <w:p w14:paraId="48CC1BCD">
            <w:pPr>
              <w:pStyle w:val="64"/>
            </w:pPr>
            <w:r>
              <w:rPr>
                <w:rFonts w:hint="eastAsia"/>
                <w:lang w:val="zh-CN"/>
              </w:rPr>
              <w:t>储罐罐区泄漏检测装置</w:t>
            </w:r>
          </w:p>
        </w:tc>
        <w:tc>
          <w:tcPr>
            <w:tcW w:w="4732" w:type="dxa"/>
          </w:tcPr>
          <w:p w14:paraId="59537431">
            <w:pPr>
              <w:pStyle w:val="64"/>
            </w:pPr>
            <w:r>
              <w:rPr>
                <w:rFonts w:hint="eastAsia"/>
                <w:lang w:val="zh-CN"/>
              </w:rPr>
              <w:t>储罐罐区围堰</w:t>
            </w:r>
          </w:p>
        </w:tc>
      </w:tr>
      <w:tr w14:paraId="71E4D1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28" w:type="dxa"/>
          </w:tcPr>
          <w:p w14:paraId="3F244122">
            <w:pPr>
              <w:pStyle w:val="64"/>
              <w:rPr>
                <w:lang w:val="zh-CN"/>
              </w:rPr>
            </w:pPr>
            <w:r>
              <w:drawing>
                <wp:inline distT="0" distB="0" distL="0" distR="0">
                  <wp:extent cx="2774950" cy="2543175"/>
                  <wp:effectExtent l="0" t="0" r="6350" b="9525"/>
                  <wp:docPr id="1229" name="图片 1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 name="图片 1229"/>
                          <pic:cNvPicPr>
                            <a:picLocks noChangeAspect="1"/>
                          </pic:cNvPicPr>
                        </pic:nvPicPr>
                        <pic:blipFill>
                          <a:blip r:embed="rId52">
                            <a:extLst>
                              <a:ext uri="{28A0092B-C50C-407E-A947-70E740481C1C}">
                                <a14:useLocalDpi xmlns:a14="http://schemas.microsoft.com/office/drawing/2010/main" val="0"/>
                              </a:ext>
                            </a:extLst>
                          </a:blip>
                          <a:stretch>
                            <a:fillRect/>
                          </a:stretch>
                        </pic:blipFill>
                        <pic:spPr>
                          <a:xfrm>
                            <a:off x="0" y="0"/>
                            <a:ext cx="2789802" cy="2557318"/>
                          </a:xfrm>
                          <a:prstGeom prst="rect">
                            <a:avLst/>
                          </a:prstGeom>
                        </pic:spPr>
                      </pic:pic>
                    </a:graphicData>
                  </a:graphic>
                </wp:inline>
              </w:drawing>
            </w:r>
          </w:p>
        </w:tc>
        <w:tc>
          <w:tcPr>
            <w:tcW w:w="4732" w:type="dxa"/>
          </w:tcPr>
          <w:p w14:paraId="6CE39555">
            <w:pPr>
              <w:pStyle w:val="64"/>
              <w:rPr>
                <w:lang w:val="zh-CN"/>
              </w:rPr>
            </w:pPr>
            <w:r>
              <w:drawing>
                <wp:inline distT="0" distB="0" distL="0" distR="0">
                  <wp:extent cx="2926080" cy="2561590"/>
                  <wp:effectExtent l="0" t="0" r="7620" b="0"/>
                  <wp:docPr id="1230" name="图片 1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 name="图片 1230"/>
                          <pic:cNvPicPr>
                            <a:picLocks noChangeAspect="1"/>
                          </pic:cNvPicPr>
                        </pic:nvPicPr>
                        <pic:blipFill>
                          <a:blip r:embed="rId53"/>
                          <a:stretch>
                            <a:fillRect/>
                          </a:stretch>
                        </pic:blipFill>
                        <pic:spPr>
                          <a:xfrm>
                            <a:off x="0" y="0"/>
                            <a:ext cx="2936998" cy="2571629"/>
                          </a:xfrm>
                          <a:prstGeom prst="rect">
                            <a:avLst/>
                          </a:prstGeom>
                        </pic:spPr>
                      </pic:pic>
                    </a:graphicData>
                  </a:graphic>
                </wp:inline>
              </w:drawing>
            </w:r>
          </w:p>
        </w:tc>
      </w:tr>
      <w:tr w14:paraId="4AE0C8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28" w:type="dxa"/>
          </w:tcPr>
          <w:p w14:paraId="72541261">
            <w:pPr>
              <w:pStyle w:val="64"/>
              <w:rPr>
                <w:lang w:val="zh-CN"/>
              </w:rPr>
            </w:pPr>
            <w:r>
              <w:rPr>
                <w:rFonts w:hint="eastAsia"/>
                <w:lang w:val="zh-CN"/>
              </w:rPr>
              <w:t>车间截流沟</w:t>
            </w:r>
          </w:p>
        </w:tc>
        <w:tc>
          <w:tcPr>
            <w:tcW w:w="4732" w:type="dxa"/>
          </w:tcPr>
          <w:p w14:paraId="1E520043">
            <w:pPr>
              <w:pStyle w:val="64"/>
              <w:rPr>
                <w:lang w:val="zh-CN"/>
              </w:rPr>
            </w:pPr>
            <w:r>
              <w:rPr>
                <w:rFonts w:hint="eastAsia"/>
                <w:lang w:val="zh-CN"/>
              </w:rPr>
              <w:t>氯化塔应急吸收塔</w:t>
            </w:r>
          </w:p>
        </w:tc>
      </w:tr>
    </w:tbl>
    <w:p w14:paraId="2C883975"/>
    <w:p w14:paraId="01111ACB">
      <w:pPr>
        <w:ind w:firstLine="480" w:firstLineChars="200"/>
      </w:pPr>
      <w:r>
        <w:rPr>
          <w:rFonts w:hint="eastAsia"/>
        </w:rPr>
        <w:t>2、技改前间甲酚车间风险防范措施</w:t>
      </w:r>
    </w:p>
    <w:p w14:paraId="083D96B2">
      <w:pPr>
        <w:ind w:firstLine="480" w:firstLineChars="200"/>
      </w:pPr>
      <w:r>
        <w:rPr>
          <w:rFonts w:hint="eastAsia"/>
        </w:rPr>
        <w:t>(1)主要工艺和设施设备采取措施</w:t>
      </w:r>
    </w:p>
    <w:p w14:paraId="3DCADFF1">
      <w:pPr>
        <w:ind w:firstLine="480" w:firstLineChars="200"/>
      </w:pPr>
      <w:r>
        <w:rPr>
          <w:rFonts w:hint="eastAsia"/>
        </w:rPr>
        <w:t>项目采用集散控制系统(DCS)，对反应釜、精馏塔、结晶器、蒸馏釜等主要生产设备的温度、压力、液位、流量等关键参数实现自动显示，对生产过程的运行状态实行实时监视及超限报警，同时能在DCS控制室显示流程图、趋势图、数据一览、报警一览等画面并打印报表；该系统可实现对主要生产设备(精馏塔、结晶器、蒸馏釜等)的进料阀、进汽阀、进水阀的控制，实现反应釜、精馏塔等设备内温度、压力同进料阀、进汽阀的连锁。自控仪表的应急电源采用UPS电源，保证自控仪表电源供应。</w:t>
      </w:r>
    </w:p>
    <w:p w14:paraId="2AFDE526">
      <w:pPr>
        <w:ind w:firstLine="480" w:firstLineChars="200"/>
      </w:pPr>
      <w:r>
        <w:rPr>
          <w:rFonts w:hint="eastAsia"/>
        </w:rPr>
        <w:t>对部分重要的安全联锁(烷基化、异丁烯罐区)，涉及到生产过程、操作人员的安全，采用独立于过程控制系统的安全仪表系统(SIS)。通过加强对操作人员的培训，各级安全责任人员增加巡查力度和现场的监控，可有效降低环境风险。</w:t>
      </w:r>
    </w:p>
    <w:p w14:paraId="694CB4A0">
      <w:pPr>
        <w:ind w:firstLine="480" w:firstLineChars="200"/>
      </w:pPr>
      <w:r>
        <w:rPr>
          <w:rFonts w:hint="eastAsia"/>
        </w:rPr>
        <w:t>采购设备委托具备国家认证资质的生产厂家制造，可以保证设备的安全可靠性。选择压力容器时考虑容器的使用条件(如设计压力、设计温度、介质特性和操作特点等)、材料的焊接性能等。</w:t>
      </w:r>
    </w:p>
    <w:p w14:paraId="3EBA4574">
      <w:pPr>
        <w:ind w:firstLine="480" w:firstLineChars="200"/>
      </w:pPr>
      <w:r>
        <w:rPr>
          <w:rFonts w:hint="eastAsia"/>
        </w:rPr>
        <w:t>(2)危险化学品采取措施</w:t>
      </w:r>
    </w:p>
    <w:p w14:paraId="0B073921">
      <w:pPr>
        <w:ind w:firstLine="480" w:firstLineChars="200"/>
      </w:pPr>
      <w:r>
        <w:rPr>
          <w:rFonts w:hint="eastAsia"/>
        </w:rPr>
        <w:t>针对生产涉及的间对甲酚、硫酸等化学品，项目采取了以下风险防范措施要求。</w:t>
      </w:r>
    </w:p>
    <w:p w14:paraId="2F274D21">
      <w:pPr>
        <w:pStyle w:val="28"/>
        <w:rPr>
          <w:rFonts w:hint="eastAsia"/>
        </w:rPr>
      </w:pPr>
      <w:r>
        <w:rPr>
          <w:rFonts w:hint="eastAsia"/>
        </w:rPr>
        <w:t>表6.8-2  危险化学品风险防范措施一览表</w:t>
      </w:r>
    </w:p>
    <w:tbl>
      <w:tblPr>
        <w:tblStyle w:val="3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29"/>
        <w:gridCol w:w="7931"/>
      </w:tblGrid>
      <w:tr w14:paraId="59A433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tcPr>
          <w:p w14:paraId="11C6AFED">
            <w:pPr>
              <w:pStyle w:val="64"/>
            </w:pPr>
            <w:r>
              <w:rPr>
                <w:rFonts w:hint="eastAsia"/>
              </w:rPr>
              <w:t>化学品</w:t>
            </w:r>
          </w:p>
        </w:tc>
        <w:tc>
          <w:tcPr>
            <w:tcW w:w="7931" w:type="dxa"/>
          </w:tcPr>
          <w:p w14:paraId="0E57CEC6">
            <w:pPr>
              <w:pStyle w:val="64"/>
            </w:pPr>
            <w:r>
              <w:rPr>
                <w:rFonts w:hint="eastAsia"/>
              </w:rPr>
              <w:t>风险防范措施要求</w:t>
            </w:r>
          </w:p>
        </w:tc>
      </w:tr>
      <w:tr w14:paraId="5E9ABB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Align w:val="center"/>
          </w:tcPr>
          <w:p w14:paraId="0B654B2C">
            <w:pPr>
              <w:pStyle w:val="64"/>
            </w:pPr>
            <w:r>
              <w:rPr>
                <w:rFonts w:hint="eastAsia"/>
              </w:rPr>
              <w:t>酚类</w:t>
            </w:r>
          </w:p>
        </w:tc>
        <w:tc>
          <w:tcPr>
            <w:tcW w:w="7931" w:type="dxa"/>
          </w:tcPr>
          <w:p w14:paraId="480193D3">
            <w:pPr>
              <w:pStyle w:val="64"/>
              <w:jc w:val="both"/>
            </w:pPr>
            <w:r>
              <w:rPr>
                <w:rFonts w:hint="eastAsia"/>
              </w:rPr>
              <w:t>一般要求：1.操作人员必须经过专门培训，严格遵守操作规程，熟练掌握操作技能，具备应急处置知识；2.严加密闭，提供充分的局部排风；3.工作现场禁止吸烟、进食和饮水；4.尽可能采取隔离操作。戴化学安全防护眼镜，穿透气型防毒服，戴防化学品手套。可能接触其粉尘时，佩戴自吸过滤式防尘口罩。紧急事态抢救或撤离时，应该佩戴自给式呼吸器。提供安全淋浴和洗眼设备；5.避免与氧化剂、酸类、碱类接触；6.生产、储存区域应设置安全警示标志；7.搬运时要轻装轻卸，防止包装及容器损坏；8.配备相应品种和数量的消防器材及泄漏应急处理设备。倒空的容器可能存在残留有害物时应及时处理。</w:t>
            </w:r>
          </w:p>
          <w:p w14:paraId="7F90F25F">
            <w:pPr>
              <w:pStyle w:val="64"/>
              <w:jc w:val="both"/>
            </w:pPr>
            <w:r>
              <w:rPr>
                <w:rFonts w:hint="eastAsia"/>
              </w:rPr>
              <w:t>操作要求：1.生产区域内，严禁明火和可能产生明火、火花的作业；2.进行检修和抢修作业时，应携带苯酚检测仪和正压自给式空气呼吸器；3.生产设备的清洗污水及生产车间内部地坪的冲洗水须收入应急池，经处理合格后才可排放。</w:t>
            </w:r>
          </w:p>
          <w:p w14:paraId="76AF15DA">
            <w:pPr>
              <w:pStyle w:val="64"/>
              <w:jc w:val="both"/>
            </w:pPr>
            <w:r>
              <w:rPr>
                <w:rFonts w:hint="eastAsia"/>
              </w:rPr>
              <w:t>储存要求：储存于阴凉、干燥、通风良好的专用库房内。库房温度不超过35</w:t>
            </w:r>
            <w:r>
              <w:rPr>
                <w:rFonts w:cs="Times New Roman"/>
              </w:rPr>
              <w:t>℃</w:t>
            </w:r>
            <w:r>
              <w:rPr>
                <w:rFonts w:hint="eastAsia"/>
              </w:rPr>
              <w:t>，相对湿度不超过80%。应与氧化剂、酸类、碱类、食用化学品分开存放，切忌混储。储存区应备有合适的材料收容泄漏物；2.间对甲酚储存区设置围堰，地面进行防渗透处理，并配备倒装罐或储液池；3.定期检查苯酚的储罐、槽车、阀门和泵等，防止泄漏。</w:t>
            </w:r>
          </w:p>
          <w:p w14:paraId="35E64967">
            <w:pPr>
              <w:pStyle w:val="64"/>
              <w:jc w:val="both"/>
            </w:pPr>
            <w:r>
              <w:rPr>
                <w:rFonts w:hint="eastAsia"/>
              </w:rPr>
              <w:t>输送要求：1.运输车辆应有危险货物运输标志、安装具有行驶记录功能的卫星定位装置。未经公安机关批准，运输车辆不得进入危险化学品运输车辆限制通行的区域；2.运输前应先检查包装容器是否完整、密封，运输过程中要确保容器不泄漏、不倒塌、不坠落、不损坏。严禁与酸类、氧化剂、碱类、食用化学品混运。运输途中应防曝晒、防雨淋、防高温。</w:t>
            </w:r>
          </w:p>
        </w:tc>
      </w:tr>
      <w:tr w14:paraId="54DC56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Align w:val="center"/>
          </w:tcPr>
          <w:p w14:paraId="712A2B34">
            <w:pPr>
              <w:pStyle w:val="64"/>
            </w:pPr>
            <w:r>
              <w:rPr>
                <w:rFonts w:hint="eastAsia"/>
              </w:rPr>
              <w:t>硫酸</w:t>
            </w:r>
          </w:p>
        </w:tc>
        <w:tc>
          <w:tcPr>
            <w:tcW w:w="7931" w:type="dxa"/>
          </w:tcPr>
          <w:p w14:paraId="79C84B5E">
            <w:pPr>
              <w:pStyle w:val="64"/>
              <w:jc w:val="both"/>
            </w:pPr>
            <w:r>
              <w:rPr>
                <w:rFonts w:hint="eastAsia"/>
              </w:rPr>
              <w:t>(1)应当建立单位内部易制毒化学品管理制度。</w:t>
            </w:r>
          </w:p>
          <w:p w14:paraId="1400617E">
            <w:pPr>
              <w:pStyle w:val="64"/>
              <w:jc w:val="both"/>
            </w:pPr>
            <w:r>
              <w:rPr>
                <w:rFonts w:hint="eastAsia"/>
              </w:rPr>
              <w:t>(2)购买硫酸时，应当在购买前将所需购买的数量，向县级人民政府公安机关备案。</w:t>
            </w:r>
          </w:p>
          <w:p w14:paraId="6DA8DA7D">
            <w:pPr>
              <w:pStyle w:val="64"/>
              <w:jc w:val="both"/>
            </w:pPr>
            <w:r>
              <w:rPr>
                <w:rFonts w:hint="eastAsia"/>
              </w:rPr>
              <w:t>(3)易制毒化学品的使用安全对策措施：</w:t>
            </w:r>
          </w:p>
          <w:p w14:paraId="01D2E4B3">
            <w:pPr>
              <w:pStyle w:val="64"/>
              <w:jc w:val="both"/>
            </w:pPr>
            <w:r>
              <w:rPr>
                <w:rFonts w:hint="eastAsia"/>
              </w:rPr>
              <w:t>1)使用易制毒物品的操作人员，必须穿戴好劳动防护用品，工作结束后必须更换工作服，清洗后方可离开作业场所。</w:t>
            </w:r>
          </w:p>
          <w:p w14:paraId="129C611A">
            <w:pPr>
              <w:pStyle w:val="64"/>
              <w:jc w:val="both"/>
            </w:pPr>
            <w:r>
              <w:rPr>
                <w:rFonts w:hint="eastAsia"/>
              </w:rPr>
              <w:t>2)盛装易制毒化学品的容器，使用前后，必须进行检查，消险隐患，防止火灾、爆炸、中毒等事故发生。</w:t>
            </w:r>
          </w:p>
          <w:p w14:paraId="1445CD29">
            <w:pPr>
              <w:pStyle w:val="64"/>
              <w:jc w:val="both"/>
            </w:pPr>
            <w:r>
              <w:rPr>
                <w:rFonts w:hint="eastAsia"/>
              </w:rPr>
              <w:t>3)使用易制毒化学品时必须有2人以上同时操作，投料计量必须经班长或指定主操作人员复核，并做好记录。</w:t>
            </w:r>
          </w:p>
        </w:tc>
      </w:tr>
    </w:tbl>
    <w:p w14:paraId="23F0D243"/>
    <w:p w14:paraId="68BF1DEB">
      <w:pPr>
        <w:ind w:firstLine="480" w:firstLineChars="200"/>
      </w:pPr>
      <w:r>
        <w:rPr>
          <w:rFonts w:hint="eastAsia"/>
        </w:rPr>
        <w:t>3、现有环境风险应急体系</w:t>
      </w:r>
    </w:p>
    <w:p w14:paraId="06EBA873">
      <w:pPr>
        <w:ind w:firstLine="480" w:firstLineChars="200"/>
      </w:pPr>
      <w:r>
        <w:rPr>
          <w:rFonts w:hint="eastAsia"/>
        </w:rPr>
        <w:t>(1)体系组成</w:t>
      </w:r>
    </w:p>
    <w:p w14:paraId="19AA02B8">
      <w:pPr>
        <w:ind w:firstLine="480" w:firstLineChars="200"/>
      </w:pPr>
      <w:r>
        <w:rPr>
          <w:rFonts w:hint="eastAsia"/>
        </w:rPr>
        <w:t>公司成立事故应急指挥领导小组，领导小组下设办公室，办公室设在安全环保部。事故时，应急指挥领导小组转换为事故应急指挥指挥部，指挥部设在公司控制中心。公司运转班次是三班两运转，应急管理中心24小时值班，可通过对讲机或电话联系到应急管理中心(0552-3399090)，作为应急信息的枢纽。应急指挥部下设现场处置、警戒疏散、后勤保障、联络通信、医疗救护六个组，应急救援组织体系见下图。</w:t>
      </w:r>
    </w:p>
    <w:p w14:paraId="2A371680">
      <w:pPr>
        <w:spacing w:line="240" w:lineRule="auto"/>
        <w:jc w:val="center"/>
      </w:pPr>
      <w:r>
        <w:drawing>
          <wp:inline distT="0" distB="0" distL="0" distR="0">
            <wp:extent cx="5553075" cy="2295525"/>
            <wp:effectExtent l="0" t="0" r="9525" b="9525"/>
            <wp:docPr id="1223" name="图片 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3" name="图片 1223"/>
                    <pic:cNvPicPr>
                      <a:picLocks noChangeAspect="1"/>
                    </pic:cNvPicPr>
                  </pic:nvPicPr>
                  <pic:blipFill>
                    <a:blip r:embed="rId54"/>
                    <a:stretch>
                      <a:fillRect/>
                    </a:stretch>
                  </pic:blipFill>
                  <pic:spPr>
                    <a:xfrm>
                      <a:off x="0" y="0"/>
                      <a:ext cx="5553075" cy="2295525"/>
                    </a:xfrm>
                    <a:prstGeom prst="rect">
                      <a:avLst/>
                    </a:prstGeom>
                  </pic:spPr>
                </pic:pic>
              </a:graphicData>
            </a:graphic>
          </wp:inline>
        </w:drawing>
      </w:r>
    </w:p>
    <w:p w14:paraId="1E66F52F">
      <w:pPr>
        <w:ind w:firstLine="480" w:firstLineChars="200"/>
      </w:pPr>
      <w:r>
        <w:rPr>
          <w:rFonts w:hint="eastAsia"/>
        </w:rPr>
        <w:t>(2)组织机构组成及其职责</w:t>
      </w:r>
    </w:p>
    <w:p w14:paraId="6ED8C6E4">
      <w:pPr>
        <w:ind w:firstLine="480" w:firstLineChars="200"/>
      </w:pPr>
      <w:r>
        <w:rPr>
          <w:rFonts w:hint="eastAsia"/>
        </w:rPr>
        <w:t>现有厂区应急指挥小组及其职责见表6.8-3。</w:t>
      </w:r>
    </w:p>
    <w:p w14:paraId="0D530939">
      <w:pPr>
        <w:pStyle w:val="28"/>
        <w:rPr>
          <w:rFonts w:hint="eastAsia"/>
        </w:rPr>
      </w:pPr>
      <w:r>
        <w:rPr>
          <w:rFonts w:hint="eastAsia"/>
        </w:rPr>
        <w:t>表6.8-3  组织机构组成及职责</w:t>
      </w:r>
    </w:p>
    <w:tbl>
      <w:tblPr>
        <w:tblStyle w:val="192"/>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57" w:type="dxa"/>
          <w:bottom w:w="0" w:type="dxa"/>
          <w:right w:w="57" w:type="dxa"/>
        </w:tblCellMar>
      </w:tblPr>
      <w:tblGrid>
        <w:gridCol w:w="441"/>
        <w:gridCol w:w="1258"/>
        <w:gridCol w:w="850"/>
        <w:gridCol w:w="848"/>
        <w:gridCol w:w="1274"/>
        <w:gridCol w:w="567"/>
        <w:gridCol w:w="3822"/>
      </w:tblGrid>
      <w:tr w14:paraId="03A2DB3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243" w:type="pct"/>
            <w:tcBorders>
              <w:top w:val="single" w:color="auto" w:sz="4" w:space="0"/>
              <w:left w:val="single" w:color="auto" w:sz="4" w:space="0"/>
              <w:bottom w:val="single" w:color="auto" w:sz="4" w:space="0"/>
              <w:right w:val="single" w:color="auto" w:sz="4" w:space="0"/>
            </w:tcBorders>
            <w:vAlign w:val="center"/>
          </w:tcPr>
          <w:p w14:paraId="459594DE">
            <w:pPr>
              <w:pStyle w:val="64"/>
              <w:adjustRightInd w:val="0"/>
              <w:snapToGrid w:val="0"/>
              <w:rPr>
                <w:szCs w:val="22"/>
                <w:lang w:val="zh-CN" w:bidi="zh-CN"/>
                <w14:ligatures w14:val="none"/>
              </w:rPr>
            </w:pPr>
            <w:bookmarkStart w:id="121" w:name="_Hlk130820136"/>
            <w:r>
              <w:rPr>
                <w:szCs w:val="22"/>
                <w:lang w:bidi="zh-CN"/>
                <w14:ligatures w14:val="none"/>
              </w:rPr>
              <w:t>类别</w:t>
            </w:r>
          </w:p>
        </w:tc>
        <w:tc>
          <w:tcPr>
            <w:tcW w:w="694" w:type="pct"/>
            <w:tcBorders>
              <w:top w:val="single" w:color="auto" w:sz="4" w:space="0"/>
              <w:left w:val="single" w:color="auto" w:sz="4" w:space="0"/>
              <w:bottom w:val="single" w:color="auto" w:sz="4" w:space="0"/>
              <w:right w:val="single" w:color="auto" w:sz="4" w:space="0"/>
            </w:tcBorders>
            <w:vAlign w:val="center"/>
          </w:tcPr>
          <w:p w14:paraId="167CD53A">
            <w:pPr>
              <w:pStyle w:val="64"/>
              <w:adjustRightInd w:val="0"/>
              <w:snapToGrid w:val="0"/>
              <w:rPr>
                <w:szCs w:val="22"/>
                <w:lang w:val="zh-CN" w:bidi="zh-CN"/>
                <w14:ligatures w14:val="none"/>
              </w:rPr>
            </w:pPr>
            <w:r>
              <w:rPr>
                <w:szCs w:val="22"/>
                <w:lang w:val="zh-CN" w:bidi="zh-CN"/>
                <w14:ligatures w14:val="none"/>
              </w:rPr>
              <w:t>岗位</w:t>
            </w:r>
          </w:p>
        </w:tc>
        <w:tc>
          <w:tcPr>
            <w:tcW w:w="469" w:type="pct"/>
            <w:tcBorders>
              <w:top w:val="single" w:color="auto" w:sz="4" w:space="0"/>
              <w:left w:val="single" w:color="auto" w:sz="4" w:space="0"/>
              <w:bottom w:val="single" w:color="auto" w:sz="4" w:space="0"/>
              <w:right w:val="single" w:color="auto" w:sz="4" w:space="0"/>
            </w:tcBorders>
            <w:vAlign w:val="center"/>
          </w:tcPr>
          <w:p w14:paraId="4E0CDDF9">
            <w:pPr>
              <w:pStyle w:val="64"/>
              <w:adjustRightInd w:val="0"/>
              <w:snapToGrid w:val="0"/>
              <w:rPr>
                <w:szCs w:val="22"/>
                <w:lang w:bidi="zh-CN"/>
                <w14:ligatures w14:val="none"/>
              </w:rPr>
            </w:pPr>
            <w:r>
              <w:rPr>
                <w:szCs w:val="22"/>
                <w:lang w:bidi="zh-CN"/>
                <w14:ligatures w14:val="none"/>
              </w:rPr>
              <w:t>部门</w:t>
            </w:r>
          </w:p>
        </w:tc>
        <w:tc>
          <w:tcPr>
            <w:tcW w:w="468" w:type="pct"/>
            <w:tcBorders>
              <w:top w:val="single" w:color="auto" w:sz="4" w:space="0"/>
              <w:left w:val="single" w:color="auto" w:sz="4" w:space="0"/>
              <w:bottom w:val="single" w:color="auto" w:sz="4" w:space="0"/>
              <w:right w:val="single" w:color="auto" w:sz="4" w:space="0"/>
            </w:tcBorders>
            <w:vAlign w:val="center"/>
          </w:tcPr>
          <w:p w14:paraId="5EAC735F">
            <w:pPr>
              <w:pStyle w:val="64"/>
              <w:adjustRightInd w:val="0"/>
              <w:snapToGrid w:val="0"/>
              <w:rPr>
                <w:szCs w:val="22"/>
                <w:lang w:bidi="zh-CN"/>
                <w14:ligatures w14:val="none"/>
              </w:rPr>
            </w:pPr>
            <w:r>
              <w:rPr>
                <w:szCs w:val="22"/>
                <w:lang w:bidi="zh-CN"/>
                <w14:ligatures w14:val="none"/>
              </w:rPr>
              <w:t>姓名</w:t>
            </w:r>
          </w:p>
        </w:tc>
        <w:tc>
          <w:tcPr>
            <w:tcW w:w="703" w:type="pct"/>
            <w:tcBorders>
              <w:top w:val="single" w:color="auto" w:sz="4" w:space="0"/>
              <w:left w:val="single" w:color="auto" w:sz="4" w:space="0"/>
              <w:bottom w:val="single" w:color="auto" w:sz="4" w:space="0"/>
              <w:right w:val="single" w:color="auto" w:sz="4" w:space="0"/>
            </w:tcBorders>
            <w:vAlign w:val="center"/>
          </w:tcPr>
          <w:p w14:paraId="18D2DC28">
            <w:pPr>
              <w:pStyle w:val="64"/>
              <w:adjustRightInd w:val="0"/>
              <w:snapToGrid w:val="0"/>
              <w:rPr>
                <w:szCs w:val="22"/>
                <w:lang w:bidi="zh-CN"/>
                <w14:ligatures w14:val="none"/>
              </w:rPr>
            </w:pPr>
            <w:r>
              <w:rPr>
                <w:szCs w:val="22"/>
                <w:lang w:bidi="zh-CN"/>
                <w14:ligatures w14:val="none"/>
              </w:rPr>
              <w:t>电话</w:t>
            </w:r>
          </w:p>
        </w:tc>
        <w:tc>
          <w:tcPr>
            <w:tcW w:w="313" w:type="pct"/>
            <w:tcBorders>
              <w:top w:val="single" w:color="auto" w:sz="4" w:space="0"/>
              <w:left w:val="single" w:color="auto" w:sz="4" w:space="0"/>
              <w:bottom w:val="single" w:color="auto" w:sz="4" w:space="0"/>
              <w:right w:val="single" w:color="auto" w:sz="4" w:space="0"/>
            </w:tcBorders>
            <w:vAlign w:val="center"/>
          </w:tcPr>
          <w:p w14:paraId="6C54996F">
            <w:pPr>
              <w:pStyle w:val="64"/>
              <w:adjustRightInd w:val="0"/>
              <w:snapToGrid w:val="0"/>
              <w:rPr>
                <w:szCs w:val="22"/>
                <w:lang w:val="zh-CN" w:bidi="zh-CN"/>
                <w14:ligatures w14:val="none"/>
              </w:rPr>
            </w:pPr>
            <w:r>
              <w:rPr>
                <w:szCs w:val="22"/>
                <w:lang w:val="zh-CN" w:bidi="zh-CN"/>
                <w14:ligatures w14:val="none"/>
              </w:rPr>
              <w:t>职务</w:t>
            </w:r>
          </w:p>
        </w:tc>
        <w:tc>
          <w:tcPr>
            <w:tcW w:w="2109" w:type="pct"/>
            <w:tcBorders>
              <w:top w:val="single" w:color="auto" w:sz="4" w:space="0"/>
              <w:left w:val="single" w:color="auto" w:sz="4" w:space="0"/>
              <w:bottom w:val="single" w:color="auto" w:sz="4" w:space="0"/>
              <w:right w:val="single" w:color="auto" w:sz="4" w:space="0"/>
            </w:tcBorders>
            <w:vAlign w:val="center"/>
          </w:tcPr>
          <w:p w14:paraId="048F2C4B">
            <w:pPr>
              <w:pStyle w:val="64"/>
              <w:adjustRightInd w:val="0"/>
              <w:snapToGrid w:val="0"/>
              <w:rPr>
                <w:szCs w:val="22"/>
                <w:lang w:val="zh-CN" w:bidi="zh-CN"/>
                <w14:ligatures w14:val="none"/>
              </w:rPr>
            </w:pPr>
            <w:r>
              <w:rPr>
                <w:szCs w:val="22"/>
                <w:lang w:val="zh-CN" w:bidi="zh-CN"/>
                <w14:ligatures w14:val="none"/>
              </w:rPr>
              <w:t>主要职责</w:t>
            </w:r>
          </w:p>
        </w:tc>
      </w:tr>
      <w:tr w14:paraId="2D39D74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570" w:hRule="atLeast"/>
          <w:jc w:val="center"/>
        </w:trPr>
        <w:tc>
          <w:tcPr>
            <w:tcW w:w="243" w:type="pct"/>
            <w:vMerge w:val="restart"/>
            <w:tcBorders>
              <w:top w:val="single" w:color="auto" w:sz="4" w:space="0"/>
              <w:left w:val="single" w:color="auto" w:sz="4" w:space="0"/>
              <w:bottom w:val="single" w:color="auto" w:sz="4" w:space="0"/>
              <w:right w:val="single" w:color="auto" w:sz="4" w:space="0"/>
            </w:tcBorders>
            <w:vAlign w:val="center"/>
          </w:tcPr>
          <w:p w14:paraId="19BFA525">
            <w:pPr>
              <w:pStyle w:val="64"/>
              <w:adjustRightInd w:val="0"/>
              <w:snapToGrid w:val="0"/>
              <w:rPr>
                <w:szCs w:val="22"/>
                <w:lang w:val="zh-CN" w:bidi="zh-CN"/>
                <w14:ligatures w14:val="none"/>
              </w:rPr>
            </w:pPr>
            <w:r>
              <w:rPr>
                <w:szCs w:val="22"/>
                <w:lang w:val="zh-CN" w:bidi="zh-CN"/>
                <w14:ligatures w14:val="none"/>
              </w:rPr>
              <w:t>现场</w:t>
            </w:r>
          </w:p>
          <w:p w14:paraId="682F34B6">
            <w:pPr>
              <w:pStyle w:val="64"/>
              <w:adjustRightInd w:val="0"/>
              <w:snapToGrid w:val="0"/>
              <w:rPr>
                <w:szCs w:val="22"/>
                <w:lang w:val="zh-CN" w:bidi="zh-CN"/>
                <w14:ligatures w14:val="none"/>
              </w:rPr>
            </w:pPr>
            <w:r>
              <w:rPr>
                <w:szCs w:val="22"/>
                <w:lang w:val="zh-CN" w:bidi="zh-CN"/>
                <w14:ligatures w14:val="none"/>
              </w:rPr>
              <w:t>处置组</w:t>
            </w:r>
          </w:p>
        </w:tc>
        <w:tc>
          <w:tcPr>
            <w:tcW w:w="694" w:type="pct"/>
            <w:tcBorders>
              <w:top w:val="single" w:color="auto" w:sz="4" w:space="0"/>
              <w:left w:val="single" w:color="auto" w:sz="4" w:space="0"/>
            </w:tcBorders>
            <w:vAlign w:val="center"/>
          </w:tcPr>
          <w:p w14:paraId="760613C3">
            <w:pPr>
              <w:pStyle w:val="64"/>
              <w:adjustRightInd w:val="0"/>
              <w:snapToGrid w:val="0"/>
              <w:rPr>
                <w:szCs w:val="22"/>
                <w:lang w:bidi="zh-CN"/>
                <w14:ligatures w14:val="none"/>
              </w:rPr>
            </w:pPr>
            <w:r>
              <w:rPr>
                <w:szCs w:val="22"/>
                <w:lang w:bidi="zh-CN"/>
                <w14:ligatures w14:val="none"/>
              </w:rPr>
              <w:t>常务副厂长</w:t>
            </w:r>
          </w:p>
        </w:tc>
        <w:tc>
          <w:tcPr>
            <w:tcW w:w="469" w:type="pct"/>
            <w:tcBorders>
              <w:top w:val="single" w:color="auto" w:sz="4" w:space="0"/>
            </w:tcBorders>
            <w:vAlign w:val="center"/>
          </w:tcPr>
          <w:p w14:paraId="62312463">
            <w:pPr>
              <w:pStyle w:val="64"/>
              <w:adjustRightInd w:val="0"/>
              <w:snapToGrid w:val="0"/>
              <w:rPr>
                <w:szCs w:val="22"/>
                <w:lang w:bidi="zh-CN"/>
                <w14:ligatures w14:val="none"/>
              </w:rPr>
            </w:pPr>
            <w:r>
              <w:rPr>
                <w:rFonts w:hint="eastAsia"/>
                <w:szCs w:val="22"/>
                <w14:ligatures w14:val="none"/>
              </w:rPr>
              <w:t>分厂</w:t>
            </w:r>
          </w:p>
        </w:tc>
        <w:tc>
          <w:tcPr>
            <w:tcW w:w="468" w:type="pct"/>
            <w:tcBorders>
              <w:top w:val="single" w:color="auto" w:sz="4" w:space="0"/>
            </w:tcBorders>
            <w:vAlign w:val="center"/>
          </w:tcPr>
          <w:p w14:paraId="124DD03F">
            <w:pPr>
              <w:pStyle w:val="64"/>
              <w:adjustRightInd w:val="0"/>
              <w:snapToGrid w:val="0"/>
              <w:rPr>
                <w:szCs w:val="22"/>
                <w:lang w:bidi="zh-CN"/>
                <w14:ligatures w14:val="none"/>
              </w:rPr>
            </w:pPr>
            <w:r>
              <w:rPr>
                <w:szCs w:val="22"/>
                <w:lang w:bidi="zh-CN"/>
                <w14:ligatures w14:val="none"/>
              </w:rPr>
              <w:t>杨品</w:t>
            </w:r>
          </w:p>
        </w:tc>
        <w:tc>
          <w:tcPr>
            <w:tcW w:w="703" w:type="pct"/>
            <w:tcBorders>
              <w:top w:val="single" w:color="auto" w:sz="4" w:space="0"/>
            </w:tcBorders>
            <w:vAlign w:val="center"/>
          </w:tcPr>
          <w:p w14:paraId="4E3AB20A">
            <w:pPr>
              <w:pStyle w:val="64"/>
              <w:adjustRightInd w:val="0"/>
              <w:snapToGrid w:val="0"/>
              <w:rPr>
                <w:szCs w:val="22"/>
                <w:lang w:val="zh-CN" w:bidi="zh-CN"/>
                <w14:ligatures w14:val="none"/>
              </w:rPr>
            </w:pPr>
            <w:r>
              <w:rPr>
                <w:szCs w:val="22"/>
                <w:shd w:val="clear" w:color="auto" w:fill="FFFFFF"/>
                <w:lang w:val="zh-CN" w:bidi="zh-CN"/>
                <w14:ligatures w14:val="none"/>
              </w:rPr>
              <w:t>18715527395</w:t>
            </w:r>
          </w:p>
        </w:tc>
        <w:tc>
          <w:tcPr>
            <w:tcW w:w="313" w:type="pct"/>
            <w:tcBorders>
              <w:top w:val="single" w:color="auto" w:sz="4" w:space="0"/>
              <w:right w:val="single" w:color="auto" w:sz="4" w:space="0"/>
            </w:tcBorders>
            <w:vAlign w:val="center"/>
          </w:tcPr>
          <w:p w14:paraId="3CCD0977">
            <w:pPr>
              <w:pStyle w:val="64"/>
              <w:adjustRightInd w:val="0"/>
              <w:snapToGrid w:val="0"/>
              <w:rPr>
                <w:szCs w:val="22"/>
                <w:lang w:val="zh-CN" w:bidi="zh-CN"/>
                <w14:ligatures w14:val="none"/>
              </w:rPr>
            </w:pPr>
            <w:r>
              <w:rPr>
                <w:szCs w:val="22"/>
                <w:lang w:val="zh-CN" w:bidi="zh-CN"/>
                <w14:ligatures w14:val="none"/>
              </w:rPr>
              <w:t>组长</w:t>
            </w:r>
          </w:p>
        </w:tc>
        <w:tc>
          <w:tcPr>
            <w:tcW w:w="2109" w:type="pct"/>
            <w:vMerge w:val="restart"/>
            <w:tcBorders>
              <w:top w:val="single" w:color="auto" w:sz="4" w:space="0"/>
              <w:left w:val="single" w:color="auto" w:sz="4" w:space="0"/>
              <w:bottom w:val="single" w:color="auto" w:sz="4" w:space="0"/>
              <w:right w:val="single" w:color="auto" w:sz="4" w:space="0"/>
            </w:tcBorders>
            <w:vAlign w:val="center"/>
          </w:tcPr>
          <w:p w14:paraId="20F10049">
            <w:pPr>
              <w:pStyle w:val="64"/>
              <w:adjustRightInd w:val="0"/>
              <w:snapToGrid w:val="0"/>
              <w:jc w:val="both"/>
              <w:rPr>
                <w:szCs w:val="22"/>
                <w:lang w:val="zh-CN" w:bidi="zh-CN"/>
                <w14:ligatures w14:val="none"/>
              </w:rPr>
            </w:pPr>
            <w:r>
              <w:rPr>
                <w:szCs w:val="22"/>
                <w:lang w:val="zh-CN" w:bidi="zh-CN"/>
                <w14:ligatures w14:val="none"/>
              </w:rPr>
              <w:t>1.听到报告后，立即奔赴事故现场，了解掌握事故情况，并及时上报应急领导小组，听从领导小组的统一指挥；</w:t>
            </w:r>
          </w:p>
          <w:p w14:paraId="58A4B321">
            <w:pPr>
              <w:pStyle w:val="64"/>
              <w:adjustRightInd w:val="0"/>
              <w:snapToGrid w:val="0"/>
              <w:jc w:val="both"/>
              <w:rPr>
                <w:szCs w:val="22"/>
                <w:lang w:val="zh-CN" w:bidi="zh-CN"/>
                <w14:ligatures w14:val="none"/>
              </w:rPr>
            </w:pPr>
            <w:r>
              <w:rPr>
                <w:szCs w:val="22"/>
                <w:lang w:val="zh-CN" w:bidi="zh-CN"/>
                <w14:ligatures w14:val="none"/>
              </w:rPr>
              <w:t>2.关闭相应的外排阀门，启动相应的应急水泵；</w:t>
            </w:r>
          </w:p>
          <w:p w14:paraId="4178E52F">
            <w:pPr>
              <w:pStyle w:val="64"/>
              <w:adjustRightInd w:val="0"/>
              <w:snapToGrid w:val="0"/>
              <w:jc w:val="both"/>
              <w:rPr>
                <w:szCs w:val="22"/>
                <w:lang w:val="zh-CN" w:bidi="zh-CN"/>
                <w14:ligatures w14:val="none"/>
              </w:rPr>
            </w:pPr>
            <w:r>
              <w:rPr>
                <w:szCs w:val="22"/>
                <w:lang w:val="zh-CN" w:bidi="zh-CN"/>
                <w14:ligatures w14:val="none"/>
              </w:rPr>
              <w:t>3.根据泄漏源的性质，利用相应的器材和物资进行扑救，控制污染源，救出被困人员，防止事故扩大；</w:t>
            </w:r>
          </w:p>
          <w:p w14:paraId="55FD2100">
            <w:pPr>
              <w:pStyle w:val="64"/>
              <w:adjustRightInd w:val="0"/>
              <w:snapToGrid w:val="0"/>
              <w:jc w:val="both"/>
              <w:rPr>
                <w:szCs w:val="22"/>
                <w:lang w:val="zh-CN" w:bidi="zh-CN"/>
                <w14:ligatures w14:val="none"/>
              </w:rPr>
            </w:pPr>
            <w:r>
              <w:rPr>
                <w:szCs w:val="22"/>
                <w:lang w:val="zh-CN" w:bidi="zh-CN"/>
                <w14:ligatures w14:val="none"/>
              </w:rPr>
              <w:t>4.组织进行微小泄漏时的现场处置工作。负责事故现场清洗，负责物资转移工作。</w:t>
            </w:r>
          </w:p>
          <w:p w14:paraId="6AE7F08A">
            <w:pPr>
              <w:pStyle w:val="64"/>
              <w:adjustRightInd w:val="0"/>
              <w:snapToGrid w:val="0"/>
              <w:jc w:val="both"/>
              <w:rPr>
                <w:szCs w:val="22"/>
                <w:lang w:val="zh-CN" w:bidi="zh-CN"/>
                <w14:ligatures w14:val="none"/>
              </w:rPr>
            </w:pPr>
            <w:r>
              <w:rPr>
                <w:szCs w:val="22"/>
                <w:lang w:val="zh-CN" w:bidi="zh-CN"/>
                <w14:ligatures w14:val="none"/>
              </w:rPr>
              <w:t>5.迅速通知应急领导组、各救援专业队及有关部门，查明事故源外泄部位及原因，采取紧急措施，防止事故扩大，下达按应急预案处置的指令；</w:t>
            </w:r>
          </w:p>
          <w:p w14:paraId="5F03BB6B">
            <w:pPr>
              <w:pStyle w:val="64"/>
              <w:adjustRightInd w:val="0"/>
              <w:snapToGrid w:val="0"/>
              <w:jc w:val="both"/>
              <w:rPr>
                <w:szCs w:val="22"/>
                <w:lang w:val="zh-CN" w:bidi="zh-CN"/>
                <w14:ligatures w14:val="none"/>
              </w:rPr>
            </w:pPr>
            <w:r>
              <w:rPr>
                <w:szCs w:val="22"/>
                <w:lang w:val="zh-CN" w:bidi="zh-CN"/>
                <w14:ligatures w14:val="none"/>
              </w:rPr>
              <w:t>6.受应急领导小组指令对外信息发布。</w:t>
            </w:r>
          </w:p>
        </w:tc>
      </w:tr>
      <w:tr w14:paraId="32BB53A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571" w:hRule="atLeast"/>
          <w:jc w:val="center"/>
        </w:trPr>
        <w:tc>
          <w:tcPr>
            <w:tcW w:w="243" w:type="pct"/>
            <w:vMerge w:val="continue"/>
            <w:tcBorders>
              <w:top w:val="single" w:color="auto" w:sz="4" w:space="0"/>
              <w:left w:val="single" w:color="auto" w:sz="4" w:space="0"/>
              <w:bottom w:val="single" w:color="auto" w:sz="4" w:space="0"/>
              <w:right w:val="single" w:color="auto" w:sz="4" w:space="0"/>
            </w:tcBorders>
            <w:vAlign w:val="center"/>
          </w:tcPr>
          <w:p w14:paraId="1F03BB39">
            <w:pPr>
              <w:pStyle w:val="64"/>
              <w:adjustRightInd w:val="0"/>
              <w:snapToGrid w:val="0"/>
              <w:rPr>
                <w:szCs w:val="22"/>
                <w:lang w:val="zh-CN" w:bidi="zh-CN"/>
                <w14:ligatures w14:val="none"/>
              </w:rPr>
            </w:pPr>
          </w:p>
        </w:tc>
        <w:tc>
          <w:tcPr>
            <w:tcW w:w="694" w:type="pct"/>
            <w:tcBorders>
              <w:left w:val="single" w:color="auto" w:sz="4" w:space="0"/>
            </w:tcBorders>
            <w:vAlign w:val="center"/>
          </w:tcPr>
          <w:p w14:paraId="6D322EAE">
            <w:pPr>
              <w:pStyle w:val="64"/>
              <w:adjustRightInd w:val="0"/>
              <w:snapToGrid w:val="0"/>
              <w:rPr>
                <w:szCs w:val="22"/>
                <w:lang w:bidi="zh-CN"/>
                <w14:ligatures w14:val="none"/>
              </w:rPr>
            </w:pPr>
            <w:r>
              <w:rPr>
                <w:szCs w:val="22"/>
                <w:lang w:bidi="zh-CN"/>
                <w14:ligatures w14:val="none"/>
              </w:rPr>
              <w:t>车间主任</w:t>
            </w:r>
          </w:p>
        </w:tc>
        <w:tc>
          <w:tcPr>
            <w:tcW w:w="469" w:type="pct"/>
            <w:vAlign w:val="center"/>
          </w:tcPr>
          <w:p w14:paraId="3935B329">
            <w:pPr>
              <w:pStyle w:val="64"/>
              <w:adjustRightInd w:val="0"/>
              <w:snapToGrid w:val="0"/>
              <w:rPr>
                <w:szCs w:val="22"/>
                <w14:ligatures w14:val="none"/>
              </w:rPr>
            </w:pPr>
            <w:r>
              <w:rPr>
                <w:rFonts w:hint="eastAsia"/>
                <w:szCs w:val="22"/>
                <w14:ligatures w14:val="none"/>
              </w:rPr>
              <w:t>分厂</w:t>
            </w:r>
          </w:p>
        </w:tc>
        <w:tc>
          <w:tcPr>
            <w:tcW w:w="468" w:type="pct"/>
            <w:vAlign w:val="center"/>
          </w:tcPr>
          <w:p w14:paraId="5C26FFBD">
            <w:pPr>
              <w:pStyle w:val="64"/>
              <w:adjustRightInd w:val="0"/>
              <w:snapToGrid w:val="0"/>
              <w:rPr>
                <w:szCs w:val="22"/>
                <w:lang w:bidi="zh-CN"/>
                <w14:ligatures w14:val="none"/>
              </w:rPr>
            </w:pPr>
            <w:r>
              <w:rPr>
                <w:szCs w:val="22"/>
                <w:lang w:bidi="zh-CN"/>
                <w14:ligatures w14:val="none"/>
              </w:rPr>
              <w:t>吴祥站</w:t>
            </w:r>
          </w:p>
        </w:tc>
        <w:tc>
          <w:tcPr>
            <w:tcW w:w="703" w:type="pct"/>
            <w:vAlign w:val="center"/>
          </w:tcPr>
          <w:p w14:paraId="5F2DD950">
            <w:pPr>
              <w:pStyle w:val="64"/>
              <w:adjustRightInd w:val="0"/>
              <w:snapToGrid w:val="0"/>
              <w:rPr>
                <w:szCs w:val="22"/>
                <w:lang w:val="zh-CN" w:bidi="zh-CN"/>
                <w14:ligatures w14:val="none"/>
              </w:rPr>
            </w:pPr>
            <w:r>
              <w:rPr>
                <w:szCs w:val="22"/>
                <w:shd w:val="clear" w:color="auto" w:fill="FFFFFF"/>
                <w:lang w:val="zh-CN" w:bidi="zh-CN"/>
                <w14:ligatures w14:val="none"/>
              </w:rPr>
              <w:t>18715527758</w:t>
            </w:r>
          </w:p>
        </w:tc>
        <w:tc>
          <w:tcPr>
            <w:tcW w:w="313" w:type="pct"/>
            <w:tcBorders>
              <w:right w:val="single" w:color="auto" w:sz="4" w:space="0"/>
            </w:tcBorders>
            <w:vAlign w:val="center"/>
          </w:tcPr>
          <w:p w14:paraId="7CF6C23A">
            <w:pPr>
              <w:pStyle w:val="64"/>
              <w:adjustRightInd w:val="0"/>
              <w:snapToGrid w:val="0"/>
              <w:rPr>
                <w:szCs w:val="22"/>
                <w:lang w:val="zh-CN" w:bidi="zh-CN"/>
                <w14:ligatures w14:val="none"/>
              </w:rPr>
            </w:pPr>
            <w:r>
              <w:rPr>
                <w:szCs w:val="22"/>
                <w:lang w:val="zh-CN" w:bidi="zh-CN"/>
                <w14:ligatures w14:val="none"/>
              </w:rPr>
              <w:t>副组长</w:t>
            </w:r>
          </w:p>
        </w:tc>
        <w:tc>
          <w:tcPr>
            <w:tcW w:w="2109" w:type="pct"/>
            <w:vMerge w:val="continue"/>
            <w:tcBorders>
              <w:top w:val="single" w:color="auto" w:sz="4" w:space="0"/>
              <w:left w:val="single" w:color="auto" w:sz="4" w:space="0"/>
              <w:bottom w:val="single" w:color="auto" w:sz="4" w:space="0"/>
              <w:right w:val="single" w:color="auto" w:sz="4" w:space="0"/>
            </w:tcBorders>
            <w:vAlign w:val="center"/>
          </w:tcPr>
          <w:p w14:paraId="2186280E">
            <w:pPr>
              <w:pStyle w:val="64"/>
              <w:adjustRightInd w:val="0"/>
              <w:snapToGrid w:val="0"/>
              <w:jc w:val="both"/>
              <w:rPr>
                <w:szCs w:val="22"/>
                <w:lang w:val="zh-CN" w:bidi="zh-CN"/>
                <w14:ligatures w14:val="none"/>
              </w:rPr>
            </w:pPr>
          </w:p>
        </w:tc>
      </w:tr>
      <w:tr w14:paraId="087C678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571" w:hRule="atLeast"/>
          <w:jc w:val="center"/>
        </w:trPr>
        <w:tc>
          <w:tcPr>
            <w:tcW w:w="243" w:type="pct"/>
            <w:vMerge w:val="continue"/>
            <w:tcBorders>
              <w:top w:val="single" w:color="auto" w:sz="4" w:space="0"/>
              <w:left w:val="single" w:color="auto" w:sz="4" w:space="0"/>
              <w:bottom w:val="single" w:color="auto" w:sz="4" w:space="0"/>
              <w:right w:val="single" w:color="auto" w:sz="4" w:space="0"/>
            </w:tcBorders>
            <w:vAlign w:val="center"/>
          </w:tcPr>
          <w:p w14:paraId="57856B89">
            <w:pPr>
              <w:pStyle w:val="64"/>
              <w:adjustRightInd w:val="0"/>
              <w:snapToGrid w:val="0"/>
              <w:rPr>
                <w:szCs w:val="22"/>
                <w:lang w:val="zh-CN" w:bidi="zh-CN"/>
                <w14:ligatures w14:val="none"/>
              </w:rPr>
            </w:pPr>
          </w:p>
        </w:tc>
        <w:tc>
          <w:tcPr>
            <w:tcW w:w="694" w:type="pct"/>
            <w:tcBorders>
              <w:left w:val="single" w:color="auto" w:sz="4" w:space="0"/>
            </w:tcBorders>
            <w:vAlign w:val="center"/>
          </w:tcPr>
          <w:p w14:paraId="347B4B40">
            <w:pPr>
              <w:pStyle w:val="64"/>
              <w:adjustRightInd w:val="0"/>
              <w:snapToGrid w:val="0"/>
              <w:rPr>
                <w:szCs w:val="22"/>
                <w:lang w:bidi="zh-CN"/>
                <w14:ligatures w14:val="none"/>
              </w:rPr>
            </w:pPr>
            <w:r>
              <w:rPr>
                <w:szCs w:val="22"/>
                <w:lang w:bidi="zh-CN"/>
                <w14:ligatures w14:val="none"/>
              </w:rPr>
              <w:t>车间主任</w:t>
            </w:r>
          </w:p>
        </w:tc>
        <w:tc>
          <w:tcPr>
            <w:tcW w:w="469" w:type="pct"/>
            <w:vAlign w:val="center"/>
          </w:tcPr>
          <w:p w14:paraId="79029FFA">
            <w:pPr>
              <w:pStyle w:val="64"/>
              <w:adjustRightInd w:val="0"/>
              <w:snapToGrid w:val="0"/>
              <w:rPr>
                <w:szCs w:val="22"/>
                <w14:ligatures w14:val="none"/>
              </w:rPr>
            </w:pPr>
            <w:r>
              <w:rPr>
                <w:rFonts w:hint="eastAsia"/>
                <w:szCs w:val="22"/>
                <w14:ligatures w14:val="none"/>
              </w:rPr>
              <w:t>分厂</w:t>
            </w:r>
          </w:p>
        </w:tc>
        <w:tc>
          <w:tcPr>
            <w:tcW w:w="468" w:type="pct"/>
            <w:vAlign w:val="center"/>
          </w:tcPr>
          <w:p w14:paraId="74C02FD4">
            <w:pPr>
              <w:pStyle w:val="64"/>
              <w:adjustRightInd w:val="0"/>
              <w:snapToGrid w:val="0"/>
              <w:rPr>
                <w:szCs w:val="22"/>
                <w:lang w:bidi="zh-CN"/>
                <w14:ligatures w14:val="none"/>
              </w:rPr>
            </w:pPr>
            <w:r>
              <w:rPr>
                <w:szCs w:val="22"/>
                <w:lang w:bidi="zh-CN"/>
                <w14:ligatures w14:val="none"/>
              </w:rPr>
              <w:t>崔海玉</w:t>
            </w:r>
          </w:p>
        </w:tc>
        <w:tc>
          <w:tcPr>
            <w:tcW w:w="703" w:type="pct"/>
            <w:vAlign w:val="center"/>
          </w:tcPr>
          <w:p w14:paraId="0BF7DB85">
            <w:pPr>
              <w:pStyle w:val="64"/>
              <w:adjustRightInd w:val="0"/>
              <w:snapToGrid w:val="0"/>
              <w:rPr>
                <w:szCs w:val="22"/>
                <w:lang w:val="zh-CN" w:bidi="zh-CN"/>
                <w14:ligatures w14:val="none"/>
              </w:rPr>
            </w:pPr>
            <w:r>
              <w:rPr>
                <w:szCs w:val="22"/>
                <w:shd w:val="clear" w:color="auto" w:fill="FFFFFF"/>
                <w:lang w:val="zh-CN" w:bidi="zh-CN"/>
                <w14:ligatures w14:val="none"/>
              </w:rPr>
              <w:t>18226670985</w:t>
            </w:r>
          </w:p>
        </w:tc>
        <w:tc>
          <w:tcPr>
            <w:tcW w:w="313" w:type="pct"/>
            <w:tcBorders>
              <w:right w:val="single" w:color="auto" w:sz="4" w:space="0"/>
            </w:tcBorders>
            <w:vAlign w:val="center"/>
          </w:tcPr>
          <w:p w14:paraId="3EAD2867">
            <w:pPr>
              <w:pStyle w:val="64"/>
              <w:adjustRightInd w:val="0"/>
              <w:snapToGrid w:val="0"/>
              <w:rPr>
                <w:szCs w:val="22"/>
                <w:lang w:val="zh-CN" w:bidi="zh-CN"/>
                <w14:ligatures w14:val="none"/>
              </w:rPr>
            </w:pPr>
            <w:r>
              <w:rPr>
                <w:szCs w:val="22"/>
                <w:lang w:val="zh-CN" w:bidi="zh-CN"/>
                <w14:ligatures w14:val="none"/>
              </w:rPr>
              <w:t>组员</w:t>
            </w:r>
          </w:p>
        </w:tc>
        <w:tc>
          <w:tcPr>
            <w:tcW w:w="2109" w:type="pct"/>
            <w:vMerge w:val="continue"/>
            <w:tcBorders>
              <w:top w:val="single" w:color="auto" w:sz="4" w:space="0"/>
              <w:left w:val="single" w:color="auto" w:sz="4" w:space="0"/>
              <w:bottom w:val="single" w:color="auto" w:sz="4" w:space="0"/>
              <w:right w:val="single" w:color="auto" w:sz="4" w:space="0"/>
            </w:tcBorders>
            <w:vAlign w:val="center"/>
          </w:tcPr>
          <w:p w14:paraId="13F3BBE8">
            <w:pPr>
              <w:pStyle w:val="64"/>
              <w:adjustRightInd w:val="0"/>
              <w:snapToGrid w:val="0"/>
              <w:jc w:val="both"/>
              <w:rPr>
                <w:szCs w:val="22"/>
                <w:lang w:val="zh-CN" w:bidi="zh-CN"/>
                <w14:ligatures w14:val="none"/>
              </w:rPr>
            </w:pPr>
          </w:p>
        </w:tc>
      </w:tr>
      <w:tr w14:paraId="660E256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570" w:hRule="atLeast"/>
          <w:jc w:val="center"/>
        </w:trPr>
        <w:tc>
          <w:tcPr>
            <w:tcW w:w="243" w:type="pct"/>
            <w:vMerge w:val="continue"/>
            <w:tcBorders>
              <w:top w:val="single" w:color="auto" w:sz="4" w:space="0"/>
              <w:left w:val="single" w:color="auto" w:sz="4" w:space="0"/>
              <w:bottom w:val="single" w:color="auto" w:sz="4" w:space="0"/>
              <w:right w:val="single" w:color="auto" w:sz="4" w:space="0"/>
            </w:tcBorders>
            <w:vAlign w:val="center"/>
          </w:tcPr>
          <w:p w14:paraId="279BB0DB">
            <w:pPr>
              <w:pStyle w:val="64"/>
              <w:adjustRightInd w:val="0"/>
              <w:snapToGrid w:val="0"/>
              <w:rPr>
                <w:szCs w:val="22"/>
                <w14:ligatures w14:val="none"/>
              </w:rPr>
            </w:pPr>
          </w:p>
        </w:tc>
        <w:tc>
          <w:tcPr>
            <w:tcW w:w="694" w:type="pct"/>
            <w:tcBorders>
              <w:left w:val="single" w:color="auto" w:sz="4" w:space="0"/>
            </w:tcBorders>
            <w:vAlign w:val="center"/>
          </w:tcPr>
          <w:p w14:paraId="1ADC981A">
            <w:pPr>
              <w:pStyle w:val="64"/>
              <w:adjustRightInd w:val="0"/>
              <w:snapToGrid w:val="0"/>
              <w:rPr>
                <w:szCs w:val="22"/>
                <w:lang w:bidi="zh-CN"/>
                <w14:ligatures w14:val="none"/>
              </w:rPr>
            </w:pPr>
            <w:r>
              <w:rPr>
                <w:szCs w:val="22"/>
                <w:lang w:bidi="zh-CN"/>
                <w14:ligatures w14:val="none"/>
              </w:rPr>
              <w:t>车间副主任</w:t>
            </w:r>
          </w:p>
        </w:tc>
        <w:tc>
          <w:tcPr>
            <w:tcW w:w="469" w:type="pct"/>
            <w:vAlign w:val="center"/>
          </w:tcPr>
          <w:p w14:paraId="1BC3EF6B">
            <w:pPr>
              <w:pStyle w:val="64"/>
              <w:adjustRightInd w:val="0"/>
              <w:snapToGrid w:val="0"/>
              <w:rPr>
                <w:szCs w:val="22"/>
                <w14:ligatures w14:val="none"/>
              </w:rPr>
            </w:pPr>
            <w:r>
              <w:rPr>
                <w:rFonts w:hint="eastAsia"/>
                <w:szCs w:val="22"/>
                <w14:ligatures w14:val="none"/>
              </w:rPr>
              <w:t>分厂</w:t>
            </w:r>
          </w:p>
        </w:tc>
        <w:tc>
          <w:tcPr>
            <w:tcW w:w="468" w:type="pct"/>
            <w:vAlign w:val="center"/>
          </w:tcPr>
          <w:p w14:paraId="46C4AAC5">
            <w:pPr>
              <w:pStyle w:val="64"/>
              <w:adjustRightInd w:val="0"/>
              <w:snapToGrid w:val="0"/>
              <w:rPr>
                <w:szCs w:val="22"/>
                <w14:ligatures w14:val="none"/>
              </w:rPr>
            </w:pPr>
            <w:r>
              <w:rPr>
                <w:szCs w:val="22"/>
                <w14:ligatures w14:val="none"/>
              </w:rPr>
              <w:t>宋钊</w:t>
            </w:r>
          </w:p>
        </w:tc>
        <w:tc>
          <w:tcPr>
            <w:tcW w:w="703" w:type="pct"/>
            <w:vAlign w:val="center"/>
          </w:tcPr>
          <w:p w14:paraId="01D82BAD">
            <w:pPr>
              <w:pStyle w:val="64"/>
              <w:adjustRightInd w:val="0"/>
              <w:snapToGrid w:val="0"/>
              <w:rPr>
                <w:szCs w:val="22"/>
                <w14:ligatures w14:val="none"/>
              </w:rPr>
            </w:pPr>
            <w:r>
              <w:rPr>
                <w:szCs w:val="22"/>
                <w:shd w:val="clear" w:color="auto" w:fill="FFFFFF"/>
                <w14:ligatures w14:val="none"/>
              </w:rPr>
              <w:t>18055287516</w:t>
            </w:r>
          </w:p>
        </w:tc>
        <w:tc>
          <w:tcPr>
            <w:tcW w:w="313" w:type="pct"/>
            <w:tcBorders>
              <w:right w:val="single" w:color="auto" w:sz="4" w:space="0"/>
            </w:tcBorders>
            <w:vAlign w:val="center"/>
          </w:tcPr>
          <w:p w14:paraId="5D1032BC">
            <w:pPr>
              <w:pStyle w:val="64"/>
              <w:adjustRightInd w:val="0"/>
              <w:snapToGrid w:val="0"/>
              <w:rPr>
                <w:szCs w:val="22"/>
                <w14:ligatures w14:val="none"/>
              </w:rPr>
            </w:pPr>
            <w:r>
              <w:rPr>
                <w:szCs w:val="22"/>
                <w14:ligatures w14:val="none"/>
              </w:rPr>
              <w:t>组员</w:t>
            </w:r>
          </w:p>
        </w:tc>
        <w:tc>
          <w:tcPr>
            <w:tcW w:w="2109" w:type="pct"/>
            <w:vMerge w:val="continue"/>
            <w:tcBorders>
              <w:top w:val="single" w:color="auto" w:sz="4" w:space="0"/>
              <w:left w:val="single" w:color="auto" w:sz="4" w:space="0"/>
              <w:bottom w:val="single" w:color="auto" w:sz="4" w:space="0"/>
              <w:right w:val="single" w:color="auto" w:sz="4" w:space="0"/>
            </w:tcBorders>
            <w:vAlign w:val="center"/>
          </w:tcPr>
          <w:p w14:paraId="51773A8D">
            <w:pPr>
              <w:pStyle w:val="64"/>
              <w:adjustRightInd w:val="0"/>
              <w:snapToGrid w:val="0"/>
              <w:jc w:val="both"/>
              <w:rPr>
                <w:szCs w:val="22"/>
                <w14:ligatures w14:val="none"/>
              </w:rPr>
            </w:pPr>
          </w:p>
        </w:tc>
      </w:tr>
      <w:tr w14:paraId="1ED7343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571" w:hRule="atLeast"/>
          <w:jc w:val="center"/>
        </w:trPr>
        <w:tc>
          <w:tcPr>
            <w:tcW w:w="243" w:type="pct"/>
            <w:vMerge w:val="continue"/>
            <w:tcBorders>
              <w:top w:val="single" w:color="auto" w:sz="4" w:space="0"/>
              <w:left w:val="single" w:color="auto" w:sz="4" w:space="0"/>
              <w:bottom w:val="single" w:color="auto" w:sz="4" w:space="0"/>
              <w:right w:val="single" w:color="auto" w:sz="4" w:space="0"/>
            </w:tcBorders>
            <w:vAlign w:val="center"/>
          </w:tcPr>
          <w:p w14:paraId="47BE2674">
            <w:pPr>
              <w:pStyle w:val="64"/>
              <w:adjustRightInd w:val="0"/>
              <w:snapToGrid w:val="0"/>
              <w:rPr>
                <w:szCs w:val="22"/>
                <w:lang w:val="zh-CN" w:bidi="zh-CN"/>
                <w14:ligatures w14:val="none"/>
              </w:rPr>
            </w:pPr>
          </w:p>
        </w:tc>
        <w:tc>
          <w:tcPr>
            <w:tcW w:w="694" w:type="pct"/>
            <w:tcBorders>
              <w:left w:val="single" w:color="auto" w:sz="4" w:space="0"/>
            </w:tcBorders>
            <w:vAlign w:val="center"/>
          </w:tcPr>
          <w:p w14:paraId="64D60CE6">
            <w:pPr>
              <w:pStyle w:val="64"/>
              <w:adjustRightInd w:val="0"/>
              <w:snapToGrid w:val="0"/>
              <w:rPr>
                <w:szCs w:val="22"/>
                <w:lang w:bidi="zh-CN"/>
                <w14:ligatures w14:val="none"/>
              </w:rPr>
            </w:pPr>
            <w:r>
              <w:rPr>
                <w:szCs w:val="22"/>
                <w:lang w:bidi="zh-CN"/>
                <w14:ligatures w14:val="none"/>
              </w:rPr>
              <w:t>车间副主任</w:t>
            </w:r>
          </w:p>
        </w:tc>
        <w:tc>
          <w:tcPr>
            <w:tcW w:w="469" w:type="pct"/>
            <w:vAlign w:val="center"/>
          </w:tcPr>
          <w:p w14:paraId="02B9CED1">
            <w:pPr>
              <w:pStyle w:val="64"/>
              <w:adjustRightInd w:val="0"/>
              <w:snapToGrid w:val="0"/>
              <w:rPr>
                <w:szCs w:val="22"/>
                <w:lang w:bidi="zh-CN"/>
                <w14:ligatures w14:val="none"/>
              </w:rPr>
            </w:pPr>
            <w:r>
              <w:rPr>
                <w:rFonts w:hint="eastAsia"/>
                <w:szCs w:val="22"/>
                <w14:ligatures w14:val="none"/>
              </w:rPr>
              <w:t>分厂</w:t>
            </w:r>
          </w:p>
        </w:tc>
        <w:tc>
          <w:tcPr>
            <w:tcW w:w="468" w:type="pct"/>
            <w:vAlign w:val="center"/>
          </w:tcPr>
          <w:p w14:paraId="2D3FD3AF">
            <w:pPr>
              <w:pStyle w:val="64"/>
              <w:adjustRightInd w:val="0"/>
              <w:snapToGrid w:val="0"/>
              <w:rPr>
                <w:szCs w:val="22"/>
                <w:lang w:bidi="zh-CN"/>
                <w14:ligatures w14:val="none"/>
              </w:rPr>
            </w:pPr>
            <w:r>
              <w:rPr>
                <w:szCs w:val="22"/>
                <w:lang w:bidi="zh-CN"/>
                <w14:ligatures w14:val="none"/>
              </w:rPr>
              <w:t>王磊</w:t>
            </w:r>
          </w:p>
        </w:tc>
        <w:tc>
          <w:tcPr>
            <w:tcW w:w="703" w:type="pct"/>
            <w:vAlign w:val="center"/>
          </w:tcPr>
          <w:p w14:paraId="04A8BD6B">
            <w:pPr>
              <w:pStyle w:val="64"/>
              <w:adjustRightInd w:val="0"/>
              <w:snapToGrid w:val="0"/>
              <w:rPr>
                <w:szCs w:val="22"/>
                <w14:ligatures w14:val="none"/>
              </w:rPr>
            </w:pPr>
            <w:r>
              <w:rPr>
                <w:szCs w:val="22"/>
                <w:shd w:val="clear" w:color="auto" w:fill="FFFFFF"/>
                <w14:ligatures w14:val="none"/>
              </w:rPr>
              <w:t>13865081277</w:t>
            </w:r>
          </w:p>
        </w:tc>
        <w:tc>
          <w:tcPr>
            <w:tcW w:w="313" w:type="pct"/>
            <w:tcBorders>
              <w:right w:val="single" w:color="auto" w:sz="4" w:space="0"/>
            </w:tcBorders>
            <w:vAlign w:val="center"/>
          </w:tcPr>
          <w:p w14:paraId="58775802">
            <w:pPr>
              <w:pStyle w:val="64"/>
              <w:adjustRightInd w:val="0"/>
              <w:snapToGrid w:val="0"/>
              <w:rPr>
                <w:szCs w:val="22"/>
                <w14:ligatures w14:val="none"/>
              </w:rPr>
            </w:pPr>
            <w:r>
              <w:rPr>
                <w:szCs w:val="22"/>
                <w14:ligatures w14:val="none"/>
              </w:rPr>
              <w:t>组员</w:t>
            </w:r>
          </w:p>
        </w:tc>
        <w:tc>
          <w:tcPr>
            <w:tcW w:w="2109" w:type="pct"/>
            <w:vMerge w:val="continue"/>
            <w:tcBorders>
              <w:top w:val="single" w:color="auto" w:sz="4" w:space="0"/>
              <w:left w:val="single" w:color="auto" w:sz="4" w:space="0"/>
              <w:bottom w:val="single" w:color="auto" w:sz="4" w:space="0"/>
              <w:right w:val="single" w:color="auto" w:sz="4" w:space="0"/>
            </w:tcBorders>
            <w:vAlign w:val="center"/>
          </w:tcPr>
          <w:p w14:paraId="75783005">
            <w:pPr>
              <w:pStyle w:val="64"/>
              <w:adjustRightInd w:val="0"/>
              <w:snapToGrid w:val="0"/>
              <w:jc w:val="both"/>
              <w:rPr>
                <w:szCs w:val="22"/>
                <w:lang w:val="zh-CN" w:bidi="zh-CN"/>
                <w14:ligatures w14:val="none"/>
              </w:rPr>
            </w:pPr>
          </w:p>
        </w:tc>
      </w:tr>
      <w:tr w14:paraId="56A3F88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571" w:hRule="atLeast"/>
          <w:jc w:val="center"/>
        </w:trPr>
        <w:tc>
          <w:tcPr>
            <w:tcW w:w="243" w:type="pct"/>
            <w:vMerge w:val="continue"/>
            <w:tcBorders>
              <w:top w:val="single" w:color="auto" w:sz="4" w:space="0"/>
              <w:left w:val="single" w:color="auto" w:sz="4" w:space="0"/>
              <w:bottom w:val="single" w:color="auto" w:sz="4" w:space="0"/>
              <w:right w:val="single" w:color="auto" w:sz="4" w:space="0"/>
            </w:tcBorders>
            <w:vAlign w:val="center"/>
          </w:tcPr>
          <w:p w14:paraId="40FAFA52">
            <w:pPr>
              <w:pStyle w:val="64"/>
              <w:adjustRightInd w:val="0"/>
              <w:snapToGrid w:val="0"/>
              <w:rPr>
                <w:szCs w:val="22"/>
                <w14:ligatures w14:val="none"/>
              </w:rPr>
            </w:pPr>
          </w:p>
        </w:tc>
        <w:tc>
          <w:tcPr>
            <w:tcW w:w="694" w:type="pct"/>
            <w:tcBorders>
              <w:left w:val="single" w:color="auto" w:sz="4" w:space="0"/>
            </w:tcBorders>
            <w:vAlign w:val="center"/>
          </w:tcPr>
          <w:p w14:paraId="7761FB8B">
            <w:pPr>
              <w:pStyle w:val="64"/>
              <w:adjustRightInd w:val="0"/>
              <w:snapToGrid w:val="0"/>
              <w:rPr>
                <w:szCs w:val="22"/>
                <w:lang w:bidi="zh-CN"/>
                <w14:ligatures w14:val="none"/>
              </w:rPr>
            </w:pPr>
            <w:r>
              <w:rPr>
                <w:szCs w:val="22"/>
                <w:lang w:bidi="zh-CN"/>
                <w14:ligatures w14:val="none"/>
              </w:rPr>
              <w:t>装卸队长</w:t>
            </w:r>
          </w:p>
        </w:tc>
        <w:tc>
          <w:tcPr>
            <w:tcW w:w="469" w:type="pct"/>
            <w:vAlign w:val="center"/>
          </w:tcPr>
          <w:p w14:paraId="04FC08F3">
            <w:pPr>
              <w:pStyle w:val="64"/>
              <w:adjustRightInd w:val="0"/>
              <w:snapToGrid w:val="0"/>
              <w:rPr>
                <w:szCs w:val="22"/>
                <w14:ligatures w14:val="none"/>
              </w:rPr>
            </w:pPr>
            <w:r>
              <w:rPr>
                <w:szCs w:val="22"/>
                <w14:ligatures w14:val="none"/>
              </w:rPr>
              <w:t>装卸队</w:t>
            </w:r>
          </w:p>
        </w:tc>
        <w:tc>
          <w:tcPr>
            <w:tcW w:w="468" w:type="pct"/>
            <w:vAlign w:val="center"/>
          </w:tcPr>
          <w:p w14:paraId="53EFF2B8">
            <w:pPr>
              <w:pStyle w:val="64"/>
              <w:adjustRightInd w:val="0"/>
              <w:snapToGrid w:val="0"/>
              <w:rPr>
                <w:szCs w:val="22"/>
                <w14:ligatures w14:val="none"/>
              </w:rPr>
            </w:pPr>
            <w:r>
              <w:rPr>
                <w:szCs w:val="22"/>
                <w14:ligatures w14:val="none"/>
              </w:rPr>
              <w:t>汪井院</w:t>
            </w:r>
          </w:p>
        </w:tc>
        <w:tc>
          <w:tcPr>
            <w:tcW w:w="703" w:type="pct"/>
            <w:vAlign w:val="center"/>
          </w:tcPr>
          <w:p w14:paraId="373F6FA2">
            <w:pPr>
              <w:pStyle w:val="64"/>
              <w:adjustRightInd w:val="0"/>
              <w:snapToGrid w:val="0"/>
              <w:rPr>
                <w:szCs w:val="22"/>
                <w14:ligatures w14:val="none"/>
              </w:rPr>
            </w:pPr>
            <w:r>
              <w:rPr>
                <w:szCs w:val="22"/>
                <w:shd w:val="clear" w:color="auto" w:fill="FFFFFF"/>
                <w14:ligatures w14:val="none"/>
              </w:rPr>
              <w:t>13956343099</w:t>
            </w:r>
          </w:p>
        </w:tc>
        <w:tc>
          <w:tcPr>
            <w:tcW w:w="313" w:type="pct"/>
            <w:tcBorders>
              <w:right w:val="single" w:color="auto" w:sz="4" w:space="0"/>
            </w:tcBorders>
            <w:vAlign w:val="center"/>
          </w:tcPr>
          <w:p w14:paraId="17AA7E2F">
            <w:pPr>
              <w:pStyle w:val="64"/>
              <w:adjustRightInd w:val="0"/>
              <w:snapToGrid w:val="0"/>
              <w:rPr>
                <w:szCs w:val="22"/>
                <w14:ligatures w14:val="none"/>
              </w:rPr>
            </w:pPr>
            <w:r>
              <w:rPr>
                <w:szCs w:val="22"/>
                <w14:ligatures w14:val="none"/>
              </w:rPr>
              <w:t>组员</w:t>
            </w:r>
          </w:p>
        </w:tc>
        <w:tc>
          <w:tcPr>
            <w:tcW w:w="2109" w:type="pct"/>
            <w:vMerge w:val="continue"/>
            <w:tcBorders>
              <w:top w:val="single" w:color="auto" w:sz="4" w:space="0"/>
              <w:left w:val="single" w:color="auto" w:sz="4" w:space="0"/>
              <w:bottom w:val="single" w:color="auto" w:sz="4" w:space="0"/>
              <w:right w:val="single" w:color="auto" w:sz="4" w:space="0"/>
            </w:tcBorders>
            <w:vAlign w:val="center"/>
          </w:tcPr>
          <w:p w14:paraId="02B78CDF">
            <w:pPr>
              <w:pStyle w:val="64"/>
              <w:adjustRightInd w:val="0"/>
              <w:snapToGrid w:val="0"/>
              <w:jc w:val="both"/>
              <w:rPr>
                <w:szCs w:val="22"/>
                <w14:ligatures w14:val="none"/>
              </w:rPr>
            </w:pPr>
          </w:p>
        </w:tc>
      </w:tr>
      <w:tr w14:paraId="3039638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571" w:hRule="atLeast"/>
          <w:jc w:val="center"/>
        </w:trPr>
        <w:tc>
          <w:tcPr>
            <w:tcW w:w="243" w:type="pct"/>
            <w:vMerge w:val="continue"/>
            <w:tcBorders>
              <w:top w:val="single" w:color="auto" w:sz="4" w:space="0"/>
              <w:left w:val="single" w:color="auto" w:sz="4" w:space="0"/>
              <w:bottom w:val="single" w:color="auto" w:sz="4" w:space="0"/>
              <w:right w:val="single" w:color="auto" w:sz="4" w:space="0"/>
            </w:tcBorders>
            <w:vAlign w:val="center"/>
          </w:tcPr>
          <w:p w14:paraId="6B82A272">
            <w:pPr>
              <w:pStyle w:val="64"/>
              <w:adjustRightInd w:val="0"/>
              <w:snapToGrid w:val="0"/>
              <w:rPr>
                <w:szCs w:val="22"/>
                <w14:ligatures w14:val="none"/>
              </w:rPr>
            </w:pPr>
          </w:p>
        </w:tc>
        <w:tc>
          <w:tcPr>
            <w:tcW w:w="694" w:type="pct"/>
            <w:tcBorders>
              <w:left w:val="single" w:color="auto" w:sz="4" w:space="0"/>
            </w:tcBorders>
            <w:vAlign w:val="center"/>
          </w:tcPr>
          <w:p w14:paraId="0D9ED7DE">
            <w:pPr>
              <w:pStyle w:val="64"/>
              <w:adjustRightInd w:val="0"/>
              <w:snapToGrid w:val="0"/>
              <w:rPr>
                <w:szCs w:val="22"/>
                <w:lang w:bidi="zh-CN"/>
                <w14:ligatures w14:val="none"/>
              </w:rPr>
            </w:pPr>
            <w:r>
              <w:rPr>
                <w:szCs w:val="22"/>
                <w:lang w:bidi="zh-CN"/>
                <w14:ligatures w14:val="none"/>
              </w:rPr>
              <w:t>车间副主任</w:t>
            </w:r>
          </w:p>
        </w:tc>
        <w:tc>
          <w:tcPr>
            <w:tcW w:w="469" w:type="pct"/>
            <w:vAlign w:val="center"/>
          </w:tcPr>
          <w:p w14:paraId="21CC1B38">
            <w:pPr>
              <w:pStyle w:val="64"/>
              <w:adjustRightInd w:val="0"/>
              <w:snapToGrid w:val="0"/>
              <w:rPr>
                <w:szCs w:val="22"/>
                <w14:ligatures w14:val="none"/>
              </w:rPr>
            </w:pPr>
            <w:r>
              <w:rPr>
                <w:rFonts w:hint="eastAsia"/>
                <w:szCs w:val="22"/>
                <w14:ligatures w14:val="none"/>
              </w:rPr>
              <w:t>分厂</w:t>
            </w:r>
          </w:p>
        </w:tc>
        <w:tc>
          <w:tcPr>
            <w:tcW w:w="468" w:type="pct"/>
            <w:vAlign w:val="center"/>
          </w:tcPr>
          <w:p w14:paraId="2E3CF655">
            <w:pPr>
              <w:pStyle w:val="64"/>
              <w:adjustRightInd w:val="0"/>
              <w:snapToGrid w:val="0"/>
              <w:rPr>
                <w:szCs w:val="22"/>
                <w14:ligatures w14:val="none"/>
              </w:rPr>
            </w:pPr>
            <w:r>
              <w:rPr>
                <w:szCs w:val="22"/>
                <w14:ligatures w14:val="none"/>
              </w:rPr>
              <w:t>刘康</w:t>
            </w:r>
          </w:p>
        </w:tc>
        <w:tc>
          <w:tcPr>
            <w:tcW w:w="703" w:type="pct"/>
            <w:vAlign w:val="center"/>
          </w:tcPr>
          <w:p w14:paraId="73C2DD30">
            <w:pPr>
              <w:pStyle w:val="64"/>
              <w:adjustRightInd w:val="0"/>
              <w:snapToGrid w:val="0"/>
              <w:rPr>
                <w:szCs w:val="22"/>
                <w14:ligatures w14:val="none"/>
              </w:rPr>
            </w:pPr>
            <w:r>
              <w:rPr>
                <w:szCs w:val="22"/>
                <w:shd w:val="clear" w:color="auto" w:fill="FFFFFF"/>
                <w14:ligatures w14:val="none"/>
              </w:rPr>
              <w:t>13505623286</w:t>
            </w:r>
          </w:p>
        </w:tc>
        <w:tc>
          <w:tcPr>
            <w:tcW w:w="313" w:type="pct"/>
            <w:tcBorders>
              <w:right w:val="single" w:color="auto" w:sz="4" w:space="0"/>
            </w:tcBorders>
            <w:vAlign w:val="center"/>
          </w:tcPr>
          <w:p w14:paraId="15AC7120">
            <w:pPr>
              <w:pStyle w:val="64"/>
              <w:adjustRightInd w:val="0"/>
              <w:snapToGrid w:val="0"/>
              <w:rPr>
                <w:szCs w:val="22"/>
                <w14:ligatures w14:val="none"/>
              </w:rPr>
            </w:pPr>
            <w:r>
              <w:rPr>
                <w:szCs w:val="22"/>
                <w14:ligatures w14:val="none"/>
              </w:rPr>
              <w:t>组员</w:t>
            </w:r>
          </w:p>
        </w:tc>
        <w:tc>
          <w:tcPr>
            <w:tcW w:w="2109" w:type="pct"/>
            <w:vMerge w:val="continue"/>
            <w:tcBorders>
              <w:top w:val="single" w:color="auto" w:sz="4" w:space="0"/>
              <w:left w:val="single" w:color="auto" w:sz="4" w:space="0"/>
              <w:bottom w:val="single" w:color="auto" w:sz="4" w:space="0"/>
              <w:right w:val="single" w:color="auto" w:sz="4" w:space="0"/>
            </w:tcBorders>
            <w:vAlign w:val="center"/>
          </w:tcPr>
          <w:p w14:paraId="137CA7AD">
            <w:pPr>
              <w:pStyle w:val="64"/>
              <w:adjustRightInd w:val="0"/>
              <w:snapToGrid w:val="0"/>
              <w:jc w:val="both"/>
              <w:rPr>
                <w:szCs w:val="22"/>
                <w14:ligatures w14:val="none"/>
              </w:rPr>
            </w:pPr>
          </w:p>
        </w:tc>
      </w:tr>
      <w:tr w14:paraId="0BF8B5D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243" w:type="pct"/>
            <w:vMerge w:val="restart"/>
            <w:tcBorders>
              <w:top w:val="single" w:color="auto" w:sz="4" w:space="0"/>
              <w:left w:val="single" w:color="auto" w:sz="4" w:space="0"/>
              <w:bottom w:val="single" w:color="auto" w:sz="4" w:space="0"/>
              <w:right w:val="single" w:color="auto" w:sz="4" w:space="0"/>
            </w:tcBorders>
            <w:vAlign w:val="center"/>
          </w:tcPr>
          <w:p w14:paraId="24ABF70E">
            <w:pPr>
              <w:pStyle w:val="64"/>
              <w:adjustRightInd w:val="0"/>
              <w:snapToGrid w:val="0"/>
              <w:rPr>
                <w:szCs w:val="22"/>
                <w:lang w:val="zh-CN" w:bidi="zh-CN"/>
                <w14:ligatures w14:val="none"/>
              </w:rPr>
            </w:pPr>
            <w:r>
              <w:rPr>
                <w:szCs w:val="22"/>
                <w:lang w:val="zh-CN" w:bidi="zh-CN"/>
                <w14:ligatures w14:val="none"/>
              </w:rPr>
              <w:t>警戒</w:t>
            </w:r>
          </w:p>
          <w:p w14:paraId="743192B9">
            <w:pPr>
              <w:pStyle w:val="64"/>
              <w:adjustRightInd w:val="0"/>
              <w:snapToGrid w:val="0"/>
              <w:rPr>
                <w:szCs w:val="22"/>
                <w:lang w:val="zh-CN" w:bidi="zh-CN"/>
                <w14:ligatures w14:val="none"/>
              </w:rPr>
            </w:pPr>
            <w:r>
              <w:rPr>
                <w:szCs w:val="22"/>
                <w:lang w:val="zh-CN" w:bidi="zh-CN"/>
                <w14:ligatures w14:val="none"/>
              </w:rPr>
              <w:t>疏散</w:t>
            </w:r>
          </w:p>
        </w:tc>
        <w:tc>
          <w:tcPr>
            <w:tcW w:w="694" w:type="pct"/>
            <w:tcBorders>
              <w:left w:val="single" w:color="auto" w:sz="4" w:space="0"/>
            </w:tcBorders>
            <w:vAlign w:val="center"/>
          </w:tcPr>
          <w:p w14:paraId="2CD6BDB7">
            <w:pPr>
              <w:pStyle w:val="64"/>
              <w:adjustRightInd w:val="0"/>
              <w:snapToGrid w:val="0"/>
              <w:rPr>
                <w:szCs w:val="22"/>
                <w:lang w:bidi="zh-CN"/>
                <w14:ligatures w14:val="none"/>
              </w:rPr>
            </w:pPr>
            <w:r>
              <w:rPr>
                <w:szCs w:val="22"/>
                <w:lang w:bidi="zh-CN"/>
                <w14:ligatures w14:val="none"/>
              </w:rPr>
              <w:t>安全总监</w:t>
            </w:r>
          </w:p>
        </w:tc>
        <w:tc>
          <w:tcPr>
            <w:tcW w:w="469" w:type="pct"/>
            <w:vAlign w:val="center"/>
          </w:tcPr>
          <w:p w14:paraId="4538EEB8">
            <w:pPr>
              <w:pStyle w:val="64"/>
              <w:adjustRightInd w:val="0"/>
              <w:snapToGrid w:val="0"/>
              <w:rPr>
                <w:szCs w:val="22"/>
                <w:lang w:bidi="zh-CN"/>
                <w14:ligatures w14:val="none"/>
              </w:rPr>
            </w:pPr>
            <w:r>
              <w:rPr>
                <w:szCs w:val="22"/>
                <w:lang w:bidi="zh-CN"/>
                <w14:ligatures w14:val="none"/>
              </w:rPr>
              <w:t>应急管理中心</w:t>
            </w:r>
          </w:p>
        </w:tc>
        <w:tc>
          <w:tcPr>
            <w:tcW w:w="468" w:type="pct"/>
            <w:vAlign w:val="center"/>
          </w:tcPr>
          <w:p w14:paraId="342AEF7F">
            <w:pPr>
              <w:pStyle w:val="64"/>
              <w:adjustRightInd w:val="0"/>
              <w:snapToGrid w:val="0"/>
              <w:rPr>
                <w:szCs w:val="22"/>
                <w:lang w:bidi="zh-CN"/>
                <w14:ligatures w14:val="none"/>
              </w:rPr>
            </w:pPr>
            <w:r>
              <w:rPr>
                <w:szCs w:val="22"/>
                <w:lang w:bidi="zh-CN"/>
                <w14:ligatures w14:val="none"/>
              </w:rPr>
              <w:t>姚宁</w:t>
            </w:r>
          </w:p>
        </w:tc>
        <w:tc>
          <w:tcPr>
            <w:tcW w:w="703" w:type="pct"/>
            <w:vAlign w:val="center"/>
          </w:tcPr>
          <w:p w14:paraId="6E32AF21">
            <w:pPr>
              <w:pStyle w:val="64"/>
              <w:adjustRightInd w:val="0"/>
              <w:snapToGrid w:val="0"/>
              <w:rPr>
                <w:szCs w:val="22"/>
                <w:lang w:val="zh-CN" w:bidi="zh-CN"/>
                <w14:ligatures w14:val="none"/>
              </w:rPr>
            </w:pPr>
            <w:r>
              <w:rPr>
                <w:szCs w:val="22"/>
                <w:shd w:val="clear" w:color="auto" w:fill="FFFFFF"/>
                <w:lang w:val="zh-CN" w:bidi="zh-CN"/>
                <w14:ligatures w14:val="none"/>
              </w:rPr>
              <w:t>18949309739</w:t>
            </w:r>
          </w:p>
        </w:tc>
        <w:tc>
          <w:tcPr>
            <w:tcW w:w="313" w:type="pct"/>
            <w:tcBorders>
              <w:right w:val="single" w:color="auto" w:sz="4" w:space="0"/>
            </w:tcBorders>
            <w:vAlign w:val="center"/>
          </w:tcPr>
          <w:p w14:paraId="29757695">
            <w:pPr>
              <w:pStyle w:val="64"/>
              <w:adjustRightInd w:val="0"/>
              <w:snapToGrid w:val="0"/>
              <w:rPr>
                <w:szCs w:val="22"/>
                <w:lang w:val="zh-CN" w:bidi="zh-CN"/>
                <w14:ligatures w14:val="none"/>
              </w:rPr>
            </w:pPr>
            <w:r>
              <w:rPr>
                <w:szCs w:val="22"/>
                <w:lang w:val="zh-CN" w:bidi="zh-CN"/>
                <w14:ligatures w14:val="none"/>
              </w:rPr>
              <w:t>组长</w:t>
            </w:r>
          </w:p>
        </w:tc>
        <w:tc>
          <w:tcPr>
            <w:tcW w:w="2109" w:type="pct"/>
            <w:vMerge w:val="restart"/>
            <w:tcBorders>
              <w:top w:val="single" w:color="auto" w:sz="4" w:space="0"/>
              <w:left w:val="single" w:color="auto" w:sz="4" w:space="0"/>
              <w:bottom w:val="single" w:color="auto" w:sz="4" w:space="0"/>
              <w:right w:val="single" w:color="auto" w:sz="4" w:space="0"/>
            </w:tcBorders>
            <w:vAlign w:val="center"/>
          </w:tcPr>
          <w:p w14:paraId="1A52F3B2">
            <w:pPr>
              <w:pStyle w:val="64"/>
              <w:adjustRightInd w:val="0"/>
              <w:snapToGrid w:val="0"/>
              <w:jc w:val="both"/>
              <w:rPr>
                <w:szCs w:val="22"/>
                <w:lang w:bidi="zh-CN"/>
                <w14:ligatures w14:val="none"/>
              </w:rPr>
            </w:pPr>
            <w:r>
              <w:rPr>
                <w:szCs w:val="22"/>
                <w:lang w:bidi="zh-CN"/>
                <w14:ligatures w14:val="none"/>
              </w:rPr>
              <w:t>1.负责疏散撤离事故现场作业人员和可能涉及到的周围人群；</w:t>
            </w:r>
          </w:p>
          <w:p w14:paraId="7B5BA4AA">
            <w:pPr>
              <w:pStyle w:val="64"/>
              <w:adjustRightInd w:val="0"/>
              <w:snapToGrid w:val="0"/>
              <w:jc w:val="both"/>
              <w:rPr>
                <w:szCs w:val="22"/>
                <w:lang w:bidi="zh-CN"/>
                <w14:ligatures w14:val="none"/>
              </w:rPr>
            </w:pPr>
            <w:r>
              <w:rPr>
                <w:szCs w:val="22"/>
                <w:lang w:bidi="zh-CN"/>
                <w14:ligatures w14:val="none"/>
              </w:rPr>
              <w:t>2.按指挥部要求设立警戒(线)，防止无关人员、车辆进入；</w:t>
            </w:r>
          </w:p>
          <w:p w14:paraId="05C90606">
            <w:pPr>
              <w:pStyle w:val="64"/>
              <w:adjustRightInd w:val="0"/>
              <w:snapToGrid w:val="0"/>
              <w:jc w:val="both"/>
              <w:rPr>
                <w:szCs w:val="22"/>
                <w:lang w:bidi="zh-CN"/>
                <w14:ligatures w14:val="none"/>
              </w:rPr>
            </w:pPr>
            <w:r>
              <w:rPr>
                <w:szCs w:val="22"/>
                <w:lang w:bidi="zh-CN"/>
                <w14:ligatures w14:val="none"/>
              </w:rPr>
              <w:t>3.负责管理现场交通、引导救援车辆和清点人员。</w:t>
            </w:r>
          </w:p>
        </w:tc>
      </w:tr>
      <w:tr w14:paraId="7900713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243" w:type="pct"/>
            <w:vMerge w:val="continue"/>
            <w:tcBorders>
              <w:top w:val="single" w:color="auto" w:sz="4" w:space="0"/>
              <w:left w:val="single" w:color="auto" w:sz="4" w:space="0"/>
              <w:bottom w:val="single" w:color="auto" w:sz="4" w:space="0"/>
              <w:right w:val="single" w:color="auto" w:sz="4" w:space="0"/>
            </w:tcBorders>
            <w:vAlign w:val="center"/>
          </w:tcPr>
          <w:p w14:paraId="5F64287B">
            <w:pPr>
              <w:pStyle w:val="64"/>
              <w:adjustRightInd w:val="0"/>
              <w:snapToGrid w:val="0"/>
              <w:rPr>
                <w:szCs w:val="22"/>
                <w:lang w:val="zh-CN" w:bidi="zh-CN"/>
                <w14:ligatures w14:val="none"/>
              </w:rPr>
            </w:pPr>
          </w:p>
        </w:tc>
        <w:tc>
          <w:tcPr>
            <w:tcW w:w="694" w:type="pct"/>
            <w:tcBorders>
              <w:left w:val="single" w:color="auto" w:sz="4" w:space="0"/>
            </w:tcBorders>
            <w:vAlign w:val="center"/>
          </w:tcPr>
          <w:p w14:paraId="2071E5CE">
            <w:pPr>
              <w:pStyle w:val="64"/>
              <w:adjustRightInd w:val="0"/>
              <w:snapToGrid w:val="0"/>
              <w:rPr>
                <w:szCs w:val="22"/>
                <w:lang w:bidi="zh-CN"/>
                <w14:ligatures w14:val="none"/>
              </w:rPr>
            </w:pPr>
            <w:r>
              <w:rPr>
                <w:szCs w:val="22"/>
                <w:lang w:bidi="zh-CN"/>
                <w14:ligatures w14:val="none"/>
              </w:rPr>
              <w:t>安全副总监</w:t>
            </w:r>
          </w:p>
        </w:tc>
        <w:tc>
          <w:tcPr>
            <w:tcW w:w="469" w:type="pct"/>
            <w:vAlign w:val="center"/>
          </w:tcPr>
          <w:p w14:paraId="4C89D19F">
            <w:pPr>
              <w:pStyle w:val="64"/>
              <w:adjustRightInd w:val="0"/>
              <w:snapToGrid w:val="0"/>
              <w:rPr>
                <w:szCs w:val="22"/>
                <w:lang w:bidi="zh-CN"/>
                <w14:ligatures w14:val="none"/>
              </w:rPr>
            </w:pPr>
            <w:r>
              <w:rPr>
                <w:szCs w:val="22"/>
                <w:lang w:bidi="zh-CN"/>
                <w14:ligatures w14:val="none"/>
              </w:rPr>
              <w:t>应急管理中心</w:t>
            </w:r>
          </w:p>
        </w:tc>
        <w:tc>
          <w:tcPr>
            <w:tcW w:w="468" w:type="pct"/>
            <w:vAlign w:val="center"/>
          </w:tcPr>
          <w:p w14:paraId="5E3BAD08">
            <w:pPr>
              <w:pStyle w:val="64"/>
              <w:adjustRightInd w:val="0"/>
              <w:snapToGrid w:val="0"/>
              <w:rPr>
                <w:szCs w:val="22"/>
                <w:lang w:bidi="zh-CN"/>
                <w14:ligatures w14:val="none"/>
              </w:rPr>
            </w:pPr>
            <w:r>
              <w:rPr>
                <w:szCs w:val="22"/>
                <w:lang w:bidi="zh-CN"/>
                <w14:ligatures w14:val="none"/>
              </w:rPr>
              <w:t>张飞</w:t>
            </w:r>
          </w:p>
        </w:tc>
        <w:tc>
          <w:tcPr>
            <w:tcW w:w="703" w:type="pct"/>
            <w:vAlign w:val="center"/>
          </w:tcPr>
          <w:p w14:paraId="3269F7CE">
            <w:pPr>
              <w:pStyle w:val="64"/>
              <w:adjustRightInd w:val="0"/>
              <w:snapToGrid w:val="0"/>
              <w:rPr>
                <w:szCs w:val="22"/>
                <w:lang w:val="zh-CN" w:bidi="zh-CN"/>
                <w14:ligatures w14:val="none"/>
              </w:rPr>
            </w:pPr>
            <w:r>
              <w:rPr>
                <w:szCs w:val="22"/>
                <w:shd w:val="clear" w:color="auto" w:fill="FFFFFF"/>
                <w:lang w:val="zh-CN" w:bidi="zh-CN"/>
                <w14:ligatures w14:val="none"/>
              </w:rPr>
              <w:t>15056361869</w:t>
            </w:r>
          </w:p>
        </w:tc>
        <w:tc>
          <w:tcPr>
            <w:tcW w:w="313" w:type="pct"/>
            <w:tcBorders>
              <w:right w:val="single" w:color="auto" w:sz="4" w:space="0"/>
            </w:tcBorders>
            <w:vAlign w:val="center"/>
          </w:tcPr>
          <w:p w14:paraId="265462E5">
            <w:pPr>
              <w:pStyle w:val="64"/>
              <w:adjustRightInd w:val="0"/>
              <w:snapToGrid w:val="0"/>
              <w:rPr>
                <w:szCs w:val="22"/>
                <w:lang w:val="zh-CN" w:bidi="zh-CN"/>
                <w14:ligatures w14:val="none"/>
              </w:rPr>
            </w:pPr>
            <w:r>
              <w:rPr>
                <w:szCs w:val="22"/>
                <w:lang w:val="zh-CN" w:bidi="zh-CN"/>
                <w14:ligatures w14:val="none"/>
              </w:rPr>
              <w:t>副组长</w:t>
            </w:r>
          </w:p>
        </w:tc>
        <w:tc>
          <w:tcPr>
            <w:tcW w:w="2109" w:type="pct"/>
            <w:vMerge w:val="continue"/>
            <w:tcBorders>
              <w:top w:val="single" w:color="auto" w:sz="4" w:space="0"/>
              <w:left w:val="single" w:color="auto" w:sz="4" w:space="0"/>
              <w:bottom w:val="single" w:color="auto" w:sz="4" w:space="0"/>
              <w:right w:val="single" w:color="auto" w:sz="4" w:space="0"/>
            </w:tcBorders>
            <w:vAlign w:val="center"/>
          </w:tcPr>
          <w:p w14:paraId="0E62A27E">
            <w:pPr>
              <w:pStyle w:val="64"/>
              <w:adjustRightInd w:val="0"/>
              <w:snapToGrid w:val="0"/>
              <w:jc w:val="both"/>
              <w:rPr>
                <w:szCs w:val="22"/>
                <w:lang w:bidi="zh-CN"/>
                <w14:ligatures w14:val="none"/>
              </w:rPr>
            </w:pPr>
          </w:p>
        </w:tc>
      </w:tr>
      <w:tr w14:paraId="4BE0F24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243" w:type="pct"/>
            <w:vMerge w:val="continue"/>
            <w:tcBorders>
              <w:top w:val="single" w:color="auto" w:sz="4" w:space="0"/>
              <w:left w:val="single" w:color="auto" w:sz="4" w:space="0"/>
              <w:bottom w:val="single" w:color="auto" w:sz="4" w:space="0"/>
              <w:right w:val="single" w:color="auto" w:sz="4" w:space="0"/>
            </w:tcBorders>
            <w:vAlign w:val="center"/>
          </w:tcPr>
          <w:p w14:paraId="21037890">
            <w:pPr>
              <w:pStyle w:val="64"/>
              <w:adjustRightInd w:val="0"/>
              <w:snapToGrid w:val="0"/>
              <w:rPr>
                <w:szCs w:val="22"/>
                <w:lang w:val="zh-CN" w:bidi="zh-CN"/>
                <w14:ligatures w14:val="none"/>
              </w:rPr>
            </w:pPr>
          </w:p>
        </w:tc>
        <w:tc>
          <w:tcPr>
            <w:tcW w:w="694" w:type="pct"/>
            <w:tcBorders>
              <w:left w:val="single" w:color="auto" w:sz="4" w:space="0"/>
            </w:tcBorders>
            <w:vAlign w:val="center"/>
          </w:tcPr>
          <w:p w14:paraId="1D34E749">
            <w:pPr>
              <w:pStyle w:val="64"/>
              <w:adjustRightInd w:val="0"/>
              <w:snapToGrid w:val="0"/>
              <w:rPr>
                <w:szCs w:val="22"/>
                <w:lang w:bidi="zh-CN"/>
                <w14:ligatures w14:val="none"/>
              </w:rPr>
            </w:pPr>
            <w:r>
              <w:rPr>
                <w:szCs w:val="22"/>
                <w:lang w:bidi="zh-CN"/>
                <w14:ligatures w14:val="none"/>
              </w:rPr>
              <w:t>常务副总监</w:t>
            </w:r>
          </w:p>
        </w:tc>
        <w:tc>
          <w:tcPr>
            <w:tcW w:w="469" w:type="pct"/>
            <w:vAlign w:val="center"/>
          </w:tcPr>
          <w:p w14:paraId="11998D20">
            <w:pPr>
              <w:pStyle w:val="64"/>
              <w:adjustRightInd w:val="0"/>
              <w:snapToGrid w:val="0"/>
              <w:rPr>
                <w:szCs w:val="22"/>
                <w:lang w:bidi="zh-CN"/>
                <w14:ligatures w14:val="none"/>
              </w:rPr>
            </w:pPr>
            <w:r>
              <w:rPr>
                <w:szCs w:val="22"/>
                <w:lang w:bidi="zh-CN"/>
                <w14:ligatures w14:val="none"/>
              </w:rPr>
              <w:t>应急管理中心</w:t>
            </w:r>
          </w:p>
        </w:tc>
        <w:tc>
          <w:tcPr>
            <w:tcW w:w="468" w:type="pct"/>
            <w:vAlign w:val="center"/>
          </w:tcPr>
          <w:p w14:paraId="4AC7C18B">
            <w:pPr>
              <w:pStyle w:val="64"/>
              <w:adjustRightInd w:val="0"/>
              <w:snapToGrid w:val="0"/>
              <w:rPr>
                <w:szCs w:val="22"/>
                <w:lang w:bidi="zh-CN"/>
                <w14:ligatures w14:val="none"/>
              </w:rPr>
            </w:pPr>
            <w:r>
              <w:rPr>
                <w:szCs w:val="22"/>
                <w:lang w:bidi="zh-CN"/>
                <w14:ligatures w14:val="none"/>
              </w:rPr>
              <w:t>欧加思</w:t>
            </w:r>
          </w:p>
        </w:tc>
        <w:tc>
          <w:tcPr>
            <w:tcW w:w="703" w:type="pct"/>
            <w:vAlign w:val="center"/>
          </w:tcPr>
          <w:p w14:paraId="6C58BED2">
            <w:pPr>
              <w:pStyle w:val="64"/>
              <w:adjustRightInd w:val="0"/>
              <w:snapToGrid w:val="0"/>
              <w:rPr>
                <w:szCs w:val="22"/>
                <w:shd w:val="clear" w:color="auto" w:fill="FFFFFF"/>
                <w:lang w:bidi="zh-CN"/>
                <w14:ligatures w14:val="none"/>
              </w:rPr>
            </w:pPr>
            <w:r>
              <w:rPr>
                <w:szCs w:val="22"/>
                <w:shd w:val="clear" w:color="auto" w:fill="FFFFFF"/>
                <w:lang w:bidi="zh-CN"/>
                <w14:ligatures w14:val="none"/>
              </w:rPr>
              <w:t>18655225756</w:t>
            </w:r>
          </w:p>
        </w:tc>
        <w:tc>
          <w:tcPr>
            <w:tcW w:w="313" w:type="pct"/>
            <w:tcBorders>
              <w:right w:val="single" w:color="auto" w:sz="4" w:space="0"/>
            </w:tcBorders>
            <w:vAlign w:val="center"/>
          </w:tcPr>
          <w:p w14:paraId="239D6983">
            <w:pPr>
              <w:pStyle w:val="64"/>
              <w:adjustRightInd w:val="0"/>
              <w:snapToGrid w:val="0"/>
              <w:rPr>
                <w:szCs w:val="22"/>
                <w:shd w:val="clear" w:color="auto" w:fill="FFFFFF"/>
                <w:lang w:val="zh-CN" w:bidi="zh-CN"/>
                <w14:ligatures w14:val="none"/>
              </w:rPr>
            </w:pPr>
            <w:r>
              <w:rPr>
                <w:szCs w:val="22"/>
                <w:lang w:val="zh-CN" w:bidi="zh-CN"/>
                <w14:ligatures w14:val="none"/>
              </w:rPr>
              <w:t>组员</w:t>
            </w:r>
          </w:p>
        </w:tc>
        <w:tc>
          <w:tcPr>
            <w:tcW w:w="2109" w:type="pct"/>
            <w:vMerge w:val="continue"/>
            <w:tcBorders>
              <w:top w:val="single" w:color="auto" w:sz="4" w:space="0"/>
              <w:left w:val="single" w:color="auto" w:sz="4" w:space="0"/>
              <w:bottom w:val="single" w:color="auto" w:sz="4" w:space="0"/>
              <w:right w:val="single" w:color="auto" w:sz="4" w:space="0"/>
            </w:tcBorders>
            <w:vAlign w:val="center"/>
          </w:tcPr>
          <w:p w14:paraId="68E59DBB">
            <w:pPr>
              <w:pStyle w:val="64"/>
              <w:adjustRightInd w:val="0"/>
              <w:snapToGrid w:val="0"/>
              <w:jc w:val="both"/>
              <w:rPr>
                <w:szCs w:val="22"/>
                <w:lang w:bidi="zh-CN"/>
                <w14:ligatures w14:val="none"/>
              </w:rPr>
            </w:pPr>
          </w:p>
        </w:tc>
      </w:tr>
      <w:tr w14:paraId="67D0394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243" w:type="pct"/>
            <w:vMerge w:val="continue"/>
            <w:tcBorders>
              <w:top w:val="single" w:color="auto" w:sz="4" w:space="0"/>
              <w:left w:val="single" w:color="auto" w:sz="4" w:space="0"/>
              <w:bottom w:val="single" w:color="auto" w:sz="4" w:space="0"/>
              <w:right w:val="single" w:color="auto" w:sz="4" w:space="0"/>
            </w:tcBorders>
            <w:vAlign w:val="center"/>
          </w:tcPr>
          <w:p w14:paraId="0FBBD52E">
            <w:pPr>
              <w:pStyle w:val="64"/>
              <w:adjustRightInd w:val="0"/>
              <w:snapToGrid w:val="0"/>
              <w:rPr>
                <w:szCs w:val="22"/>
                <w14:ligatures w14:val="none"/>
              </w:rPr>
            </w:pPr>
          </w:p>
        </w:tc>
        <w:tc>
          <w:tcPr>
            <w:tcW w:w="694" w:type="pct"/>
            <w:tcBorders>
              <w:left w:val="single" w:color="auto" w:sz="4" w:space="0"/>
            </w:tcBorders>
            <w:vAlign w:val="center"/>
          </w:tcPr>
          <w:p w14:paraId="33EE0673">
            <w:pPr>
              <w:pStyle w:val="64"/>
              <w:adjustRightInd w:val="0"/>
              <w:snapToGrid w:val="0"/>
              <w:rPr>
                <w:szCs w:val="22"/>
                <w14:ligatures w14:val="none"/>
              </w:rPr>
            </w:pPr>
            <w:r>
              <w:rPr>
                <w:szCs w:val="22"/>
                <w14:ligatures w14:val="none"/>
              </w:rPr>
              <w:t>安全员</w:t>
            </w:r>
          </w:p>
        </w:tc>
        <w:tc>
          <w:tcPr>
            <w:tcW w:w="469" w:type="pct"/>
            <w:vAlign w:val="center"/>
          </w:tcPr>
          <w:p w14:paraId="4D7A4138">
            <w:pPr>
              <w:pStyle w:val="64"/>
              <w:adjustRightInd w:val="0"/>
              <w:snapToGrid w:val="0"/>
              <w:rPr>
                <w:szCs w:val="22"/>
                <w:lang w:bidi="zh-CN"/>
                <w14:ligatures w14:val="none"/>
              </w:rPr>
            </w:pPr>
            <w:r>
              <w:rPr>
                <w:szCs w:val="22"/>
                <w:lang w:bidi="zh-CN"/>
                <w14:ligatures w14:val="none"/>
              </w:rPr>
              <w:t>应急管理中心</w:t>
            </w:r>
          </w:p>
        </w:tc>
        <w:tc>
          <w:tcPr>
            <w:tcW w:w="468" w:type="pct"/>
            <w:vAlign w:val="center"/>
          </w:tcPr>
          <w:p w14:paraId="6624DA35">
            <w:pPr>
              <w:pStyle w:val="64"/>
              <w:adjustRightInd w:val="0"/>
              <w:snapToGrid w:val="0"/>
              <w:rPr>
                <w:szCs w:val="22"/>
                <w:lang w:bidi="zh-CN"/>
                <w14:ligatures w14:val="none"/>
              </w:rPr>
            </w:pPr>
            <w:r>
              <w:rPr>
                <w:szCs w:val="22"/>
                <w:lang w:bidi="zh-CN"/>
                <w14:ligatures w14:val="none"/>
              </w:rPr>
              <w:t>营飞跃</w:t>
            </w:r>
          </w:p>
        </w:tc>
        <w:tc>
          <w:tcPr>
            <w:tcW w:w="703" w:type="pct"/>
            <w:vAlign w:val="center"/>
          </w:tcPr>
          <w:p w14:paraId="2ED40D6E">
            <w:pPr>
              <w:pStyle w:val="64"/>
              <w:adjustRightInd w:val="0"/>
              <w:snapToGrid w:val="0"/>
              <w:rPr>
                <w:szCs w:val="22"/>
                <w14:ligatures w14:val="none"/>
              </w:rPr>
            </w:pPr>
            <w:r>
              <w:rPr>
                <w:szCs w:val="22"/>
                <w:shd w:val="clear" w:color="auto" w:fill="FFFFFF"/>
                <w14:ligatures w14:val="none"/>
              </w:rPr>
              <w:t>15056365029</w:t>
            </w:r>
          </w:p>
        </w:tc>
        <w:tc>
          <w:tcPr>
            <w:tcW w:w="313" w:type="pct"/>
            <w:tcBorders>
              <w:right w:val="single" w:color="auto" w:sz="4" w:space="0"/>
            </w:tcBorders>
            <w:vAlign w:val="center"/>
          </w:tcPr>
          <w:p w14:paraId="1813F733">
            <w:pPr>
              <w:pStyle w:val="64"/>
              <w:adjustRightInd w:val="0"/>
              <w:snapToGrid w:val="0"/>
              <w:rPr>
                <w:szCs w:val="22"/>
                <w14:ligatures w14:val="none"/>
              </w:rPr>
            </w:pPr>
            <w:r>
              <w:rPr>
                <w:szCs w:val="22"/>
                <w14:ligatures w14:val="none"/>
              </w:rPr>
              <w:t>组员</w:t>
            </w:r>
          </w:p>
        </w:tc>
        <w:tc>
          <w:tcPr>
            <w:tcW w:w="2109" w:type="pct"/>
            <w:vMerge w:val="continue"/>
            <w:tcBorders>
              <w:top w:val="single" w:color="auto" w:sz="4" w:space="0"/>
              <w:left w:val="single" w:color="auto" w:sz="4" w:space="0"/>
              <w:bottom w:val="single" w:color="auto" w:sz="4" w:space="0"/>
              <w:right w:val="single" w:color="auto" w:sz="4" w:space="0"/>
            </w:tcBorders>
            <w:vAlign w:val="center"/>
          </w:tcPr>
          <w:p w14:paraId="50FF28E2">
            <w:pPr>
              <w:pStyle w:val="64"/>
              <w:adjustRightInd w:val="0"/>
              <w:snapToGrid w:val="0"/>
              <w:jc w:val="both"/>
              <w:rPr>
                <w:szCs w:val="22"/>
                <w:lang w:bidi="zh-CN"/>
                <w14:ligatures w14:val="none"/>
              </w:rPr>
            </w:pPr>
          </w:p>
        </w:tc>
      </w:tr>
      <w:tr w14:paraId="4DB9D8E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243" w:type="pct"/>
            <w:vMerge w:val="continue"/>
            <w:tcBorders>
              <w:top w:val="single" w:color="auto" w:sz="4" w:space="0"/>
              <w:left w:val="single" w:color="auto" w:sz="4" w:space="0"/>
              <w:bottom w:val="single" w:color="auto" w:sz="4" w:space="0"/>
              <w:right w:val="single" w:color="auto" w:sz="4" w:space="0"/>
            </w:tcBorders>
            <w:vAlign w:val="center"/>
          </w:tcPr>
          <w:p w14:paraId="3A31FDBC">
            <w:pPr>
              <w:pStyle w:val="64"/>
              <w:adjustRightInd w:val="0"/>
              <w:snapToGrid w:val="0"/>
              <w:rPr>
                <w:szCs w:val="22"/>
                <w14:ligatures w14:val="none"/>
              </w:rPr>
            </w:pPr>
          </w:p>
        </w:tc>
        <w:tc>
          <w:tcPr>
            <w:tcW w:w="694" w:type="pct"/>
            <w:tcBorders>
              <w:left w:val="single" w:color="auto" w:sz="4" w:space="0"/>
            </w:tcBorders>
            <w:vAlign w:val="center"/>
          </w:tcPr>
          <w:p w14:paraId="2ADFDDD4">
            <w:pPr>
              <w:pStyle w:val="64"/>
              <w:adjustRightInd w:val="0"/>
              <w:snapToGrid w:val="0"/>
              <w:rPr>
                <w:szCs w:val="22"/>
                <w:lang w:bidi="zh-CN"/>
                <w14:ligatures w14:val="none"/>
              </w:rPr>
            </w:pPr>
            <w:r>
              <w:rPr>
                <w:szCs w:val="22"/>
                <w:lang w:bidi="zh-CN"/>
                <w14:ligatures w14:val="none"/>
              </w:rPr>
              <w:t>安全员</w:t>
            </w:r>
          </w:p>
        </w:tc>
        <w:tc>
          <w:tcPr>
            <w:tcW w:w="469" w:type="pct"/>
            <w:vAlign w:val="center"/>
          </w:tcPr>
          <w:p w14:paraId="694DE142">
            <w:pPr>
              <w:pStyle w:val="64"/>
              <w:adjustRightInd w:val="0"/>
              <w:snapToGrid w:val="0"/>
              <w:rPr>
                <w:szCs w:val="22"/>
                <w:lang w:bidi="zh-CN"/>
                <w14:ligatures w14:val="none"/>
              </w:rPr>
            </w:pPr>
            <w:r>
              <w:rPr>
                <w:szCs w:val="22"/>
                <w:lang w:bidi="zh-CN"/>
                <w14:ligatures w14:val="none"/>
              </w:rPr>
              <w:t>应急管理中心</w:t>
            </w:r>
          </w:p>
        </w:tc>
        <w:tc>
          <w:tcPr>
            <w:tcW w:w="468" w:type="pct"/>
            <w:vAlign w:val="center"/>
          </w:tcPr>
          <w:p w14:paraId="6BC7999C">
            <w:pPr>
              <w:pStyle w:val="64"/>
              <w:adjustRightInd w:val="0"/>
              <w:snapToGrid w:val="0"/>
              <w:rPr>
                <w:szCs w:val="22"/>
                <w:lang w:bidi="zh-CN"/>
                <w14:ligatures w14:val="none"/>
              </w:rPr>
            </w:pPr>
            <w:r>
              <w:rPr>
                <w:szCs w:val="22"/>
                <w:lang w:bidi="zh-CN"/>
                <w14:ligatures w14:val="none"/>
              </w:rPr>
              <w:t>石超</w:t>
            </w:r>
          </w:p>
        </w:tc>
        <w:tc>
          <w:tcPr>
            <w:tcW w:w="703" w:type="pct"/>
            <w:vAlign w:val="center"/>
          </w:tcPr>
          <w:p w14:paraId="635CE071">
            <w:pPr>
              <w:pStyle w:val="64"/>
              <w:adjustRightInd w:val="0"/>
              <w:snapToGrid w:val="0"/>
              <w:rPr>
                <w:szCs w:val="22"/>
                <w14:ligatures w14:val="none"/>
              </w:rPr>
            </w:pPr>
            <w:r>
              <w:rPr>
                <w:szCs w:val="22"/>
                <w:shd w:val="clear" w:color="auto" w:fill="FFFFFF"/>
                <w14:ligatures w14:val="none"/>
              </w:rPr>
              <w:t>15255279988</w:t>
            </w:r>
          </w:p>
        </w:tc>
        <w:tc>
          <w:tcPr>
            <w:tcW w:w="313" w:type="pct"/>
            <w:tcBorders>
              <w:right w:val="single" w:color="auto" w:sz="4" w:space="0"/>
            </w:tcBorders>
            <w:vAlign w:val="center"/>
          </w:tcPr>
          <w:p w14:paraId="7D1B491B">
            <w:pPr>
              <w:pStyle w:val="64"/>
              <w:adjustRightInd w:val="0"/>
              <w:snapToGrid w:val="0"/>
              <w:rPr>
                <w:szCs w:val="22"/>
                <w14:ligatures w14:val="none"/>
              </w:rPr>
            </w:pPr>
            <w:r>
              <w:rPr>
                <w:szCs w:val="22"/>
                <w14:ligatures w14:val="none"/>
              </w:rPr>
              <w:t>组员</w:t>
            </w:r>
          </w:p>
        </w:tc>
        <w:tc>
          <w:tcPr>
            <w:tcW w:w="2109" w:type="pct"/>
            <w:vMerge w:val="continue"/>
            <w:tcBorders>
              <w:top w:val="single" w:color="auto" w:sz="4" w:space="0"/>
              <w:left w:val="single" w:color="auto" w:sz="4" w:space="0"/>
              <w:bottom w:val="single" w:color="auto" w:sz="4" w:space="0"/>
              <w:right w:val="single" w:color="auto" w:sz="4" w:space="0"/>
            </w:tcBorders>
            <w:vAlign w:val="center"/>
          </w:tcPr>
          <w:p w14:paraId="1AD08CE4">
            <w:pPr>
              <w:pStyle w:val="64"/>
              <w:adjustRightInd w:val="0"/>
              <w:snapToGrid w:val="0"/>
              <w:jc w:val="both"/>
              <w:rPr>
                <w:szCs w:val="22"/>
                <w:lang w:bidi="zh-CN"/>
                <w14:ligatures w14:val="none"/>
              </w:rPr>
            </w:pPr>
          </w:p>
        </w:tc>
      </w:tr>
      <w:tr w14:paraId="58A2FFA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243" w:type="pct"/>
            <w:vMerge w:val="continue"/>
            <w:tcBorders>
              <w:top w:val="single" w:color="auto" w:sz="4" w:space="0"/>
              <w:left w:val="single" w:color="auto" w:sz="4" w:space="0"/>
              <w:bottom w:val="single" w:color="auto" w:sz="4" w:space="0"/>
              <w:right w:val="single" w:color="auto" w:sz="4" w:space="0"/>
            </w:tcBorders>
            <w:vAlign w:val="center"/>
          </w:tcPr>
          <w:p w14:paraId="6DC1DF3E">
            <w:pPr>
              <w:pStyle w:val="64"/>
              <w:adjustRightInd w:val="0"/>
              <w:snapToGrid w:val="0"/>
              <w:rPr>
                <w:szCs w:val="22"/>
                <w14:ligatures w14:val="none"/>
              </w:rPr>
            </w:pPr>
          </w:p>
        </w:tc>
        <w:tc>
          <w:tcPr>
            <w:tcW w:w="694" w:type="pct"/>
            <w:tcBorders>
              <w:left w:val="single" w:color="auto" w:sz="4" w:space="0"/>
            </w:tcBorders>
            <w:vAlign w:val="center"/>
          </w:tcPr>
          <w:p w14:paraId="419E2D82">
            <w:pPr>
              <w:pStyle w:val="64"/>
              <w:adjustRightInd w:val="0"/>
              <w:snapToGrid w:val="0"/>
              <w:rPr>
                <w:szCs w:val="22"/>
                <w:lang w:bidi="zh-CN"/>
                <w14:ligatures w14:val="none"/>
              </w:rPr>
            </w:pPr>
            <w:r>
              <w:rPr>
                <w:szCs w:val="22"/>
                <w:lang w:bidi="zh-CN"/>
                <w14:ligatures w14:val="none"/>
              </w:rPr>
              <w:t>副处长</w:t>
            </w:r>
          </w:p>
        </w:tc>
        <w:tc>
          <w:tcPr>
            <w:tcW w:w="469" w:type="pct"/>
            <w:vAlign w:val="center"/>
          </w:tcPr>
          <w:p w14:paraId="6C44A1ED">
            <w:pPr>
              <w:pStyle w:val="64"/>
              <w:adjustRightInd w:val="0"/>
              <w:snapToGrid w:val="0"/>
              <w:rPr>
                <w:szCs w:val="22"/>
                <w:lang w:bidi="zh-CN"/>
                <w14:ligatures w14:val="none"/>
              </w:rPr>
            </w:pPr>
            <w:r>
              <w:rPr>
                <w:szCs w:val="22"/>
                <w:lang w:bidi="zh-CN"/>
                <w14:ligatures w14:val="none"/>
              </w:rPr>
              <w:t>应急管理中心</w:t>
            </w:r>
          </w:p>
        </w:tc>
        <w:tc>
          <w:tcPr>
            <w:tcW w:w="468" w:type="pct"/>
            <w:vAlign w:val="center"/>
          </w:tcPr>
          <w:p w14:paraId="2004E8CD">
            <w:pPr>
              <w:pStyle w:val="64"/>
              <w:adjustRightInd w:val="0"/>
              <w:snapToGrid w:val="0"/>
              <w:rPr>
                <w:szCs w:val="22"/>
                <w:lang w:bidi="zh-CN"/>
                <w14:ligatures w14:val="none"/>
              </w:rPr>
            </w:pPr>
            <w:r>
              <w:rPr>
                <w:szCs w:val="22"/>
                <w:lang w:bidi="zh-CN"/>
                <w14:ligatures w14:val="none"/>
              </w:rPr>
              <w:t>杨</w:t>
            </w:r>
            <w:r>
              <w:rPr>
                <w:rFonts w:hint="eastAsia"/>
                <w:szCs w:val="22"/>
                <w:lang w:bidi="zh-CN"/>
                <w14:ligatures w14:val="none"/>
              </w:rPr>
              <w:t>新胜</w:t>
            </w:r>
          </w:p>
        </w:tc>
        <w:tc>
          <w:tcPr>
            <w:tcW w:w="703" w:type="pct"/>
            <w:vAlign w:val="center"/>
          </w:tcPr>
          <w:p w14:paraId="7763C2EE">
            <w:pPr>
              <w:pStyle w:val="64"/>
              <w:adjustRightInd w:val="0"/>
              <w:snapToGrid w:val="0"/>
              <w:rPr>
                <w:szCs w:val="22"/>
                <w14:ligatures w14:val="none"/>
              </w:rPr>
            </w:pPr>
            <w:r>
              <w:rPr>
                <w:szCs w:val="22"/>
                <w:shd w:val="clear" w:color="auto" w:fill="FFFFFF"/>
                <w14:ligatures w14:val="none"/>
              </w:rPr>
              <w:t>13909650330</w:t>
            </w:r>
          </w:p>
        </w:tc>
        <w:tc>
          <w:tcPr>
            <w:tcW w:w="313" w:type="pct"/>
            <w:tcBorders>
              <w:right w:val="single" w:color="auto" w:sz="4" w:space="0"/>
            </w:tcBorders>
            <w:vAlign w:val="center"/>
          </w:tcPr>
          <w:p w14:paraId="493A2915">
            <w:pPr>
              <w:pStyle w:val="64"/>
              <w:adjustRightInd w:val="0"/>
              <w:snapToGrid w:val="0"/>
              <w:rPr>
                <w:szCs w:val="22"/>
                <w14:ligatures w14:val="none"/>
              </w:rPr>
            </w:pPr>
            <w:r>
              <w:rPr>
                <w:szCs w:val="22"/>
                <w14:ligatures w14:val="none"/>
              </w:rPr>
              <w:t>组员</w:t>
            </w:r>
          </w:p>
        </w:tc>
        <w:tc>
          <w:tcPr>
            <w:tcW w:w="2109" w:type="pct"/>
            <w:vMerge w:val="continue"/>
            <w:tcBorders>
              <w:top w:val="single" w:color="auto" w:sz="4" w:space="0"/>
              <w:left w:val="single" w:color="auto" w:sz="4" w:space="0"/>
              <w:bottom w:val="single" w:color="auto" w:sz="4" w:space="0"/>
              <w:right w:val="single" w:color="auto" w:sz="4" w:space="0"/>
            </w:tcBorders>
            <w:vAlign w:val="center"/>
          </w:tcPr>
          <w:p w14:paraId="5746F7F3">
            <w:pPr>
              <w:pStyle w:val="64"/>
              <w:adjustRightInd w:val="0"/>
              <w:snapToGrid w:val="0"/>
              <w:jc w:val="both"/>
              <w:rPr>
                <w:szCs w:val="22"/>
                <w:lang w:bidi="zh-CN"/>
                <w14:ligatures w14:val="none"/>
              </w:rPr>
            </w:pPr>
          </w:p>
        </w:tc>
      </w:tr>
      <w:tr w14:paraId="302810C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243" w:type="pct"/>
            <w:vMerge w:val="restart"/>
            <w:tcBorders>
              <w:top w:val="single" w:color="auto" w:sz="4" w:space="0"/>
              <w:left w:val="single" w:color="auto" w:sz="4" w:space="0"/>
              <w:bottom w:val="single" w:color="auto" w:sz="4" w:space="0"/>
              <w:right w:val="single" w:color="auto" w:sz="4" w:space="0"/>
            </w:tcBorders>
            <w:vAlign w:val="center"/>
          </w:tcPr>
          <w:p w14:paraId="003612AB">
            <w:pPr>
              <w:pStyle w:val="64"/>
              <w:adjustRightInd w:val="0"/>
              <w:snapToGrid w:val="0"/>
              <w:rPr>
                <w:szCs w:val="22"/>
                <w:lang w:val="zh-CN" w:bidi="zh-CN"/>
                <w14:ligatures w14:val="none"/>
              </w:rPr>
            </w:pPr>
            <w:r>
              <w:rPr>
                <w:szCs w:val="22"/>
                <w:lang w:val="zh-CN" w:bidi="zh-CN"/>
                <w14:ligatures w14:val="none"/>
              </w:rPr>
              <w:t>后勤</w:t>
            </w:r>
          </w:p>
          <w:p w14:paraId="3576E6AA">
            <w:pPr>
              <w:pStyle w:val="64"/>
              <w:adjustRightInd w:val="0"/>
              <w:snapToGrid w:val="0"/>
              <w:rPr>
                <w:szCs w:val="22"/>
                <w:lang w:val="zh-CN" w:bidi="zh-CN"/>
                <w14:ligatures w14:val="none"/>
              </w:rPr>
            </w:pPr>
            <w:r>
              <w:rPr>
                <w:szCs w:val="22"/>
                <w:lang w:val="zh-CN" w:bidi="zh-CN"/>
                <w14:ligatures w14:val="none"/>
              </w:rPr>
              <w:t>保障</w:t>
            </w:r>
          </w:p>
        </w:tc>
        <w:tc>
          <w:tcPr>
            <w:tcW w:w="694" w:type="pct"/>
            <w:tcBorders>
              <w:left w:val="single" w:color="auto" w:sz="4" w:space="0"/>
              <w:bottom w:val="single" w:color="auto" w:sz="4" w:space="0"/>
            </w:tcBorders>
            <w:vAlign w:val="center"/>
          </w:tcPr>
          <w:p w14:paraId="2D7BD89C">
            <w:pPr>
              <w:pStyle w:val="64"/>
              <w:adjustRightInd w:val="0"/>
              <w:snapToGrid w:val="0"/>
              <w:rPr>
                <w:szCs w:val="22"/>
                <w:lang w:bidi="zh-CN"/>
                <w14:ligatures w14:val="none"/>
              </w:rPr>
            </w:pPr>
            <w:r>
              <w:rPr>
                <w:szCs w:val="22"/>
                <w:lang w:bidi="zh-CN"/>
                <w14:ligatures w14:val="none"/>
              </w:rPr>
              <w:t>人力总监</w:t>
            </w:r>
          </w:p>
        </w:tc>
        <w:tc>
          <w:tcPr>
            <w:tcW w:w="469" w:type="pct"/>
            <w:tcBorders>
              <w:bottom w:val="single" w:color="auto" w:sz="4" w:space="0"/>
            </w:tcBorders>
            <w:vAlign w:val="center"/>
          </w:tcPr>
          <w:p w14:paraId="03319A2A">
            <w:pPr>
              <w:pStyle w:val="64"/>
              <w:adjustRightInd w:val="0"/>
              <w:snapToGrid w:val="0"/>
              <w:rPr>
                <w:szCs w:val="22"/>
                <w:lang w:bidi="zh-CN"/>
                <w14:ligatures w14:val="none"/>
              </w:rPr>
            </w:pPr>
            <w:r>
              <w:rPr>
                <w:szCs w:val="22"/>
                <w:lang w:bidi="zh-CN"/>
                <w14:ligatures w14:val="none"/>
              </w:rPr>
              <w:t>总部</w:t>
            </w:r>
          </w:p>
        </w:tc>
        <w:tc>
          <w:tcPr>
            <w:tcW w:w="468" w:type="pct"/>
            <w:tcBorders>
              <w:bottom w:val="single" w:color="auto" w:sz="4" w:space="0"/>
            </w:tcBorders>
            <w:vAlign w:val="center"/>
          </w:tcPr>
          <w:p w14:paraId="20F3E74B">
            <w:pPr>
              <w:pStyle w:val="64"/>
              <w:adjustRightInd w:val="0"/>
              <w:snapToGrid w:val="0"/>
              <w:rPr>
                <w:szCs w:val="22"/>
                <w:lang w:bidi="zh-CN"/>
                <w14:ligatures w14:val="none"/>
              </w:rPr>
            </w:pPr>
            <w:r>
              <w:rPr>
                <w:szCs w:val="22"/>
                <w:lang w:bidi="zh-CN"/>
                <w14:ligatures w14:val="none"/>
              </w:rPr>
              <w:t>唐东升</w:t>
            </w:r>
          </w:p>
        </w:tc>
        <w:tc>
          <w:tcPr>
            <w:tcW w:w="703" w:type="pct"/>
            <w:tcBorders>
              <w:bottom w:val="single" w:color="auto" w:sz="4" w:space="0"/>
            </w:tcBorders>
            <w:vAlign w:val="center"/>
          </w:tcPr>
          <w:p w14:paraId="47FCFE44">
            <w:pPr>
              <w:pStyle w:val="64"/>
              <w:adjustRightInd w:val="0"/>
              <w:snapToGrid w:val="0"/>
              <w:rPr>
                <w:szCs w:val="22"/>
                <w:lang w:val="zh-CN" w:bidi="zh-CN"/>
                <w14:ligatures w14:val="none"/>
              </w:rPr>
            </w:pPr>
            <w:r>
              <w:rPr>
                <w:szCs w:val="22"/>
                <w:shd w:val="clear" w:color="auto" w:fill="FFFFFF"/>
                <w:lang w:val="zh-CN" w:bidi="zh-CN"/>
                <w14:ligatures w14:val="none"/>
              </w:rPr>
              <w:t>18255286999</w:t>
            </w:r>
          </w:p>
        </w:tc>
        <w:tc>
          <w:tcPr>
            <w:tcW w:w="313" w:type="pct"/>
            <w:tcBorders>
              <w:bottom w:val="single" w:color="auto" w:sz="4" w:space="0"/>
              <w:right w:val="single" w:color="auto" w:sz="4" w:space="0"/>
            </w:tcBorders>
            <w:vAlign w:val="center"/>
          </w:tcPr>
          <w:p w14:paraId="4FB35543">
            <w:pPr>
              <w:pStyle w:val="64"/>
              <w:adjustRightInd w:val="0"/>
              <w:snapToGrid w:val="0"/>
              <w:rPr>
                <w:szCs w:val="22"/>
                <w:lang w:val="zh-CN" w:bidi="zh-CN"/>
                <w14:ligatures w14:val="none"/>
              </w:rPr>
            </w:pPr>
            <w:r>
              <w:rPr>
                <w:szCs w:val="22"/>
                <w:lang w:val="zh-CN" w:bidi="zh-CN"/>
                <w14:ligatures w14:val="none"/>
              </w:rPr>
              <w:t>组长</w:t>
            </w:r>
          </w:p>
        </w:tc>
        <w:tc>
          <w:tcPr>
            <w:tcW w:w="2109" w:type="pct"/>
            <w:vMerge w:val="restart"/>
            <w:tcBorders>
              <w:top w:val="single" w:color="auto" w:sz="4" w:space="0"/>
              <w:left w:val="single" w:color="auto" w:sz="4" w:space="0"/>
              <w:bottom w:val="single" w:color="auto" w:sz="4" w:space="0"/>
              <w:right w:val="single" w:color="auto" w:sz="4" w:space="0"/>
            </w:tcBorders>
            <w:vAlign w:val="center"/>
          </w:tcPr>
          <w:p w14:paraId="2DDACE06">
            <w:pPr>
              <w:pStyle w:val="64"/>
              <w:adjustRightInd w:val="0"/>
              <w:snapToGrid w:val="0"/>
              <w:jc w:val="both"/>
              <w:rPr>
                <w:szCs w:val="22"/>
                <w:lang w:bidi="zh-CN"/>
                <w14:ligatures w14:val="none"/>
              </w:rPr>
            </w:pPr>
            <w:r>
              <w:rPr>
                <w:szCs w:val="22"/>
                <w:lang w:bidi="zh-CN"/>
                <w14:ligatures w14:val="none"/>
              </w:rPr>
              <w:t>1.负责应急物资和车辆保障；</w:t>
            </w:r>
          </w:p>
          <w:p w14:paraId="3E1E781F">
            <w:pPr>
              <w:pStyle w:val="64"/>
              <w:adjustRightInd w:val="0"/>
              <w:snapToGrid w:val="0"/>
              <w:jc w:val="both"/>
              <w:rPr>
                <w:szCs w:val="22"/>
                <w:lang w:bidi="zh-CN"/>
                <w14:ligatures w14:val="none"/>
              </w:rPr>
            </w:pPr>
            <w:r>
              <w:rPr>
                <w:szCs w:val="22"/>
                <w:lang w:bidi="zh-CN"/>
                <w14:ligatures w14:val="none"/>
              </w:rPr>
              <w:t>2.负责受伤中毒人员的转运及其生活必需品供应；</w:t>
            </w:r>
          </w:p>
          <w:p w14:paraId="31F32317">
            <w:pPr>
              <w:pStyle w:val="64"/>
              <w:adjustRightInd w:val="0"/>
              <w:snapToGrid w:val="0"/>
              <w:jc w:val="both"/>
              <w:rPr>
                <w:szCs w:val="22"/>
                <w:lang w:bidi="zh-CN"/>
                <w14:ligatures w14:val="none"/>
              </w:rPr>
            </w:pPr>
            <w:r>
              <w:rPr>
                <w:szCs w:val="22"/>
                <w:lang w:bidi="zh-CN"/>
                <w14:ligatures w14:val="none"/>
              </w:rPr>
              <w:t>3.及时向应急指挥中心报各事故处理情况；</w:t>
            </w:r>
          </w:p>
          <w:p w14:paraId="5795FD6D">
            <w:pPr>
              <w:pStyle w:val="64"/>
              <w:adjustRightInd w:val="0"/>
              <w:snapToGrid w:val="0"/>
              <w:jc w:val="both"/>
              <w:rPr>
                <w:szCs w:val="22"/>
                <w:lang w:bidi="zh-CN"/>
                <w14:ligatures w14:val="none"/>
              </w:rPr>
            </w:pPr>
            <w:r>
              <w:rPr>
                <w:szCs w:val="22"/>
                <w:lang w:bidi="zh-CN"/>
                <w14:ligatures w14:val="none"/>
              </w:rPr>
              <w:t>4.负责完成指挥部安排的其他工作。</w:t>
            </w:r>
          </w:p>
        </w:tc>
      </w:tr>
      <w:tr w14:paraId="65CD137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243" w:type="pct"/>
            <w:vMerge w:val="continue"/>
            <w:tcBorders>
              <w:top w:val="single" w:color="auto" w:sz="4" w:space="0"/>
              <w:left w:val="single" w:color="auto" w:sz="4" w:space="0"/>
              <w:bottom w:val="single" w:color="auto" w:sz="4" w:space="0"/>
              <w:right w:val="single" w:color="auto" w:sz="4" w:space="0"/>
            </w:tcBorders>
            <w:vAlign w:val="center"/>
          </w:tcPr>
          <w:p w14:paraId="0C191F8E">
            <w:pPr>
              <w:pStyle w:val="64"/>
              <w:adjustRightInd w:val="0"/>
              <w:snapToGrid w:val="0"/>
              <w:rPr>
                <w:szCs w:val="22"/>
                <w:lang w:val="zh-CN" w:bidi="zh-CN"/>
                <w14:ligatures w14:val="none"/>
              </w:rPr>
            </w:pPr>
          </w:p>
        </w:tc>
        <w:tc>
          <w:tcPr>
            <w:tcW w:w="694" w:type="pct"/>
            <w:tcBorders>
              <w:top w:val="single" w:color="auto" w:sz="4" w:space="0"/>
              <w:left w:val="single" w:color="auto" w:sz="4" w:space="0"/>
              <w:bottom w:val="single" w:color="auto" w:sz="4" w:space="0"/>
              <w:right w:val="single" w:color="auto" w:sz="4" w:space="0"/>
            </w:tcBorders>
            <w:vAlign w:val="center"/>
          </w:tcPr>
          <w:p w14:paraId="3ADC3BF7">
            <w:pPr>
              <w:pStyle w:val="64"/>
              <w:adjustRightInd w:val="0"/>
              <w:snapToGrid w:val="0"/>
              <w:rPr>
                <w:szCs w:val="22"/>
                <w:lang w:bidi="zh-CN"/>
                <w14:ligatures w14:val="none"/>
              </w:rPr>
            </w:pPr>
            <w:r>
              <w:rPr>
                <w:szCs w:val="22"/>
                <w:lang w:bidi="zh-CN"/>
                <w14:ligatures w14:val="none"/>
              </w:rPr>
              <w:t>处长</w:t>
            </w:r>
          </w:p>
        </w:tc>
        <w:tc>
          <w:tcPr>
            <w:tcW w:w="469" w:type="pct"/>
            <w:tcBorders>
              <w:top w:val="single" w:color="auto" w:sz="4" w:space="0"/>
              <w:left w:val="single" w:color="auto" w:sz="4" w:space="0"/>
              <w:bottom w:val="single" w:color="auto" w:sz="4" w:space="0"/>
              <w:right w:val="single" w:color="auto" w:sz="4" w:space="0"/>
            </w:tcBorders>
            <w:vAlign w:val="center"/>
          </w:tcPr>
          <w:p w14:paraId="2DF5411B">
            <w:pPr>
              <w:pStyle w:val="64"/>
              <w:adjustRightInd w:val="0"/>
              <w:snapToGrid w:val="0"/>
              <w:rPr>
                <w:szCs w:val="22"/>
                <w:lang w:bidi="zh-CN"/>
                <w14:ligatures w14:val="none"/>
              </w:rPr>
            </w:pPr>
            <w:r>
              <w:rPr>
                <w:szCs w:val="22"/>
                <w:lang w:bidi="zh-CN"/>
                <w14:ligatures w14:val="none"/>
              </w:rPr>
              <w:t>人力监察中心</w:t>
            </w:r>
          </w:p>
        </w:tc>
        <w:tc>
          <w:tcPr>
            <w:tcW w:w="468" w:type="pct"/>
            <w:tcBorders>
              <w:top w:val="single" w:color="auto" w:sz="4" w:space="0"/>
              <w:left w:val="single" w:color="auto" w:sz="4" w:space="0"/>
              <w:bottom w:val="single" w:color="auto" w:sz="4" w:space="0"/>
              <w:right w:val="single" w:color="auto" w:sz="4" w:space="0"/>
            </w:tcBorders>
            <w:vAlign w:val="center"/>
          </w:tcPr>
          <w:p w14:paraId="34CF8280">
            <w:pPr>
              <w:pStyle w:val="64"/>
              <w:adjustRightInd w:val="0"/>
              <w:snapToGrid w:val="0"/>
              <w:rPr>
                <w:szCs w:val="22"/>
                <w:lang w:bidi="zh-CN"/>
                <w14:ligatures w14:val="none"/>
              </w:rPr>
            </w:pPr>
            <w:r>
              <w:rPr>
                <w:szCs w:val="22"/>
                <w:lang w:bidi="zh-CN"/>
                <w14:ligatures w14:val="none"/>
              </w:rPr>
              <w:t>徐婧</w:t>
            </w:r>
          </w:p>
        </w:tc>
        <w:tc>
          <w:tcPr>
            <w:tcW w:w="703" w:type="pct"/>
            <w:tcBorders>
              <w:top w:val="single" w:color="auto" w:sz="4" w:space="0"/>
              <w:left w:val="single" w:color="auto" w:sz="4" w:space="0"/>
              <w:bottom w:val="single" w:color="auto" w:sz="4" w:space="0"/>
              <w:right w:val="single" w:color="auto" w:sz="4" w:space="0"/>
            </w:tcBorders>
            <w:vAlign w:val="center"/>
          </w:tcPr>
          <w:p w14:paraId="17CE2C3D">
            <w:pPr>
              <w:pStyle w:val="64"/>
              <w:adjustRightInd w:val="0"/>
              <w:snapToGrid w:val="0"/>
              <w:rPr>
                <w:szCs w:val="22"/>
                <w:lang w:val="zh-CN" w:bidi="zh-CN"/>
                <w14:ligatures w14:val="none"/>
              </w:rPr>
            </w:pPr>
            <w:r>
              <w:rPr>
                <w:szCs w:val="22"/>
                <w:shd w:val="clear" w:color="auto" w:fill="FFFFFF"/>
                <w:lang w:val="zh-CN" w:bidi="zh-CN"/>
                <w14:ligatures w14:val="none"/>
              </w:rPr>
              <w:t>15215521178</w:t>
            </w:r>
          </w:p>
        </w:tc>
        <w:tc>
          <w:tcPr>
            <w:tcW w:w="313" w:type="pct"/>
            <w:tcBorders>
              <w:top w:val="single" w:color="auto" w:sz="4" w:space="0"/>
              <w:left w:val="single" w:color="auto" w:sz="4" w:space="0"/>
              <w:bottom w:val="single" w:color="auto" w:sz="4" w:space="0"/>
              <w:right w:val="single" w:color="auto" w:sz="4" w:space="0"/>
            </w:tcBorders>
            <w:vAlign w:val="center"/>
          </w:tcPr>
          <w:p w14:paraId="5B83DB6D">
            <w:pPr>
              <w:pStyle w:val="64"/>
              <w:adjustRightInd w:val="0"/>
              <w:snapToGrid w:val="0"/>
              <w:rPr>
                <w:szCs w:val="22"/>
                <w:lang w:val="zh-CN" w:bidi="zh-CN"/>
                <w14:ligatures w14:val="none"/>
              </w:rPr>
            </w:pPr>
            <w:r>
              <w:rPr>
                <w:szCs w:val="22"/>
                <w:lang w:val="zh-CN" w:bidi="zh-CN"/>
                <w14:ligatures w14:val="none"/>
              </w:rPr>
              <w:t>副组长</w:t>
            </w:r>
          </w:p>
        </w:tc>
        <w:tc>
          <w:tcPr>
            <w:tcW w:w="2109" w:type="pct"/>
            <w:vMerge w:val="continue"/>
            <w:tcBorders>
              <w:top w:val="single" w:color="auto" w:sz="4" w:space="0"/>
              <w:left w:val="single" w:color="auto" w:sz="4" w:space="0"/>
              <w:bottom w:val="single" w:color="auto" w:sz="4" w:space="0"/>
              <w:right w:val="single" w:color="auto" w:sz="4" w:space="0"/>
            </w:tcBorders>
            <w:vAlign w:val="center"/>
          </w:tcPr>
          <w:p w14:paraId="6C85D86F">
            <w:pPr>
              <w:pStyle w:val="64"/>
              <w:adjustRightInd w:val="0"/>
              <w:snapToGrid w:val="0"/>
              <w:jc w:val="both"/>
              <w:rPr>
                <w:szCs w:val="22"/>
                <w:lang w:val="zh-CN" w:bidi="zh-CN"/>
                <w14:ligatures w14:val="none"/>
              </w:rPr>
            </w:pPr>
          </w:p>
        </w:tc>
      </w:tr>
      <w:tr w14:paraId="73EB076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243" w:type="pct"/>
            <w:vMerge w:val="continue"/>
            <w:tcBorders>
              <w:top w:val="single" w:color="auto" w:sz="4" w:space="0"/>
              <w:left w:val="single" w:color="auto" w:sz="4" w:space="0"/>
              <w:bottom w:val="single" w:color="auto" w:sz="4" w:space="0"/>
              <w:right w:val="single" w:color="auto" w:sz="4" w:space="0"/>
            </w:tcBorders>
            <w:vAlign w:val="center"/>
          </w:tcPr>
          <w:p w14:paraId="07714AF3">
            <w:pPr>
              <w:pStyle w:val="64"/>
              <w:adjustRightInd w:val="0"/>
              <w:snapToGrid w:val="0"/>
              <w:rPr>
                <w:szCs w:val="22"/>
                <w:lang w:val="zh-CN" w:bidi="zh-CN"/>
                <w14:ligatures w14:val="none"/>
              </w:rPr>
            </w:pPr>
          </w:p>
        </w:tc>
        <w:tc>
          <w:tcPr>
            <w:tcW w:w="694" w:type="pct"/>
            <w:tcBorders>
              <w:top w:val="single" w:color="auto" w:sz="4" w:space="0"/>
              <w:left w:val="single" w:color="auto" w:sz="4" w:space="0"/>
            </w:tcBorders>
            <w:vAlign w:val="center"/>
          </w:tcPr>
          <w:p w14:paraId="20550A05">
            <w:pPr>
              <w:pStyle w:val="64"/>
              <w:adjustRightInd w:val="0"/>
              <w:snapToGrid w:val="0"/>
              <w:rPr>
                <w:szCs w:val="22"/>
                <w:lang w:bidi="zh-CN"/>
                <w14:ligatures w14:val="none"/>
              </w:rPr>
            </w:pPr>
            <w:r>
              <w:rPr>
                <w:szCs w:val="22"/>
                <w:lang w:bidi="zh-CN"/>
                <w14:ligatures w14:val="none"/>
              </w:rPr>
              <w:t>副处长</w:t>
            </w:r>
          </w:p>
        </w:tc>
        <w:tc>
          <w:tcPr>
            <w:tcW w:w="469" w:type="pct"/>
            <w:tcBorders>
              <w:top w:val="single" w:color="auto" w:sz="4" w:space="0"/>
            </w:tcBorders>
            <w:vAlign w:val="center"/>
          </w:tcPr>
          <w:p w14:paraId="796E2F10">
            <w:pPr>
              <w:pStyle w:val="64"/>
              <w:adjustRightInd w:val="0"/>
              <w:snapToGrid w:val="0"/>
              <w:rPr>
                <w:szCs w:val="22"/>
                <w:lang w:bidi="zh-CN"/>
                <w14:ligatures w14:val="none"/>
              </w:rPr>
            </w:pPr>
            <w:r>
              <w:rPr>
                <w:szCs w:val="22"/>
                <w:lang w:bidi="zh-CN"/>
                <w14:ligatures w14:val="none"/>
              </w:rPr>
              <w:t>人力监察中心</w:t>
            </w:r>
          </w:p>
        </w:tc>
        <w:tc>
          <w:tcPr>
            <w:tcW w:w="468" w:type="pct"/>
            <w:tcBorders>
              <w:top w:val="single" w:color="auto" w:sz="4" w:space="0"/>
            </w:tcBorders>
            <w:vAlign w:val="center"/>
          </w:tcPr>
          <w:p w14:paraId="1310836F">
            <w:pPr>
              <w:pStyle w:val="64"/>
              <w:adjustRightInd w:val="0"/>
              <w:snapToGrid w:val="0"/>
              <w:rPr>
                <w:szCs w:val="22"/>
                <w:lang w:bidi="zh-CN"/>
                <w14:ligatures w14:val="none"/>
              </w:rPr>
            </w:pPr>
            <w:r>
              <w:rPr>
                <w:szCs w:val="22"/>
                <w:lang w:bidi="zh-CN"/>
                <w14:ligatures w14:val="none"/>
              </w:rPr>
              <w:t>徐朵朵</w:t>
            </w:r>
          </w:p>
        </w:tc>
        <w:tc>
          <w:tcPr>
            <w:tcW w:w="703" w:type="pct"/>
            <w:tcBorders>
              <w:top w:val="single" w:color="auto" w:sz="4" w:space="0"/>
            </w:tcBorders>
            <w:vAlign w:val="center"/>
          </w:tcPr>
          <w:p w14:paraId="7B8EEE4C">
            <w:pPr>
              <w:pStyle w:val="64"/>
              <w:adjustRightInd w:val="0"/>
              <w:snapToGrid w:val="0"/>
              <w:rPr>
                <w:szCs w:val="22"/>
                <w:lang w:val="zh-CN" w:bidi="zh-CN"/>
                <w14:ligatures w14:val="none"/>
              </w:rPr>
            </w:pPr>
            <w:r>
              <w:rPr>
                <w:szCs w:val="22"/>
                <w:shd w:val="clear" w:color="auto" w:fill="FFFFFF"/>
                <w:lang w:val="zh-CN" w:bidi="zh-CN"/>
                <w14:ligatures w14:val="none"/>
              </w:rPr>
              <w:t>18356632460</w:t>
            </w:r>
          </w:p>
        </w:tc>
        <w:tc>
          <w:tcPr>
            <w:tcW w:w="313" w:type="pct"/>
            <w:tcBorders>
              <w:top w:val="single" w:color="auto" w:sz="4" w:space="0"/>
              <w:right w:val="single" w:color="auto" w:sz="4" w:space="0"/>
            </w:tcBorders>
            <w:vAlign w:val="center"/>
          </w:tcPr>
          <w:p w14:paraId="3558C38F">
            <w:pPr>
              <w:pStyle w:val="64"/>
              <w:adjustRightInd w:val="0"/>
              <w:snapToGrid w:val="0"/>
              <w:rPr>
                <w:szCs w:val="22"/>
                <w:lang w:val="zh-CN" w:bidi="zh-CN"/>
                <w14:ligatures w14:val="none"/>
              </w:rPr>
            </w:pPr>
            <w:r>
              <w:rPr>
                <w:szCs w:val="22"/>
                <w:lang w:val="zh-CN" w:bidi="zh-CN"/>
                <w14:ligatures w14:val="none"/>
              </w:rPr>
              <w:t>组员</w:t>
            </w:r>
          </w:p>
        </w:tc>
        <w:tc>
          <w:tcPr>
            <w:tcW w:w="2109" w:type="pct"/>
            <w:vMerge w:val="continue"/>
            <w:tcBorders>
              <w:top w:val="single" w:color="auto" w:sz="4" w:space="0"/>
              <w:left w:val="single" w:color="auto" w:sz="4" w:space="0"/>
              <w:bottom w:val="single" w:color="auto" w:sz="4" w:space="0"/>
              <w:right w:val="single" w:color="auto" w:sz="4" w:space="0"/>
            </w:tcBorders>
            <w:vAlign w:val="center"/>
          </w:tcPr>
          <w:p w14:paraId="295318CC">
            <w:pPr>
              <w:pStyle w:val="64"/>
              <w:adjustRightInd w:val="0"/>
              <w:snapToGrid w:val="0"/>
              <w:jc w:val="both"/>
              <w:rPr>
                <w:szCs w:val="22"/>
                <w:lang w:val="zh-CN" w:bidi="zh-CN"/>
                <w14:ligatures w14:val="none"/>
              </w:rPr>
            </w:pPr>
          </w:p>
        </w:tc>
      </w:tr>
      <w:tr w14:paraId="608F276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243" w:type="pct"/>
            <w:vMerge w:val="continue"/>
            <w:tcBorders>
              <w:top w:val="single" w:color="auto" w:sz="4" w:space="0"/>
              <w:left w:val="single" w:color="auto" w:sz="4" w:space="0"/>
              <w:bottom w:val="single" w:color="auto" w:sz="4" w:space="0"/>
              <w:right w:val="single" w:color="auto" w:sz="4" w:space="0"/>
            </w:tcBorders>
            <w:vAlign w:val="center"/>
          </w:tcPr>
          <w:p w14:paraId="1A87C43A">
            <w:pPr>
              <w:pStyle w:val="64"/>
              <w:adjustRightInd w:val="0"/>
              <w:snapToGrid w:val="0"/>
              <w:rPr>
                <w:szCs w:val="22"/>
                <w:lang w:val="zh-CN" w:bidi="zh-CN"/>
                <w14:ligatures w14:val="none"/>
              </w:rPr>
            </w:pPr>
          </w:p>
        </w:tc>
        <w:tc>
          <w:tcPr>
            <w:tcW w:w="694" w:type="pct"/>
            <w:tcBorders>
              <w:left w:val="single" w:color="auto" w:sz="4" w:space="0"/>
            </w:tcBorders>
            <w:vAlign w:val="center"/>
          </w:tcPr>
          <w:p w14:paraId="657F9566">
            <w:pPr>
              <w:pStyle w:val="64"/>
              <w:adjustRightInd w:val="0"/>
              <w:snapToGrid w:val="0"/>
              <w:rPr>
                <w:szCs w:val="22"/>
                <w14:ligatures w14:val="none"/>
              </w:rPr>
            </w:pPr>
            <w:r>
              <w:rPr>
                <w:szCs w:val="22"/>
                <w14:ligatures w14:val="none"/>
              </w:rPr>
              <w:t>职员</w:t>
            </w:r>
          </w:p>
        </w:tc>
        <w:tc>
          <w:tcPr>
            <w:tcW w:w="469" w:type="pct"/>
            <w:vAlign w:val="center"/>
          </w:tcPr>
          <w:p w14:paraId="6A9349F6">
            <w:pPr>
              <w:pStyle w:val="64"/>
              <w:adjustRightInd w:val="0"/>
              <w:snapToGrid w:val="0"/>
              <w:rPr>
                <w:szCs w:val="22"/>
                <w:lang w:bidi="zh-CN"/>
                <w14:ligatures w14:val="none"/>
              </w:rPr>
            </w:pPr>
            <w:r>
              <w:rPr>
                <w:szCs w:val="22"/>
                <w:lang w:bidi="zh-CN"/>
                <w14:ligatures w14:val="none"/>
              </w:rPr>
              <w:t>后勤处</w:t>
            </w:r>
          </w:p>
        </w:tc>
        <w:tc>
          <w:tcPr>
            <w:tcW w:w="468" w:type="pct"/>
            <w:vAlign w:val="center"/>
          </w:tcPr>
          <w:p w14:paraId="2F894F64">
            <w:pPr>
              <w:pStyle w:val="64"/>
              <w:adjustRightInd w:val="0"/>
              <w:snapToGrid w:val="0"/>
              <w:rPr>
                <w:szCs w:val="22"/>
                <w:lang w:bidi="zh-CN"/>
                <w14:ligatures w14:val="none"/>
              </w:rPr>
            </w:pPr>
            <w:r>
              <w:rPr>
                <w:szCs w:val="22"/>
                <w:lang w:bidi="zh-CN"/>
                <w14:ligatures w14:val="none"/>
              </w:rPr>
              <w:t>金孟</w:t>
            </w:r>
          </w:p>
        </w:tc>
        <w:tc>
          <w:tcPr>
            <w:tcW w:w="703" w:type="pct"/>
            <w:vAlign w:val="center"/>
          </w:tcPr>
          <w:p w14:paraId="41B76DD2">
            <w:pPr>
              <w:pStyle w:val="64"/>
              <w:adjustRightInd w:val="0"/>
              <w:snapToGrid w:val="0"/>
              <w:rPr>
                <w:szCs w:val="22"/>
                <w:lang w:val="zh-CN" w:bidi="zh-CN"/>
                <w14:ligatures w14:val="none"/>
              </w:rPr>
            </w:pPr>
            <w:r>
              <w:rPr>
                <w:szCs w:val="22"/>
                <w:shd w:val="clear" w:color="auto" w:fill="FFFFFF"/>
                <w:lang w:val="zh-CN" w:bidi="zh-CN"/>
                <w14:ligatures w14:val="none"/>
              </w:rPr>
              <w:t>15695520120</w:t>
            </w:r>
          </w:p>
        </w:tc>
        <w:tc>
          <w:tcPr>
            <w:tcW w:w="313" w:type="pct"/>
            <w:tcBorders>
              <w:right w:val="single" w:color="auto" w:sz="4" w:space="0"/>
            </w:tcBorders>
            <w:vAlign w:val="center"/>
          </w:tcPr>
          <w:p w14:paraId="34FCD77F">
            <w:pPr>
              <w:pStyle w:val="64"/>
              <w:adjustRightInd w:val="0"/>
              <w:snapToGrid w:val="0"/>
              <w:rPr>
                <w:szCs w:val="22"/>
                <w:lang w:val="zh-CN" w:bidi="zh-CN"/>
                <w14:ligatures w14:val="none"/>
              </w:rPr>
            </w:pPr>
            <w:r>
              <w:rPr>
                <w:szCs w:val="22"/>
                <w:lang w:val="zh-CN" w:bidi="zh-CN"/>
                <w14:ligatures w14:val="none"/>
              </w:rPr>
              <w:t>组员</w:t>
            </w:r>
          </w:p>
        </w:tc>
        <w:tc>
          <w:tcPr>
            <w:tcW w:w="2109" w:type="pct"/>
            <w:vMerge w:val="continue"/>
            <w:tcBorders>
              <w:top w:val="single" w:color="auto" w:sz="4" w:space="0"/>
              <w:left w:val="single" w:color="auto" w:sz="4" w:space="0"/>
              <w:bottom w:val="single" w:color="auto" w:sz="4" w:space="0"/>
              <w:right w:val="single" w:color="auto" w:sz="4" w:space="0"/>
            </w:tcBorders>
            <w:vAlign w:val="center"/>
          </w:tcPr>
          <w:p w14:paraId="62E4048B">
            <w:pPr>
              <w:pStyle w:val="64"/>
              <w:adjustRightInd w:val="0"/>
              <w:snapToGrid w:val="0"/>
              <w:jc w:val="both"/>
              <w:rPr>
                <w:szCs w:val="22"/>
                <w:lang w:val="zh-CN" w:bidi="zh-CN"/>
                <w14:ligatures w14:val="none"/>
              </w:rPr>
            </w:pPr>
          </w:p>
        </w:tc>
      </w:tr>
      <w:tr w14:paraId="54F9BD5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243" w:type="pct"/>
            <w:vMerge w:val="restart"/>
            <w:tcBorders>
              <w:top w:val="single" w:color="auto" w:sz="4" w:space="0"/>
              <w:left w:val="single" w:color="auto" w:sz="4" w:space="0"/>
              <w:bottom w:val="single" w:color="auto" w:sz="4" w:space="0"/>
              <w:right w:val="single" w:color="auto" w:sz="4" w:space="0"/>
            </w:tcBorders>
            <w:vAlign w:val="center"/>
          </w:tcPr>
          <w:p w14:paraId="6EE8861E">
            <w:pPr>
              <w:pStyle w:val="64"/>
              <w:adjustRightInd w:val="0"/>
              <w:snapToGrid w:val="0"/>
              <w:rPr>
                <w:szCs w:val="22"/>
                <w:lang w:val="zh-CN" w:bidi="zh-CN"/>
                <w14:ligatures w14:val="none"/>
              </w:rPr>
            </w:pPr>
            <w:r>
              <w:rPr>
                <w:szCs w:val="22"/>
                <w:lang w:val="zh-CN" w:bidi="zh-CN"/>
                <w14:ligatures w14:val="none"/>
              </w:rPr>
              <w:t>联络通信组</w:t>
            </w:r>
          </w:p>
        </w:tc>
        <w:tc>
          <w:tcPr>
            <w:tcW w:w="694" w:type="pct"/>
            <w:tcBorders>
              <w:left w:val="single" w:color="auto" w:sz="4" w:space="0"/>
            </w:tcBorders>
            <w:vAlign w:val="center"/>
          </w:tcPr>
          <w:p w14:paraId="696E20F6">
            <w:pPr>
              <w:pStyle w:val="64"/>
              <w:adjustRightInd w:val="0"/>
              <w:snapToGrid w:val="0"/>
              <w:rPr>
                <w:szCs w:val="22"/>
                <w:lang w:bidi="zh-CN"/>
                <w14:ligatures w14:val="none"/>
              </w:rPr>
            </w:pPr>
            <w:r>
              <w:rPr>
                <w:szCs w:val="22"/>
                <w:lang w:bidi="zh-CN"/>
                <w14:ligatures w14:val="none"/>
              </w:rPr>
              <w:t>厂长</w:t>
            </w:r>
          </w:p>
        </w:tc>
        <w:tc>
          <w:tcPr>
            <w:tcW w:w="469" w:type="pct"/>
            <w:vAlign w:val="center"/>
          </w:tcPr>
          <w:p w14:paraId="40F36525">
            <w:pPr>
              <w:pStyle w:val="64"/>
              <w:adjustRightInd w:val="0"/>
              <w:snapToGrid w:val="0"/>
              <w:rPr>
                <w:szCs w:val="22"/>
                <w:lang w:bidi="zh-CN"/>
                <w14:ligatures w14:val="none"/>
              </w:rPr>
            </w:pPr>
            <w:r>
              <w:rPr>
                <w:rFonts w:hint="eastAsia"/>
                <w:szCs w:val="22"/>
                <w14:ligatures w14:val="none"/>
              </w:rPr>
              <w:t>分厂</w:t>
            </w:r>
          </w:p>
        </w:tc>
        <w:tc>
          <w:tcPr>
            <w:tcW w:w="468" w:type="pct"/>
            <w:vAlign w:val="center"/>
          </w:tcPr>
          <w:p w14:paraId="547C05DF">
            <w:pPr>
              <w:pStyle w:val="64"/>
              <w:adjustRightInd w:val="0"/>
              <w:snapToGrid w:val="0"/>
              <w:rPr>
                <w:szCs w:val="22"/>
                <w:lang w:bidi="zh-CN"/>
                <w14:ligatures w14:val="none"/>
              </w:rPr>
            </w:pPr>
            <w:r>
              <w:rPr>
                <w:szCs w:val="22"/>
                <w:lang w:bidi="zh-CN"/>
                <w14:ligatures w14:val="none"/>
              </w:rPr>
              <w:t>吴红星</w:t>
            </w:r>
          </w:p>
        </w:tc>
        <w:tc>
          <w:tcPr>
            <w:tcW w:w="703" w:type="pct"/>
            <w:vAlign w:val="center"/>
          </w:tcPr>
          <w:p w14:paraId="34FA1627">
            <w:pPr>
              <w:pStyle w:val="64"/>
              <w:adjustRightInd w:val="0"/>
              <w:snapToGrid w:val="0"/>
              <w:rPr>
                <w:szCs w:val="22"/>
                <w:lang w:val="zh-CN" w:bidi="zh-CN"/>
                <w14:ligatures w14:val="none"/>
              </w:rPr>
            </w:pPr>
            <w:r>
              <w:rPr>
                <w:szCs w:val="22"/>
                <w:shd w:val="clear" w:color="auto" w:fill="FFFFFF"/>
                <w:lang w:val="zh-CN" w:bidi="zh-CN"/>
                <w14:ligatures w14:val="none"/>
              </w:rPr>
              <w:t>13955214313</w:t>
            </w:r>
          </w:p>
        </w:tc>
        <w:tc>
          <w:tcPr>
            <w:tcW w:w="313" w:type="pct"/>
            <w:tcBorders>
              <w:right w:val="single" w:color="auto" w:sz="4" w:space="0"/>
            </w:tcBorders>
            <w:vAlign w:val="center"/>
          </w:tcPr>
          <w:p w14:paraId="79309D59">
            <w:pPr>
              <w:pStyle w:val="64"/>
              <w:adjustRightInd w:val="0"/>
              <w:snapToGrid w:val="0"/>
              <w:rPr>
                <w:szCs w:val="22"/>
                <w:lang w:bidi="zh-CN"/>
                <w14:ligatures w14:val="none"/>
              </w:rPr>
            </w:pPr>
            <w:r>
              <w:rPr>
                <w:szCs w:val="22"/>
                <w:lang w:val="zh-CN" w:bidi="zh-CN"/>
                <w14:ligatures w14:val="none"/>
              </w:rPr>
              <w:t>组长</w:t>
            </w:r>
          </w:p>
        </w:tc>
        <w:tc>
          <w:tcPr>
            <w:tcW w:w="2109" w:type="pct"/>
            <w:vMerge w:val="restart"/>
            <w:tcBorders>
              <w:top w:val="single" w:color="auto" w:sz="4" w:space="0"/>
              <w:left w:val="single" w:color="auto" w:sz="4" w:space="0"/>
              <w:bottom w:val="single" w:color="auto" w:sz="4" w:space="0"/>
              <w:right w:val="single" w:color="auto" w:sz="4" w:space="0"/>
            </w:tcBorders>
            <w:vAlign w:val="center"/>
          </w:tcPr>
          <w:p w14:paraId="59114E99">
            <w:pPr>
              <w:pStyle w:val="64"/>
              <w:adjustRightInd w:val="0"/>
              <w:snapToGrid w:val="0"/>
              <w:jc w:val="both"/>
              <w:rPr>
                <w:szCs w:val="22"/>
                <w:lang w:bidi="zh-CN"/>
                <w14:ligatures w14:val="none"/>
              </w:rPr>
            </w:pPr>
            <w:r>
              <w:rPr>
                <w:szCs w:val="22"/>
                <w:lang w:bidi="zh-CN"/>
                <w14:ligatures w14:val="none"/>
              </w:rPr>
              <w:t>1.负责联络通信；</w:t>
            </w:r>
          </w:p>
          <w:p w14:paraId="080139BF">
            <w:pPr>
              <w:pStyle w:val="64"/>
              <w:adjustRightInd w:val="0"/>
              <w:snapToGrid w:val="0"/>
              <w:jc w:val="both"/>
              <w:rPr>
                <w:szCs w:val="22"/>
                <w:lang w:bidi="zh-CN"/>
                <w14:ligatures w14:val="none"/>
              </w:rPr>
            </w:pPr>
            <w:r>
              <w:rPr>
                <w:szCs w:val="22"/>
                <w:lang w:bidi="zh-CN"/>
                <w14:ligatures w14:val="none"/>
              </w:rPr>
              <w:t>2.负责向上级汇报工作进展，向下级传达工作命令；</w:t>
            </w:r>
          </w:p>
          <w:p w14:paraId="32111906">
            <w:pPr>
              <w:pStyle w:val="64"/>
              <w:adjustRightInd w:val="0"/>
              <w:snapToGrid w:val="0"/>
              <w:jc w:val="both"/>
              <w:rPr>
                <w:szCs w:val="22"/>
                <w:lang w:bidi="zh-CN"/>
                <w14:ligatures w14:val="none"/>
              </w:rPr>
            </w:pPr>
            <w:r>
              <w:rPr>
                <w:szCs w:val="22"/>
                <w:lang w:bidi="zh-CN"/>
                <w14:ligatures w14:val="none"/>
              </w:rPr>
              <w:t>3.联系外协单位；</w:t>
            </w:r>
          </w:p>
        </w:tc>
      </w:tr>
      <w:tr w14:paraId="1E84203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243" w:type="pct"/>
            <w:vMerge w:val="continue"/>
            <w:tcBorders>
              <w:top w:val="single" w:color="auto" w:sz="4" w:space="0"/>
              <w:left w:val="single" w:color="auto" w:sz="4" w:space="0"/>
              <w:bottom w:val="single" w:color="auto" w:sz="4" w:space="0"/>
              <w:right w:val="single" w:color="auto" w:sz="4" w:space="0"/>
            </w:tcBorders>
            <w:vAlign w:val="center"/>
          </w:tcPr>
          <w:p w14:paraId="0BE19B5C">
            <w:pPr>
              <w:pStyle w:val="64"/>
              <w:adjustRightInd w:val="0"/>
              <w:snapToGrid w:val="0"/>
              <w:rPr>
                <w:szCs w:val="22"/>
                <w:lang w:val="zh-CN" w:bidi="zh-CN"/>
                <w14:ligatures w14:val="none"/>
              </w:rPr>
            </w:pPr>
          </w:p>
        </w:tc>
        <w:tc>
          <w:tcPr>
            <w:tcW w:w="694" w:type="pct"/>
            <w:tcBorders>
              <w:left w:val="single" w:color="auto" w:sz="4" w:space="0"/>
            </w:tcBorders>
            <w:vAlign w:val="center"/>
          </w:tcPr>
          <w:p w14:paraId="6911C959">
            <w:pPr>
              <w:pStyle w:val="64"/>
              <w:adjustRightInd w:val="0"/>
              <w:snapToGrid w:val="0"/>
              <w:rPr>
                <w:szCs w:val="22"/>
                <w:lang w:bidi="zh-CN"/>
                <w14:ligatures w14:val="none"/>
              </w:rPr>
            </w:pPr>
            <w:r>
              <w:rPr>
                <w:szCs w:val="22"/>
                <w:lang w:bidi="zh-CN"/>
                <w14:ligatures w14:val="none"/>
              </w:rPr>
              <w:t>副厂长</w:t>
            </w:r>
          </w:p>
        </w:tc>
        <w:tc>
          <w:tcPr>
            <w:tcW w:w="469" w:type="pct"/>
            <w:vAlign w:val="center"/>
          </w:tcPr>
          <w:p w14:paraId="6A664C9F">
            <w:pPr>
              <w:pStyle w:val="64"/>
              <w:adjustRightInd w:val="0"/>
              <w:snapToGrid w:val="0"/>
              <w:rPr>
                <w:szCs w:val="22"/>
                <w:lang w:bidi="zh-CN"/>
                <w14:ligatures w14:val="none"/>
              </w:rPr>
            </w:pPr>
            <w:r>
              <w:rPr>
                <w:rFonts w:hint="eastAsia"/>
                <w:szCs w:val="22"/>
                <w14:ligatures w14:val="none"/>
              </w:rPr>
              <w:t>分厂</w:t>
            </w:r>
          </w:p>
        </w:tc>
        <w:tc>
          <w:tcPr>
            <w:tcW w:w="468" w:type="pct"/>
            <w:vAlign w:val="center"/>
          </w:tcPr>
          <w:p w14:paraId="7196622D">
            <w:pPr>
              <w:pStyle w:val="64"/>
              <w:adjustRightInd w:val="0"/>
              <w:snapToGrid w:val="0"/>
              <w:rPr>
                <w:szCs w:val="22"/>
                <w:lang w:bidi="zh-CN"/>
                <w14:ligatures w14:val="none"/>
              </w:rPr>
            </w:pPr>
            <w:r>
              <w:rPr>
                <w:szCs w:val="22"/>
                <w:lang w:bidi="zh-CN"/>
                <w14:ligatures w14:val="none"/>
              </w:rPr>
              <w:t>李江华</w:t>
            </w:r>
          </w:p>
        </w:tc>
        <w:tc>
          <w:tcPr>
            <w:tcW w:w="703" w:type="pct"/>
            <w:vAlign w:val="center"/>
          </w:tcPr>
          <w:p w14:paraId="31414033">
            <w:pPr>
              <w:pStyle w:val="64"/>
              <w:adjustRightInd w:val="0"/>
              <w:snapToGrid w:val="0"/>
              <w:rPr>
                <w:szCs w:val="22"/>
                <w:lang w:val="zh-CN" w:bidi="zh-CN"/>
                <w14:ligatures w14:val="none"/>
              </w:rPr>
            </w:pPr>
            <w:r>
              <w:rPr>
                <w:szCs w:val="22"/>
                <w:shd w:val="clear" w:color="auto" w:fill="FFFFFF"/>
                <w:lang w:val="zh-CN" w:bidi="zh-CN"/>
                <w14:ligatures w14:val="none"/>
              </w:rPr>
              <w:t>18955230391</w:t>
            </w:r>
          </w:p>
        </w:tc>
        <w:tc>
          <w:tcPr>
            <w:tcW w:w="313" w:type="pct"/>
            <w:tcBorders>
              <w:right w:val="single" w:color="auto" w:sz="4" w:space="0"/>
            </w:tcBorders>
            <w:vAlign w:val="center"/>
          </w:tcPr>
          <w:p w14:paraId="2F48B514">
            <w:pPr>
              <w:pStyle w:val="64"/>
              <w:adjustRightInd w:val="0"/>
              <w:snapToGrid w:val="0"/>
              <w:rPr>
                <w:szCs w:val="22"/>
                <w:lang w:val="zh-CN" w:bidi="zh-CN"/>
                <w14:ligatures w14:val="none"/>
              </w:rPr>
            </w:pPr>
            <w:r>
              <w:rPr>
                <w:szCs w:val="22"/>
                <w:lang w:val="zh-CN" w:bidi="zh-CN"/>
                <w14:ligatures w14:val="none"/>
              </w:rPr>
              <w:t>副组长</w:t>
            </w:r>
          </w:p>
        </w:tc>
        <w:tc>
          <w:tcPr>
            <w:tcW w:w="2109" w:type="pct"/>
            <w:vMerge w:val="continue"/>
            <w:tcBorders>
              <w:top w:val="single" w:color="auto" w:sz="4" w:space="0"/>
              <w:left w:val="single" w:color="auto" w:sz="4" w:space="0"/>
              <w:bottom w:val="single" w:color="auto" w:sz="4" w:space="0"/>
              <w:right w:val="single" w:color="auto" w:sz="4" w:space="0"/>
            </w:tcBorders>
            <w:vAlign w:val="center"/>
          </w:tcPr>
          <w:p w14:paraId="13577DDC">
            <w:pPr>
              <w:pStyle w:val="64"/>
              <w:adjustRightInd w:val="0"/>
              <w:snapToGrid w:val="0"/>
              <w:jc w:val="both"/>
              <w:rPr>
                <w:szCs w:val="22"/>
                <w:lang w:bidi="zh-CN"/>
                <w14:ligatures w14:val="none"/>
              </w:rPr>
            </w:pPr>
          </w:p>
        </w:tc>
      </w:tr>
      <w:tr w14:paraId="0B1D7CA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243" w:type="pct"/>
            <w:vMerge w:val="continue"/>
            <w:tcBorders>
              <w:top w:val="single" w:color="auto" w:sz="4" w:space="0"/>
              <w:left w:val="single" w:color="auto" w:sz="4" w:space="0"/>
              <w:bottom w:val="single" w:color="auto" w:sz="4" w:space="0"/>
              <w:right w:val="single" w:color="auto" w:sz="4" w:space="0"/>
            </w:tcBorders>
            <w:vAlign w:val="center"/>
          </w:tcPr>
          <w:p w14:paraId="4DD58A4B">
            <w:pPr>
              <w:pStyle w:val="64"/>
              <w:adjustRightInd w:val="0"/>
              <w:snapToGrid w:val="0"/>
              <w:rPr>
                <w:szCs w:val="22"/>
                <w:lang w:val="zh-CN" w:bidi="zh-CN"/>
                <w14:ligatures w14:val="none"/>
              </w:rPr>
            </w:pPr>
          </w:p>
        </w:tc>
        <w:tc>
          <w:tcPr>
            <w:tcW w:w="694" w:type="pct"/>
            <w:tcBorders>
              <w:left w:val="single" w:color="auto" w:sz="4" w:space="0"/>
            </w:tcBorders>
            <w:vAlign w:val="center"/>
          </w:tcPr>
          <w:p w14:paraId="142739B0">
            <w:pPr>
              <w:pStyle w:val="64"/>
              <w:adjustRightInd w:val="0"/>
              <w:snapToGrid w:val="0"/>
              <w:rPr>
                <w:szCs w:val="22"/>
                <w:lang w:bidi="zh-CN"/>
                <w14:ligatures w14:val="none"/>
              </w:rPr>
            </w:pPr>
            <w:r>
              <w:rPr>
                <w:szCs w:val="22"/>
                <w:lang w:bidi="zh-CN"/>
                <w14:ligatures w14:val="none"/>
              </w:rPr>
              <w:t>环保处处长</w:t>
            </w:r>
          </w:p>
        </w:tc>
        <w:tc>
          <w:tcPr>
            <w:tcW w:w="469" w:type="pct"/>
            <w:vAlign w:val="center"/>
          </w:tcPr>
          <w:p w14:paraId="3FDCD1A1">
            <w:pPr>
              <w:pStyle w:val="64"/>
              <w:adjustRightInd w:val="0"/>
              <w:snapToGrid w:val="0"/>
              <w:rPr>
                <w:szCs w:val="22"/>
                <w:lang w:bidi="zh-CN"/>
                <w14:ligatures w14:val="none"/>
              </w:rPr>
            </w:pPr>
            <w:r>
              <w:rPr>
                <w:szCs w:val="22"/>
                <w:lang w:bidi="zh-CN"/>
                <w14:ligatures w14:val="none"/>
              </w:rPr>
              <w:t>应急管理中心</w:t>
            </w:r>
          </w:p>
        </w:tc>
        <w:tc>
          <w:tcPr>
            <w:tcW w:w="468" w:type="pct"/>
            <w:vAlign w:val="center"/>
          </w:tcPr>
          <w:p w14:paraId="1562EC47">
            <w:pPr>
              <w:pStyle w:val="64"/>
              <w:adjustRightInd w:val="0"/>
              <w:snapToGrid w:val="0"/>
              <w:rPr>
                <w:szCs w:val="22"/>
                <w:lang w:bidi="zh-CN"/>
                <w14:ligatures w14:val="none"/>
              </w:rPr>
            </w:pPr>
            <w:r>
              <w:rPr>
                <w:szCs w:val="22"/>
                <w:lang w:bidi="zh-CN"/>
                <w14:ligatures w14:val="none"/>
              </w:rPr>
              <w:t>陶亮</w:t>
            </w:r>
          </w:p>
        </w:tc>
        <w:tc>
          <w:tcPr>
            <w:tcW w:w="703" w:type="pct"/>
            <w:vAlign w:val="center"/>
          </w:tcPr>
          <w:p w14:paraId="0F0F0AA8">
            <w:pPr>
              <w:pStyle w:val="64"/>
              <w:adjustRightInd w:val="0"/>
              <w:snapToGrid w:val="0"/>
              <w:rPr>
                <w:szCs w:val="22"/>
                <w:lang w:val="zh-CN" w:bidi="zh-CN"/>
                <w14:ligatures w14:val="none"/>
              </w:rPr>
            </w:pPr>
            <w:r>
              <w:rPr>
                <w:szCs w:val="22"/>
                <w:shd w:val="clear" w:color="auto" w:fill="FFFFFF"/>
                <w:lang w:val="zh-CN" w:bidi="zh-CN"/>
                <w14:ligatures w14:val="none"/>
              </w:rPr>
              <w:t>18755271008</w:t>
            </w:r>
          </w:p>
        </w:tc>
        <w:tc>
          <w:tcPr>
            <w:tcW w:w="313" w:type="pct"/>
            <w:tcBorders>
              <w:right w:val="single" w:color="auto" w:sz="4" w:space="0"/>
            </w:tcBorders>
            <w:vAlign w:val="center"/>
          </w:tcPr>
          <w:p w14:paraId="4F187E9C">
            <w:pPr>
              <w:pStyle w:val="64"/>
              <w:adjustRightInd w:val="0"/>
              <w:snapToGrid w:val="0"/>
              <w:rPr>
                <w:szCs w:val="22"/>
                <w:lang w:val="zh-CN" w:bidi="zh-CN"/>
                <w14:ligatures w14:val="none"/>
              </w:rPr>
            </w:pPr>
            <w:r>
              <w:rPr>
                <w:szCs w:val="22"/>
                <w:lang w:val="zh-CN" w:bidi="zh-CN"/>
                <w14:ligatures w14:val="none"/>
              </w:rPr>
              <w:t>组员</w:t>
            </w:r>
          </w:p>
        </w:tc>
        <w:tc>
          <w:tcPr>
            <w:tcW w:w="2109" w:type="pct"/>
            <w:vMerge w:val="continue"/>
            <w:tcBorders>
              <w:top w:val="single" w:color="auto" w:sz="4" w:space="0"/>
              <w:left w:val="single" w:color="auto" w:sz="4" w:space="0"/>
              <w:bottom w:val="single" w:color="auto" w:sz="4" w:space="0"/>
              <w:right w:val="single" w:color="auto" w:sz="4" w:space="0"/>
            </w:tcBorders>
            <w:vAlign w:val="center"/>
          </w:tcPr>
          <w:p w14:paraId="79BE0D9F">
            <w:pPr>
              <w:pStyle w:val="64"/>
              <w:adjustRightInd w:val="0"/>
              <w:snapToGrid w:val="0"/>
              <w:jc w:val="both"/>
              <w:rPr>
                <w:szCs w:val="22"/>
                <w:lang w:bidi="zh-CN"/>
                <w14:ligatures w14:val="none"/>
              </w:rPr>
            </w:pPr>
          </w:p>
        </w:tc>
      </w:tr>
      <w:tr w14:paraId="5804A82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243" w:type="pct"/>
            <w:vMerge w:val="continue"/>
            <w:tcBorders>
              <w:top w:val="single" w:color="auto" w:sz="4" w:space="0"/>
              <w:left w:val="single" w:color="auto" w:sz="4" w:space="0"/>
              <w:bottom w:val="single" w:color="auto" w:sz="4" w:space="0"/>
              <w:right w:val="single" w:color="auto" w:sz="4" w:space="0"/>
            </w:tcBorders>
            <w:vAlign w:val="center"/>
          </w:tcPr>
          <w:p w14:paraId="05430DAD">
            <w:pPr>
              <w:pStyle w:val="64"/>
              <w:adjustRightInd w:val="0"/>
              <w:snapToGrid w:val="0"/>
              <w:rPr>
                <w:szCs w:val="22"/>
                <w:lang w:val="zh-CN" w:bidi="zh-CN"/>
                <w14:ligatures w14:val="none"/>
              </w:rPr>
            </w:pPr>
          </w:p>
        </w:tc>
        <w:tc>
          <w:tcPr>
            <w:tcW w:w="694" w:type="pct"/>
            <w:tcBorders>
              <w:left w:val="single" w:color="auto" w:sz="4" w:space="0"/>
              <w:bottom w:val="single" w:color="auto" w:sz="4" w:space="0"/>
            </w:tcBorders>
            <w:vAlign w:val="center"/>
          </w:tcPr>
          <w:p w14:paraId="78704983">
            <w:pPr>
              <w:pStyle w:val="64"/>
              <w:adjustRightInd w:val="0"/>
              <w:snapToGrid w:val="0"/>
              <w:rPr>
                <w:szCs w:val="22"/>
                <w14:ligatures w14:val="none"/>
              </w:rPr>
            </w:pPr>
            <w:r>
              <w:rPr>
                <w:szCs w:val="22"/>
                <w14:ligatures w14:val="none"/>
              </w:rPr>
              <w:t>环保处副处长</w:t>
            </w:r>
          </w:p>
        </w:tc>
        <w:tc>
          <w:tcPr>
            <w:tcW w:w="469" w:type="pct"/>
            <w:tcBorders>
              <w:bottom w:val="single" w:color="auto" w:sz="4" w:space="0"/>
            </w:tcBorders>
            <w:vAlign w:val="center"/>
          </w:tcPr>
          <w:p w14:paraId="06C1121E">
            <w:pPr>
              <w:pStyle w:val="64"/>
              <w:adjustRightInd w:val="0"/>
              <w:snapToGrid w:val="0"/>
              <w:rPr>
                <w:szCs w:val="22"/>
                <w:lang w:bidi="zh-CN"/>
                <w14:ligatures w14:val="none"/>
              </w:rPr>
            </w:pPr>
            <w:r>
              <w:rPr>
                <w:szCs w:val="22"/>
                <w:lang w:bidi="zh-CN"/>
                <w14:ligatures w14:val="none"/>
              </w:rPr>
              <w:t>应急管理中心</w:t>
            </w:r>
          </w:p>
        </w:tc>
        <w:tc>
          <w:tcPr>
            <w:tcW w:w="468" w:type="pct"/>
            <w:tcBorders>
              <w:bottom w:val="single" w:color="auto" w:sz="4" w:space="0"/>
            </w:tcBorders>
            <w:vAlign w:val="center"/>
          </w:tcPr>
          <w:p w14:paraId="37E0AF30">
            <w:pPr>
              <w:pStyle w:val="64"/>
              <w:adjustRightInd w:val="0"/>
              <w:snapToGrid w:val="0"/>
              <w:rPr>
                <w:szCs w:val="22"/>
                <w:lang w:bidi="zh-CN"/>
                <w14:ligatures w14:val="none"/>
              </w:rPr>
            </w:pPr>
            <w:r>
              <w:rPr>
                <w:szCs w:val="22"/>
                <w:lang w:bidi="zh-CN"/>
                <w14:ligatures w14:val="none"/>
              </w:rPr>
              <w:t>刘欢欢</w:t>
            </w:r>
          </w:p>
        </w:tc>
        <w:tc>
          <w:tcPr>
            <w:tcW w:w="703" w:type="pct"/>
            <w:tcBorders>
              <w:bottom w:val="single" w:color="auto" w:sz="4" w:space="0"/>
            </w:tcBorders>
            <w:vAlign w:val="center"/>
          </w:tcPr>
          <w:p w14:paraId="41AD974F">
            <w:pPr>
              <w:pStyle w:val="64"/>
              <w:adjustRightInd w:val="0"/>
              <w:snapToGrid w:val="0"/>
              <w:rPr>
                <w:szCs w:val="22"/>
                <w14:ligatures w14:val="none"/>
              </w:rPr>
            </w:pPr>
            <w:r>
              <w:rPr>
                <w:szCs w:val="22"/>
                <w:shd w:val="clear" w:color="auto" w:fill="FFFFFF"/>
                <w14:ligatures w14:val="none"/>
              </w:rPr>
              <w:t>18326911104</w:t>
            </w:r>
          </w:p>
        </w:tc>
        <w:tc>
          <w:tcPr>
            <w:tcW w:w="313" w:type="pct"/>
            <w:tcBorders>
              <w:bottom w:val="single" w:color="auto" w:sz="4" w:space="0"/>
              <w:right w:val="single" w:color="auto" w:sz="4" w:space="0"/>
            </w:tcBorders>
            <w:vAlign w:val="center"/>
          </w:tcPr>
          <w:p w14:paraId="3B92877E">
            <w:pPr>
              <w:pStyle w:val="64"/>
              <w:adjustRightInd w:val="0"/>
              <w:snapToGrid w:val="0"/>
              <w:rPr>
                <w:szCs w:val="22"/>
                <w14:ligatures w14:val="none"/>
              </w:rPr>
            </w:pPr>
            <w:r>
              <w:rPr>
                <w:szCs w:val="22"/>
                <w14:ligatures w14:val="none"/>
              </w:rPr>
              <w:t>组员</w:t>
            </w:r>
          </w:p>
        </w:tc>
        <w:tc>
          <w:tcPr>
            <w:tcW w:w="2109" w:type="pct"/>
            <w:vMerge w:val="continue"/>
            <w:tcBorders>
              <w:top w:val="single" w:color="auto" w:sz="4" w:space="0"/>
              <w:left w:val="single" w:color="auto" w:sz="4" w:space="0"/>
              <w:bottom w:val="single" w:color="auto" w:sz="4" w:space="0"/>
              <w:right w:val="single" w:color="auto" w:sz="4" w:space="0"/>
            </w:tcBorders>
            <w:vAlign w:val="center"/>
          </w:tcPr>
          <w:p w14:paraId="7F64C5C9">
            <w:pPr>
              <w:pStyle w:val="64"/>
              <w:adjustRightInd w:val="0"/>
              <w:snapToGrid w:val="0"/>
              <w:jc w:val="both"/>
              <w:rPr>
                <w:szCs w:val="22"/>
                <w:lang w:bidi="zh-CN"/>
                <w14:ligatures w14:val="none"/>
              </w:rPr>
            </w:pPr>
          </w:p>
        </w:tc>
      </w:tr>
      <w:tr w14:paraId="1F461DD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243" w:type="pct"/>
            <w:vMerge w:val="restart"/>
            <w:tcBorders>
              <w:top w:val="single" w:color="auto" w:sz="4" w:space="0"/>
              <w:left w:val="single" w:color="auto" w:sz="4" w:space="0"/>
              <w:bottom w:val="single" w:color="auto" w:sz="4" w:space="0"/>
              <w:right w:val="single" w:color="auto" w:sz="4" w:space="0"/>
            </w:tcBorders>
            <w:vAlign w:val="center"/>
          </w:tcPr>
          <w:p w14:paraId="45B2DA6C">
            <w:pPr>
              <w:pStyle w:val="64"/>
              <w:adjustRightInd w:val="0"/>
              <w:snapToGrid w:val="0"/>
              <w:rPr>
                <w:szCs w:val="22"/>
                <w:lang w:val="zh-CN" w:bidi="zh-CN"/>
                <w14:ligatures w14:val="none"/>
              </w:rPr>
            </w:pPr>
            <w:r>
              <w:rPr>
                <w:szCs w:val="22"/>
                <w:lang w:val="zh-CN" w:bidi="zh-CN"/>
                <w14:ligatures w14:val="none"/>
              </w:rPr>
              <w:t>医疗救护组</w:t>
            </w:r>
          </w:p>
        </w:tc>
        <w:tc>
          <w:tcPr>
            <w:tcW w:w="694" w:type="pct"/>
            <w:tcBorders>
              <w:top w:val="single" w:color="auto" w:sz="4" w:space="0"/>
              <w:left w:val="single" w:color="auto" w:sz="4" w:space="0"/>
              <w:bottom w:val="single" w:color="auto" w:sz="4" w:space="0"/>
              <w:right w:val="single" w:color="auto" w:sz="4" w:space="0"/>
            </w:tcBorders>
            <w:vAlign w:val="center"/>
          </w:tcPr>
          <w:p w14:paraId="7972324E">
            <w:pPr>
              <w:pStyle w:val="64"/>
              <w:adjustRightInd w:val="0"/>
              <w:snapToGrid w:val="0"/>
              <w:rPr>
                <w:szCs w:val="22"/>
                <w:lang w:bidi="zh-CN"/>
                <w14:ligatures w14:val="none"/>
              </w:rPr>
            </w:pPr>
            <w:r>
              <w:rPr>
                <w:szCs w:val="22"/>
                <w:lang w:bidi="zh-CN"/>
                <w14:ligatures w14:val="none"/>
              </w:rPr>
              <w:t>副主任</w:t>
            </w:r>
          </w:p>
        </w:tc>
        <w:tc>
          <w:tcPr>
            <w:tcW w:w="469" w:type="pct"/>
            <w:tcBorders>
              <w:top w:val="single" w:color="auto" w:sz="4" w:space="0"/>
              <w:left w:val="single" w:color="auto" w:sz="4" w:space="0"/>
              <w:bottom w:val="single" w:color="auto" w:sz="4" w:space="0"/>
              <w:right w:val="single" w:color="auto" w:sz="4" w:space="0"/>
            </w:tcBorders>
            <w:vAlign w:val="center"/>
          </w:tcPr>
          <w:p w14:paraId="2D00C8B5">
            <w:pPr>
              <w:pStyle w:val="64"/>
              <w:adjustRightInd w:val="0"/>
              <w:snapToGrid w:val="0"/>
              <w:rPr>
                <w:szCs w:val="22"/>
                <w:lang w:bidi="zh-CN"/>
                <w14:ligatures w14:val="none"/>
              </w:rPr>
            </w:pPr>
            <w:r>
              <w:rPr>
                <w:szCs w:val="22"/>
                <w:lang w:bidi="zh-CN"/>
                <w14:ligatures w14:val="none"/>
              </w:rPr>
              <w:t>人力监察中心</w:t>
            </w:r>
          </w:p>
        </w:tc>
        <w:tc>
          <w:tcPr>
            <w:tcW w:w="468" w:type="pct"/>
            <w:tcBorders>
              <w:top w:val="single" w:color="auto" w:sz="4" w:space="0"/>
              <w:left w:val="single" w:color="auto" w:sz="4" w:space="0"/>
              <w:bottom w:val="single" w:color="auto" w:sz="4" w:space="0"/>
              <w:right w:val="single" w:color="auto" w:sz="4" w:space="0"/>
            </w:tcBorders>
            <w:vAlign w:val="center"/>
          </w:tcPr>
          <w:p w14:paraId="122090AA">
            <w:pPr>
              <w:pStyle w:val="64"/>
              <w:adjustRightInd w:val="0"/>
              <w:snapToGrid w:val="0"/>
              <w:rPr>
                <w:szCs w:val="22"/>
                <w:lang w:bidi="zh-CN"/>
                <w14:ligatures w14:val="none"/>
              </w:rPr>
            </w:pPr>
            <w:r>
              <w:rPr>
                <w:szCs w:val="22"/>
                <w:lang w:bidi="zh-CN"/>
                <w14:ligatures w14:val="none"/>
              </w:rPr>
              <w:t>聂晓婷</w:t>
            </w:r>
          </w:p>
        </w:tc>
        <w:tc>
          <w:tcPr>
            <w:tcW w:w="703" w:type="pct"/>
            <w:tcBorders>
              <w:top w:val="single" w:color="auto" w:sz="4" w:space="0"/>
              <w:left w:val="single" w:color="auto" w:sz="4" w:space="0"/>
              <w:bottom w:val="single" w:color="auto" w:sz="4" w:space="0"/>
              <w:right w:val="single" w:color="auto" w:sz="4" w:space="0"/>
            </w:tcBorders>
            <w:vAlign w:val="center"/>
          </w:tcPr>
          <w:p w14:paraId="065A731F">
            <w:pPr>
              <w:pStyle w:val="64"/>
              <w:adjustRightInd w:val="0"/>
              <w:snapToGrid w:val="0"/>
              <w:rPr>
                <w:szCs w:val="22"/>
                <w:lang w:val="zh-CN" w:bidi="zh-CN"/>
                <w14:ligatures w14:val="none"/>
              </w:rPr>
            </w:pPr>
            <w:r>
              <w:rPr>
                <w:szCs w:val="22"/>
                <w:shd w:val="clear" w:color="auto" w:fill="FFFFFF"/>
                <w:lang w:val="zh-CN" w:bidi="zh-CN"/>
                <w14:ligatures w14:val="none"/>
              </w:rPr>
              <w:t>13170023167</w:t>
            </w:r>
          </w:p>
        </w:tc>
        <w:tc>
          <w:tcPr>
            <w:tcW w:w="313" w:type="pct"/>
            <w:tcBorders>
              <w:top w:val="single" w:color="auto" w:sz="4" w:space="0"/>
              <w:left w:val="single" w:color="auto" w:sz="4" w:space="0"/>
              <w:bottom w:val="single" w:color="auto" w:sz="4" w:space="0"/>
              <w:right w:val="single" w:color="auto" w:sz="4" w:space="0"/>
            </w:tcBorders>
            <w:vAlign w:val="center"/>
          </w:tcPr>
          <w:p w14:paraId="56FF29ED">
            <w:pPr>
              <w:pStyle w:val="64"/>
              <w:adjustRightInd w:val="0"/>
              <w:snapToGrid w:val="0"/>
              <w:rPr>
                <w:szCs w:val="22"/>
                <w:lang w:bidi="zh-CN"/>
                <w14:ligatures w14:val="none"/>
              </w:rPr>
            </w:pPr>
            <w:r>
              <w:rPr>
                <w:szCs w:val="22"/>
                <w:lang w:val="zh-CN" w:bidi="zh-CN"/>
                <w14:ligatures w14:val="none"/>
              </w:rPr>
              <w:t>组长</w:t>
            </w:r>
          </w:p>
        </w:tc>
        <w:tc>
          <w:tcPr>
            <w:tcW w:w="2109" w:type="pct"/>
            <w:vMerge w:val="restart"/>
            <w:tcBorders>
              <w:top w:val="single" w:color="auto" w:sz="4" w:space="0"/>
              <w:left w:val="single" w:color="auto" w:sz="4" w:space="0"/>
              <w:bottom w:val="single" w:color="auto" w:sz="4" w:space="0"/>
              <w:right w:val="single" w:color="auto" w:sz="4" w:space="0"/>
            </w:tcBorders>
            <w:vAlign w:val="center"/>
          </w:tcPr>
          <w:p w14:paraId="15F855BF">
            <w:pPr>
              <w:pStyle w:val="64"/>
              <w:adjustRightInd w:val="0"/>
              <w:snapToGrid w:val="0"/>
              <w:jc w:val="both"/>
              <w:rPr>
                <w:szCs w:val="22"/>
                <w:lang w:bidi="zh-CN"/>
                <w14:ligatures w14:val="none"/>
              </w:rPr>
            </w:pPr>
            <w:r>
              <w:rPr>
                <w:szCs w:val="22"/>
                <w:lang w:bidi="zh-CN"/>
                <w14:ligatures w14:val="none"/>
              </w:rPr>
              <w:t>1.负责救护知识的培训；</w:t>
            </w:r>
          </w:p>
          <w:p w14:paraId="72FE4265">
            <w:pPr>
              <w:pStyle w:val="64"/>
              <w:adjustRightInd w:val="0"/>
              <w:snapToGrid w:val="0"/>
              <w:jc w:val="both"/>
              <w:rPr>
                <w:szCs w:val="22"/>
                <w:lang w:bidi="zh-CN"/>
                <w14:ligatures w14:val="none"/>
              </w:rPr>
            </w:pPr>
            <w:r>
              <w:rPr>
                <w:szCs w:val="22"/>
                <w:lang w:bidi="zh-CN"/>
                <w14:ligatures w14:val="none"/>
              </w:rPr>
              <w:t>2.负责事故现场受伤人员的前期救护；</w:t>
            </w:r>
          </w:p>
        </w:tc>
      </w:tr>
      <w:tr w14:paraId="44D8D3E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243" w:type="pct"/>
            <w:vMerge w:val="continue"/>
            <w:tcBorders>
              <w:top w:val="single" w:color="auto" w:sz="4" w:space="0"/>
              <w:left w:val="single" w:color="auto" w:sz="4" w:space="0"/>
              <w:bottom w:val="single" w:color="auto" w:sz="4" w:space="0"/>
              <w:right w:val="single" w:color="auto" w:sz="4" w:space="0"/>
            </w:tcBorders>
            <w:vAlign w:val="center"/>
          </w:tcPr>
          <w:p w14:paraId="5FF4AD2E">
            <w:pPr>
              <w:pStyle w:val="64"/>
              <w:adjustRightInd w:val="0"/>
              <w:snapToGrid w:val="0"/>
              <w:rPr>
                <w:szCs w:val="22"/>
                <w:lang w:val="zh-CN" w:bidi="zh-CN"/>
                <w14:ligatures w14:val="none"/>
              </w:rPr>
            </w:pPr>
          </w:p>
        </w:tc>
        <w:tc>
          <w:tcPr>
            <w:tcW w:w="694" w:type="pct"/>
            <w:tcBorders>
              <w:top w:val="single" w:color="auto" w:sz="4" w:space="0"/>
              <w:left w:val="single" w:color="auto" w:sz="4" w:space="0"/>
              <w:bottom w:val="single" w:color="auto" w:sz="4" w:space="0"/>
              <w:right w:val="single" w:color="auto" w:sz="4" w:space="0"/>
            </w:tcBorders>
            <w:vAlign w:val="center"/>
          </w:tcPr>
          <w:p w14:paraId="48A4AE41">
            <w:pPr>
              <w:pStyle w:val="64"/>
              <w:adjustRightInd w:val="0"/>
              <w:snapToGrid w:val="0"/>
              <w:rPr>
                <w:szCs w:val="22"/>
                <w:lang w:bidi="zh-CN"/>
                <w14:ligatures w14:val="none"/>
              </w:rPr>
            </w:pPr>
            <w:r>
              <w:rPr>
                <w:szCs w:val="22"/>
                <w:lang w:bidi="zh-CN"/>
                <w14:ligatures w14:val="none"/>
              </w:rPr>
              <w:t>安全员</w:t>
            </w:r>
          </w:p>
        </w:tc>
        <w:tc>
          <w:tcPr>
            <w:tcW w:w="469" w:type="pct"/>
            <w:tcBorders>
              <w:top w:val="single" w:color="auto" w:sz="4" w:space="0"/>
              <w:left w:val="single" w:color="auto" w:sz="4" w:space="0"/>
              <w:bottom w:val="single" w:color="auto" w:sz="4" w:space="0"/>
              <w:right w:val="single" w:color="auto" w:sz="4" w:space="0"/>
            </w:tcBorders>
            <w:vAlign w:val="center"/>
          </w:tcPr>
          <w:p w14:paraId="70BDC6B5">
            <w:pPr>
              <w:pStyle w:val="64"/>
              <w:adjustRightInd w:val="0"/>
              <w:snapToGrid w:val="0"/>
              <w:rPr>
                <w:szCs w:val="22"/>
                <w:lang w:bidi="zh-CN"/>
                <w14:ligatures w14:val="none"/>
              </w:rPr>
            </w:pPr>
            <w:r>
              <w:rPr>
                <w:szCs w:val="22"/>
                <w:lang w:bidi="zh-CN"/>
                <w14:ligatures w14:val="none"/>
              </w:rPr>
              <w:t>应急管理中心</w:t>
            </w:r>
          </w:p>
        </w:tc>
        <w:tc>
          <w:tcPr>
            <w:tcW w:w="468" w:type="pct"/>
            <w:tcBorders>
              <w:top w:val="single" w:color="auto" w:sz="4" w:space="0"/>
              <w:left w:val="single" w:color="auto" w:sz="4" w:space="0"/>
              <w:bottom w:val="single" w:color="auto" w:sz="4" w:space="0"/>
              <w:right w:val="single" w:color="auto" w:sz="4" w:space="0"/>
            </w:tcBorders>
            <w:vAlign w:val="center"/>
          </w:tcPr>
          <w:p w14:paraId="3B7CF874">
            <w:pPr>
              <w:pStyle w:val="64"/>
              <w:adjustRightInd w:val="0"/>
              <w:snapToGrid w:val="0"/>
              <w:rPr>
                <w:szCs w:val="22"/>
                <w:lang w:bidi="zh-CN"/>
                <w14:ligatures w14:val="none"/>
              </w:rPr>
            </w:pPr>
            <w:r>
              <w:rPr>
                <w:szCs w:val="22"/>
                <w:lang w:bidi="zh-CN"/>
                <w14:ligatures w14:val="none"/>
              </w:rPr>
              <w:t>刘杨</w:t>
            </w:r>
          </w:p>
        </w:tc>
        <w:tc>
          <w:tcPr>
            <w:tcW w:w="703" w:type="pct"/>
            <w:tcBorders>
              <w:top w:val="single" w:color="auto" w:sz="4" w:space="0"/>
              <w:left w:val="single" w:color="auto" w:sz="4" w:space="0"/>
              <w:bottom w:val="single" w:color="auto" w:sz="4" w:space="0"/>
              <w:right w:val="single" w:color="auto" w:sz="4" w:space="0"/>
            </w:tcBorders>
            <w:vAlign w:val="center"/>
          </w:tcPr>
          <w:p w14:paraId="445446CB">
            <w:pPr>
              <w:pStyle w:val="64"/>
              <w:adjustRightInd w:val="0"/>
              <w:snapToGrid w:val="0"/>
              <w:rPr>
                <w:szCs w:val="22"/>
                <w14:ligatures w14:val="none"/>
              </w:rPr>
            </w:pPr>
            <w:r>
              <w:rPr>
                <w:szCs w:val="22"/>
                <w:shd w:val="clear" w:color="auto" w:fill="FFFFFF"/>
                <w14:ligatures w14:val="none"/>
              </w:rPr>
              <w:t>15655215556</w:t>
            </w:r>
          </w:p>
        </w:tc>
        <w:tc>
          <w:tcPr>
            <w:tcW w:w="313" w:type="pct"/>
            <w:tcBorders>
              <w:top w:val="single" w:color="auto" w:sz="4" w:space="0"/>
              <w:left w:val="single" w:color="auto" w:sz="4" w:space="0"/>
              <w:bottom w:val="single" w:color="auto" w:sz="4" w:space="0"/>
              <w:right w:val="single" w:color="auto" w:sz="4" w:space="0"/>
            </w:tcBorders>
            <w:vAlign w:val="center"/>
          </w:tcPr>
          <w:p w14:paraId="702CAC9D">
            <w:pPr>
              <w:pStyle w:val="64"/>
              <w:adjustRightInd w:val="0"/>
              <w:snapToGrid w:val="0"/>
              <w:rPr>
                <w:szCs w:val="22"/>
                <w:lang w:val="zh-CN"/>
                <w14:ligatures w14:val="none"/>
              </w:rPr>
            </w:pPr>
            <w:r>
              <w:rPr>
                <w:szCs w:val="22"/>
                <w14:ligatures w14:val="none"/>
              </w:rPr>
              <w:t>副组长</w:t>
            </w:r>
          </w:p>
        </w:tc>
        <w:tc>
          <w:tcPr>
            <w:tcW w:w="2109" w:type="pct"/>
            <w:vMerge w:val="continue"/>
            <w:tcBorders>
              <w:top w:val="single" w:color="auto" w:sz="4" w:space="0"/>
              <w:left w:val="single" w:color="auto" w:sz="4" w:space="0"/>
              <w:bottom w:val="single" w:color="auto" w:sz="4" w:space="0"/>
              <w:right w:val="single" w:color="auto" w:sz="4" w:space="0"/>
            </w:tcBorders>
            <w:vAlign w:val="center"/>
          </w:tcPr>
          <w:p w14:paraId="7CE6FF30">
            <w:pPr>
              <w:pStyle w:val="193"/>
              <w:rPr>
                <w:rFonts w:hint="eastAsia"/>
                <w:lang w:val="zh-CN" w:bidi="zh-CN"/>
              </w:rPr>
            </w:pPr>
          </w:p>
        </w:tc>
      </w:tr>
      <w:tr w14:paraId="4E45928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243" w:type="pct"/>
            <w:vMerge w:val="continue"/>
            <w:tcBorders>
              <w:top w:val="single" w:color="auto" w:sz="4" w:space="0"/>
              <w:left w:val="single" w:color="auto" w:sz="4" w:space="0"/>
              <w:bottom w:val="single" w:color="auto" w:sz="4" w:space="0"/>
              <w:right w:val="single" w:color="auto" w:sz="4" w:space="0"/>
            </w:tcBorders>
            <w:vAlign w:val="center"/>
          </w:tcPr>
          <w:p w14:paraId="4D45AA9E">
            <w:pPr>
              <w:pStyle w:val="64"/>
              <w:adjustRightInd w:val="0"/>
              <w:snapToGrid w:val="0"/>
              <w:rPr>
                <w:szCs w:val="22"/>
                <w:lang w:val="zh-CN" w:bidi="zh-CN"/>
                <w14:ligatures w14:val="none"/>
              </w:rPr>
            </w:pPr>
          </w:p>
        </w:tc>
        <w:tc>
          <w:tcPr>
            <w:tcW w:w="694" w:type="pct"/>
            <w:tcBorders>
              <w:top w:val="single" w:color="auto" w:sz="4" w:space="0"/>
              <w:left w:val="single" w:color="auto" w:sz="4" w:space="0"/>
              <w:bottom w:val="single" w:color="auto" w:sz="4" w:space="0"/>
              <w:right w:val="single" w:color="auto" w:sz="4" w:space="0"/>
            </w:tcBorders>
            <w:vAlign w:val="center"/>
          </w:tcPr>
          <w:p w14:paraId="04AF529C">
            <w:pPr>
              <w:pStyle w:val="64"/>
              <w:adjustRightInd w:val="0"/>
              <w:snapToGrid w:val="0"/>
              <w:rPr>
                <w:szCs w:val="22"/>
                <w14:ligatures w14:val="none"/>
              </w:rPr>
            </w:pPr>
            <w:r>
              <w:rPr>
                <w:szCs w:val="22"/>
                <w14:ligatures w14:val="none"/>
              </w:rPr>
              <w:t>厂医</w:t>
            </w:r>
          </w:p>
        </w:tc>
        <w:tc>
          <w:tcPr>
            <w:tcW w:w="469" w:type="pct"/>
            <w:tcBorders>
              <w:top w:val="single" w:color="auto" w:sz="4" w:space="0"/>
              <w:left w:val="single" w:color="auto" w:sz="4" w:space="0"/>
              <w:bottom w:val="single" w:color="auto" w:sz="4" w:space="0"/>
              <w:right w:val="single" w:color="auto" w:sz="4" w:space="0"/>
            </w:tcBorders>
            <w:vAlign w:val="center"/>
          </w:tcPr>
          <w:p w14:paraId="5500CAAA">
            <w:pPr>
              <w:pStyle w:val="64"/>
              <w:adjustRightInd w:val="0"/>
              <w:snapToGrid w:val="0"/>
              <w:rPr>
                <w:szCs w:val="22"/>
                <w:lang w:bidi="zh-CN"/>
                <w14:ligatures w14:val="none"/>
              </w:rPr>
            </w:pPr>
            <w:r>
              <w:rPr>
                <w:szCs w:val="22"/>
                <w:lang w:bidi="zh-CN"/>
                <w14:ligatures w14:val="none"/>
              </w:rPr>
              <w:t>人力监察中心</w:t>
            </w:r>
          </w:p>
        </w:tc>
        <w:tc>
          <w:tcPr>
            <w:tcW w:w="468" w:type="pct"/>
            <w:tcBorders>
              <w:top w:val="single" w:color="auto" w:sz="4" w:space="0"/>
              <w:left w:val="single" w:color="auto" w:sz="4" w:space="0"/>
              <w:bottom w:val="single" w:color="auto" w:sz="4" w:space="0"/>
              <w:right w:val="single" w:color="auto" w:sz="4" w:space="0"/>
            </w:tcBorders>
            <w:vAlign w:val="center"/>
          </w:tcPr>
          <w:p w14:paraId="1A6BCB1B">
            <w:pPr>
              <w:pStyle w:val="64"/>
              <w:adjustRightInd w:val="0"/>
              <w:snapToGrid w:val="0"/>
              <w:rPr>
                <w:szCs w:val="22"/>
                <w:lang w:bidi="zh-CN"/>
                <w14:ligatures w14:val="none"/>
              </w:rPr>
            </w:pPr>
            <w:r>
              <w:rPr>
                <w:szCs w:val="22"/>
                <w:lang w:bidi="zh-CN"/>
                <w14:ligatures w14:val="none"/>
              </w:rPr>
              <w:t>朱金良</w:t>
            </w:r>
          </w:p>
        </w:tc>
        <w:tc>
          <w:tcPr>
            <w:tcW w:w="703" w:type="pct"/>
            <w:tcBorders>
              <w:top w:val="single" w:color="auto" w:sz="4" w:space="0"/>
              <w:left w:val="single" w:color="auto" w:sz="4" w:space="0"/>
              <w:bottom w:val="single" w:color="auto" w:sz="4" w:space="0"/>
              <w:right w:val="single" w:color="auto" w:sz="4" w:space="0"/>
            </w:tcBorders>
            <w:vAlign w:val="center"/>
          </w:tcPr>
          <w:p w14:paraId="345B7B23">
            <w:pPr>
              <w:pStyle w:val="64"/>
              <w:adjustRightInd w:val="0"/>
              <w:snapToGrid w:val="0"/>
              <w:rPr>
                <w:szCs w:val="22"/>
                <w:lang w:val="zh-CN" w:bidi="zh-CN"/>
                <w14:ligatures w14:val="none"/>
              </w:rPr>
            </w:pPr>
            <w:r>
              <w:rPr>
                <w:szCs w:val="22"/>
                <w:shd w:val="clear" w:color="auto" w:fill="FFFFFF"/>
                <w:lang w:val="zh-CN" w:bidi="zh-CN"/>
                <w14:ligatures w14:val="none"/>
              </w:rPr>
              <w:t>18226686940</w:t>
            </w:r>
          </w:p>
        </w:tc>
        <w:tc>
          <w:tcPr>
            <w:tcW w:w="313" w:type="pct"/>
            <w:tcBorders>
              <w:top w:val="single" w:color="auto" w:sz="4" w:space="0"/>
              <w:left w:val="single" w:color="auto" w:sz="4" w:space="0"/>
              <w:bottom w:val="single" w:color="auto" w:sz="4" w:space="0"/>
              <w:right w:val="single" w:color="auto" w:sz="4" w:space="0"/>
            </w:tcBorders>
            <w:vAlign w:val="center"/>
          </w:tcPr>
          <w:p w14:paraId="348FCDA0">
            <w:pPr>
              <w:pStyle w:val="64"/>
              <w:adjustRightInd w:val="0"/>
              <w:snapToGrid w:val="0"/>
              <w:rPr>
                <w:szCs w:val="22"/>
                <w:lang w:val="zh-CN" w:bidi="zh-CN"/>
                <w14:ligatures w14:val="none"/>
              </w:rPr>
            </w:pPr>
            <w:r>
              <w:rPr>
                <w:szCs w:val="22"/>
                <w:lang w:val="zh-CN" w:bidi="zh-CN"/>
                <w14:ligatures w14:val="none"/>
              </w:rPr>
              <w:t>组员</w:t>
            </w:r>
          </w:p>
        </w:tc>
        <w:tc>
          <w:tcPr>
            <w:tcW w:w="2109" w:type="pct"/>
            <w:vMerge w:val="continue"/>
            <w:tcBorders>
              <w:top w:val="single" w:color="auto" w:sz="4" w:space="0"/>
              <w:left w:val="single" w:color="auto" w:sz="4" w:space="0"/>
              <w:bottom w:val="single" w:color="auto" w:sz="4" w:space="0"/>
              <w:right w:val="single" w:color="auto" w:sz="4" w:space="0"/>
            </w:tcBorders>
            <w:vAlign w:val="center"/>
          </w:tcPr>
          <w:p w14:paraId="0BD039C9">
            <w:pPr>
              <w:pStyle w:val="193"/>
              <w:rPr>
                <w:rFonts w:hint="eastAsia"/>
                <w:lang w:val="zh-CN" w:bidi="zh-CN"/>
              </w:rPr>
            </w:pPr>
          </w:p>
        </w:tc>
      </w:tr>
      <w:bookmarkEnd w:id="121"/>
    </w:tbl>
    <w:p w14:paraId="5E1271CC"/>
    <w:p w14:paraId="04A48085">
      <w:pPr>
        <w:pStyle w:val="4"/>
        <w:rPr>
          <w:rFonts w:hint="eastAsia"/>
        </w:rPr>
      </w:pPr>
      <w:bookmarkStart w:id="122" w:name="_Toc221056437"/>
      <w:r>
        <w:rPr>
          <w:rFonts w:hint="eastAsia"/>
        </w:rPr>
        <w:t>6.8.2建设项目风险调查</w:t>
      </w:r>
      <w:bookmarkEnd w:id="122"/>
    </w:p>
    <w:p w14:paraId="35E326E3">
      <w:pPr>
        <w:ind w:firstLine="468" w:firstLineChars="200"/>
        <w:rPr>
          <w:rFonts w:cs="Times New Roman"/>
          <w:spacing w:val="-3"/>
        </w:rPr>
      </w:pPr>
      <w:r>
        <w:rPr>
          <w:rFonts w:hint="eastAsia" w:cs="Times New Roman"/>
          <w:spacing w:val="-3"/>
        </w:rPr>
        <w:t>1、风险源调查</w:t>
      </w:r>
    </w:p>
    <w:p w14:paraId="6657B19F">
      <w:pPr>
        <w:spacing w:line="360" w:lineRule="auto"/>
        <w:ind w:firstLine="482"/>
      </w:pPr>
      <w:r>
        <w:t>风险源调查以项目建成后</w:t>
      </w:r>
      <w:r>
        <w:rPr>
          <w:rFonts w:hint="eastAsia"/>
        </w:rPr>
        <w:t>原辅材料</w:t>
      </w:r>
      <w:r>
        <w:t>储存量进行统计，主要对</w:t>
      </w:r>
      <w:r>
        <w:rPr>
          <w:rFonts w:hint="eastAsia"/>
        </w:rPr>
        <w:t>本项目</w:t>
      </w:r>
      <w:r>
        <w:t>所涉及的原料、辅料、产品及废物等物质进行调查。项目涉及的原料有：</w:t>
      </w:r>
      <w:r>
        <w:rPr>
          <w:rFonts w:hint="eastAsia"/>
        </w:rPr>
        <w:t>异丁烯、间对甲酚、对甲苯磺酸、浓硫酸、纯碱等</w:t>
      </w:r>
      <w:r>
        <w:t>。产品有：</w:t>
      </w:r>
      <w:r>
        <w:rPr>
          <w:rFonts w:hint="eastAsia"/>
        </w:rPr>
        <w:t>间甲酚、对甲酚、叔丁醇、二聚异丁烯等。</w:t>
      </w:r>
    </w:p>
    <w:p w14:paraId="4D4614D3">
      <w:pPr>
        <w:spacing w:line="360" w:lineRule="auto"/>
        <w:ind w:firstLine="482"/>
      </w:pPr>
      <w:r>
        <w:t>依据《危险化学品目录》(20</w:t>
      </w:r>
      <w:r>
        <w:rPr>
          <w:rFonts w:hint="eastAsia"/>
        </w:rPr>
        <w:t>22</w:t>
      </w:r>
      <w:r>
        <w:t>版)，上述物质中</w:t>
      </w:r>
      <w:r>
        <w:rPr>
          <w:rFonts w:hint="eastAsia"/>
        </w:rPr>
        <w:t>异丁烯、浓硫酸、间甲酚、对甲酚等</w:t>
      </w:r>
      <w:r>
        <w:t>属于危险化学品。上述危险化学品的危险性和毒性性质见表6.</w:t>
      </w:r>
      <w:r>
        <w:rPr>
          <w:rFonts w:hint="eastAsia"/>
        </w:rPr>
        <w:t>8</w:t>
      </w:r>
      <w:r>
        <w:t>-</w:t>
      </w:r>
      <w:r>
        <w:rPr>
          <w:rFonts w:hint="eastAsia"/>
        </w:rPr>
        <w:t>4</w:t>
      </w:r>
      <w:r>
        <w:t>。</w:t>
      </w:r>
    </w:p>
    <w:p w14:paraId="1499CA5B">
      <w:pPr>
        <w:spacing w:line="360" w:lineRule="auto"/>
        <w:ind w:firstLine="482"/>
      </w:pPr>
    </w:p>
    <w:p w14:paraId="6AF4C785">
      <w:pPr>
        <w:rPr>
          <w:rFonts w:cs="Times New Roman"/>
          <w:spacing w:val="-3"/>
        </w:rPr>
        <w:sectPr>
          <w:pgSz w:w="11906" w:h="16838"/>
          <w:pgMar w:top="1418" w:right="1418" w:bottom="1418" w:left="1418" w:header="851" w:footer="992" w:gutter="0"/>
          <w:cols w:space="425" w:num="1"/>
          <w:docGrid w:type="lines" w:linePitch="326" w:charSpace="0"/>
        </w:sectPr>
      </w:pPr>
    </w:p>
    <w:p w14:paraId="4B971793">
      <w:pPr>
        <w:pStyle w:val="28"/>
        <w:rPr>
          <w:rFonts w:hint="eastAsia"/>
        </w:rPr>
      </w:pPr>
      <w:r>
        <w:t>表</w:t>
      </w:r>
      <w:r>
        <w:rPr>
          <w:rFonts w:hint="eastAsia"/>
        </w:rPr>
        <w:t>6</w:t>
      </w:r>
      <w:r>
        <w:t>.</w:t>
      </w:r>
      <w:r>
        <w:rPr>
          <w:rFonts w:hint="eastAsia"/>
        </w:rPr>
        <w:t>8</w:t>
      </w:r>
      <w:r>
        <w:t>-</w:t>
      </w:r>
      <w:r>
        <w:rPr>
          <w:rFonts w:hint="eastAsia"/>
        </w:rPr>
        <w:t>4</w:t>
      </w:r>
      <w:r>
        <w:t xml:space="preserve">  危险化学品理化性质指标</w:t>
      </w:r>
    </w:p>
    <w:tbl>
      <w:tblPr>
        <w:tblStyle w:val="3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13"/>
        <w:gridCol w:w="747"/>
        <w:gridCol w:w="705"/>
        <w:gridCol w:w="1270"/>
        <w:gridCol w:w="565"/>
        <w:gridCol w:w="845"/>
        <w:gridCol w:w="893"/>
        <w:gridCol w:w="977"/>
        <w:gridCol w:w="993"/>
        <w:gridCol w:w="851"/>
        <w:gridCol w:w="5633"/>
      </w:tblGrid>
      <w:tr w14:paraId="4D85DB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1" w:hRule="atLeast"/>
          <w:jc w:val="center"/>
        </w:trPr>
        <w:tc>
          <w:tcPr>
            <w:tcW w:w="183" w:type="pct"/>
            <w:vMerge w:val="restart"/>
            <w:tcBorders>
              <w:top w:val="single" w:color="auto" w:sz="4" w:space="0"/>
              <w:left w:val="single" w:color="auto" w:sz="4" w:space="0"/>
              <w:bottom w:val="single" w:color="auto" w:sz="4" w:space="0"/>
              <w:right w:val="single" w:color="auto" w:sz="4" w:space="0"/>
            </w:tcBorders>
            <w:vAlign w:val="center"/>
          </w:tcPr>
          <w:p w14:paraId="7E704FB8">
            <w:pPr>
              <w:pStyle w:val="64"/>
            </w:pPr>
            <w:r>
              <w:t>序</w:t>
            </w:r>
          </w:p>
          <w:p w14:paraId="35AF4692">
            <w:pPr>
              <w:pStyle w:val="64"/>
            </w:pPr>
            <w:r>
              <w:t>号</w:t>
            </w:r>
          </w:p>
        </w:tc>
        <w:tc>
          <w:tcPr>
            <w:tcW w:w="267" w:type="pct"/>
            <w:vMerge w:val="restart"/>
            <w:tcBorders>
              <w:top w:val="single" w:color="auto" w:sz="4" w:space="0"/>
              <w:left w:val="single" w:color="auto" w:sz="4" w:space="0"/>
              <w:bottom w:val="single" w:color="auto" w:sz="4" w:space="0"/>
              <w:right w:val="single" w:color="auto" w:sz="4" w:space="0"/>
            </w:tcBorders>
            <w:vAlign w:val="center"/>
          </w:tcPr>
          <w:p w14:paraId="20332B47">
            <w:pPr>
              <w:pStyle w:val="64"/>
            </w:pPr>
            <w:r>
              <w:t>名称</w:t>
            </w:r>
          </w:p>
        </w:tc>
        <w:tc>
          <w:tcPr>
            <w:tcW w:w="252" w:type="pct"/>
            <w:vMerge w:val="restart"/>
            <w:tcBorders>
              <w:top w:val="single" w:color="auto" w:sz="4" w:space="0"/>
              <w:left w:val="single" w:color="auto" w:sz="4" w:space="0"/>
              <w:bottom w:val="single" w:color="auto" w:sz="4" w:space="0"/>
              <w:right w:val="single" w:color="auto" w:sz="4" w:space="0"/>
            </w:tcBorders>
            <w:vAlign w:val="center"/>
          </w:tcPr>
          <w:p w14:paraId="66100D45">
            <w:pPr>
              <w:pStyle w:val="64"/>
            </w:pPr>
            <w:r>
              <w:t>危化目录序号</w:t>
            </w:r>
          </w:p>
        </w:tc>
        <w:tc>
          <w:tcPr>
            <w:tcW w:w="454" w:type="pct"/>
            <w:vMerge w:val="restart"/>
            <w:tcBorders>
              <w:top w:val="single" w:color="auto" w:sz="4" w:space="0"/>
              <w:left w:val="single" w:color="auto" w:sz="4" w:space="0"/>
              <w:bottom w:val="single" w:color="auto" w:sz="4" w:space="0"/>
              <w:right w:val="single" w:color="auto" w:sz="4" w:space="0"/>
            </w:tcBorders>
            <w:vAlign w:val="center"/>
          </w:tcPr>
          <w:p w14:paraId="10D9FF0A">
            <w:pPr>
              <w:pStyle w:val="64"/>
            </w:pPr>
            <w:r>
              <w:t>是否剧毒易制毒重点监管易制爆化学品</w:t>
            </w:r>
          </w:p>
        </w:tc>
        <w:tc>
          <w:tcPr>
            <w:tcW w:w="1527" w:type="pct"/>
            <w:gridSpan w:val="5"/>
            <w:tcBorders>
              <w:top w:val="single" w:color="auto" w:sz="4" w:space="0"/>
              <w:left w:val="single" w:color="auto" w:sz="4" w:space="0"/>
              <w:bottom w:val="single" w:color="auto" w:sz="4" w:space="0"/>
              <w:right w:val="single" w:color="auto" w:sz="4" w:space="0"/>
            </w:tcBorders>
            <w:vAlign w:val="center"/>
          </w:tcPr>
          <w:p w14:paraId="1619D67C">
            <w:pPr>
              <w:pStyle w:val="64"/>
            </w:pPr>
            <w:r>
              <w:t>化学品理化性能和毒性指标</w:t>
            </w:r>
          </w:p>
        </w:tc>
        <w:tc>
          <w:tcPr>
            <w:tcW w:w="304" w:type="pct"/>
            <w:vMerge w:val="restart"/>
            <w:tcBorders>
              <w:top w:val="single" w:color="auto" w:sz="4" w:space="0"/>
              <w:left w:val="single" w:color="auto" w:sz="4" w:space="0"/>
              <w:bottom w:val="single" w:color="auto" w:sz="4" w:space="0"/>
              <w:right w:val="single" w:color="auto" w:sz="4" w:space="0"/>
            </w:tcBorders>
            <w:vAlign w:val="center"/>
          </w:tcPr>
          <w:p w14:paraId="78462132">
            <w:pPr>
              <w:pStyle w:val="64"/>
            </w:pPr>
            <w:r>
              <w:t>火灾危险性</w:t>
            </w:r>
          </w:p>
        </w:tc>
        <w:tc>
          <w:tcPr>
            <w:tcW w:w="2013" w:type="pct"/>
            <w:vMerge w:val="restart"/>
            <w:tcBorders>
              <w:top w:val="single" w:color="auto" w:sz="4" w:space="0"/>
              <w:left w:val="single" w:color="auto" w:sz="4" w:space="0"/>
              <w:bottom w:val="single" w:color="auto" w:sz="4" w:space="0"/>
              <w:right w:val="single" w:color="auto" w:sz="4" w:space="0"/>
            </w:tcBorders>
            <w:vAlign w:val="center"/>
          </w:tcPr>
          <w:p w14:paraId="35746650">
            <w:pPr>
              <w:pStyle w:val="64"/>
            </w:pPr>
            <w:r>
              <w:t>危险性类别</w:t>
            </w:r>
          </w:p>
        </w:tc>
      </w:tr>
      <w:tr w14:paraId="018C86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5" w:hRule="atLeast"/>
          <w:tblHeader/>
          <w:jc w:val="center"/>
        </w:trPr>
        <w:tc>
          <w:tcPr>
            <w:tcW w:w="183" w:type="pct"/>
            <w:vMerge w:val="continue"/>
            <w:tcBorders>
              <w:top w:val="single" w:color="auto" w:sz="4" w:space="0"/>
              <w:left w:val="single" w:color="auto" w:sz="4" w:space="0"/>
              <w:bottom w:val="single" w:color="auto" w:sz="4" w:space="0"/>
              <w:right w:val="single" w:color="auto" w:sz="4" w:space="0"/>
            </w:tcBorders>
            <w:vAlign w:val="center"/>
          </w:tcPr>
          <w:p w14:paraId="233B5425">
            <w:pPr>
              <w:pStyle w:val="64"/>
            </w:pPr>
          </w:p>
        </w:tc>
        <w:tc>
          <w:tcPr>
            <w:tcW w:w="267" w:type="pct"/>
            <w:vMerge w:val="continue"/>
            <w:tcBorders>
              <w:top w:val="single" w:color="auto" w:sz="4" w:space="0"/>
              <w:left w:val="single" w:color="auto" w:sz="4" w:space="0"/>
              <w:bottom w:val="single" w:color="auto" w:sz="4" w:space="0"/>
              <w:right w:val="single" w:color="auto" w:sz="4" w:space="0"/>
            </w:tcBorders>
            <w:vAlign w:val="center"/>
          </w:tcPr>
          <w:p w14:paraId="3617DF3E">
            <w:pPr>
              <w:pStyle w:val="64"/>
            </w:pPr>
          </w:p>
        </w:tc>
        <w:tc>
          <w:tcPr>
            <w:tcW w:w="252" w:type="pct"/>
            <w:vMerge w:val="continue"/>
            <w:tcBorders>
              <w:top w:val="single" w:color="auto" w:sz="4" w:space="0"/>
              <w:left w:val="single" w:color="auto" w:sz="4" w:space="0"/>
              <w:bottom w:val="single" w:color="auto" w:sz="4" w:space="0"/>
              <w:right w:val="single" w:color="auto" w:sz="4" w:space="0"/>
            </w:tcBorders>
            <w:vAlign w:val="center"/>
          </w:tcPr>
          <w:p w14:paraId="4CDC1228">
            <w:pPr>
              <w:pStyle w:val="64"/>
            </w:pPr>
          </w:p>
        </w:tc>
        <w:tc>
          <w:tcPr>
            <w:tcW w:w="454" w:type="pct"/>
            <w:vMerge w:val="continue"/>
            <w:tcBorders>
              <w:top w:val="single" w:color="auto" w:sz="4" w:space="0"/>
              <w:left w:val="single" w:color="auto" w:sz="4" w:space="0"/>
              <w:bottom w:val="single" w:color="auto" w:sz="4" w:space="0"/>
              <w:right w:val="single" w:color="auto" w:sz="4" w:space="0"/>
            </w:tcBorders>
            <w:vAlign w:val="center"/>
          </w:tcPr>
          <w:p w14:paraId="31B1710F">
            <w:pPr>
              <w:pStyle w:val="64"/>
            </w:pPr>
          </w:p>
        </w:tc>
        <w:tc>
          <w:tcPr>
            <w:tcW w:w="202" w:type="pct"/>
            <w:vMerge w:val="restart"/>
            <w:tcBorders>
              <w:top w:val="single" w:color="auto" w:sz="4" w:space="0"/>
              <w:left w:val="single" w:color="auto" w:sz="4" w:space="0"/>
              <w:bottom w:val="single" w:color="auto" w:sz="4" w:space="0"/>
              <w:right w:val="single" w:color="auto" w:sz="4" w:space="0"/>
            </w:tcBorders>
            <w:vAlign w:val="center"/>
          </w:tcPr>
          <w:p w14:paraId="7F4B0ED5">
            <w:pPr>
              <w:pStyle w:val="64"/>
            </w:pPr>
            <w:r>
              <w:t>状态</w:t>
            </w:r>
          </w:p>
        </w:tc>
        <w:tc>
          <w:tcPr>
            <w:tcW w:w="302" w:type="pct"/>
            <w:vMerge w:val="restart"/>
            <w:tcBorders>
              <w:top w:val="single" w:color="auto" w:sz="4" w:space="0"/>
              <w:left w:val="single" w:color="auto" w:sz="4" w:space="0"/>
              <w:bottom w:val="single" w:color="auto" w:sz="4" w:space="0"/>
              <w:right w:val="single" w:color="auto" w:sz="4" w:space="0"/>
            </w:tcBorders>
            <w:vAlign w:val="center"/>
          </w:tcPr>
          <w:p w14:paraId="7D84FF08">
            <w:pPr>
              <w:pStyle w:val="64"/>
            </w:pPr>
            <w:r>
              <w:t>闪点℃</w:t>
            </w:r>
          </w:p>
        </w:tc>
        <w:tc>
          <w:tcPr>
            <w:tcW w:w="319" w:type="pct"/>
            <w:vMerge w:val="restart"/>
            <w:tcBorders>
              <w:top w:val="single" w:color="auto" w:sz="4" w:space="0"/>
              <w:left w:val="single" w:color="auto" w:sz="4" w:space="0"/>
              <w:bottom w:val="single" w:color="auto" w:sz="4" w:space="0"/>
              <w:right w:val="single" w:color="auto" w:sz="4" w:space="0"/>
            </w:tcBorders>
            <w:vAlign w:val="center"/>
          </w:tcPr>
          <w:p w14:paraId="7238C745">
            <w:pPr>
              <w:pStyle w:val="64"/>
            </w:pPr>
            <w:r>
              <w:t>爆炸极限%(V)</w:t>
            </w:r>
          </w:p>
        </w:tc>
        <w:tc>
          <w:tcPr>
            <w:tcW w:w="704" w:type="pct"/>
            <w:gridSpan w:val="2"/>
            <w:tcBorders>
              <w:top w:val="single" w:color="auto" w:sz="4" w:space="0"/>
              <w:left w:val="single" w:color="auto" w:sz="4" w:space="0"/>
              <w:bottom w:val="single" w:color="auto" w:sz="4" w:space="0"/>
              <w:right w:val="single" w:color="auto" w:sz="4" w:space="0"/>
            </w:tcBorders>
            <w:vAlign w:val="center"/>
          </w:tcPr>
          <w:p w14:paraId="07419B87">
            <w:pPr>
              <w:pStyle w:val="64"/>
            </w:pPr>
            <w:r>
              <w:t>毒性</w:t>
            </w:r>
          </w:p>
        </w:tc>
        <w:tc>
          <w:tcPr>
            <w:tcW w:w="304" w:type="pct"/>
            <w:vMerge w:val="continue"/>
            <w:tcBorders>
              <w:top w:val="single" w:color="auto" w:sz="4" w:space="0"/>
              <w:left w:val="single" w:color="auto" w:sz="4" w:space="0"/>
              <w:bottom w:val="single" w:color="auto" w:sz="4" w:space="0"/>
              <w:right w:val="single" w:color="auto" w:sz="4" w:space="0"/>
            </w:tcBorders>
            <w:vAlign w:val="center"/>
          </w:tcPr>
          <w:p w14:paraId="7AF84E73">
            <w:pPr>
              <w:pStyle w:val="64"/>
            </w:pPr>
          </w:p>
        </w:tc>
        <w:tc>
          <w:tcPr>
            <w:tcW w:w="2013" w:type="pct"/>
            <w:vMerge w:val="continue"/>
            <w:tcBorders>
              <w:top w:val="single" w:color="auto" w:sz="4" w:space="0"/>
              <w:left w:val="single" w:color="auto" w:sz="4" w:space="0"/>
              <w:bottom w:val="single" w:color="auto" w:sz="4" w:space="0"/>
              <w:right w:val="single" w:color="auto" w:sz="4" w:space="0"/>
            </w:tcBorders>
            <w:vAlign w:val="center"/>
          </w:tcPr>
          <w:p w14:paraId="22E68BC3">
            <w:pPr>
              <w:pStyle w:val="64"/>
            </w:pPr>
          </w:p>
        </w:tc>
      </w:tr>
      <w:tr w14:paraId="150DBF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0" w:hRule="atLeast"/>
          <w:tblHeader/>
          <w:jc w:val="center"/>
        </w:trPr>
        <w:tc>
          <w:tcPr>
            <w:tcW w:w="183" w:type="pct"/>
            <w:vMerge w:val="continue"/>
            <w:tcBorders>
              <w:top w:val="single" w:color="auto" w:sz="4" w:space="0"/>
              <w:left w:val="single" w:color="auto" w:sz="4" w:space="0"/>
              <w:bottom w:val="single" w:color="auto" w:sz="4" w:space="0"/>
              <w:right w:val="single" w:color="auto" w:sz="4" w:space="0"/>
            </w:tcBorders>
            <w:vAlign w:val="center"/>
          </w:tcPr>
          <w:p w14:paraId="07142507">
            <w:pPr>
              <w:pStyle w:val="64"/>
            </w:pPr>
          </w:p>
        </w:tc>
        <w:tc>
          <w:tcPr>
            <w:tcW w:w="267" w:type="pct"/>
            <w:vMerge w:val="continue"/>
            <w:tcBorders>
              <w:top w:val="single" w:color="auto" w:sz="4" w:space="0"/>
              <w:left w:val="single" w:color="auto" w:sz="4" w:space="0"/>
              <w:bottom w:val="single" w:color="auto" w:sz="4" w:space="0"/>
              <w:right w:val="single" w:color="auto" w:sz="4" w:space="0"/>
            </w:tcBorders>
            <w:vAlign w:val="center"/>
          </w:tcPr>
          <w:p w14:paraId="2ADD2CAD">
            <w:pPr>
              <w:pStyle w:val="64"/>
            </w:pPr>
          </w:p>
        </w:tc>
        <w:tc>
          <w:tcPr>
            <w:tcW w:w="252" w:type="pct"/>
            <w:vMerge w:val="continue"/>
            <w:tcBorders>
              <w:top w:val="single" w:color="auto" w:sz="4" w:space="0"/>
              <w:left w:val="single" w:color="auto" w:sz="4" w:space="0"/>
              <w:bottom w:val="single" w:color="auto" w:sz="4" w:space="0"/>
              <w:right w:val="single" w:color="auto" w:sz="4" w:space="0"/>
            </w:tcBorders>
            <w:vAlign w:val="center"/>
          </w:tcPr>
          <w:p w14:paraId="0207B17F">
            <w:pPr>
              <w:pStyle w:val="64"/>
            </w:pPr>
          </w:p>
        </w:tc>
        <w:tc>
          <w:tcPr>
            <w:tcW w:w="454" w:type="pct"/>
            <w:vMerge w:val="continue"/>
            <w:tcBorders>
              <w:top w:val="single" w:color="auto" w:sz="4" w:space="0"/>
              <w:left w:val="single" w:color="auto" w:sz="4" w:space="0"/>
              <w:bottom w:val="single" w:color="auto" w:sz="4" w:space="0"/>
              <w:right w:val="single" w:color="auto" w:sz="4" w:space="0"/>
            </w:tcBorders>
            <w:vAlign w:val="center"/>
          </w:tcPr>
          <w:p w14:paraId="7C30F949">
            <w:pPr>
              <w:pStyle w:val="64"/>
            </w:pPr>
          </w:p>
        </w:tc>
        <w:tc>
          <w:tcPr>
            <w:tcW w:w="202" w:type="pct"/>
            <w:vMerge w:val="continue"/>
            <w:tcBorders>
              <w:top w:val="single" w:color="auto" w:sz="4" w:space="0"/>
              <w:left w:val="single" w:color="auto" w:sz="4" w:space="0"/>
              <w:bottom w:val="single" w:color="auto" w:sz="4" w:space="0"/>
              <w:right w:val="single" w:color="auto" w:sz="4" w:space="0"/>
            </w:tcBorders>
            <w:vAlign w:val="center"/>
          </w:tcPr>
          <w:p w14:paraId="7DD86B27">
            <w:pPr>
              <w:pStyle w:val="64"/>
            </w:pPr>
          </w:p>
        </w:tc>
        <w:tc>
          <w:tcPr>
            <w:tcW w:w="302" w:type="pct"/>
            <w:vMerge w:val="continue"/>
            <w:tcBorders>
              <w:top w:val="single" w:color="auto" w:sz="4" w:space="0"/>
              <w:left w:val="single" w:color="auto" w:sz="4" w:space="0"/>
              <w:bottom w:val="single" w:color="auto" w:sz="4" w:space="0"/>
              <w:right w:val="single" w:color="auto" w:sz="4" w:space="0"/>
            </w:tcBorders>
            <w:vAlign w:val="center"/>
          </w:tcPr>
          <w:p w14:paraId="7293B99E">
            <w:pPr>
              <w:pStyle w:val="64"/>
            </w:pPr>
          </w:p>
        </w:tc>
        <w:tc>
          <w:tcPr>
            <w:tcW w:w="319" w:type="pct"/>
            <w:vMerge w:val="continue"/>
            <w:tcBorders>
              <w:top w:val="single" w:color="auto" w:sz="4" w:space="0"/>
              <w:left w:val="single" w:color="auto" w:sz="4" w:space="0"/>
              <w:bottom w:val="single" w:color="auto" w:sz="4" w:space="0"/>
              <w:right w:val="single" w:color="auto" w:sz="4" w:space="0"/>
            </w:tcBorders>
            <w:vAlign w:val="center"/>
          </w:tcPr>
          <w:p w14:paraId="2844C561">
            <w:pPr>
              <w:pStyle w:val="64"/>
            </w:pPr>
          </w:p>
        </w:tc>
        <w:tc>
          <w:tcPr>
            <w:tcW w:w="349" w:type="pct"/>
            <w:tcBorders>
              <w:top w:val="single" w:color="auto" w:sz="4" w:space="0"/>
              <w:left w:val="single" w:color="auto" w:sz="4" w:space="0"/>
              <w:bottom w:val="single" w:color="auto" w:sz="4" w:space="0"/>
              <w:right w:val="single" w:color="auto" w:sz="4" w:space="0"/>
            </w:tcBorders>
            <w:vAlign w:val="center"/>
          </w:tcPr>
          <w:p w14:paraId="7154F220">
            <w:pPr>
              <w:pStyle w:val="64"/>
            </w:pPr>
            <w:r>
              <w:t>LD</w:t>
            </w:r>
            <w:r>
              <w:rPr>
                <w:vertAlign w:val="subscript"/>
              </w:rPr>
              <w:t>50</w:t>
            </w:r>
            <w:r>
              <w:t xml:space="preserve"> mg/kg</w:t>
            </w:r>
          </w:p>
        </w:tc>
        <w:tc>
          <w:tcPr>
            <w:tcW w:w="355" w:type="pct"/>
            <w:tcBorders>
              <w:top w:val="single" w:color="auto" w:sz="4" w:space="0"/>
              <w:left w:val="single" w:color="auto" w:sz="4" w:space="0"/>
              <w:bottom w:val="single" w:color="auto" w:sz="4" w:space="0"/>
              <w:right w:val="single" w:color="auto" w:sz="4" w:space="0"/>
            </w:tcBorders>
            <w:vAlign w:val="center"/>
          </w:tcPr>
          <w:p w14:paraId="62D9B84C">
            <w:pPr>
              <w:pStyle w:val="64"/>
            </w:pPr>
            <w:r>
              <w:t>LC</w:t>
            </w:r>
            <w:r>
              <w:rPr>
                <w:vertAlign w:val="subscript"/>
              </w:rPr>
              <w:t>50</w:t>
            </w:r>
            <w:r>
              <w:t xml:space="preserve"> mg/m</w:t>
            </w:r>
            <w:r>
              <w:rPr>
                <w:vertAlign w:val="superscript"/>
              </w:rPr>
              <w:t>3</w:t>
            </w:r>
          </w:p>
        </w:tc>
        <w:tc>
          <w:tcPr>
            <w:tcW w:w="304" w:type="pct"/>
            <w:vMerge w:val="continue"/>
            <w:tcBorders>
              <w:top w:val="single" w:color="auto" w:sz="4" w:space="0"/>
              <w:left w:val="single" w:color="auto" w:sz="4" w:space="0"/>
              <w:bottom w:val="single" w:color="auto" w:sz="4" w:space="0"/>
              <w:right w:val="single" w:color="auto" w:sz="4" w:space="0"/>
            </w:tcBorders>
            <w:vAlign w:val="center"/>
          </w:tcPr>
          <w:p w14:paraId="5580336B">
            <w:pPr>
              <w:pStyle w:val="64"/>
            </w:pPr>
          </w:p>
        </w:tc>
        <w:tc>
          <w:tcPr>
            <w:tcW w:w="2013" w:type="pct"/>
            <w:vMerge w:val="continue"/>
            <w:tcBorders>
              <w:top w:val="single" w:color="auto" w:sz="4" w:space="0"/>
              <w:left w:val="single" w:color="auto" w:sz="4" w:space="0"/>
              <w:bottom w:val="single" w:color="auto" w:sz="4" w:space="0"/>
              <w:right w:val="single" w:color="auto" w:sz="4" w:space="0"/>
            </w:tcBorders>
            <w:vAlign w:val="center"/>
          </w:tcPr>
          <w:p w14:paraId="32417AB8">
            <w:pPr>
              <w:pStyle w:val="64"/>
            </w:pPr>
          </w:p>
        </w:tc>
      </w:tr>
      <w:tr w14:paraId="28B5A1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83" w:type="pct"/>
            <w:tcBorders>
              <w:top w:val="single" w:color="auto" w:sz="4" w:space="0"/>
              <w:left w:val="single" w:color="auto" w:sz="4" w:space="0"/>
              <w:bottom w:val="single" w:color="auto" w:sz="4" w:space="0"/>
              <w:right w:val="single" w:color="auto" w:sz="4" w:space="0"/>
            </w:tcBorders>
            <w:vAlign w:val="center"/>
          </w:tcPr>
          <w:p w14:paraId="4B75CFF4">
            <w:pPr>
              <w:pStyle w:val="64"/>
            </w:pPr>
            <w:r>
              <w:rPr>
                <w:rFonts w:hint="eastAsia"/>
              </w:rPr>
              <w:t>1</w:t>
            </w:r>
          </w:p>
        </w:tc>
        <w:tc>
          <w:tcPr>
            <w:tcW w:w="267" w:type="pct"/>
            <w:tcBorders>
              <w:top w:val="single" w:color="auto" w:sz="4" w:space="0"/>
              <w:left w:val="single" w:color="auto" w:sz="4" w:space="0"/>
              <w:bottom w:val="single" w:color="auto" w:sz="4" w:space="0"/>
              <w:right w:val="single" w:color="auto" w:sz="4" w:space="0"/>
            </w:tcBorders>
            <w:vAlign w:val="center"/>
          </w:tcPr>
          <w:p w14:paraId="01B79A30">
            <w:pPr>
              <w:pStyle w:val="64"/>
            </w:pPr>
            <w:r>
              <w:rPr>
                <w:rFonts w:hint="eastAsia"/>
              </w:rPr>
              <w:t>异丁烯</w:t>
            </w:r>
          </w:p>
        </w:tc>
        <w:tc>
          <w:tcPr>
            <w:tcW w:w="252" w:type="pct"/>
            <w:tcBorders>
              <w:top w:val="single" w:color="auto" w:sz="4" w:space="0"/>
              <w:left w:val="single" w:color="auto" w:sz="4" w:space="0"/>
              <w:bottom w:val="single" w:color="auto" w:sz="4" w:space="0"/>
              <w:right w:val="single" w:color="auto" w:sz="4" w:space="0"/>
            </w:tcBorders>
            <w:vAlign w:val="center"/>
          </w:tcPr>
          <w:p w14:paraId="7BA2CF0B">
            <w:pPr>
              <w:pStyle w:val="64"/>
            </w:pPr>
            <w:r>
              <w:rPr>
                <w:rFonts w:hint="eastAsia"/>
              </w:rPr>
              <w:t>2708</w:t>
            </w:r>
          </w:p>
        </w:tc>
        <w:tc>
          <w:tcPr>
            <w:tcW w:w="454" w:type="pct"/>
            <w:tcBorders>
              <w:top w:val="single" w:color="auto" w:sz="4" w:space="0"/>
              <w:left w:val="single" w:color="auto" w:sz="4" w:space="0"/>
              <w:bottom w:val="single" w:color="auto" w:sz="4" w:space="0"/>
              <w:right w:val="single" w:color="auto" w:sz="4" w:space="0"/>
            </w:tcBorders>
            <w:vAlign w:val="center"/>
          </w:tcPr>
          <w:p w14:paraId="2FEDCE43">
            <w:pPr>
              <w:pStyle w:val="64"/>
            </w:pPr>
            <w:r>
              <w:t>否</w:t>
            </w:r>
          </w:p>
        </w:tc>
        <w:tc>
          <w:tcPr>
            <w:tcW w:w="202" w:type="pct"/>
            <w:tcBorders>
              <w:top w:val="single" w:color="auto" w:sz="4" w:space="0"/>
              <w:left w:val="single" w:color="auto" w:sz="4" w:space="0"/>
              <w:bottom w:val="single" w:color="auto" w:sz="4" w:space="0"/>
              <w:right w:val="single" w:color="auto" w:sz="4" w:space="0"/>
            </w:tcBorders>
            <w:vAlign w:val="center"/>
          </w:tcPr>
          <w:p w14:paraId="510EB515">
            <w:pPr>
              <w:pStyle w:val="64"/>
            </w:pPr>
            <w:r>
              <w:rPr>
                <w:rFonts w:hint="eastAsia"/>
              </w:rPr>
              <w:t>气</w:t>
            </w:r>
          </w:p>
        </w:tc>
        <w:tc>
          <w:tcPr>
            <w:tcW w:w="302" w:type="pct"/>
            <w:tcBorders>
              <w:top w:val="single" w:color="auto" w:sz="4" w:space="0"/>
              <w:left w:val="single" w:color="auto" w:sz="4" w:space="0"/>
              <w:bottom w:val="single" w:color="auto" w:sz="4" w:space="0"/>
              <w:right w:val="single" w:color="auto" w:sz="4" w:space="0"/>
            </w:tcBorders>
            <w:vAlign w:val="center"/>
          </w:tcPr>
          <w:p w14:paraId="3C45D12D">
            <w:pPr>
              <w:pStyle w:val="64"/>
            </w:pPr>
            <w:r>
              <w:rPr>
                <w:rFonts w:hint="eastAsia" w:hAnsi="宋体"/>
              </w:rPr>
              <w:t>-76.1</w:t>
            </w:r>
          </w:p>
        </w:tc>
        <w:tc>
          <w:tcPr>
            <w:tcW w:w="319" w:type="pct"/>
            <w:tcBorders>
              <w:top w:val="single" w:color="auto" w:sz="4" w:space="0"/>
              <w:left w:val="single" w:color="auto" w:sz="4" w:space="0"/>
              <w:bottom w:val="single" w:color="auto" w:sz="4" w:space="0"/>
              <w:right w:val="single" w:color="auto" w:sz="4" w:space="0"/>
            </w:tcBorders>
            <w:vAlign w:val="center"/>
          </w:tcPr>
          <w:p w14:paraId="5D76906D">
            <w:pPr>
              <w:pStyle w:val="64"/>
            </w:pPr>
            <w:r>
              <w:t>1.</w:t>
            </w:r>
            <w:r>
              <w:rPr>
                <w:rFonts w:hint="eastAsia"/>
              </w:rPr>
              <w:t>8</w:t>
            </w:r>
            <w:r>
              <w:t>-</w:t>
            </w:r>
            <w:r>
              <w:rPr>
                <w:rFonts w:hint="eastAsia"/>
              </w:rPr>
              <w:t>9.6</w:t>
            </w:r>
          </w:p>
        </w:tc>
        <w:tc>
          <w:tcPr>
            <w:tcW w:w="349" w:type="pct"/>
            <w:tcBorders>
              <w:top w:val="single" w:color="auto" w:sz="4" w:space="0"/>
              <w:left w:val="single" w:color="auto" w:sz="4" w:space="0"/>
              <w:bottom w:val="single" w:color="auto" w:sz="4" w:space="0"/>
              <w:right w:val="single" w:color="auto" w:sz="4" w:space="0"/>
            </w:tcBorders>
            <w:vAlign w:val="center"/>
          </w:tcPr>
          <w:p w14:paraId="288F80B6">
            <w:pPr>
              <w:pStyle w:val="64"/>
            </w:pPr>
            <w:r>
              <w:rPr>
                <w:rFonts w:hint="eastAsia"/>
              </w:rPr>
              <w:t>无资料</w:t>
            </w:r>
          </w:p>
        </w:tc>
        <w:tc>
          <w:tcPr>
            <w:tcW w:w="355" w:type="pct"/>
            <w:tcBorders>
              <w:top w:val="single" w:color="auto" w:sz="4" w:space="0"/>
              <w:left w:val="single" w:color="auto" w:sz="4" w:space="0"/>
              <w:bottom w:val="single" w:color="auto" w:sz="4" w:space="0"/>
              <w:right w:val="single" w:color="auto" w:sz="4" w:space="0"/>
            </w:tcBorders>
            <w:vAlign w:val="center"/>
          </w:tcPr>
          <w:p w14:paraId="24499B2A">
            <w:pPr>
              <w:pStyle w:val="64"/>
            </w:pPr>
            <w:r>
              <w:rPr>
                <w:rFonts w:hint="eastAsia"/>
              </w:rPr>
              <w:t>620000</w:t>
            </w:r>
          </w:p>
        </w:tc>
        <w:tc>
          <w:tcPr>
            <w:tcW w:w="304" w:type="pct"/>
            <w:tcBorders>
              <w:top w:val="single" w:color="auto" w:sz="4" w:space="0"/>
              <w:left w:val="single" w:color="auto" w:sz="4" w:space="0"/>
              <w:bottom w:val="single" w:color="auto" w:sz="4" w:space="0"/>
              <w:right w:val="single" w:color="auto" w:sz="4" w:space="0"/>
            </w:tcBorders>
            <w:vAlign w:val="center"/>
          </w:tcPr>
          <w:p w14:paraId="36D253F4">
            <w:pPr>
              <w:pStyle w:val="64"/>
            </w:pPr>
            <w:r>
              <w:t>甲</w:t>
            </w:r>
          </w:p>
        </w:tc>
        <w:tc>
          <w:tcPr>
            <w:tcW w:w="2013" w:type="pct"/>
            <w:tcBorders>
              <w:top w:val="single" w:color="auto" w:sz="4" w:space="0"/>
              <w:left w:val="single" w:color="auto" w:sz="4" w:space="0"/>
              <w:bottom w:val="single" w:color="auto" w:sz="4" w:space="0"/>
              <w:right w:val="single" w:color="auto" w:sz="4" w:space="0"/>
            </w:tcBorders>
            <w:vAlign w:val="center"/>
          </w:tcPr>
          <w:p w14:paraId="3DEB8C3C">
            <w:pPr>
              <w:pStyle w:val="64"/>
              <w:jc w:val="both"/>
            </w:pPr>
            <w:r>
              <w:t>易燃</w:t>
            </w:r>
            <w:r>
              <w:rPr>
                <w:rFonts w:hint="eastAsia"/>
              </w:rPr>
              <w:t>气</w:t>
            </w:r>
            <w:r>
              <w:t>体，类别2</w:t>
            </w:r>
          </w:p>
          <w:p w14:paraId="106FB669">
            <w:pPr>
              <w:pStyle w:val="64"/>
              <w:jc w:val="both"/>
            </w:pPr>
            <w:r>
              <w:t>主要危险性：易燃性，次要危险性：/</w:t>
            </w:r>
          </w:p>
        </w:tc>
      </w:tr>
      <w:tr w14:paraId="57F03B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83" w:type="pct"/>
            <w:tcBorders>
              <w:top w:val="single" w:color="auto" w:sz="4" w:space="0"/>
              <w:left w:val="single" w:color="auto" w:sz="4" w:space="0"/>
              <w:bottom w:val="single" w:color="auto" w:sz="4" w:space="0"/>
              <w:right w:val="single" w:color="auto" w:sz="4" w:space="0"/>
            </w:tcBorders>
            <w:vAlign w:val="center"/>
          </w:tcPr>
          <w:p w14:paraId="5AF23CCF">
            <w:pPr>
              <w:pStyle w:val="64"/>
            </w:pPr>
            <w:bookmarkStart w:id="123" w:name="_Toc48890979"/>
            <w:bookmarkEnd w:id="123"/>
            <w:r>
              <w:rPr>
                <w:rFonts w:hint="eastAsia"/>
              </w:rPr>
              <w:t>2</w:t>
            </w:r>
          </w:p>
        </w:tc>
        <w:tc>
          <w:tcPr>
            <w:tcW w:w="267" w:type="pct"/>
            <w:tcBorders>
              <w:top w:val="single" w:color="auto" w:sz="4" w:space="0"/>
              <w:left w:val="single" w:color="auto" w:sz="4" w:space="0"/>
              <w:bottom w:val="single" w:color="auto" w:sz="4" w:space="0"/>
              <w:right w:val="single" w:color="auto" w:sz="4" w:space="0"/>
            </w:tcBorders>
            <w:vAlign w:val="center"/>
          </w:tcPr>
          <w:p w14:paraId="1A13AD4A">
            <w:pPr>
              <w:pStyle w:val="64"/>
            </w:pPr>
            <w:bookmarkStart w:id="124" w:name="_Toc48890980"/>
            <w:r>
              <w:rPr>
                <w:rFonts w:hint="eastAsia"/>
              </w:rPr>
              <w:t>浓硫酸</w:t>
            </w:r>
            <w:bookmarkEnd w:id="124"/>
          </w:p>
        </w:tc>
        <w:tc>
          <w:tcPr>
            <w:tcW w:w="252" w:type="pct"/>
            <w:tcBorders>
              <w:top w:val="single" w:color="auto" w:sz="4" w:space="0"/>
              <w:left w:val="single" w:color="auto" w:sz="4" w:space="0"/>
              <w:bottom w:val="single" w:color="auto" w:sz="4" w:space="0"/>
              <w:right w:val="single" w:color="auto" w:sz="4" w:space="0"/>
            </w:tcBorders>
            <w:vAlign w:val="center"/>
          </w:tcPr>
          <w:p w14:paraId="7FEBAC6C">
            <w:pPr>
              <w:pStyle w:val="64"/>
            </w:pPr>
            <w:r>
              <w:rPr>
                <w:rFonts w:hint="eastAsia"/>
              </w:rPr>
              <w:t>1302</w:t>
            </w:r>
          </w:p>
        </w:tc>
        <w:tc>
          <w:tcPr>
            <w:tcW w:w="454" w:type="pct"/>
            <w:tcBorders>
              <w:top w:val="single" w:color="auto" w:sz="4" w:space="0"/>
              <w:left w:val="single" w:color="auto" w:sz="4" w:space="0"/>
              <w:bottom w:val="single" w:color="auto" w:sz="4" w:space="0"/>
              <w:right w:val="single" w:color="auto" w:sz="4" w:space="0"/>
            </w:tcBorders>
            <w:vAlign w:val="center"/>
          </w:tcPr>
          <w:p w14:paraId="0F42A273">
            <w:pPr>
              <w:pStyle w:val="64"/>
            </w:pPr>
            <w:r>
              <w:t>否</w:t>
            </w:r>
          </w:p>
        </w:tc>
        <w:tc>
          <w:tcPr>
            <w:tcW w:w="202" w:type="pct"/>
            <w:tcBorders>
              <w:top w:val="single" w:color="auto" w:sz="4" w:space="0"/>
              <w:left w:val="single" w:color="auto" w:sz="4" w:space="0"/>
              <w:bottom w:val="single" w:color="auto" w:sz="4" w:space="0"/>
              <w:right w:val="single" w:color="auto" w:sz="4" w:space="0"/>
            </w:tcBorders>
            <w:vAlign w:val="center"/>
          </w:tcPr>
          <w:p w14:paraId="0A5EC8F5">
            <w:pPr>
              <w:pStyle w:val="64"/>
            </w:pPr>
            <w:r>
              <w:t>液</w:t>
            </w:r>
          </w:p>
        </w:tc>
        <w:tc>
          <w:tcPr>
            <w:tcW w:w="302" w:type="pct"/>
            <w:tcBorders>
              <w:top w:val="single" w:color="auto" w:sz="4" w:space="0"/>
              <w:left w:val="single" w:color="auto" w:sz="4" w:space="0"/>
              <w:bottom w:val="single" w:color="auto" w:sz="4" w:space="0"/>
              <w:right w:val="single" w:color="auto" w:sz="4" w:space="0"/>
            </w:tcBorders>
            <w:vAlign w:val="center"/>
          </w:tcPr>
          <w:p w14:paraId="715014CD">
            <w:pPr>
              <w:pStyle w:val="64"/>
            </w:pPr>
            <w:r>
              <w:rPr>
                <w:rFonts w:hint="eastAsia"/>
              </w:rPr>
              <w:t>无意义</w:t>
            </w:r>
          </w:p>
        </w:tc>
        <w:tc>
          <w:tcPr>
            <w:tcW w:w="319" w:type="pct"/>
            <w:tcBorders>
              <w:top w:val="single" w:color="auto" w:sz="4" w:space="0"/>
              <w:left w:val="single" w:color="auto" w:sz="4" w:space="0"/>
              <w:bottom w:val="single" w:color="auto" w:sz="4" w:space="0"/>
              <w:right w:val="single" w:color="auto" w:sz="4" w:space="0"/>
            </w:tcBorders>
            <w:vAlign w:val="center"/>
          </w:tcPr>
          <w:p w14:paraId="283AE659">
            <w:pPr>
              <w:pStyle w:val="64"/>
            </w:pPr>
            <w:r>
              <w:t>无资料</w:t>
            </w:r>
          </w:p>
        </w:tc>
        <w:tc>
          <w:tcPr>
            <w:tcW w:w="349" w:type="pct"/>
            <w:tcBorders>
              <w:top w:val="single" w:color="auto" w:sz="4" w:space="0"/>
              <w:left w:val="single" w:color="auto" w:sz="4" w:space="0"/>
              <w:bottom w:val="single" w:color="auto" w:sz="4" w:space="0"/>
              <w:right w:val="single" w:color="auto" w:sz="4" w:space="0"/>
            </w:tcBorders>
            <w:vAlign w:val="center"/>
          </w:tcPr>
          <w:p w14:paraId="76A3B121">
            <w:pPr>
              <w:pStyle w:val="64"/>
            </w:pPr>
            <w:r>
              <w:rPr>
                <w:rFonts w:hint="eastAsia"/>
              </w:rPr>
              <w:t>2140</w:t>
            </w:r>
          </w:p>
        </w:tc>
        <w:tc>
          <w:tcPr>
            <w:tcW w:w="355" w:type="pct"/>
            <w:tcBorders>
              <w:top w:val="single" w:color="auto" w:sz="4" w:space="0"/>
              <w:left w:val="single" w:color="auto" w:sz="4" w:space="0"/>
              <w:bottom w:val="single" w:color="auto" w:sz="4" w:space="0"/>
              <w:right w:val="single" w:color="auto" w:sz="4" w:space="0"/>
            </w:tcBorders>
            <w:vAlign w:val="center"/>
          </w:tcPr>
          <w:p w14:paraId="00CF462A">
            <w:pPr>
              <w:pStyle w:val="64"/>
            </w:pPr>
            <w:r>
              <w:rPr>
                <w:rFonts w:hint="eastAsia"/>
              </w:rPr>
              <w:t>510</w:t>
            </w:r>
          </w:p>
        </w:tc>
        <w:tc>
          <w:tcPr>
            <w:tcW w:w="304" w:type="pct"/>
            <w:tcBorders>
              <w:top w:val="single" w:color="auto" w:sz="4" w:space="0"/>
              <w:left w:val="single" w:color="auto" w:sz="4" w:space="0"/>
              <w:bottom w:val="single" w:color="auto" w:sz="4" w:space="0"/>
              <w:right w:val="single" w:color="auto" w:sz="4" w:space="0"/>
            </w:tcBorders>
            <w:vAlign w:val="center"/>
          </w:tcPr>
          <w:p w14:paraId="2AC36072">
            <w:pPr>
              <w:pStyle w:val="64"/>
            </w:pPr>
            <w:r>
              <w:rPr>
                <w:rFonts w:hint="eastAsia"/>
              </w:rPr>
              <w:t>乙</w:t>
            </w:r>
          </w:p>
        </w:tc>
        <w:tc>
          <w:tcPr>
            <w:tcW w:w="2013" w:type="pct"/>
            <w:tcBorders>
              <w:top w:val="single" w:color="auto" w:sz="4" w:space="0"/>
              <w:left w:val="single" w:color="auto" w:sz="4" w:space="0"/>
              <w:bottom w:val="single" w:color="auto" w:sz="4" w:space="0"/>
              <w:right w:val="single" w:color="auto" w:sz="4" w:space="0"/>
            </w:tcBorders>
            <w:vAlign w:val="center"/>
          </w:tcPr>
          <w:p w14:paraId="2457CF2E">
            <w:pPr>
              <w:pStyle w:val="64"/>
              <w:jc w:val="both"/>
            </w:pPr>
            <w:r>
              <w:t>急性毒性-经口，类别3</w:t>
            </w:r>
            <w:r>
              <w:rPr>
                <w:rFonts w:hint="eastAsia"/>
              </w:rPr>
              <w:t>，</w:t>
            </w:r>
            <w:r>
              <w:t>急性毒性-经皮，类别3</w:t>
            </w:r>
          </w:p>
          <w:p w14:paraId="57B3EDEA">
            <w:pPr>
              <w:pStyle w:val="64"/>
              <w:jc w:val="both"/>
            </w:pPr>
            <w:r>
              <w:t>严重眼损伤/眼刺激，类别2</w:t>
            </w:r>
          </w:p>
          <w:p w14:paraId="2CBB162B">
            <w:pPr>
              <w:pStyle w:val="64"/>
              <w:jc w:val="both"/>
            </w:pPr>
            <w:r>
              <w:t>特异性靶器官毒性-一次接触，类别3(呼吸道刺激)</w:t>
            </w:r>
          </w:p>
          <w:p w14:paraId="204E3DD9">
            <w:pPr>
              <w:pStyle w:val="64"/>
              <w:jc w:val="both"/>
            </w:pPr>
            <w:r>
              <w:t>特异性靶器官毒性-反复接触，类别2</w:t>
            </w:r>
          </w:p>
          <w:p w14:paraId="74A77995">
            <w:pPr>
              <w:pStyle w:val="64"/>
              <w:jc w:val="both"/>
            </w:pPr>
            <w:r>
              <w:t>主要危险性：易燃性，次要危险性：毒性</w:t>
            </w:r>
          </w:p>
        </w:tc>
      </w:tr>
      <w:tr w14:paraId="30755E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83" w:type="pct"/>
            <w:tcBorders>
              <w:top w:val="single" w:color="auto" w:sz="4" w:space="0"/>
              <w:left w:val="single" w:color="auto" w:sz="4" w:space="0"/>
              <w:bottom w:val="single" w:color="auto" w:sz="4" w:space="0"/>
              <w:right w:val="single" w:color="auto" w:sz="4" w:space="0"/>
            </w:tcBorders>
            <w:vAlign w:val="center"/>
          </w:tcPr>
          <w:p w14:paraId="36264BA0">
            <w:pPr>
              <w:pStyle w:val="64"/>
            </w:pPr>
            <w:r>
              <w:rPr>
                <w:rFonts w:hint="eastAsia"/>
              </w:rPr>
              <w:t>3</w:t>
            </w:r>
          </w:p>
        </w:tc>
        <w:tc>
          <w:tcPr>
            <w:tcW w:w="267" w:type="pct"/>
            <w:tcBorders>
              <w:top w:val="single" w:color="auto" w:sz="4" w:space="0"/>
              <w:left w:val="single" w:color="auto" w:sz="4" w:space="0"/>
              <w:bottom w:val="single" w:color="auto" w:sz="4" w:space="0"/>
              <w:right w:val="single" w:color="auto" w:sz="4" w:space="0"/>
            </w:tcBorders>
            <w:vAlign w:val="center"/>
          </w:tcPr>
          <w:p w14:paraId="76301B94">
            <w:pPr>
              <w:pStyle w:val="64"/>
            </w:pPr>
            <w:r>
              <w:rPr>
                <w:rFonts w:hint="eastAsia"/>
              </w:rPr>
              <w:t>间甲酚</w:t>
            </w:r>
          </w:p>
        </w:tc>
        <w:tc>
          <w:tcPr>
            <w:tcW w:w="252" w:type="pct"/>
            <w:tcBorders>
              <w:top w:val="single" w:color="auto" w:sz="4" w:space="0"/>
              <w:left w:val="single" w:color="auto" w:sz="4" w:space="0"/>
              <w:bottom w:val="single" w:color="auto" w:sz="4" w:space="0"/>
              <w:right w:val="single" w:color="auto" w:sz="4" w:space="0"/>
            </w:tcBorders>
            <w:vAlign w:val="center"/>
          </w:tcPr>
          <w:p w14:paraId="2E9EF088">
            <w:pPr>
              <w:pStyle w:val="64"/>
            </w:pPr>
            <w:r>
              <w:rPr>
                <w:rFonts w:hint="eastAsia"/>
              </w:rPr>
              <w:t>1027</w:t>
            </w:r>
          </w:p>
        </w:tc>
        <w:tc>
          <w:tcPr>
            <w:tcW w:w="454" w:type="pct"/>
            <w:tcBorders>
              <w:top w:val="single" w:color="auto" w:sz="4" w:space="0"/>
              <w:left w:val="single" w:color="auto" w:sz="4" w:space="0"/>
              <w:bottom w:val="single" w:color="auto" w:sz="4" w:space="0"/>
              <w:right w:val="single" w:color="auto" w:sz="4" w:space="0"/>
            </w:tcBorders>
            <w:vAlign w:val="center"/>
          </w:tcPr>
          <w:p w14:paraId="227E5D50">
            <w:pPr>
              <w:pStyle w:val="64"/>
            </w:pPr>
            <w:r>
              <w:t>否</w:t>
            </w:r>
          </w:p>
        </w:tc>
        <w:tc>
          <w:tcPr>
            <w:tcW w:w="202" w:type="pct"/>
            <w:tcBorders>
              <w:top w:val="single" w:color="auto" w:sz="4" w:space="0"/>
              <w:left w:val="single" w:color="auto" w:sz="4" w:space="0"/>
              <w:bottom w:val="single" w:color="auto" w:sz="4" w:space="0"/>
              <w:right w:val="single" w:color="auto" w:sz="4" w:space="0"/>
            </w:tcBorders>
            <w:vAlign w:val="center"/>
          </w:tcPr>
          <w:p w14:paraId="64CE799C">
            <w:pPr>
              <w:pStyle w:val="64"/>
            </w:pPr>
            <w:r>
              <w:t>液</w:t>
            </w:r>
          </w:p>
        </w:tc>
        <w:tc>
          <w:tcPr>
            <w:tcW w:w="302" w:type="pct"/>
            <w:tcBorders>
              <w:top w:val="single" w:color="auto" w:sz="4" w:space="0"/>
              <w:left w:val="single" w:color="auto" w:sz="4" w:space="0"/>
              <w:bottom w:val="single" w:color="auto" w:sz="4" w:space="0"/>
              <w:right w:val="single" w:color="auto" w:sz="4" w:space="0"/>
            </w:tcBorders>
            <w:vAlign w:val="center"/>
          </w:tcPr>
          <w:p w14:paraId="601C54AC">
            <w:pPr>
              <w:pStyle w:val="64"/>
            </w:pPr>
            <w:r>
              <w:rPr>
                <w:rFonts w:hint="eastAsia" w:hAnsi="宋体"/>
              </w:rPr>
              <w:t>86</w:t>
            </w:r>
          </w:p>
        </w:tc>
        <w:tc>
          <w:tcPr>
            <w:tcW w:w="319" w:type="pct"/>
            <w:tcBorders>
              <w:top w:val="single" w:color="auto" w:sz="4" w:space="0"/>
              <w:left w:val="single" w:color="auto" w:sz="4" w:space="0"/>
              <w:bottom w:val="single" w:color="auto" w:sz="4" w:space="0"/>
              <w:right w:val="single" w:color="auto" w:sz="4" w:space="0"/>
            </w:tcBorders>
            <w:vAlign w:val="center"/>
          </w:tcPr>
          <w:p w14:paraId="39E9461E">
            <w:pPr>
              <w:pStyle w:val="64"/>
            </w:pPr>
            <w:r>
              <w:rPr>
                <w:rFonts w:hint="eastAsia"/>
              </w:rPr>
              <w:t>1.1</w:t>
            </w:r>
            <w:r>
              <w:t>-</w:t>
            </w:r>
            <w:r>
              <w:rPr>
                <w:rFonts w:hint="eastAsia"/>
              </w:rPr>
              <w:t>1.3</w:t>
            </w:r>
          </w:p>
        </w:tc>
        <w:tc>
          <w:tcPr>
            <w:tcW w:w="349" w:type="pct"/>
            <w:tcBorders>
              <w:top w:val="single" w:color="auto" w:sz="4" w:space="0"/>
              <w:left w:val="single" w:color="auto" w:sz="4" w:space="0"/>
              <w:bottom w:val="single" w:color="auto" w:sz="4" w:space="0"/>
              <w:right w:val="single" w:color="auto" w:sz="4" w:space="0"/>
            </w:tcBorders>
            <w:vAlign w:val="center"/>
          </w:tcPr>
          <w:p w14:paraId="4533BB80">
            <w:pPr>
              <w:pStyle w:val="64"/>
            </w:pPr>
            <w:r>
              <w:rPr>
                <w:rFonts w:hint="eastAsia"/>
              </w:rPr>
              <w:t>242</w:t>
            </w:r>
          </w:p>
        </w:tc>
        <w:tc>
          <w:tcPr>
            <w:tcW w:w="355" w:type="pct"/>
            <w:tcBorders>
              <w:top w:val="single" w:color="auto" w:sz="4" w:space="0"/>
              <w:left w:val="single" w:color="auto" w:sz="4" w:space="0"/>
              <w:bottom w:val="single" w:color="auto" w:sz="4" w:space="0"/>
              <w:right w:val="single" w:color="auto" w:sz="4" w:space="0"/>
            </w:tcBorders>
            <w:vAlign w:val="center"/>
          </w:tcPr>
          <w:p w14:paraId="6CACE5BA">
            <w:pPr>
              <w:pStyle w:val="64"/>
            </w:pPr>
            <w:r>
              <w:rPr>
                <w:rFonts w:hint="eastAsia"/>
              </w:rPr>
              <w:t>无资料</w:t>
            </w:r>
          </w:p>
        </w:tc>
        <w:tc>
          <w:tcPr>
            <w:tcW w:w="304" w:type="pct"/>
            <w:tcBorders>
              <w:top w:val="single" w:color="auto" w:sz="4" w:space="0"/>
              <w:left w:val="single" w:color="auto" w:sz="4" w:space="0"/>
              <w:bottom w:val="single" w:color="auto" w:sz="4" w:space="0"/>
              <w:right w:val="single" w:color="auto" w:sz="4" w:space="0"/>
            </w:tcBorders>
            <w:vAlign w:val="center"/>
          </w:tcPr>
          <w:p w14:paraId="3FF614AB">
            <w:pPr>
              <w:pStyle w:val="64"/>
            </w:pPr>
            <w:r>
              <w:rPr>
                <w:rFonts w:hint="eastAsia"/>
              </w:rPr>
              <w:t>丙</w:t>
            </w:r>
          </w:p>
        </w:tc>
        <w:tc>
          <w:tcPr>
            <w:tcW w:w="2013" w:type="pct"/>
            <w:tcBorders>
              <w:top w:val="single" w:color="auto" w:sz="4" w:space="0"/>
              <w:left w:val="single" w:color="auto" w:sz="4" w:space="0"/>
              <w:bottom w:val="single" w:color="auto" w:sz="4" w:space="0"/>
              <w:right w:val="single" w:color="auto" w:sz="4" w:space="0"/>
            </w:tcBorders>
            <w:vAlign w:val="center"/>
          </w:tcPr>
          <w:p w14:paraId="5E83C6F3">
            <w:pPr>
              <w:pStyle w:val="64"/>
              <w:jc w:val="both"/>
            </w:pPr>
            <w:r>
              <w:t>急性毒性-经口，类别3*</w:t>
            </w:r>
            <w:r>
              <w:rPr>
                <w:rFonts w:hint="eastAsia"/>
              </w:rPr>
              <w:t>，</w:t>
            </w:r>
            <w:r>
              <w:t>急性毒性-经皮，类别3</w:t>
            </w:r>
            <w:r>
              <w:rPr>
                <w:rFonts w:hint="eastAsia"/>
              </w:rPr>
              <w:t>，</w:t>
            </w:r>
            <w:r>
              <w:t>急性毒性-吸入，类别3</w:t>
            </w:r>
          </w:p>
          <w:p w14:paraId="00744886">
            <w:pPr>
              <w:pStyle w:val="64"/>
              <w:jc w:val="both"/>
            </w:pPr>
            <w:r>
              <w:t>特异性靶器官毒性-一次接触，类别3(呼吸道刺激)</w:t>
            </w:r>
          </w:p>
          <w:p w14:paraId="080EF3E8">
            <w:pPr>
              <w:pStyle w:val="64"/>
              <w:jc w:val="both"/>
            </w:pPr>
            <w:r>
              <w:t>危害水生环境-急性危害，类别2</w:t>
            </w:r>
            <w:r>
              <w:rPr>
                <w:rFonts w:hint="eastAsia"/>
              </w:rPr>
              <w:t>，</w:t>
            </w:r>
            <w:r>
              <w:t>危害水生环境-长期危害，类别2</w:t>
            </w:r>
          </w:p>
          <w:p w14:paraId="40AFB9BD">
            <w:pPr>
              <w:pStyle w:val="64"/>
              <w:jc w:val="both"/>
            </w:pPr>
            <w:r>
              <w:t>主要危险性：毒性，次要危险性：</w:t>
            </w:r>
          </w:p>
        </w:tc>
      </w:tr>
      <w:tr w14:paraId="6F3655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83" w:type="pct"/>
            <w:tcBorders>
              <w:top w:val="single" w:color="auto" w:sz="4" w:space="0"/>
              <w:left w:val="single" w:color="auto" w:sz="4" w:space="0"/>
              <w:bottom w:val="single" w:color="auto" w:sz="4" w:space="0"/>
              <w:right w:val="single" w:color="auto" w:sz="4" w:space="0"/>
            </w:tcBorders>
            <w:vAlign w:val="center"/>
          </w:tcPr>
          <w:p w14:paraId="21B012B5">
            <w:pPr>
              <w:pStyle w:val="64"/>
            </w:pPr>
            <w:r>
              <w:rPr>
                <w:rFonts w:hint="eastAsia"/>
              </w:rPr>
              <w:t>4</w:t>
            </w:r>
          </w:p>
        </w:tc>
        <w:tc>
          <w:tcPr>
            <w:tcW w:w="267" w:type="pct"/>
            <w:tcBorders>
              <w:top w:val="single" w:color="auto" w:sz="4" w:space="0"/>
              <w:left w:val="single" w:color="auto" w:sz="4" w:space="0"/>
              <w:bottom w:val="single" w:color="auto" w:sz="4" w:space="0"/>
              <w:right w:val="single" w:color="auto" w:sz="4" w:space="0"/>
            </w:tcBorders>
            <w:vAlign w:val="center"/>
          </w:tcPr>
          <w:p w14:paraId="7ACA75F4">
            <w:pPr>
              <w:pStyle w:val="64"/>
            </w:pPr>
            <w:r>
              <w:rPr>
                <w:rFonts w:hint="eastAsia"/>
              </w:rPr>
              <w:t>对甲酚</w:t>
            </w:r>
          </w:p>
        </w:tc>
        <w:tc>
          <w:tcPr>
            <w:tcW w:w="252" w:type="pct"/>
            <w:tcBorders>
              <w:top w:val="single" w:color="auto" w:sz="4" w:space="0"/>
              <w:left w:val="single" w:color="auto" w:sz="4" w:space="0"/>
              <w:bottom w:val="single" w:color="auto" w:sz="4" w:space="0"/>
              <w:right w:val="single" w:color="auto" w:sz="4" w:space="0"/>
            </w:tcBorders>
            <w:vAlign w:val="center"/>
          </w:tcPr>
          <w:p w14:paraId="441C076E">
            <w:pPr>
              <w:pStyle w:val="64"/>
            </w:pPr>
            <w:r>
              <w:rPr>
                <w:rFonts w:hint="eastAsia"/>
              </w:rPr>
              <w:t>1028</w:t>
            </w:r>
          </w:p>
        </w:tc>
        <w:tc>
          <w:tcPr>
            <w:tcW w:w="454" w:type="pct"/>
            <w:tcBorders>
              <w:top w:val="single" w:color="auto" w:sz="4" w:space="0"/>
              <w:left w:val="single" w:color="auto" w:sz="4" w:space="0"/>
              <w:bottom w:val="single" w:color="auto" w:sz="4" w:space="0"/>
              <w:right w:val="single" w:color="auto" w:sz="4" w:space="0"/>
            </w:tcBorders>
            <w:vAlign w:val="center"/>
          </w:tcPr>
          <w:p w14:paraId="0255CF1F">
            <w:pPr>
              <w:pStyle w:val="64"/>
            </w:pPr>
            <w:r>
              <w:t>否</w:t>
            </w:r>
          </w:p>
        </w:tc>
        <w:tc>
          <w:tcPr>
            <w:tcW w:w="202" w:type="pct"/>
            <w:tcBorders>
              <w:top w:val="single" w:color="auto" w:sz="4" w:space="0"/>
              <w:left w:val="single" w:color="auto" w:sz="4" w:space="0"/>
              <w:bottom w:val="single" w:color="auto" w:sz="4" w:space="0"/>
              <w:right w:val="single" w:color="auto" w:sz="4" w:space="0"/>
            </w:tcBorders>
            <w:vAlign w:val="center"/>
          </w:tcPr>
          <w:p w14:paraId="30F788AB">
            <w:pPr>
              <w:pStyle w:val="64"/>
            </w:pPr>
            <w:r>
              <w:t>液</w:t>
            </w:r>
          </w:p>
        </w:tc>
        <w:tc>
          <w:tcPr>
            <w:tcW w:w="302" w:type="pct"/>
            <w:tcBorders>
              <w:top w:val="single" w:color="auto" w:sz="4" w:space="0"/>
              <w:left w:val="single" w:color="auto" w:sz="4" w:space="0"/>
              <w:bottom w:val="single" w:color="auto" w:sz="4" w:space="0"/>
              <w:right w:val="single" w:color="auto" w:sz="4" w:space="0"/>
            </w:tcBorders>
            <w:vAlign w:val="center"/>
          </w:tcPr>
          <w:p w14:paraId="2342C8A4">
            <w:pPr>
              <w:pStyle w:val="64"/>
            </w:pPr>
            <w:r>
              <w:rPr>
                <w:rFonts w:hint="eastAsia"/>
              </w:rPr>
              <w:t>126.7</w:t>
            </w:r>
          </w:p>
        </w:tc>
        <w:tc>
          <w:tcPr>
            <w:tcW w:w="319" w:type="pct"/>
            <w:tcBorders>
              <w:top w:val="single" w:color="auto" w:sz="4" w:space="0"/>
              <w:left w:val="single" w:color="auto" w:sz="4" w:space="0"/>
              <w:bottom w:val="single" w:color="auto" w:sz="4" w:space="0"/>
              <w:right w:val="single" w:color="auto" w:sz="4" w:space="0"/>
            </w:tcBorders>
            <w:vAlign w:val="center"/>
          </w:tcPr>
          <w:p w14:paraId="5417EEC1">
            <w:pPr>
              <w:pStyle w:val="64"/>
            </w:pPr>
            <w:r>
              <w:t>无资料</w:t>
            </w:r>
          </w:p>
        </w:tc>
        <w:tc>
          <w:tcPr>
            <w:tcW w:w="349" w:type="pct"/>
            <w:tcBorders>
              <w:top w:val="single" w:color="auto" w:sz="4" w:space="0"/>
              <w:left w:val="single" w:color="auto" w:sz="4" w:space="0"/>
              <w:bottom w:val="single" w:color="auto" w:sz="4" w:space="0"/>
              <w:right w:val="single" w:color="auto" w:sz="4" w:space="0"/>
            </w:tcBorders>
            <w:vAlign w:val="center"/>
          </w:tcPr>
          <w:p w14:paraId="352F3E47">
            <w:pPr>
              <w:pStyle w:val="64"/>
            </w:pPr>
            <w:r>
              <w:rPr>
                <w:rFonts w:hint="eastAsia"/>
              </w:rPr>
              <w:t>890</w:t>
            </w:r>
          </w:p>
        </w:tc>
        <w:tc>
          <w:tcPr>
            <w:tcW w:w="355" w:type="pct"/>
            <w:tcBorders>
              <w:top w:val="single" w:color="auto" w:sz="4" w:space="0"/>
              <w:left w:val="single" w:color="auto" w:sz="4" w:space="0"/>
              <w:bottom w:val="single" w:color="auto" w:sz="4" w:space="0"/>
              <w:right w:val="single" w:color="auto" w:sz="4" w:space="0"/>
            </w:tcBorders>
            <w:vAlign w:val="center"/>
          </w:tcPr>
          <w:p w14:paraId="7074ED4D">
            <w:pPr>
              <w:pStyle w:val="64"/>
            </w:pPr>
            <w:r>
              <w:t>无资料</w:t>
            </w:r>
          </w:p>
        </w:tc>
        <w:tc>
          <w:tcPr>
            <w:tcW w:w="304" w:type="pct"/>
            <w:tcBorders>
              <w:top w:val="single" w:color="auto" w:sz="4" w:space="0"/>
              <w:left w:val="single" w:color="auto" w:sz="4" w:space="0"/>
              <w:bottom w:val="single" w:color="auto" w:sz="4" w:space="0"/>
              <w:right w:val="single" w:color="auto" w:sz="4" w:space="0"/>
            </w:tcBorders>
            <w:vAlign w:val="center"/>
          </w:tcPr>
          <w:p w14:paraId="50C09610">
            <w:pPr>
              <w:pStyle w:val="64"/>
            </w:pPr>
            <w:r>
              <w:rPr>
                <w:rFonts w:hint="eastAsia"/>
              </w:rPr>
              <w:t>丙</w:t>
            </w:r>
          </w:p>
        </w:tc>
        <w:tc>
          <w:tcPr>
            <w:tcW w:w="2013" w:type="pct"/>
            <w:tcBorders>
              <w:top w:val="single" w:color="auto" w:sz="4" w:space="0"/>
              <w:left w:val="single" w:color="auto" w:sz="4" w:space="0"/>
              <w:bottom w:val="single" w:color="auto" w:sz="4" w:space="0"/>
              <w:right w:val="single" w:color="auto" w:sz="4" w:space="0"/>
            </w:tcBorders>
            <w:vAlign w:val="center"/>
          </w:tcPr>
          <w:p w14:paraId="0749BDA8">
            <w:pPr>
              <w:pStyle w:val="64"/>
              <w:jc w:val="both"/>
            </w:pPr>
            <w:r>
              <w:t>急性毒性-经口，类别3*</w:t>
            </w:r>
            <w:r>
              <w:rPr>
                <w:rFonts w:hint="eastAsia"/>
              </w:rPr>
              <w:t>，</w:t>
            </w:r>
            <w:r>
              <w:t>急性毒性-经皮，类别3</w:t>
            </w:r>
            <w:r>
              <w:rPr>
                <w:rFonts w:hint="eastAsia"/>
              </w:rPr>
              <w:t>，</w:t>
            </w:r>
            <w:r>
              <w:t>急性毒性-吸入，类别3</w:t>
            </w:r>
          </w:p>
          <w:p w14:paraId="32FD8157">
            <w:pPr>
              <w:pStyle w:val="64"/>
              <w:jc w:val="both"/>
            </w:pPr>
            <w:r>
              <w:t>特异性靶器官毒性-一次接触，类别3(呼吸道刺激)</w:t>
            </w:r>
          </w:p>
          <w:p w14:paraId="4257BFFF">
            <w:pPr>
              <w:pStyle w:val="64"/>
              <w:jc w:val="both"/>
            </w:pPr>
            <w:r>
              <w:t>危害水生环境-急性危害，类别2</w:t>
            </w:r>
            <w:r>
              <w:rPr>
                <w:rFonts w:hint="eastAsia"/>
              </w:rPr>
              <w:t>，</w:t>
            </w:r>
            <w:r>
              <w:t>危害水生环境-长期危害，类别2</w:t>
            </w:r>
          </w:p>
          <w:p w14:paraId="3B6D67DD">
            <w:pPr>
              <w:pStyle w:val="64"/>
              <w:jc w:val="both"/>
            </w:pPr>
            <w:r>
              <w:t>主要危险性：毒性，次要危险性：</w:t>
            </w:r>
          </w:p>
        </w:tc>
      </w:tr>
      <w:tr w14:paraId="76C168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11"/>
            <w:tcBorders>
              <w:top w:val="single" w:color="auto" w:sz="4" w:space="0"/>
              <w:left w:val="single" w:color="auto" w:sz="4" w:space="0"/>
              <w:bottom w:val="single" w:color="auto" w:sz="4" w:space="0"/>
              <w:right w:val="single" w:color="auto" w:sz="4" w:space="0"/>
            </w:tcBorders>
            <w:vAlign w:val="center"/>
          </w:tcPr>
          <w:p w14:paraId="12692C9D">
            <w:pPr>
              <w:pStyle w:val="64"/>
              <w:jc w:val="both"/>
            </w:pPr>
            <w:r>
              <w:t>数据来源于：</w:t>
            </w:r>
          </w:p>
          <w:p w14:paraId="67E13DB4">
            <w:pPr>
              <w:pStyle w:val="64"/>
              <w:jc w:val="both"/>
            </w:pPr>
            <w:r>
              <w:t>1.《危险化学品安全技术全书》(第三版)通用卷(孙万付主编，化学工业出版社，2017)；</w:t>
            </w:r>
          </w:p>
          <w:p w14:paraId="470904D9">
            <w:pPr>
              <w:pStyle w:val="64"/>
              <w:jc w:val="both"/>
            </w:pPr>
            <w:r>
              <w:t>2.《关于印发危险化学品目录(2015版)实施指南(试行)的通知》(安监总厅管三〔2015〕80号)；</w:t>
            </w:r>
          </w:p>
          <w:p w14:paraId="400BC63C">
            <w:pPr>
              <w:pStyle w:val="64"/>
              <w:jc w:val="both"/>
            </w:pPr>
            <w:r>
              <w:t>3.《关于公布首批重点监管的危险化学品名录的通知》(安监总管三〔2011〕95号)；</w:t>
            </w:r>
          </w:p>
          <w:p w14:paraId="1EC0B7A0">
            <w:pPr>
              <w:pStyle w:val="64"/>
              <w:jc w:val="both"/>
            </w:pPr>
            <w:r>
              <w:t>4.《关于公布第二批重点监管危险化学品名录的通知安监总管三〔2013〕12号》(安监总管三〔2013〕12号)；</w:t>
            </w:r>
          </w:p>
          <w:p w14:paraId="62514812">
            <w:pPr>
              <w:pStyle w:val="64"/>
              <w:jc w:val="both"/>
            </w:pPr>
            <w:r>
              <w:t>5.《易制毒化学品管理条例》(国务院令第445号，2016年2月6日实施，根据第666、703号令修改)；</w:t>
            </w:r>
          </w:p>
          <w:p w14:paraId="6346B74C">
            <w:pPr>
              <w:pStyle w:val="64"/>
              <w:jc w:val="both"/>
            </w:pPr>
            <w:r>
              <w:t>6.《易制爆危险化学品名录》(公安部公告，2017年5月11日)；</w:t>
            </w:r>
          </w:p>
          <w:p w14:paraId="2AF2D9DE">
            <w:pPr>
              <w:pStyle w:val="64"/>
              <w:jc w:val="both"/>
            </w:pPr>
            <w:r>
              <w:t>7.《各类监控化学品名录》(国务院令第190号，根据588号令修改)</w:t>
            </w:r>
          </w:p>
          <w:p w14:paraId="419CEBC5">
            <w:pPr>
              <w:pStyle w:val="64"/>
              <w:jc w:val="both"/>
            </w:pPr>
            <w:r>
              <w:t>8.《危险货物品名表》GB12268-2012；</w:t>
            </w:r>
          </w:p>
          <w:p w14:paraId="3C0DC167">
            <w:pPr>
              <w:pStyle w:val="64"/>
              <w:jc w:val="both"/>
            </w:pPr>
            <w:r>
              <w:t>9.《危险货物分类和品名编号》GB6944-2012。</w:t>
            </w:r>
          </w:p>
        </w:tc>
      </w:tr>
    </w:tbl>
    <w:p w14:paraId="74CA6027">
      <w:pPr>
        <w:rPr>
          <w:rFonts w:cs="Times New Roman"/>
          <w:spacing w:val="-3"/>
        </w:rPr>
      </w:pPr>
    </w:p>
    <w:p w14:paraId="12D7BBD2">
      <w:pPr>
        <w:rPr>
          <w:rFonts w:cs="Times New Roman"/>
          <w:spacing w:val="-3"/>
        </w:rPr>
      </w:pPr>
    </w:p>
    <w:p w14:paraId="794D204E">
      <w:pPr>
        <w:rPr>
          <w:rFonts w:cs="Times New Roman"/>
          <w:spacing w:val="-3"/>
        </w:rPr>
      </w:pPr>
    </w:p>
    <w:p w14:paraId="1EDD594F">
      <w:pPr>
        <w:rPr>
          <w:rFonts w:cs="Times New Roman"/>
          <w:spacing w:val="-3"/>
        </w:rPr>
      </w:pPr>
    </w:p>
    <w:p w14:paraId="2CB7E0AD">
      <w:pPr>
        <w:rPr>
          <w:rFonts w:cs="Times New Roman"/>
          <w:spacing w:val="-3"/>
        </w:rPr>
        <w:sectPr>
          <w:pgSz w:w="16838" w:h="11906" w:orient="landscape"/>
          <w:pgMar w:top="1418" w:right="1418" w:bottom="1418" w:left="1418" w:header="851" w:footer="992" w:gutter="0"/>
          <w:cols w:space="425" w:num="1"/>
          <w:docGrid w:type="lines" w:linePitch="326" w:charSpace="0"/>
        </w:sectPr>
      </w:pPr>
    </w:p>
    <w:p w14:paraId="2533106F">
      <w:pPr>
        <w:ind w:firstLine="468" w:firstLineChars="200"/>
        <w:rPr>
          <w:rFonts w:cs="Times New Roman"/>
          <w:spacing w:val="-3"/>
        </w:rPr>
      </w:pPr>
      <w:r>
        <w:rPr>
          <w:rFonts w:hint="eastAsia" w:cs="Times New Roman"/>
          <w:spacing w:val="-3"/>
        </w:rPr>
        <w:t>2、环境敏感目标调查</w:t>
      </w:r>
    </w:p>
    <w:p w14:paraId="330A4605">
      <w:pPr>
        <w:ind w:firstLine="468" w:firstLineChars="200"/>
        <w:rPr>
          <w:rFonts w:cs="Times New Roman"/>
          <w:spacing w:val="-3"/>
        </w:rPr>
      </w:pPr>
      <w:r>
        <w:rPr>
          <w:rFonts w:hint="eastAsia" w:cs="Times New Roman"/>
          <w:spacing w:val="-3"/>
        </w:rPr>
        <w:t>本项目位于安徽蚌埠淮上经济开发区(安徽蚌埠精细化工集聚区)安徽海华科技集团有限公司现有厂区内，环境敏感目标的调查包括大气环境敏感目标，地表水和地下水环境。</w:t>
      </w:r>
    </w:p>
    <w:p w14:paraId="2C2D0389">
      <w:pPr>
        <w:pStyle w:val="28"/>
        <w:rPr>
          <w:rFonts w:hint="eastAsia"/>
        </w:rPr>
      </w:pPr>
      <w:r>
        <w:t>表</w:t>
      </w:r>
      <w:r>
        <w:rPr>
          <w:rFonts w:hint="eastAsia"/>
        </w:rPr>
        <w:t>6</w:t>
      </w:r>
      <w:r>
        <w:t>.</w:t>
      </w:r>
      <w:r>
        <w:rPr>
          <w:rFonts w:hint="eastAsia"/>
        </w:rPr>
        <w:t>8</w:t>
      </w:r>
      <w:r>
        <w:t>-</w:t>
      </w:r>
      <w:r>
        <w:rPr>
          <w:rFonts w:hint="eastAsia"/>
        </w:rPr>
        <w:t>5</w:t>
      </w:r>
      <w:r>
        <w:t xml:space="preserve">  建设项目环境敏感特征表</w:t>
      </w:r>
    </w:p>
    <w:tbl>
      <w:tblPr>
        <w:tblStyle w:val="192"/>
        <w:tblW w:w="9072"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57" w:type="dxa"/>
          <w:bottom w:w="0" w:type="dxa"/>
          <w:right w:w="57" w:type="dxa"/>
        </w:tblCellMar>
      </w:tblPr>
      <w:tblGrid>
        <w:gridCol w:w="936"/>
        <w:gridCol w:w="869"/>
        <w:gridCol w:w="1597"/>
        <w:gridCol w:w="1083"/>
        <w:gridCol w:w="530"/>
        <w:gridCol w:w="959"/>
        <w:gridCol w:w="392"/>
        <w:gridCol w:w="884"/>
        <w:gridCol w:w="149"/>
        <w:gridCol w:w="323"/>
        <w:gridCol w:w="1350"/>
      </w:tblGrid>
      <w:tr w14:paraId="5B1C66B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936" w:type="dxa"/>
            <w:tcBorders>
              <w:top w:val="single" w:color="auto" w:sz="4" w:space="0"/>
              <w:left w:val="single" w:color="auto" w:sz="4" w:space="0"/>
              <w:bottom w:val="single" w:color="auto" w:sz="4" w:space="0"/>
              <w:right w:val="single" w:color="auto" w:sz="4" w:space="0"/>
            </w:tcBorders>
            <w:vAlign w:val="center"/>
          </w:tcPr>
          <w:p w14:paraId="55ED70D1">
            <w:pPr>
              <w:pStyle w:val="64"/>
              <w:adjustRightInd w:val="0"/>
              <w:snapToGrid w:val="0"/>
              <w:rPr>
                <w:szCs w:val="22"/>
                <w:lang w:bidi="zh-CN"/>
                <w14:ligatures w14:val="none"/>
              </w:rPr>
            </w:pPr>
            <w:r>
              <w:rPr>
                <w:szCs w:val="22"/>
                <w:lang w:bidi="zh-CN"/>
                <w14:ligatures w14:val="none"/>
              </w:rPr>
              <w:t>类别</w:t>
            </w:r>
          </w:p>
        </w:tc>
        <w:tc>
          <w:tcPr>
            <w:tcW w:w="8136" w:type="dxa"/>
            <w:gridSpan w:val="10"/>
            <w:tcBorders>
              <w:top w:val="single" w:color="auto" w:sz="4" w:space="0"/>
              <w:left w:val="single" w:color="auto" w:sz="4" w:space="0"/>
              <w:bottom w:val="single" w:color="auto" w:sz="4" w:space="0"/>
              <w:right w:val="single" w:color="auto" w:sz="4" w:space="0"/>
            </w:tcBorders>
            <w:vAlign w:val="center"/>
          </w:tcPr>
          <w:p w14:paraId="110DD7CC">
            <w:pPr>
              <w:pStyle w:val="64"/>
              <w:adjustRightInd w:val="0"/>
              <w:snapToGrid w:val="0"/>
              <w:rPr>
                <w:szCs w:val="22"/>
                <w:lang w:bidi="zh-CN"/>
                <w14:ligatures w14:val="none"/>
              </w:rPr>
            </w:pPr>
            <w:r>
              <w:rPr>
                <w:szCs w:val="22"/>
                <w:lang w:bidi="zh-CN"/>
                <w14:ligatures w14:val="none"/>
              </w:rPr>
              <w:t>环境敏感特征</w:t>
            </w:r>
          </w:p>
        </w:tc>
      </w:tr>
      <w:tr w14:paraId="7B43FF3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936" w:type="dxa"/>
            <w:vMerge w:val="restart"/>
            <w:tcBorders>
              <w:top w:val="single" w:color="auto" w:sz="4" w:space="0"/>
              <w:left w:val="single" w:color="auto" w:sz="4" w:space="0"/>
              <w:bottom w:val="single" w:color="auto" w:sz="4" w:space="0"/>
              <w:right w:val="single" w:color="auto" w:sz="4" w:space="0"/>
            </w:tcBorders>
            <w:vAlign w:val="center"/>
          </w:tcPr>
          <w:p w14:paraId="6B9DE18F">
            <w:pPr>
              <w:pStyle w:val="64"/>
              <w:adjustRightInd w:val="0"/>
              <w:snapToGrid w:val="0"/>
              <w:rPr>
                <w:szCs w:val="22"/>
                <w:lang w:bidi="zh-CN"/>
                <w14:ligatures w14:val="none"/>
              </w:rPr>
            </w:pPr>
            <w:r>
              <w:rPr>
                <w:szCs w:val="22"/>
                <w:lang w:bidi="zh-CN"/>
                <w14:ligatures w14:val="none"/>
              </w:rPr>
              <w:t>环境空气</w:t>
            </w:r>
          </w:p>
        </w:tc>
        <w:tc>
          <w:tcPr>
            <w:tcW w:w="8136" w:type="dxa"/>
            <w:gridSpan w:val="10"/>
            <w:tcBorders>
              <w:top w:val="single" w:color="auto" w:sz="4" w:space="0"/>
              <w:left w:val="single" w:color="auto" w:sz="4" w:space="0"/>
              <w:bottom w:val="single" w:color="auto" w:sz="4" w:space="0"/>
              <w:right w:val="single" w:color="auto" w:sz="4" w:space="0"/>
            </w:tcBorders>
            <w:vAlign w:val="center"/>
          </w:tcPr>
          <w:p w14:paraId="22E30BAF">
            <w:pPr>
              <w:pStyle w:val="64"/>
              <w:adjustRightInd w:val="0"/>
              <w:snapToGrid w:val="0"/>
              <w:rPr>
                <w:szCs w:val="22"/>
                <w:lang w:bidi="zh-CN"/>
                <w14:ligatures w14:val="none"/>
              </w:rPr>
            </w:pPr>
            <w:r>
              <w:rPr>
                <w:szCs w:val="22"/>
                <w:lang w:bidi="zh-CN"/>
                <w14:ligatures w14:val="none"/>
              </w:rPr>
              <w:t>厂址周边5km范围内</w:t>
            </w:r>
          </w:p>
        </w:tc>
      </w:tr>
      <w:tr w14:paraId="01E7C01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936" w:type="dxa"/>
            <w:vMerge w:val="continue"/>
            <w:tcBorders>
              <w:top w:val="single" w:color="auto" w:sz="4" w:space="0"/>
              <w:left w:val="single" w:color="auto" w:sz="4" w:space="0"/>
              <w:bottom w:val="single" w:color="auto" w:sz="4" w:space="0"/>
              <w:right w:val="single" w:color="auto" w:sz="4" w:space="0"/>
            </w:tcBorders>
            <w:vAlign w:val="center"/>
          </w:tcPr>
          <w:p w14:paraId="7AA35F49">
            <w:pPr>
              <w:pStyle w:val="64"/>
              <w:adjustRightInd w:val="0"/>
              <w:snapToGrid w:val="0"/>
              <w:rPr>
                <w:szCs w:val="22"/>
                <w:lang w:bidi="zh-CN"/>
                <w14:ligatures w14:val="none"/>
              </w:rPr>
            </w:pPr>
          </w:p>
        </w:tc>
        <w:tc>
          <w:tcPr>
            <w:tcW w:w="869" w:type="dxa"/>
            <w:tcBorders>
              <w:top w:val="single" w:color="auto" w:sz="4" w:space="0"/>
              <w:left w:val="single" w:color="auto" w:sz="4" w:space="0"/>
              <w:bottom w:val="single" w:color="auto" w:sz="4" w:space="0"/>
              <w:right w:val="single" w:color="auto" w:sz="4" w:space="0"/>
            </w:tcBorders>
            <w:vAlign w:val="center"/>
          </w:tcPr>
          <w:p w14:paraId="688B603D">
            <w:pPr>
              <w:pStyle w:val="64"/>
              <w:adjustRightInd w:val="0"/>
              <w:snapToGrid w:val="0"/>
              <w:rPr>
                <w:szCs w:val="22"/>
                <w:lang w:bidi="zh-CN"/>
                <w14:ligatures w14:val="none"/>
              </w:rPr>
            </w:pPr>
            <w:r>
              <w:rPr>
                <w:szCs w:val="22"/>
                <w:lang w:bidi="zh-CN"/>
                <w14:ligatures w14:val="none"/>
              </w:rPr>
              <w:t>序号</w:t>
            </w:r>
          </w:p>
        </w:tc>
        <w:tc>
          <w:tcPr>
            <w:tcW w:w="1597" w:type="dxa"/>
            <w:tcBorders>
              <w:top w:val="single" w:color="auto" w:sz="4" w:space="0"/>
              <w:left w:val="single" w:color="auto" w:sz="4" w:space="0"/>
              <w:bottom w:val="single" w:color="auto" w:sz="4" w:space="0"/>
              <w:right w:val="single" w:color="auto" w:sz="4" w:space="0"/>
            </w:tcBorders>
            <w:vAlign w:val="center"/>
          </w:tcPr>
          <w:p w14:paraId="45F7F394">
            <w:pPr>
              <w:pStyle w:val="64"/>
              <w:adjustRightInd w:val="0"/>
              <w:snapToGrid w:val="0"/>
              <w:rPr>
                <w:szCs w:val="22"/>
                <w:lang w:bidi="zh-CN"/>
                <w14:ligatures w14:val="none"/>
              </w:rPr>
            </w:pPr>
            <w:r>
              <w:rPr>
                <w:szCs w:val="22"/>
                <w:lang w:bidi="zh-CN"/>
                <w14:ligatures w14:val="none"/>
              </w:rPr>
              <w:t>敏感目标名称</w:t>
            </w:r>
          </w:p>
        </w:tc>
        <w:tc>
          <w:tcPr>
            <w:tcW w:w="1083" w:type="dxa"/>
            <w:tcBorders>
              <w:top w:val="single" w:color="auto" w:sz="4" w:space="0"/>
              <w:left w:val="single" w:color="auto" w:sz="4" w:space="0"/>
              <w:bottom w:val="single" w:color="auto" w:sz="4" w:space="0"/>
              <w:right w:val="single" w:color="auto" w:sz="4" w:space="0"/>
            </w:tcBorders>
            <w:vAlign w:val="center"/>
          </w:tcPr>
          <w:p w14:paraId="5448526D">
            <w:pPr>
              <w:pStyle w:val="64"/>
              <w:adjustRightInd w:val="0"/>
              <w:snapToGrid w:val="0"/>
              <w:rPr>
                <w:szCs w:val="22"/>
                <w:lang w:bidi="zh-CN"/>
                <w14:ligatures w14:val="none"/>
              </w:rPr>
            </w:pPr>
            <w:r>
              <w:rPr>
                <w:szCs w:val="22"/>
                <w:lang w:bidi="zh-CN"/>
                <w14:ligatures w14:val="none"/>
              </w:rPr>
              <w:t>相对方位</w:t>
            </w:r>
          </w:p>
        </w:tc>
        <w:tc>
          <w:tcPr>
            <w:tcW w:w="1489" w:type="dxa"/>
            <w:gridSpan w:val="2"/>
            <w:tcBorders>
              <w:top w:val="single" w:color="auto" w:sz="4" w:space="0"/>
              <w:left w:val="single" w:color="auto" w:sz="4" w:space="0"/>
              <w:bottom w:val="single" w:color="auto" w:sz="4" w:space="0"/>
              <w:right w:val="single" w:color="auto" w:sz="4" w:space="0"/>
            </w:tcBorders>
            <w:vAlign w:val="center"/>
          </w:tcPr>
          <w:p w14:paraId="758EFB62">
            <w:pPr>
              <w:pStyle w:val="64"/>
              <w:adjustRightInd w:val="0"/>
              <w:snapToGrid w:val="0"/>
              <w:rPr>
                <w:szCs w:val="22"/>
                <w:lang w:bidi="zh-CN"/>
                <w14:ligatures w14:val="none"/>
              </w:rPr>
            </w:pPr>
            <w:r>
              <w:rPr>
                <w:szCs w:val="22"/>
                <w:lang w:bidi="zh-CN"/>
                <w14:ligatures w14:val="none"/>
              </w:rPr>
              <w:t>距离/m</w:t>
            </w:r>
          </w:p>
        </w:tc>
        <w:tc>
          <w:tcPr>
            <w:tcW w:w="1425" w:type="dxa"/>
            <w:gridSpan w:val="3"/>
            <w:tcBorders>
              <w:top w:val="single" w:color="auto" w:sz="4" w:space="0"/>
              <w:left w:val="single" w:color="auto" w:sz="4" w:space="0"/>
              <w:bottom w:val="single" w:color="auto" w:sz="4" w:space="0"/>
              <w:right w:val="single" w:color="auto" w:sz="4" w:space="0"/>
            </w:tcBorders>
            <w:vAlign w:val="center"/>
          </w:tcPr>
          <w:p w14:paraId="094ECC00">
            <w:pPr>
              <w:pStyle w:val="64"/>
              <w:adjustRightInd w:val="0"/>
              <w:snapToGrid w:val="0"/>
              <w:rPr>
                <w:szCs w:val="22"/>
                <w:lang w:bidi="zh-CN"/>
                <w14:ligatures w14:val="none"/>
              </w:rPr>
            </w:pPr>
            <w:r>
              <w:rPr>
                <w:szCs w:val="22"/>
                <w:lang w:bidi="zh-CN"/>
                <w14:ligatures w14:val="none"/>
              </w:rPr>
              <w:t>属性</w:t>
            </w:r>
          </w:p>
        </w:tc>
        <w:tc>
          <w:tcPr>
            <w:tcW w:w="1673" w:type="dxa"/>
            <w:gridSpan w:val="2"/>
            <w:tcBorders>
              <w:top w:val="single" w:color="auto" w:sz="4" w:space="0"/>
              <w:left w:val="single" w:color="auto" w:sz="4" w:space="0"/>
              <w:bottom w:val="single" w:color="auto" w:sz="4" w:space="0"/>
              <w:right w:val="single" w:color="auto" w:sz="4" w:space="0"/>
            </w:tcBorders>
            <w:vAlign w:val="center"/>
          </w:tcPr>
          <w:p w14:paraId="2EF4D6F8">
            <w:pPr>
              <w:pStyle w:val="64"/>
              <w:adjustRightInd w:val="0"/>
              <w:snapToGrid w:val="0"/>
              <w:rPr>
                <w:szCs w:val="22"/>
                <w:lang w:bidi="zh-CN"/>
                <w14:ligatures w14:val="none"/>
              </w:rPr>
            </w:pPr>
            <w:r>
              <w:rPr>
                <w:szCs w:val="22"/>
                <w:lang w:bidi="zh-CN"/>
                <w14:ligatures w14:val="none"/>
              </w:rPr>
              <w:t>人口数(人)</w:t>
            </w:r>
          </w:p>
        </w:tc>
      </w:tr>
      <w:tr w14:paraId="7B170EE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936" w:type="dxa"/>
            <w:vMerge w:val="continue"/>
            <w:tcBorders>
              <w:top w:val="single" w:color="auto" w:sz="4" w:space="0"/>
              <w:left w:val="single" w:color="auto" w:sz="4" w:space="0"/>
              <w:bottom w:val="single" w:color="auto" w:sz="4" w:space="0"/>
              <w:right w:val="single" w:color="auto" w:sz="4" w:space="0"/>
            </w:tcBorders>
            <w:vAlign w:val="center"/>
          </w:tcPr>
          <w:p w14:paraId="32BFE2BB">
            <w:pPr>
              <w:pStyle w:val="64"/>
              <w:adjustRightInd w:val="0"/>
              <w:snapToGrid w:val="0"/>
              <w:rPr>
                <w:szCs w:val="22"/>
                <w:lang w:bidi="zh-CN"/>
                <w14:ligatures w14:val="none"/>
              </w:rPr>
            </w:pPr>
          </w:p>
        </w:tc>
        <w:tc>
          <w:tcPr>
            <w:tcW w:w="869" w:type="dxa"/>
            <w:tcBorders>
              <w:top w:val="single" w:color="auto" w:sz="4" w:space="0"/>
              <w:left w:val="single" w:color="auto" w:sz="4" w:space="0"/>
              <w:bottom w:val="single" w:color="auto" w:sz="4" w:space="0"/>
              <w:right w:val="single" w:color="auto" w:sz="4" w:space="0"/>
            </w:tcBorders>
            <w:vAlign w:val="center"/>
          </w:tcPr>
          <w:p w14:paraId="0669ED44">
            <w:pPr>
              <w:pStyle w:val="64"/>
              <w:adjustRightInd w:val="0"/>
              <w:snapToGrid w:val="0"/>
              <w:rPr>
                <w:szCs w:val="22"/>
                <w:lang w:bidi="zh-CN"/>
                <w14:ligatures w14:val="none"/>
              </w:rPr>
            </w:pPr>
            <w:r>
              <w:rPr>
                <w:szCs w:val="22"/>
                <w:lang w:bidi="zh-CN"/>
                <w14:ligatures w14:val="none"/>
              </w:rPr>
              <w:t>1</w:t>
            </w:r>
          </w:p>
        </w:tc>
        <w:tc>
          <w:tcPr>
            <w:tcW w:w="1597" w:type="dxa"/>
            <w:tcBorders>
              <w:top w:val="single" w:color="auto" w:sz="4" w:space="0"/>
              <w:left w:val="single" w:color="auto" w:sz="4" w:space="0"/>
              <w:bottom w:val="single" w:color="auto" w:sz="4" w:space="0"/>
              <w:right w:val="single" w:color="auto" w:sz="4" w:space="0"/>
            </w:tcBorders>
            <w:vAlign w:val="center"/>
          </w:tcPr>
          <w:p w14:paraId="28BFFF34">
            <w:pPr>
              <w:pStyle w:val="64"/>
              <w:adjustRightInd w:val="0"/>
              <w:snapToGrid w:val="0"/>
              <w:rPr>
                <w:szCs w:val="22"/>
                <w:lang w:bidi="zh-CN"/>
                <w14:ligatures w14:val="none"/>
              </w:rPr>
            </w:pPr>
            <w:r>
              <w:rPr>
                <w:szCs w:val="22"/>
                <w:lang w:bidi="zh-CN"/>
                <w14:ligatures w14:val="none"/>
              </w:rPr>
              <w:t>前刘</w:t>
            </w:r>
          </w:p>
        </w:tc>
        <w:tc>
          <w:tcPr>
            <w:tcW w:w="1083" w:type="dxa"/>
            <w:tcBorders>
              <w:top w:val="single" w:color="auto" w:sz="4" w:space="0"/>
              <w:left w:val="single" w:color="auto" w:sz="4" w:space="0"/>
              <w:bottom w:val="single" w:color="auto" w:sz="4" w:space="0"/>
              <w:right w:val="single" w:color="auto" w:sz="4" w:space="0"/>
            </w:tcBorders>
            <w:vAlign w:val="center"/>
          </w:tcPr>
          <w:p w14:paraId="68AE3BE4">
            <w:pPr>
              <w:pStyle w:val="64"/>
              <w:adjustRightInd w:val="0"/>
              <w:snapToGrid w:val="0"/>
              <w:rPr>
                <w:szCs w:val="22"/>
                <w:lang w:bidi="zh-CN"/>
                <w14:ligatures w14:val="none"/>
              </w:rPr>
            </w:pPr>
            <w:r>
              <w:rPr>
                <w:szCs w:val="22"/>
                <w:lang w:bidi="zh-CN"/>
                <w14:ligatures w14:val="none"/>
              </w:rPr>
              <w:t>N</w:t>
            </w:r>
          </w:p>
        </w:tc>
        <w:tc>
          <w:tcPr>
            <w:tcW w:w="1489" w:type="dxa"/>
            <w:gridSpan w:val="2"/>
            <w:tcBorders>
              <w:top w:val="single" w:color="auto" w:sz="4" w:space="0"/>
              <w:left w:val="single" w:color="auto" w:sz="4" w:space="0"/>
              <w:bottom w:val="single" w:color="auto" w:sz="4" w:space="0"/>
              <w:right w:val="single" w:color="auto" w:sz="4" w:space="0"/>
            </w:tcBorders>
            <w:vAlign w:val="center"/>
          </w:tcPr>
          <w:p w14:paraId="7F3C7709">
            <w:pPr>
              <w:pStyle w:val="64"/>
              <w:adjustRightInd w:val="0"/>
              <w:snapToGrid w:val="0"/>
              <w:rPr>
                <w:szCs w:val="22"/>
                <w:lang w:bidi="zh-CN"/>
                <w14:ligatures w14:val="none"/>
              </w:rPr>
            </w:pPr>
            <w:r>
              <w:rPr>
                <w:szCs w:val="22"/>
                <w:lang w:bidi="zh-CN"/>
                <w14:ligatures w14:val="none"/>
              </w:rPr>
              <w:t>4470</w:t>
            </w:r>
          </w:p>
        </w:tc>
        <w:tc>
          <w:tcPr>
            <w:tcW w:w="1425" w:type="dxa"/>
            <w:gridSpan w:val="3"/>
            <w:tcBorders>
              <w:top w:val="single" w:color="auto" w:sz="4" w:space="0"/>
              <w:left w:val="single" w:color="auto" w:sz="4" w:space="0"/>
              <w:bottom w:val="single" w:color="auto" w:sz="4" w:space="0"/>
              <w:right w:val="single" w:color="auto" w:sz="4" w:space="0"/>
            </w:tcBorders>
            <w:vAlign w:val="center"/>
          </w:tcPr>
          <w:p w14:paraId="4DAF92F9">
            <w:pPr>
              <w:pStyle w:val="64"/>
              <w:adjustRightInd w:val="0"/>
              <w:snapToGrid w:val="0"/>
              <w:rPr>
                <w:szCs w:val="22"/>
                <w:lang w:bidi="zh-CN"/>
                <w14:ligatures w14:val="none"/>
              </w:rPr>
            </w:pPr>
            <w:r>
              <w:rPr>
                <w:szCs w:val="22"/>
                <w:lang w:bidi="zh-CN"/>
                <w14:ligatures w14:val="none"/>
              </w:rPr>
              <w:t>居民点</w:t>
            </w:r>
          </w:p>
        </w:tc>
        <w:tc>
          <w:tcPr>
            <w:tcW w:w="1673" w:type="dxa"/>
            <w:gridSpan w:val="2"/>
            <w:tcBorders>
              <w:top w:val="single" w:color="auto" w:sz="4" w:space="0"/>
              <w:left w:val="single" w:color="auto" w:sz="4" w:space="0"/>
              <w:bottom w:val="single" w:color="auto" w:sz="4" w:space="0"/>
              <w:right w:val="single" w:color="auto" w:sz="4" w:space="0"/>
            </w:tcBorders>
            <w:vAlign w:val="center"/>
          </w:tcPr>
          <w:p w14:paraId="63A63A4A">
            <w:pPr>
              <w:pStyle w:val="64"/>
              <w:adjustRightInd w:val="0"/>
              <w:snapToGrid w:val="0"/>
              <w:rPr>
                <w:szCs w:val="22"/>
                <w:lang w:bidi="zh-CN"/>
                <w14:ligatures w14:val="none"/>
              </w:rPr>
            </w:pPr>
            <w:r>
              <w:rPr>
                <w:szCs w:val="22"/>
                <w:lang w:bidi="zh-CN"/>
                <w14:ligatures w14:val="none"/>
              </w:rPr>
              <w:t>120</w:t>
            </w:r>
          </w:p>
        </w:tc>
      </w:tr>
      <w:tr w14:paraId="195BA3F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936" w:type="dxa"/>
            <w:vMerge w:val="continue"/>
            <w:tcBorders>
              <w:top w:val="single" w:color="auto" w:sz="4" w:space="0"/>
              <w:left w:val="single" w:color="auto" w:sz="4" w:space="0"/>
              <w:bottom w:val="single" w:color="auto" w:sz="4" w:space="0"/>
              <w:right w:val="single" w:color="auto" w:sz="4" w:space="0"/>
            </w:tcBorders>
            <w:vAlign w:val="center"/>
          </w:tcPr>
          <w:p w14:paraId="3EA4CFCD">
            <w:pPr>
              <w:pStyle w:val="64"/>
              <w:adjustRightInd w:val="0"/>
              <w:snapToGrid w:val="0"/>
              <w:rPr>
                <w:szCs w:val="22"/>
                <w:lang w:bidi="zh-CN"/>
                <w14:ligatures w14:val="none"/>
              </w:rPr>
            </w:pPr>
          </w:p>
        </w:tc>
        <w:tc>
          <w:tcPr>
            <w:tcW w:w="869" w:type="dxa"/>
            <w:tcBorders>
              <w:top w:val="single" w:color="auto" w:sz="4" w:space="0"/>
              <w:left w:val="single" w:color="auto" w:sz="4" w:space="0"/>
              <w:bottom w:val="single" w:color="auto" w:sz="4" w:space="0"/>
              <w:right w:val="single" w:color="auto" w:sz="4" w:space="0"/>
            </w:tcBorders>
            <w:vAlign w:val="center"/>
          </w:tcPr>
          <w:p w14:paraId="53C4B161">
            <w:pPr>
              <w:pStyle w:val="64"/>
              <w:adjustRightInd w:val="0"/>
              <w:snapToGrid w:val="0"/>
              <w:rPr>
                <w:szCs w:val="22"/>
                <w:lang w:bidi="zh-CN"/>
                <w14:ligatures w14:val="none"/>
              </w:rPr>
            </w:pPr>
            <w:r>
              <w:rPr>
                <w:szCs w:val="22"/>
                <w:lang w:bidi="zh-CN"/>
                <w14:ligatures w14:val="none"/>
              </w:rPr>
              <w:t>2</w:t>
            </w:r>
          </w:p>
        </w:tc>
        <w:tc>
          <w:tcPr>
            <w:tcW w:w="1597" w:type="dxa"/>
            <w:tcBorders>
              <w:top w:val="single" w:color="auto" w:sz="4" w:space="0"/>
              <w:left w:val="single" w:color="auto" w:sz="4" w:space="0"/>
              <w:bottom w:val="single" w:color="auto" w:sz="4" w:space="0"/>
              <w:right w:val="single" w:color="auto" w:sz="4" w:space="0"/>
            </w:tcBorders>
            <w:vAlign w:val="center"/>
          </w:tcPr>
          <w:p w14:paraId="3BD5C223">
            <w:pPr>
              <w:pStyle w:val="64"/>
              <w:adjustRightInd w:val="0"/>
              <w:snapToGrid w:val="0"/>
              <w:rPr>
                <w:szCs w:val="22"/>
                <w:lang w:bidi="zh-CN"/>
                <w14:ligatures w14:val="none"/>
              </w:rPr>
            </w:pPr>
            <w:r>
              <w:rPr>
                <w:szCs w:val="22"/>
                <w:lang w:bidi="zh-CN"/>
                <w14:ligatures w14:val="none"/>
              </w:rPr>
              <w:t>邢家</w:t>
            </w:r>
          </w:p>
        </w:tc>
        <w:tc>
          <w:tcPr>
            <w:tcW w:w="1083" w:type="dxa"/>
            <w:tcBorders>
              <w:top w:val="single" w:color="auto" w:sz="4" w:space="0"/>
              <w:left w:val="single" w:color="auto" w:sz="4" w:space="0"/>
              <w:bottom w:val="single" w:color="auto" w:sz="4" w:space="0"/>
              <w:right w:val="single" w:color="auto" w:sz="4" w:space="0"/>
            </w:tcBorders>
            <w:vAlign w:val="center"/>
          </w:tcPr>
          <w:p w14:paraId="128581C6">
            <w:pPr>
              <w:pStyle w:val="64"/>
              <w:adjustRightInd w:val="0"/>
              <w:snapToGrid w:val="0"/>
              <w:rPr>
                <w:szCs w:val="22"/>
                <w:lang w:bidi="zh-CN"/>
                <w14:ligatures w14:val="none"/>
              </w:rPr>
            </w:pPr>
            <w:r>
              <w:rPr>
                <w:szCs w:val="22"/>
                <w:lang w:bidi="zh-CN"/>
                <w14:ligatures w14:val="none"/>
              </w:rPr>
              <w:t>N</w:t>
            </w:r>
          </w:p>
        </w:tc>
        <w:tc>
          <w:tcPr>
            <w:tcW w:w="1489" w:type="dxa"/>
            <w:gridSpan w:val="2"/>
            <w:tcBorders>
              <w:top w:val="single" w:color="auto" w:sz="4" w:space="0"/>
              <w:left w:val="single" w:color="auto" w:sz="4" w:space="0"/>
              <w:bottom w:val="single" w:color="auto" w:sz="4" w:space="0"/>
              <w:right w:val="single" w:color="auto" w:sz="4" w:space="0"/>
            </w:tcBorders>
            <w:vAlign w:val="center"/>
          </w:tcPr>
          <w:p w14:paraId="26D0403B">
            <w:pPr>
              <w:pStyle w:val="64"/>
              <w:adjustRightInd w:val="0"/>
              <w:snapToGrid w:val="0"/>
              <w:rPr>
                <w:szCs w:val="22"/>
                <w:lang w:bidi="zh-CN"/>
                <w14:ligatures w14:val="none"/>
              </w:rPr>
            </w:pPr>
            <w:r>
              <w:rPr>
                <w:szCs w:val="22"/>
                <w:lang w:bidi="zh-CN"/>
                <w14:ligatures w14:val="none"/>
              </w:rPr>
              <w:t>3574</w:t>
            </w:r>
          </w:p>
        </w:tc>
        <w:tc>
          <w:tcPr>
            <w:tcW w:w="1425" w:type="dxa"/>
            <w:gridSpan w:val="3"/>
            <w:tcBorders>
              <w:top w:val="single" w:color="auto" w:sz="4" w:space="0"/>
              <w:left w:val="single" w:color="auto" w:sz="4" w:space="0"/>
              <w:bottom w:val="single" w:color="auto" w:sz="4" w:space="0"/>
              <w:right w:val="single" w:color="auto" w:sz="4" w:space="0"/>
            </w:tcBorders>
            <w:vAlign w:val="center"/>
          </w:tcPr>
          <w:p w14:paraId="1E3CCCDC">
            <w:pPr>
              <w:pStyle w:val="64"/>
              <w:adjustRightInd w:val="0"/>
              <w:snapToGrid w:val="0"/>
              <w:rPr>
                <w:szCs w:val="22"/>
                <w:lang w:bidi="zh-CN"/>
                <w14:ligatures w14:val="none"/>
              </w:rPr>
            </w:pPr>
            <w:r>
              <w:rPr>
                <w:szCs w:val="22"/>
                <w:lang w:bidi="zh-CN"/>
                <w14:ligatures w14:val="none"/>
              </w:rPr>
              <w:t>居民点</w:t>
            </w:r>
          </w:p>
        </w:tc>
        <w:tc>
          <w:tcPr>
            <w:tcW w:w="1673" w:type="dxa"/>
            <w:gridSpan w:val="2"/>
            <w:tcBorders>
              <w:top w:val="single" w:color="auto" w:sz="4" w:space="0"/>
              <w:left w:val="single" w:color="auto" w:sz="4" w:space="0"/>
              <w:bottom w:val="single" w:color="auto" w:sz="4" w:space="0"/>
              <w:right w:val="single" w:color="auto" w:sz="4" w:space="0"/>
            </w:tcBorders>
            <w:vAlign w:val="center"/>
          </w:tcPr>
          <w:p w14:paraId="1D8BDAF5">
            <w:pPr>
              <w:pStyle w:val="64"/>
              <w:adjustRightInd w:val="0"/>
              <w:snapToGrid w:val="0"/>
              <w:rPr>
                <w:szCs w:val="22"/>
                <w:lang w:bidi="zh-CN"/>
                <w14:ligatures w14:val="none"/>
              </w:rPr>
            </w:pPr>
            <w:r>
              <w:rPr>
                <w:szCs w:val="22"/>
                <w:lang w:bidi="zh-CN"/>
                <w14:ligatures w14:val="none"/>
              </w:rPr>
              <w:t>860</w:t>
            </w:r>
          </w:p>
        </w:tc>
      </w:tr>
      <w:tr w14:paraId="4528BC4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936" w:type="dxa"/>
            <w:vMerge w:val="continue"/>
            <w:tcBorders>
              <w:top w:val="single" w:color="auto" w:sz="4" w:space="0"/>
              <w:left w:val="single" w:color="auto" w:sz="4" w:space="0"/>
              <w:bottom w:val="single" w:color="auto" w:sz="4" w:space="0"/>
              <w:right w:val="single" w:color="auto" w:sz="4" w:space="0"/>
            </w:tcBorders>
            <w:vAlign w:val="center"/>
          </w:tcPr>
          <w:p w14:paraId="6BAE5F6C">
            <w:pPr>
              <w:pStyle w:val="64"/>
              <w:adjustRightInd w:val="0"/>
              <w:snapToGrid w:val="0"/>
              <w:rPr>
                <w:szCs w:val="22"/>
                <w:lang w:bidi="zh-CN"/>
                <w14:ligatures w14:val="none"/>
              </w:rPr>
            </w:pPr>
          </w:p>
        </w:tc>
        <w:tc>
          <w:tcPr>
            <w:tcW w:w="869" w:type="dxa"/>
            <w:tcBorders>
              <w:top w:val="single" w:color="auto" w:sz="4" w:space="0"/>
              <w:left w:val="single" w:color="auto" w:sz="4" w:space="0"/>
              <w:bottom w:val="single" w:color="auto" w:sz="4" w:space="0"/>
              <w:right w:val="single" w:color="auto" w:sz="4" w:space="0"/>
            </w:tcBorders>
            <w:vAlign w:val="center"/>
          </w:tcPr>
          <w:p w14:paraId="1B8F9584">
            <w:pPr>
              <w:pStyle w:val="64"/>
              <w:adjustRightInd w:val="0"/>
              <w:snapToGrid w:val="0"/>
              <w:rPr>
                <w:szCs w:val="22"/>
                <w:lang w:bidi="zh-CN"/>
                <w14:ligatures w14:val="none"/>
              </w:rPr>
            </w:pPr>
            <w:r>
              <w:rPr>
                <w:szCs w:val="22"/>
                <w:lang w:bidi="zh-CN"/>
                <w14:ligatures w14:val="none"/>
              </w:rPr>
              <w:t>3</w:t>
            </w:r>
          </w:p>
        </w:tc>
        <w:tc>
          <w:tcPr>
            <w:tcW w:w="1597" w:type="dxa"/>
            <w:tcBorders>
              <w:top w:val="single" w:color="auto" w:sz="4" w:space="0"/>
              <w:left w:val="single" w:color="auto" w:sz="4" w:space="0"/>
              <w:bottom w:val="single" w:color="auto" w:sz="4" w:space="0"/>
              <w:right w:val="single" w:color="auto" w:sz="4" w:space="0"/>
            </w:tcBorders>
            <w:vAlign w:val="center"/>
          </w:tcPr>
          <w:p w14:paraId="6E67B65A">
            <w:pPr>
              <w:pStyle w:val="64"/>
              <w:adjustRightInd w:val="0"/>
              <w:snapToGrid w:val="0"/>
              <w:rPr>
                <w:szCs w:val="22"/>
                <w:lang w:bidi="zh-CN"/>
                <w14:ligatures w14:val="none"/>
              </w:rPr>
            </w:pPr>
            <w:r>
              <w:rPr>
                <w:szCs w:val="22"/>
                <w:lang w:bidi="zh-CN"/>
                <w14:ligatures w14:val="none"/>
              </w:rPr>
              <w:t>高王家</w:t>
            </w:r>
          </w:p>
        </w:tc>
        <w:tc>
          <w:tcPr>
            <w:tcW w:w="1083" w:type="dxa"/>
            <w:tcBorders>
              <w:top w:val="single" w:color="auto" w:sz="4" w:space="0"/>
              <w:left w:val="single" w:color="auto" w:sz="4" w:space="0"/>
              <w:bottom w:val="single" w:color="auto" w:sz="4" w:space="0"/>
              <w:right w:val="single" w:color="auto" w:sz="4" w:space="0"/>
            </w:tcBorders>
            <w:vAlign w:val="center"/>
          </w:tcPr>
          <w:p w14:paraId="1BCB8CE3">
            <w:pPr>
              <w:pStyle w:val="64"/>
              <w:adjustRightInd w:val="0"/>
              <w:snapToGrid w:val="0"/>
              <w:rPr>
                <w:szCs w:val="22"/>
                <w:lang w:bidi="zh-CN"/>
                <w14:ligatures w14:val="none"/>
              </w:rPr>
            </w:pPr>
            <w:r>
              <w:rPr>
                <w:szCs w:val="22"/>
                <w:lang w:bidi="zh-CN"/>
                <w14:ligatures w14:val="none"/>
              </w:rPr>
              <w:t>N</w:t>
            </w:r>
          </w:p>
        </w:tc>
        <w:tc>
          <w:tcPr>
            <w:tcW w:w="1489" w:type="dxa"/>
            <w:gridSpan w:val="2"/>
            <w:tcBorders>
              <w:top w:val="single" w:color="auto" w:sz="4" w:space="0"/>
              <w:left w:val="single" w:color="auto" w:sz="4" w:space="0"/>
              <w:bottom w:val="single" w:color="auto" w:sz="4" w:space="0"/>
              <w:right w:val="single" w:color="auto" w:sz="4" w:space="0"/>
            </w:tcBorders>
            <w:vAlign w:val="center"/>
          </w:tcPr>
          <w:p w14:paraId="6AE8B368">
            <w:pPr>
              <w:pStyle w:val="64"/>
              <w:adjustRightInd w:val="0"/>
              <w:snapToGrid w:val="0"/>
              <w:rPr>
                <w:szCs w:val="22"/>
                <w:lang w:bidi="zh-CN"/>
                <w14:ligatures w14:val="none"/>
              </w:rPr>
            </w:pPr>
            <w:r>
              <w:rPr>
                <w:szCs w:val="22"/>
                <w:lang w:bidi="zh-CN"/>
                <w14:ligatures w14:val="none"/>
              </w:rPr>
              <w:t>2370</w:t>
            </w:r>
          </w:p>
        </w:tc>
        <w:tc>
          <w:tcPr>
            <w:tcW w:w="1425" w:type="dxa"/>
            <w:gridSpan w:val="3"/>
            <w:tcBorders>
              <w:top w:val="single" w:color="auto" w:sz="4" w:space="0"/>
              <w:left w:val="single" w:color="auto" w:sz="4" w:space="0"/>
              <w:bottom w:val="single" w:color="auto" w:sz="4" w:space="0"/>
              <w:right w:val="single" w:color="auto" w:sz="4" w:space="0"/>
            </w:tcBorders>
            <w:vAlign w:val="center"/>
          </w:tcPr>
          <w:p w14:paraId="7C379FE7">
            <w:pPr>
              <w:pStyle w:val="64"/>
              <w:adjustRightInd w:val="0"/>
              <w:snapToGrid w:val="0"/>
              <w:rPr>
                <w:szCs w:val="22"/>
                <w:lang w:bidi="zh-CN"/>
                <w14:ligatures w14:val="none"/>
              </w:rPr>
            </w:pPr>
            <w:r>
              <w:rPr>
                <w:szCs w:val="22"/>
                <w:lang w:bidi="zh-CN"/>
                <w14:ligatures w14:val="none"/>
              </w:rPr>
              <w:t>居民点</w:t>
            </w:r>
          </w:p>
        </w:tc>
        <w:tc>
          <w:tcPr>
            <w:tcW w:w="1673" w:type="dxa"/>
            <w:gridSpan w:val="2"/>
            <w:tcBorders>
              <w:top w:val="single" w:color="auto" w:sz="4" w:space="0"/>
              <w:left w:val="single" w:color="auto" w:sz="4" w:space="0"/>
              <w:bottom w:val="single" w:color="auto" w:sz="4" w:space="0"/>
              <w:right w:val="single" w:color="auto" w:sz="4" w:space="0"/>
            </w:tcBorders>
            <w:vAlign w:val="center"/>
          </w:tcPr>
          <w:p w14:paraId="7CFE5C52">
            <w:pPr>
              <w:pStyle w:val="64"/>
              <w:adjustRightInd w:val="0"/>
              <w:snapToGrid w:val="0"/>
              <w:rPr>
                <w:szCs w:val="22"/>
                <w:lang w:bidi="zh-CN"/>
                <w14:ligatures w14:val="none"/>
              </w:rPr>
            </w:pPr>
            <w:r>
              <w:rPr>
                <w:szCs w:val="22"/>
                <w:lang w:bidi="zh-CN"/>
                <w14:ligatures w14:val="none"/>
              </w:rPr>
              <w:t>380</w:t>
            </w:r>
          </w:p>
        </w:tc>
      </w:tr>
      <w:tr w14:paraId="170C9D1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936" w:type="dxa"/>
            <w:vMerge w:val="continue"/>
            <w:tcBorders>
              <w:top w:val="single" w:color="auto" w:sz="4" w:space="0"/>
              <w:left w:val="single" w:color="auto" w:sz="4" w:space="0"/>
              <w:bottom w:val="single" w:color="auto" w:sz="4" w:space="0"/>
              <w:right w:val="single" w:color="auto" w:sz="4" w:space="0"/>
            </w:tcBorders>
            <w:vAlign w:val="center"/>
          </w:tcPr>
          <w:p w14:paraId="46CC1828">
            <w:pPr>
              <w:pStyle w:val="64"/>
              <w:adjustRightInd w:val="0"/>
              <w:snapToGrid w:val="0"/>
              <w:rPr>
                <w:szCs w:val="22"/>
                <w:lang w:bidi="zh-CN"/>
                <w14:ligatures w14:val="none"/>
              </w:rPr>
            </w:pPr>
          </w:p>
        </w:tc>
        <w:tc>
          <w:tcPr>
            <w:tcW w:w="869" w:type="dxa"/>
            <w:tcBorders>
              <w:top w:val="single" w:color="auto" w:sz="4" w:space="0"/>
              <w:left w:val="single" w:color="auto" w:sz="4" w:space="0"/>
              <w:bottom w:val="single" w:color="auto" w:sz="4" w:space="0"/>
              <w:right w:val="single" w:color="auto" w:sz="4" w:space="0"/>
            </w:tcBorders>
            <w:vAlign w:val="center"/>
          </w:tcPr>
          <w:p w14:paraId="1EC795FE">
            <w:pPr>
              <w:pStyle w:val="64"/>
              <w:adjustRightInd w:val="0"/>
              <w:snapToGrid w:val="0"/>
              <w:rPr>
                <w:szCs w:val="22"/>
                <w:lang w:bidi="zh-CN"/>
                <w14:ligatures w14:val="none"/>
              </w:rPr>
            </w:pPr>
            <w:r>
              <w:rPr>
                <w:szCs w:val="22"/>
                <w:lang w:bidi="zh-CN"/>
                <w14:ligatures w14:val="none"/>
              </w:rPr>
              <w:t>4</w:t>
            </w:r>
          </w:p>
        </w:tc>
        <w:tc>
          <w:tcPr>
            <w:tcW w:w="1597" w:type="dxa"/>
            <w:tcBorders>
              <w:top w:val="single" w:color="auto" w:sz="4" w:space="0"/>
              <w:left w:val="single" w:color="auto" w:sz="4" w:space="0"/>
              <w:bottom w:val="single" w:color="auto" w:sz="4" w:space="0"/>
              <w:right w:val="single" w:color="auto" w:sz="4" w:space="0"/>
            </w:tcBorders>
            <w:vAlign w:val="center"/>
          </w:tcPr>
          <w:p w14:paraId="69D1F47B">
            <w:pPr>
              <w:pStyle w:val="64"/>
              <w:adjustRightInd w:val="0"/>
              <w:snapToGrid w:val="0"/>
              <w:rPr>
                <w:szCs w:val="22"/>
                <w:lang w:bidi="zh-CN"/>
                <w14:ligatures w14:val="none"/>
              </w:rPr>
            </w:pPr>
            <w:r>
              <w:rPr>
                <w:szCs w:val="22"/>
                <w:lang w:bidi="zh-CN"/>
                <w14:ligatures w14:val="none"/>
              </w:rPr>
              <w:t>尚家湖</w:t>
            </w:r>
          </w:p>
        </w:tc>
        <w:tc>
          <w:tcPr>
            <w:tcW w:w="1083" w:type="dxa"/>
            <w:tcBorders>
              <w:top w:val="single" w:color="auto" w:sz="4" w:space="0"/>
              <w:left w:val="single" w:color="auto" w:sz="4" w:space="0"/>
              <w:bottom w:val="single" w:color="auto" w:sz="4" w:space="0"/>
              <w:right w:val="single" w:color="auto" w:sz="4" w:space="0"/>
            </w:tcBorders>
            <w:vAlign w:val="center"/>
          </w:tcPr>
          <w:p w14:paraId="369D1044">
            <w:pPr>
              <w:pStyle w:val="64"/>
              <w:adjustRightInd w:val="0"/>
              <w:snapToGrid w:val="0"/>
              <w:rPr>
                <w:szCs w:val="22"/>
                <w:lang w:bidi="zh-CN"/>
                <w14:ligatures w14:val="none"/>
              </w:rPr>
            </w:pPr>
            <w:r>
              <w:rPr>
                <w:szCs w:val="22"/>
                <w:lang w:bidi="zh-CN"/>
                <w14:ligatures w14:val="none"/>
              </w:rPr>
              <w:t>NE</w:t>
            </w:r>
          </w:p>
        </w:tc>
        <w:tc>
          <w:tcPr>
            <w:tcW w:w="1489" w:type="dxa"/>
            <w:gridSpan w:val="2"/>
            <w:tcBorders>
              <w:top w:val="single" w:color="auto" w:sz="4" w:space="0"/>
              <w:left w:val="single" w:color="auto" w:sz="4" w:space="0"/>
              <w:bottom w:val="single" w:color="auto" w:sz="4" w:space="0"/>
              <w:right w:val="single" w:color="auto" w:sz="4" w:space="0"/>
            </w:tcBorders>
            <w:vAlign w:val="center"/>
          </w:tcPr>
          <w:p w14:paraId="4285C4AA">
            <w:pPr>
              <w:pStyle w:val="64"/>
              <w:adjustRightInd w:val="0"/>
              <w:snapToGrid w:val="0"/>
              <w:rPr>
                <w:szCs w:val="22"/>
                <w:lang w:bidi="zh-CN"/>
                <w14:ligatures w14:val="none"/>
              </w:rPr>
            </w:pPr>
            <w:r>
              <w:rPr>
                <w:szCs w:val="22"/>
                <w:lang w:bidi="zh-CN"/>
                <w14:ligatures w14:val="none"/>
              </w:rPr>
              <w:t>3686</w:t>
            </w:r>
          </w:p>
        </w:tc>
        <w:tc>
          <w:tcPr>
            <w:tcW w:w="1425" w:type="dxa"/>
            <w:gridSpan w:val="3"/>
            <w:tcBorders>
              <w:top w:val="single" w:color="auto" w:sz="4" w:space="0"/>
              <w:left w:val="single" w:color="auto" w:sz="4" w:space="0"/>
              <w:bottom w:val="single" w:color="auto" w:sz="4" w:space="0"/>
              <w:right w:val="single" w:color="auto" w:sz="4" w:space="0"/>
            </w:tcBorders>
            <w:vAlign w:val="center"/>
          </w:tcPr>
          <w:p w14:paraId="20D67DEF">
            <w:pPr>
              <w:pStyle w:val="64"/>
              <w:adjustRightInd w:val="0"/>
              <w:snapToGrid w:val="0"/>
              <w:rPr>
                <w:szCs w:val="22"/>
                <w:lang w:bidi="zh-CN"/>
                <w14:ligatures w14:val="none"/>
              </w:rPr>
            </w:pPr>
            <w:r>
              <w:rPr>
                <w:szCs w:val="22"/>
                <w:lang w:bidi="zh-CN"/>
                <w14:ligatures w14:val="none"/>
              </w:rPr>
              <w:t>居民点</w:t>
            </w:r>
          </w:p>
        </w:tc>
        <w:tc>
          <w:tcPr>
            <w:tcW w:w="1673" w:type="dxa"/>
            <w:gridSpan w:val="2"/>
            <w:tcBorders>
              <w:top w:val="single" w:color="auto" w:sz="4" w:space="0"/>
              <w:left w:val="single" w:color="auto" w:sz="4" w:space="0"/>
              <w:bottom w:val="single" w:color="auto" w:sz="4" w:space="0"/>
              <w:right w:val="single" w:color="auto" w:sz="4" w:space="0"/>
            </w:tcBorders>
            <w:vAlign w:val="center"/>
          </w:tcPr>
          <w:p w14:paraId="5FA9FAEF">
            <w:pPr>
              <w:pStyle w:val="64"/>
              <w:adjustRightInd w:val="0"/>
              <w:snapToGrid w:val="0"/>
              <w:rPr>
                <w:szCs w:val="22"/>
                <w:lang w:bidi="zh-CN"/>
                <w14:ligatures w14:val="none"/>
              </w:rPr>
            </w:pPr>
            <w:r>
              <w:rPr>
                <w:szCs w:val="22"/>
                <w:lang w:bidi="zh-CN"/>
                <w14:ligatures w14:val="none"/>
              </w:rPr>
              <w:t>100</w:t>
            </w:r>
          </w:p>
        </w:tc>
      </w:tr>
      <w:tr w14:paraId="10EB38F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936" w:type="dxa"/>
            <w:vMerge w:val="continue"/>
            <w:tcBorders>
              <w:top w:val="single" w:color="auto" w:sz="4" w:space="0"/>
              <w:left w:val="single" w:color="auto" w:sz="4" w:space="0"/>
              <w:bottom w:val="single" w:color="auto" w:sz="4" w:space="0"/>
              <w:right w:val="single" w:color="auto" w:sz="4" w:space="0"/>
            </w:tcBorders>
            <w:vAlign w:val="center"/>
          </w:tcPr>
          <w:p w14:paraId="59F3FF6E">
            <w:pPr>
              <w:pStyle w:val="64"/>
              <w:adjustRightInd w:val="0"/>
              <w:snapToGrid w:val="0"/>
              <w:rPr>
                <w:szCs w:val="22"/>
                <w:lang w:bidi="zh-CN"/>
                <w14:ligatures w14:val="none"/>
              </w:rPr>
            </w:pPr>
          </w:p>
        </w:tc>
        <w:tc>
          <w:tcPr>
            <w:tcW w:w="869" w:type="dxa"/>
            <w:tcBorders>
              <w:top w:val="single" w:color="auto" w:sz="4" w:space="0"/>
              <w:left w:val="single" w:color="auto" w:sz="4" w:space="0"/>
              <w:bottom w:val="single" w:color="auto" w:sz="4" w:space="0"/>
              <w:right w:val="single" w:color="auto" w:sz="4" w:space="0"/>
            </w:tcBorders>
            <w:vAlign w:val="center"/>
          </w:tcPr>
          <w:p w14:paraId="009B0B03">
            <w:pPr>
              <w:pStyle w:val="64"/>
              <w:adjustRightInd w:val="0"/>
              <w:snapToGrid w:val="0"/>
              <w:rPr>
                <w:szCs w:val="22"/>
                <w:lang w:bidi="zh-CN"/>
                <w14:ligatures w14:val="none"/>
              </w:rPr>
            </w:pPr>
            <w:r>
              <w:rPr>
                <w:szCs w:val="22"/>
                <w:lang w:bidi="zh-CN"/>
                <w14:ligatures w14:val="none"/>
              </w:rPr>
              <w:t>5</w:t>
            </w:r>
          </w:p>
        </w:tc>
        <w:tc>
          <w:tcPr>
            <w:tcW w:w="1597" w:type="dxa"/>
            <w:tcBorders>
              <w:top w:val="single" w:color="auto" w:sz="4" w:space="0"/>
              <w:left w:val="single" w:color="auto" w:sz="4" w:space="0"/>
              <w:bottom w:val="single" w:color="auto" w:sz="4" w:space="0"/>
              <w:right w:val="single" w:color="auto" w:sz="4" w:space="0"/>
            </w:tcBorders>
            <w:vAlign w:val="center"/>
          </w:tcPr>
          <w:p w14:paraId="570222B8">
            <w:pPr>
              <w:pStyle w:val="64"/>
              <w:adjustRightInd w:val="0"/>
              <w:snapToGrid w:val="0"/>
              <w:rPr>
                <w:szCs w:val="22"/>
                <w:lang w:bidi="zh-CN"/>
                <w14:ligatures w14:val="none"/>
              </w:rPr>
            </w:pPr>
            <w:r>
              <w:rPr>
                <w:szCs w:val="22"/>
                <w:lang w:bidi="zh-CN"/>
                <w14:ligatures w14:val="none"/>
              </w:rPr>
              <w:t>大柏村</w:t>
            </w:r>
          </w:p>
        </w:tc>
        <w:tc>
          <w:tcPr>
            <w:tcW w:w="1083" w:type="dxa"/>
            <w:tcBorders>
              <w:top w:val="single" w:color="auto" w:sz="4" w:space="0"/>
              <w:left w:val="single" w:color="auto" w:sz="4" w:space="0"/>
              <w:bottom w:val="single" w:color="auto" w:sz="4" w:space="0"/>
              <w:right w:val="single" w:color="auto" w:sz="4" w:space="0"/>
            </w:tcBorders>
            <w:vAlign w:val="center"/>
          </w:tcPr>
          <w:p w14:paraId="07FAC244">
            <w:pPr>
              <w:pStyle w:val="64"/>
              <w:adjustRightInd w:val="0"/>
              <w:snapToGrid w:val="0"/>
              <w:rPr>
                <w:szCs w:val="22"/>
                <w:lang w:bidi="zh-CN"/>
                <w14:ligatures w14:val="none"/>
              </w:rPr>
            </w:pPr>
            <w:r>
              <w:rPr>
                <w:szCs w:val="22"/>
                <w:lang w:bidi="zh-CN"/>
                <w14:ligatures w14:val="none"/>
              </w:rPr>
              <w:t>ENE</w:t>
            </w:r>
          </w:p>
        </w:tc>
        <w:tc>
          <w:tcPr>
            <w:tcW w:w="1489" w:type="dxa"/>
            <w:gridSpan w:val="2"/>
            <w:tcBorders>
              <w:top w:val="single" w:color="auto" w:sz="4" w:space="0"/>
              <w:left w:val="single" w:color="auto" w:sz="4" w:space="0"/>
              <w:bottom w:val="single" w:color="auto" w:sz="4" w:space="0"/>
              <w:right w:val="single" w:color="auto" w:sz="4" w:space="0"/>
            </w:tcBorders>
            <w:vAlign w:val="center"/>
          </w:tcPr>
          <w:p w14:paraId="39FB6C57">
            <w:pPr>
              <w:pStyle w:val="64"/>
              <w:adjustRightInd w:val="0"/>
              <w:snapToGrid w:val="0"/>
              <w:rPr>
                <w:szCs w:val="22"/>
                <w:lang w:bidi="zh-CN"/>
                <w14:ligatures w14:val="none"/>
              </w:rPr>
            </w:pPr>
            <w:r>
              <w:rPr>
                <w:szCs w:val="22"/>
                <w:lang w:bidi="zh-CN"/>
                <w14:ligatures w14:val="none"/>
              </w:rPr>
              <w:t>2005</w:t>
            </w:r>
          </w:p>
        </w:tc>
        <w:tc>
          <w:tcPr>
            <w:tcW w:w="1425" w:type="dxa"/>
            <w:gridSpan w:val="3"/>
            <w:tcBorders>
              <w:top w:val="single" w:color="auto" w:sz="4" w:space="0"/>
              <w:left w:val="single" w:color="auto" w:sz="4" w:space="0"/>
              <w:bottom w:val="single" w:color="auto" w:sz="4" w:space="0"/>
              <w:right w:val="single" w:color="auto" w:sz="4" w:space="0"/>
            </w:tcBorders>
            <w:vAlign w:val="center"/>
          </w:tcPr>
          <w:p w14:paraId="7D7823F0">
            <w:pPr>
              <w:pStyle w:val="64"/>
              <w:adjustRightInd w:val="0"/>
              <w:snapToGrid w:val="0"/>
              <w:rPr>
                <w:szCs w:val="22"/>
                <w:lang w:bidi="zh-CN"/>
                <w14:ligatures w14:val="none"/>
              </w:rPr>
            </w:pPr>
            <w:r>
              <w:rPr>
                <w:szCs w:val="22"/>
                <w:lang w:bidi="zh-CN"/>
                <w14:ligatures w14:val="none"/>
              </w:rPr>
              <w:t>居民点</w:t>
            </w:r>
          </w:p>
        </w:tc>
        <w:tc>
          <w:tcPr>
            <w:tcW w:w="1673" w:type="dxa"/>
            <w:gridSpan w:val="2"/>
            <w:tcBorders>
              <w:top w:val="single" w:color="auto" w:sz="4" w:space="0"/>
              <w:left w:val="single" w:color="auto" w:sz="4" w:space="0"/>
              <w:bottom w:val="single" w:color="auto" w:sz="4" w:space="0"/>
              <w:right w:val="single" w:color="auto" w:sz="4" w:space="0"/>
            </w:tcBorders>
            <w:vAlign w:val="center"/>
          </w:tcPr>
          <w:p w14:paraId="0507A255">
            <w:pPr>
              <w:pStyle w:val="64"/>
              <w:adjustRightInd w:val="0"/>
              <w:snapToGrid w:val="0"/>
              <w:rPr>
                <w:szCs w:val="22"/>
                <w:lang w:bidi="zh-CN"/>
                <w14:ligatures w14:val="none"/>
              </w:rPr>
            </w:pPr>
            <w:r>
              <w:rPr>
                <w:szCs w:val="22"/>
                <w:lang w:bidi="zh-CN"/>
                <w14:ligatures w14:val="none"/>
              </w:rPr>
              <w:t>210</w:t>
            </w:r>
          </w:p>
        </w:tc>
      </w:tr>
      <w:tr w14:paraId="63340E8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936" w:type="dxa"/>
            <w:vMerge w:val="continue"/>
            <w:tcBorders>
              <w:top w:val="single" w:color="auto" w:sz="4" w:space="0"/>
              <w:left w:val="single" w:color="auto" w:sz="4" w:space="0"/>
              <w:bottom w:val="single" w:color="auto" w:sz="4" w:space="0"/>
              <w:right w:val="single" w:color="auto" w:sz="4" w:space="0"/>
            </w:tcBorders>
            <w:vAlign w:val="center"/>
          </w:tcPr>
          <w:p w14:paraId="2AF574BC">
            <w:pPr>
              <w:pStyle w:val="64"/>
              <w:adjustRightInd w:val="0"/>
              <w:snapToGrid w:val="0"/>
              <w:rPr>
                <w:szCs w:val="22"/>
                <w:lang w:bidi="zh-CN"/>
                <w14:ligatures w14:val="none"/>
              </w:rPr>
            </w:pPr>
          </w:p>
        </w:tc>
        <w:tc>
          <w:tcPr>
            <w:tcW w:w="869" w:type="dxa"/>
            <w:tcBorders>
              <w:top w:val="single" w:color="auto" w:sz="4" w:space="0"/>
              <w:left w:val="single" w:color="auto" w:sz="4" w:space="0"/>
              <w:bottom w:val="single" w:color="auto" w:sz="4" w:space="0"/>
              <w:right w:val="single" w:color="auto" w:sz="4" w:space="0"/>
            </w:tcBorders>
            <w:vAlign w:val="center"/>
          </w:tcPr>
          <w:p w14:paraId="258C26B1">
            <w:pPr>
              <w:pStyle w:val="64"/>
              <w:adjustRightInd w:val="0"/>
              <w:snapToGrid w:val="0"/>
              <w:rPr>
                <w:szCs w:val="22"/>
                <w:lang w:bidi="zh-CN"/>
                <w14:ligatures w14:val="none"/>
              </w:rPr>
            </w:pPr>
            <w:r>
              <w:rPr>
                <w:szCs w:val="22"/>
                <w:lang w:bidi="zh-CN"/>
                <w14:ligatures w14:val="none"/>
              </w:rPr>
              <w:t>6</w:t>
            </w:r>
          </w:p>
        </w:tc>
        <w:tc>
          <w:tcPr>
            <w:tcW w:w="1597" w:type="dxa"/>
            <w:tcBorders>
              <w:top w:val="single" w:color="auto" w:sz="4" w:space="0"/>
              <w:left w:val="single" w:color="auto" w:sz="4" w:space="0"/>
              <w:bottom w:val="single" w:color="auto" w:sz="4" w:space="0"/>
              <w:right w:val="single" w:color="auto" w:sz="4" w:space="0"/>
            </w:tcBorders>
            <w:vAlign w:val="center"/>
          </w:tcPr>
          <w:p w14:paraId="0CB51857">
            <w:pPr>
              <w:pStyle w:val="64"/>
              <w:adjustRightInd w:val="0"/>
              <w:snapToGrid w:val="0"/>
              <w:rPr>
                <w:szCs w:val="22"/>
                <w:lang w:bidi="zh-CN"/>
                <w14:ligatures w14:val="none"/>
              </w:rPr>
            </w:pPr>
            <w:r>
              <w:rPr>
                <w:rFonts w:hint="eastAsia"/>
                <w:szCs w:val="22"/>
                <w14:ligatures w14:val="none"/>
              </w:rPr>
              <w:t>小柏家</w:t>
            </w:r>
          </w:p>
        </w:tc>
        <w:tc>
          <w:tcPr>
            <w:tcW w:w="1083" w:type="dxa"/>
            <w:tcBorders>
              <w:top w:val="single" w:color="auto" w:sz="4" w:space="0"/>
              <w:left w:val="single" w:color="auto" w:sz="4" w:space="0"/>
              <w:bottom w:val="single" w:color="auto" w:sz="4" w:space="0"/>
              <w:right w:val="single" w:color="auto" w:sz="4" w:space="0"/>
            </w:tcBorders>
            <w:vAlign w:val="center"/>
          </w:tcPr>
          <w:p w14:paraId="1A737263">
            <w:pPr>
              <w:pStyle w:val="64"/>
              <w:adjustRightInd w:val="0"/>
              <w:snapToGrid w:val="0"/>
              <w:rPr>
                <w:szCs w:val="22"/>
                <w:lang w:bidi="zh-CN"/>
                <w14:ligatures w14:val="none"/>
              </w:rPr>
            </w:pPr>
            <w:r>
              <w:rPr>
                <w:szCs w:val="22"/>
                <w14:ligatures w14:val="none"/>
              </w:rPr>
              <w:t>NE</w:t>
            </w:r>
          </w:p>
        </w:tc>
        <w:tc>
          <w:tcPr>
            <w:tcW w:w="1489" w:type="dxa"/>
            <w:gridSpan w:val="2"/>
            <w:tcBorders>
              <w:top w:val="single" w:color="auto" w:sz="4" w:space="0"/>
              <w:left w:val="single" w:color="auto" w:sz="4" w:space="0"/>
              <w:bottom w:val="single" w:color="auto" w:sz="4" w:space="0"/>
              <w:right w:val="single" w:color="auto" w:sz="4" w:space="0"/>
            </w:tcBorders>
            <w:vAlign w:val="center"/>
          </w:tcPr>
          <w:p w14:paraId="59F7FCF5">
            <w:pPr>
              <w:pStyle w:val="64"/>
              <w:adjustRightInd w:val="0"/>
              <w:snapToGrid w:val="0"/>
              <w:rPr>
                <w:szCs w:val="22"/>
                <w:lang w:bidi="zh-CN"/>
                <w14:ligatures w14:val="none"/>
              </w:rPr>
            </w:pPr>
            <w:r>
              <w:rPr>
                <w:szCs w:val="22"/>
                <w14:ligatures w14:val="none"/>
              </w:rPr>
              <w:t>20</w:t>
            </w:r>
            <w:r>
              <w:rPr>
                <w:rFonts w:hint="eastAsia"/>
                <w:szCs w:val="22"/>
                <w14:ligatures w14:val="none"/>
              </w:rPr>
              <w:t>26</w:t>
            </w:r>
          </w:p>
        </w:tc>
        <w:tc>
          <w:tcPr>
            <w:tcW w:w="1425" w:type="dxa"/>
            <w:gridSpan w:val="3"/>
            <w:tcBorders>
              <w:top w:val="single" w:color="auto" w:sz="4" w:space="0"/>
              <w:left w:val="single" w:color="auto" w:sz="4" w:space="0"/>
              <w:bottom w:val="single" w:color="auto" w:sz="4" w:space="0"/>
              <w:right w:val="single" w:color="auto" w:sz="4" w:space="0"/>
            </w:tcBorders>
            <w:vAlign w:val="center"/>
          </w:tcPr>
          <w:p w14:paraId="19B0174D">
            <w:pPr>
              <w:pStyle w:val="64"/>
              <w:adjustRightInd w:val="0"/>
              <w:snapToGrid w:val="0"/>
              <w:rPr>
                <w:szCs w:val="22"/>
                <w:lang w:bidi="zh-CN"/>
                <w14:ligatures w14:val="none"/>
              </w:rPr>
            </w:pPr>
            <w:r>
              <w:rPr>
                <w:szCs w:val="22"/>
                <w:lang w:bidi="zh-CN"/>
                <w14:ligatures w14:val="none"/>
              </w:rPr>
              <w:t>居民点</w:t>
            </w:r>
          </w:p>
        </w:tc>
        <w:tc>
          <w:tcPr>
            <w:tcW w:w="1673" w:type="dxa"/>
            <w:gridSpan w:val="2"/>
            <w:tcBorders>
              <w:top w:val="single" w:color="auto" w:sz="4" w:space="0"/>
              <w:left w:val="single" w:color="auto" w:sz="4" w:space="0"/>
              <w:bottom w:val="single" w:color="auto" w:sz="4" w:space="0"/>
              <w:right w:val="single" w:color="auto" w:sz="4" w:space="0"/>
            </w:tcBorders>
            <w:vAlign w:val="center"/>
          </w:tcPr>
          <w:p w14:paraId="137AA5B7">
            <w:pPr>
              <w:pStyle w:val="64"/>
              <w:adjustRightInd w:val="0"/>
              <w:snapToGrid w:val="0"/>
              <w:rPr>
                <w:szCs w:val="22"/>
                <w:lang w:bidi="zh-CN"/>
                <w14:ligatures w14:val="none"/>
              </w:rPr>
            </w:pPr>
            <w:r>
              <w:rPr>
                <w:rFonts w:hint="eastAsia"/>
                <w:szCs w:val="22"/>
                <w:lang w:bidi="zh-CN"/>
                <w14:ligatures w14:val="none"/>
              </w:rPr>
              <w:t>100</w:t>
            </w:r>
          </w:p>
        </w:tc>
      </w:tr>
      <w:tr w14:paraId="47F4BD2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936" w:type="dxa"/>
            <w:vMerge w:val="continue"/>
            <w:tcBorders>
              <w:top w:val="single" w:color="auto" w:sz="4" w:space="0"/>
              <w:left w:val="single" w:color="auto" w:sz="4" w:space="0"/>
              <w:bottom w:val="single" w:color="auto" w:sz="4" w:space="0"/>
              <w:right w:val="single" w:color="auto" w:sz="4" w:space="0"/>
            </w:tcBorders>
            <w:vAlign w:val="center"/>
          </w:tcPr>
          <w:p w14:paraId="5F1F5CD0">
            <w:pPr>
              <w:pStyle w:val="64"/>
              <w:adjustRightInd w:val="0"/>
              <w:snapToGrid w:val="0"/>
              <w:rPr>
                <w:szCs w:val="22"/>
                <w:lang w:bidi="zh-CN"/>
                <w14:ligatures w14:val="none"/>
              </w:rPr>
            </w:pPr>
          </w:p>
        </w:tc>
        <w:tc>
          <w:tcPr>
            <w:tcW w:w="869" w:type="dxa"/>
            <w:tcBorders>
              <w:top w:val="single" w:color="auto" w:sz="4" w:space="0"/>
              <w:left w:val="single" w:color="auto" w:sz="4" w:space="0"/>
              <w:bottom w:val="single" w:color="auto" w:sz="4" w:space="0"/>
              <w:right w:val="single" w:color="auto" w:sz="4" w:space="0"/>
            </w:tcBorders>
            <w:vAlign w:val="center"/>
          </w:tcPr>
          <w:p w14:paraId="513881BC">
            <w:pPr>
              <w:pStyle w:val="64"/>
              <w:adjustRightInd w:val="0"/>
              <w:snapToGrid w:val="0"/>
              <w:rPr>
                <w:szCs w:val="22"/>
                <w:lang w:bidi="zh-CN"/>
                <w14:ligatures w14:val="none"/>
              </w:rPr>
            </w:pPr>
            <w:r>
              <w:rPr>
                <w:szCs w:val="22"/>
                <w:lang w:bidi="zh-CN"/>
                <w14:ligatures w14:val="none"/>
              </w:rPr>
              <w:t>7</w:t>
            </w:r>
          </w:p>
        </w:tc>
        <w:tc>
          <w:tcPr>
            <w:tcW w:w="1597" w:type="dxa"/>
            <w:tcBorders>
              <w:top w:val="single" w:color="auto" w:sz="4" w:space="0"/>
              <w:left w:val="single" w:color="auto" w:sz="4" w:space="0"/>
              <w:bottom w:val="single" w:color="auto" w:sz="4" w:space="0"/>
              <w:right w:val="single" w:color="auto" w:sz="4" w:space="0"/>
            </w:tcBorders>
            <w:vAlign w:val="center"/>
          </w:tcPr>
          <w:p w14:paraId="7FD5F1E5">
            <w:pPr>
              <w:pStyle w:val="64"/>
              <w:adjustRightInd w:val="0"/>
              <w:snapToGrid w:val="0"/>
              <w:rPr>
                <w:szCs w:val="22"/>
                <w:lang w:bidi="zh-CN"/>
                <w14:ligatures w14:val="none"/>
              </w:rPr>
            </w:pPr>
            <w:r>
              <w:rPr>
                <w:rFonts w:hint="eastAsia"/>
                <w:szCs w:val="22"/>
                <w14:ligatures w14:val="none"/>
              </w:rPr>
              <w:t>大柏中学</w:t>
            </w:r>
          </w:p>
        </w:tc>
        <w:tc>
          <w:tcPr>
            <w:tcW w:w="1083" w:type="dxa"/>
            <w:tcBorders>
              <w:top w:val="single" w:color="auto" w:sz="4" w:space="0"/>
              <w:left w:val="single" w:color="auto" w:sz="4" w:space="0"/>
              <w:bottom w:val="single" w:color="auto" w:sz="4" w:space="0"/>
              <w:right w:val="single" w:color="auto" w:sz="4" w:space="0"/>
            </w:tcBorders>
            <w:vAlign w:val="center"/>
          </w:tcPr>
          <w:p w14:paraId="4DADCDE9">
            <w:pPr>
              <w:pStyle w:val="64"/>
              <w:adjustRightInd w:val="0"/>
              <w:snapToGrid w:val="0"/>
              <w:rPr>
                <w:szCs w:val="22"/>
                <w:lang w:bidi="zh-CN"/>
                <w14:ligatures w14:val="none"/>
              </w:rPr>
            </w:pPr>
            <w:r>
              <w:rPr>
                <w:szCs w:val="22"/>
                <w14:ligatures w14:val="none"/>
              </w:rPr>
              <w:t>NE</w:t>
            </w:r>
          </w:p>
        </w:tc>
        <w:tc>
          <w:tcPr>
            <w:tcW w:w="1489" w:type="dxa"/>
            <w:gridSpan w:val="2"/>
            <w:tcBorders>
              <w:top w:val="single" w:color="auto" w:sz="4" w:space="0"/>
              <w:left w:val="single" w:color="auto" w:sz="4" w:space="0"/>
              <w:bottom w:val="single" w:color="auto" w:sz="4" w:space="0"/>
              <w:right w:val="single" w:color="auto" w:sz="4" w:space="0"/>
            </w:tcBorders>
            <w:vAlign w:val="center"/>
          </w:tcPr>
          <w:p w14:paraId="1FC136E4">
            <w:pPr>
              <w:pStyle w:val="64"/>
              <w:adjustRightInd w:val="0"/>
              <w:snapToGrid w:val="0"/>
              <w:rPr>
                <w:szCs w:val="22"/>
                <w:lang w:bidi="zh-CN"/>
                <w14:ligatures w14:val="none"/>
              </w:rPr>
            </w:pPr>
            <w:r>
              <w:rPr>
                <w:rFonts w:hint="eastAsia"/>
                <w:szCs w:val="22"/>
                <w14:ligatures w14:val="none"/>
              </w:rPr>
              <w:t>2342</w:t>
            </w:r>
          </w:p>
        </w:tc>
        <w:tc>
          <w:tcPr>
            <w:tcW w:w="1425" w:type="dxa"/>
            <w:gridSpan w:val="3"/>
            <w:tcBorders>
              <w:top w:val="single" w:color="auto" w:sz="4" w:space="0"/>
              <w:left w:val="single" w:color="auto" w:sz="4" w:space="0"/>
              <w:bottom w:val="single" w:color="auto" w:sz="4" w:space="0"/>
              <w:right w:val="single" w:color="auto" w:sz="4" w:space="0"/>
            </w:tcBorders>
            <w:vAlign w:val="center"/>
          </w:tcPr>
          <w:p w14:paraId="52639B19">
            <w:pPr>
              <w:pStyle w:val="64"/>
              <w:adjustRightInd w:val="0"/>
              <w:snapToGrid w:val="0"/>
              <w:rPr>
                <w:szCs w:val="22"/>
                <w:lang w:bidi="zh-CN"/>
                <w14:ligatures w14:val="none"/>
              </w:rPr>
            </w:pPr>
            <w:r>
              <w:rPr>
                <w:rFonts w:hint="eastAsia"/>
                <w:szCs w:val="22"/>
                <w:lang w:bidi="zh-CN"/>
                <w14:ligatures w14:val="none"/>
              </w:rPr>
              <w:t>学校</w:t>
            </w:r>
          </w:p>
        </w:tc>
        <w:tc>
          <w:tcPr>
            <w:tcW w:w="1673" w:type="dxa"/>
            <w:gridSpan w:val="2"/>
            <w:tcBorders>
              <w:top w:val="single" w:color="auto" w:sz="4" w:space="0"/>
              <w:left w:val="single" w:color="auto" w:sz="4" w:space="0"/>
              <w:bottom w:val="single" w:color="auto" w:sz="4" w:space="0"/>
              <w:right w:val="single" w:color="auto" w:sz="4" w:space="0"/>
            </w:tcBorders>
            <w:vAlign w:val="center"/>
          </w:tcPr>
          <w:p w14:paraId="5241F8DB">
            <w:pPr>
              <w:pStyle w:val="64"/>
              <w:adjustRightInd w:val="0"/>
              <w:snapToGrid w:val="0"/>
              <w:rPr>
                <w:szCs w:val="22"/>
                <w:lang w:bidi="zh-CN"/>
                <w14:ligatures w14:val="none"/>
              </w:rPr>
            </w:pPr>
            <w:r>
              <w:rPr>
                <w:rFonts w:hint="eastAsia"/>
                <w:szCs w:val="22"/>
                <w:lang w:bidi="zh-CN"/>
                <w14:ligatures w14:val="none"/>
              </w:rPr>
              <w:t>100</w:t>
            </w:r>
          </w:p>
        </w:tc>
      </w:tr>
      <w:tr w14:paraId="1634F62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936" w:type="dxa"/>
            <w:vMerge w:val="continue"/>
            <w:tcBorders>
              <w:top w:val="single" w:color="auto" w:sz="4" w:space="0"/>
              <w:left w:val="single" w:color="auto" w:sz="4" w:space="0"/>
              <w:bottom w:val="single" w:color="auto" w:sz="4" w:space="0"/>
              <w:right w:val="single" w:color="auto" w:sz="4" w:space="0"/>
            </w:tcBorders>
            <w:vAlign w:val="center"/>
          </w:tcPr>
          <w:p w14:paraId="130A5C77">
            <w:pPr>
              <w:pStyle w:val="64"/>
              <w:adjustRightInd w:val="0"/>
              <w:snapToGrid w:val="0"/>
              <w:rPr>
                <w:szCs w:val="22"/>
                <w:lang w:bidi="zh-CN"/>
                <w14:ligatures w14:val="none"/>
              </w:rPr>
            </w:pPr>
          </w:p>
        </w:tc>
        <w:tc>
          <w:tcPr>
            <w:tcW w:w="869" w:type="dxa"/>
            <w:tcBorders>
              <w:top w:val="single" w:color="auto" w:sz="4" w:space="0"/>
              <w:left w:val="single" w:color="auto" w:sz="4" w:space="0"/>
              <w:bottom w:val="single" w:color="auto" w:sz="4" w:space="0"/>
              <w:right w:val="single" w:color="auto" w:sz="4" w:space="0"/>
            </w:tcBorders>
            <w:vAlign w:val="center"/>
          </w:tcPr>
          <w:p w14:paraId="0F89F10A">
            <w:pPr>
              <w:pStyle w:val="64"/>
              <w:adjustRightInd w:val="0"/>
              <w:snapToGrid w:val="0"/>
              <w:rPr>
                <w:szCs w:val="22"/>
                <w:lang w:bidi="zh-CN"/>
                <w14:ligatures w14:val="none"/>
              </w:rPr>
            </w:pPr>
            <w:r>
              <w:rPr>
                <w:szCs w:val="22"/>
                <w:lang w:bidi="zh-CN"/>
                <w14:ligatures w14:val="none"/>
              </w:rPr>
              <w:t>8</w:t>
            </w:r>
          </w:p>
        </w:tc>
        <w:tc>
          <w:tcPr>
            <w:tcW w:w="1597" w:type="dxa"/>
            <w:tcBorders>
              <w:top w:val="single" w:color="auto" w:sz="4" w:space="0"/>
              <w:left w:val="single" w:color="auto" w:sz="4" w:space="0"/>
              <w:bottom w:val="single" w:color="auto" w:sz="4" w:space="0"/>
              <w:right w:val="single" w:color="auto" w:sz="4" w:space="0"/>
            </w:tcBorders>
            <w:vAlign w:val="center"/>
          </w:tcPr>
          <w:p w14:paraId="39F0BBC3">
            <w:pPr>
              <w:pStyle w:val="64"/>
              <w:adjustRightInd w:val="0"/>
              <w:snapToGrid w:val="0"/>
              <w:rPr>
                <w:szCs w:val="22"/>
                <w:lang w:bidi="zh-CN"/>
                <w14:ligatures w14:val="none"/>
              </w:rPr>
            </w:pPr>
            <w:r>
              <w:rPr>
                <w:szCs w:val="22"/>
                <w:lang w:bidi="zh-CN"/>
                <w14:ligatures w14:val="none"/>
              </w:rPr>
              <w:t>杜家湖</w:t>
            </w:r>
          </w:p>
        </w:tc>
        <w:tc>
          <w:tcPr>
            <w:tcW w:w="1083" w:type="dxa"/>
            <w:tcBorders>
              <w:top w:val="single" w:color="auto" w:sz="4" w:space="0"/>
              <w:left w:val="single" w:color="auto" w:sz="4" w:space="0"/>
              <w:bottom w:val="single" w:color="auto" w:sz="4" w:space="0"/>
              <w:right w:val="single" w:color="auto" w:sz="4" w:space="0"/>
            </w:tcBorders>
            <w:vAlign w:val="center"/>
          </w:tcPr>
          <w:p w14:paraId="63600B58">
            <w:pPr>
              <w:pStyle w:val="64"/>
              <w:adjustRightInd w:val="0"/>
              <w:snapToGrid w:val="0"/>
              <w:rPr>
                <w:szCs w:val="22"/>
                <w:lang w:bidi="zh-CN"/>
                <w14:ligatures w14:val="none"/>
              </w:rPr>
            </w:pPr>
            <w:r>
              <w:rPr>
                <w:szCs w:val="22"/>
                <w:lang w:bidi="zh-CN"/>
                <w14:ligatures w14:val="none"/>
              </w:rPr>
              <w:t>ENE</w:t>
            </w:r>
          </w:p>
        </w:tc>
        <w:tc>
          <w:tcPr>
            <w:tcW w:w="1489" w:type="dxa"/>
            <w:gridSpan w:val="2"/>
            <w:tcBorders>
              <w:top w:val="single" w:color="auto" w:sz="4" w:space="0"/>
              <w:left w:val="single" w:color="auto" w:sz="4" w:space="0"/>
              <w:bottom w:val="single" w:color="auto" w:sz="4" w:space="0"/>
              <w:right w:val="single" w:color="auto" w:sz="4" w:space="0"/>
            </w:tcBorders>
            <w:vAlign w:val="center"/>
          </w:tcPr>
          <w:p w14:paraId="76A01132">
            <w:pPr>
              <w:pStyle w:val="64"/>
              <w:adjustRightInd w:val="0"/>
              <w:snapToGrid w:val="0"/>
              <w:rPr>
                <w:szCs w:val="22"/>
                <w:lang w:bidi="zh-CN"/>
                <w14:ligatures w14:val="none"/>
              </w:rPr>
            </w:pPr>
            <w:r>
              <w:rPr>
                <w:szCs w:val="22"/>
                <w:lang w:bidi="zh-CN"/>
                <w14:ligatures w14:val="none"/>
              </w:rPr>
              <w:t>4132</w:t>
            </w:r>
          </w:p>
        </w:tc>
        <w:tc>
          <w:tcPr>
            <w:tcW w:w="1425" w:type="dxa"/>
            <w:gridSpan w:val="3"/>
            <w:tcBorders>
              <w:top w:val="single" w:color="auto" w:sz="4" w:space="0"/>
              <w:left w:val="single" w:color="auto" w:sz="4" w:space="0"/>
              <w:bottom w:val="single" w:color="auto" w:sz="4" w:space="0"/>
              <w:right w:val="single" w:color="auto" w:sz="4" w:space="0"/>
            </w:tcBorders>
            <w:vAlign w:val="center"/>
          </w:tcPr>
          <w:p w14:paraId="75C0B062">
            <w:pPr>
              <w:pStyle w:val="64"/>
              <w:adjustRightInd w:val="0"/>
              <w:snapToGrid w:val="0"/>
              <w:rPr>
                <w:szCs w:val="22"/>
                <w:lang w:bidi="zh-CN"/>
                <w14:ligatures w14:val="none"/>
              </w:rPr>
            </w:pPr>
            <w:r>
              <w:rPr>
                <w:szCs w:val="22"/>
                <w:lang w:bidi="zh-CN"/>
                <w14:ligatures w14:val="none"/>
              </w:rPr>
              <w:t>居民点</w:t>
            </w:r>
          </w:p>
        </w:tc>
        <w:tc>
          <w:tcPr>
            <w:tcW w:w="1673" w:type="dxa"/>
            <w:gridSpan w:val="2"/>
            <w:tcBorders>
              <w:top w:val="single" w:color="auto" w:sz="4" w:space="0"/>
              <w:left w:val="single" w:color="auto" w:sz="4" w:space="0"/>
              <w:bottom w:val="single" w:color="auto" w:sz="4" w:space="0"/>
              <w:right w:val="single" w:color="auto" w:sz="4" w:space="0"/>
            </w:tcBorders>
            <w:vAlign w:val="center"/>
          </w:tcPr>
          <w:p w14:paraId="7C3B9E4D">
            <w:pPr>
              <w:pStyle w:val="64"/>
              <w:adjustRightInd w:val="0"/>
              <w:snapToGrid w:val="0"/>
              <w:rPr>
                <w:szCs w:val="22"/>
                <w:lang w:bidi="zh-CN"/>
                <w14:ligatures w14:val="none"/>
              </w:rPr>
            </w:pPr>
            <w:r>
              <w:rPr>
                <w:szCs w:val="22"/>
                <w:lang w:bidi="zh-CN"/>
                <w14:ligatures w14:val="none"/>
              </w:rPr>
              <w:t>120</w:t>
            </w:r>
          </w:p>
        </w:tc>
      </w:tr>
      <w:tr w14:paraId="58FEAF5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936" w:type="dxa"/>
            <w:vMerge w:val="continue"/>
            <w:tcBorders>
              <w:top w:val="single" w:color="auto" w:sz="4" w:space="0"/>
              <w:left w:val="single" w:color="auto" w:sz="4" w:space="0"/>
              <w:bottom w:val="single" w:color="auto" w:sz="4" w:space="0"/>
              <w:right w:val="single" w:color="auto" w:sz="4" w:space="0"/>
            </w:tcBorders>
            <w:vAlign w:val="center"/>
          </w:tcPr>
          <w:p w14:paraId="08D4B5C1">
            <w:pPr>
              <w:pStyle w:val="64"/>
              <w:adjustRightInd w:val="0"/>
              <w:snapToGrid w:val="0"/>
              <w:rPr>
                <w:szCs w:val="22"/>
                <w:lang w:bidi="zh-CN"/>
                <w14:ligatures w14:val="none"/>
              </w:rPr>
            </w:pPr>
          </w:p>
        </w:tc>
        <w:tc>
          <w:tcPr>
            <w:tcW w:w="869" w:type="dxa"/>
            <w:tcBorders>
              <w:top w:val="single" w:color="auto" w:sz="4" w:space="0"/>
              <w:left w:val="single" w:color="auto" w:sz="4" w:space="0"/>
              <w:bottom w:val="single" w:color="auto" w:sz="4" w:space="0"/>
              <w:right w:val="single" w:color="auto" w:sz="4" w:space="0"/>
            </w:tcBorders>
            <w:vAlign w:val="center"/>
          </w:tcPr>
          <w:p w14:paraId="634D5054">
            <w:pPr>
              <w:pStyle w:val="64"/>
              <w:adjustRightInd w:val="0"/>
              <w:snapToGrid w:val="0"/>
              <w:rPr>
                <w:szCs w:val="22"/>
                <w:lang w:bidi="zh-CN"/>
                <w14:ligatures w14:val="none"/>
              </w:rPr>
            </w:pPr>
            <w:r>
              <w:rPr>
                <w:szCs w:val="22"/>
                <w:lang w:bidi="zh-CN"/>
                <w14:ligatures w14:val="none"/>
              </w:rPr>
              <w:t>9</w:t>
            </w:r>
          </w:p>
        </w:tc>
        <w:tc>
          <w:tcPr>
            <w:tcW w:w="1597" w:type="dxa"/>
            <w:tcBorders>
              <w:top w:val="single" w:color="auto" w:sz="4" w:space="0"/>
              <w:left w:val="single" w:color="auto" w:sz="4" w:space="0"/>
              <w:bottom w:val="single" w:color="auto" w:sz="4" w:space="0"/>
              <w:right w:val="single" w:color="auto" w:sz="4" w:space="0"/>
            </w:tcBorders>
            <w:vAlign w:val="center"/>
          </w:tcPr>
          <w:p w14:paraId="280F8E98">
            <w:pPr>
              <w:pStyle w:val="64"/>
              <w:adjustRightInd w:val="0"/>
              <w:snapToGrid w:val="0"/>
              <w:rPr>
                <w:szCs w:val="22"/>
                <w:lang w:bidi="zh-CN"/>
                <w14:ligatures w14:val="none"/>
              </w:rPr>
            </w:pPr>
            <w:r>
              <w:rPr>
                <w:szCs w:val="22"/>
                <w:lang w:bidi="zh-CN"/>
                <w14:ligatures w14:val="none"/>
              </w:rPr>
              <w:t>草杨家</w:t>
            </w:r>
          </w:p>
        </w:tc>
        <w:tc>
          <w:tcPr>
            <w:tcW w:w="1083" w:type="dxa"/>
            <w:tcBorders>
              <w:top w:val="single" w:color="auto" w:sz="4" w:space="0"/>
              <w:left w:val="single" w:color="auto" w:sz="4" w:space="0"/>
              <w:bottom w:val="single" w:color="auto" w:sz="4" w:space="0"/>
              <w:right w:val="single" w:color="auto" w:sz="4" w:space="0"/>
            </w:tcBorders>
            <w:vAlign w:val="center"/>
          </w:tcPr>
          <w:p w14:paraId="77DE1C28">
            <w:pPr>
              <w:pStyle w:val="64"/>
              <w:adjustRightInd w:val="0"/>
              <w:snapToGrid w:val="0"/>
              <w:rPr>
                <w:szCs w:val="22"/>
                <w:lang w:bidi="zh-CN"/>
                <w14:ligatures w14:val="none"/>
              </w:rPr>
            </w:pPr>
            <w:r>
              <w:rPr>
                <w:szCs w:val="22"/>
                <w:lang w:bidi="zh-CN"/>
                <w14:ligatures w14:val="none"/>
              </w:rPr>
              <w:t>ENE</w:t>
            </w:r>
          </w:p>
        </w:tc>
        <w:tc>
          <w:tcPr>
            <w:tcW w:w="1489" w:type="dxa"/>
            <w:gridSpan w:val="2"/>
            <w:tcBorders>
              <w:top w:val="single" w:color="auto" w:sz="4" w:space="0"/>
              <w:left w:val="single" w:color="auto" w:sz="4" w:space="0"/>
              <w:bottom w:val="single" w:color="auto" w:sz="4" w:space="0"/>
              <w:right w:val="single" w:color="auto" w:sz="4" w:space="0"/>
            </w:tcBorders>
            <w:vAlign w:val="center"/>
          </w:tcPr>
          <w:p w14:paraId="1EEB1A8D">
            <w:pPr>
              <w:pStyle w:val="64"/>
              <w:adjustRightInd w:val="0"/>
              <w:snapToGrid w:val="0"/>
              <w:rPr>
                <w:szCs w:val="22"/>
                <w:lang w:bidi="zh-CN"/>
                <w14:ligatures w14:val="none"/>
              </w:rPr>
            </w:pPr>
            <w:r>
              <w:rPr>
                <w:szCs w:val="22"/>
                <w:lang w:bidi="zh-CN"/>
                <w14:ligatures w14:val="none"/>
              </w:rPr>
              <w:t>1952</w:t>
            </w:r>
          </w:p>
        </w:tc>
        <w:tc>
          <w:tcPr>
            <w:tcW w:w="1425" w:type="dxa"/>
            <w:gridSpan w:val="3"/>
            <w:tcBorders>
              <w:top w:val="single" w:color="auto" w:sz="4" w:space="0"/>
              <w:left w:val="single" w:color="auto" w:sz="4" w:space="0"/>
              <w:bottom w:val="single" w:color="auto" w:sz="4" w:space="0"/>
              <w:right w:val="single" w:color="auto" w:sz="4" w:space="0"/>
            </w:tcBorders>
            <w:vAlign w:val="center"/>
          </w:tcPr>
          <w:p w14:paraId="3C665BFB">
            <w:pPr>
              <w:pStyle w:val="64"/>
              <w:adjustRightInd w:val="0"/>
              <w:snapToGrid w:val="0"/>
              <w:rPr>
                <w:szCs w:val="22"/>
                <w:lang w:bidi="zh-CN"/>
                <w14:ligatures w14:val="none"/>
              </w:rPr>
            </w:pPr>
            <w:r>
              <w:rPr>
                <w:szCs w:val="22"/>
                <w:lang w:bidi="zh-CN"/>
                <w14:ligatures w14:val="none"/>
              </w:rPr>
              <w:t>居民点</w:t>
            </w:r>
          </w:p>
        </w:tc>
        <w:tc>
          <w:tcPr>
            <w:tcW w:w="1673" w:type="dxa"/>
            <w:gridSpan w:val="2"/>
            <w:tcBorders>
              <w:top w:val="single" w:color="auto" w:sz="4" w:space="0"/>
              <w:left w:val="single" w:color="auto" w:sz="4" w:space="0"/>
              <w:bottom w:val="single" w:color="auto" w:sz="4" w:space="0"/>
              <w:right w:val="single" w:color="auto" w:sz="4" w:space="0"/>
            </w:tcBorders>
            <w:vAlign w:val="center"/>
          </w:tcPr>
          <w:p w14:paraId="3DE36DF9">
            <w:pPr>
              <w:pStyle w:val="64"/>
              <w:adjustRightInd w:val="0"/>
              <w:snapToGrid w:val="0"/>
              <w:rPr>
                <w:szCs w:val="22"/>
                <w:lang w:bidi="zh-CN"/>
                <w14:ligatures w14:val="none"/>
              </w:rPr>
            </w:pPr>
            <w:r>
              <w:rPr>
                <w:szCs w:val="22"/>
                <w:lang w:bidi="zh-CN"/>
                <w14:ligatures w14:val="none"/>
              </w:rPr>
              <w:t>200</w:t>
            </w:r>
          </w:p>
        </w:tc>
      </w:tr>
      <w:tr w14:paraId="23F0F12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936" w:type="dxa"/>
            <w:vMerge w:val="continue"/>
            <w:tcBorders>
              <w:top w:val="single" w:color="auto" w:sz="4" w:space="0"/>
              <w:left w:val="single" w:color="auto" w:sz="4" w:space="0"/>
              <w:bottom w:val="single" w:color="auto" w:sz="4" w:space="0"/>
              <w:right w:val="single" w:color="auto" w:sz="4" w:space="0"/>
            </w:tcBorders>
            <w:vAlign w:val="center"/>
          </w:tcPr>
          <w:p w14:paraId="3D9A6EAF">
            <w:pPr>
              <w:pStyle w:val="64"/>
              <w:adjustRightInd w:val="0"/>
              <w:snapToGrid w:val="0"/>
              <w:rPr>
                <w:szCs w:val="22"/>
                <w:lang w:bidi="zh-CN"/>
                <w14:ligatures w14:val="none"/>
              </w:rPr>
            </w:pPr>
          </w:p>
        </w:tc>
        <w:tc>
          <w:tcPr>
            <w:tcW w:w="869" w:type="dxa"/>
            <w:tcBorders>
              <w:top w:val="single" w:color="auto" w:sz="4" w:space="0"/>
              <w:left w:val="single" w:color="auto" w:sz="4" w:space="0"/>
              <w:bottom w:val="single" w:color="auto" w:sz="4" w:space="0"/>
              <w:right w:val="single" w:color="auto" w:sz="4" w:space="0"/>
            </w:tcBorders>
            <w:vAlign w:val="center"/>
          </w:tcPr>
          <w:p w14:paraId="6894F8A1">
            <w:pPr>
              <w:pStyle w:val="64"/>
              <w:adjustRightInd w:val="0"/>
              <w:snapToGrid w:val="0"/>
              <w:rPr>
                <w:szCs w:val="22"/>
                <w:lang w:bidi="zh-CN"/>
                <w14:ligatures w14:val="none"/>
              </w:rPr>
            </w:pPr>
            <w:r>
              <w:rPr>
                <w:szCs w:val="22"/>
                <w:lang w:bidi="zh-CN"/>
                <w14:ligatures w14:val="none"/>
              </w:rPr>
              <w:t>10</w:t>
            </w:r>
          </w:p>
        </w:tc>
        <w:tc>
          <w:tcPr>
            <w:tcW w:w="1597" w:type="dxa"/>
            <w:tcBorders>
              <w:top w:val="single" w:color="auto" w:sz="4" w:space="0"/>
              <w:left w:val="single" w:color="auto" w:sz="4" w:space="0"/>
              <w:bottom w:val="single" w:color="auto" w:sz="4" w:space="0"/>
              <w:right w:val="single" w:color="auto" w:sz="4" w:space="0"/>
            </w:tcBorders>
            <w:vAlign w:val="center"/>
          </w:tcPr>
          <w:p w14:paraId="36131626">
            <w:pPr>
              <w:pStyle w:val="64"/>
              <w:adjustRightInd w:val="0"/>
              <w:snapToGrid w:val="0"/>
              <w:rPr>
                <w:szCs w:val="22"/>
                <w:lang w:bidi="zh-CN"/>
                <w14:ligatures w14:val="none"/>
              </w:rPr>
            </w:pPr>
            <w:r>
              <w:rPr>
                <w:szCs w:val="22"/>
                <w:lang w:bidi="zh-CN"/>
                <w14:ligatures w14:val="none"/>
              </w:rPr>
              <w:t>小陈家</w:t>
            </w:r>
          </w:p>
        </w:tc>
        <w:tc>
          <w:tcPr>
            <w:tcW w:w="1083" w:type="dxa"/>
            <w:tcBorders>
              <w:top w:val="single" w:color="auto" w:sz="4" w:space="0"/>
              <w:left w:val="single" w:color="auto" w:sz="4" w:space="0"/>
              <w:bottom w:val="single" w:color="auto" w:sz="4" w:space="0"/>
              <w:right w:val="single" w:color="auto" w:sz="4" w:space="0"/>
            </w:tcBorders>
            <w:vAlign w:val="center"/>
          </w:tcPr>
          <w:p w14:paraId="15458B98">
            <w:pPr>
              <w:pStyle w:val="64"/>
              <w:adjustRightInd w:val="0"/>
              <w:snapToGrid w:val="0"/>
              <w:rPr>
                <w:szCs w:val="22"/>
                <w:lang w:bidi="zh-CN"/>
                <w14:ligatures w14:val="none"/>
              </w:rPr>
            </w:pPr>
            <w:r>
              <w:rPr>
                <w:szCs w:val="22"/>
                <w:lang w:bidi="zh-CN"/>
                <w14:ligatures w14:val="none"/>
              </w:rPr>
              <w:t>ENE</w:t>
            </w:r>
          </w:p>
        </w:tc>
        <w:tc>
          <w:tcPr>
            <w:tcW w:w="1489" w:type="dxa"/>
            <w:gridSpan w:val="2"/>
            <w:tcBorders>
              <w:top w:val="single" w:color="auto" w:sz="4" w:space="0"/>
              <w:left w:val="single" w:color="auto" w:sz="4" w:space="0"/>
              <w:bottom w:val="single" w:color="auto" w:sz="4" w:space="0"/>
              <w:right w:val="single" w:color="auto" w:sz="4" w:space="0"/>
            </w:tcBorders>
            <w:vAlign w:val="center"/>
          </w:tcPr>
          <w:p w14:paraId="28090D41">
            <w:pPr>
              <w:pStyle w:val="64"/>
              <w:adjustRightInd w:val="0"/>
              <w:snapToGrid w:val="0"/>
              <w:rPr>
                <w:szCs w:val="22"/>
                <w:lang w:bidi="zh-CN"/>
                <w14:ligatures w14:val="none"/>
              </w:rPr>
            </w:pPr>
            <w:r>
              <w:rPr>
                <w:szCs w:val="22"/>
                <w:lang w:bidi="zh-CN"/>
                <w14:ligatures w14:val="none"/>
              </w:rPr>
              <w:t>4323</w:t>
            </w:r>
          </w:p>
        </w:tc>
        <w:tc>
          <w:tcPr>
            <w:tcW w:w="1425" w:type="dxa"/>
            <w:gridSpan w:val="3"/>
            <w:tcBorders>
              <w:top w:val="single" w:color="auto" w:sz="4" w:space="0"/>
              <w:left w:val="single" w:color="auto" w:sz="4" w:space="0"/>
              <w:bottom w:val="single" w:color="auto" w:sz="4" w:space="0"/>
              <w:right w:val="single" w:color="auto" w:sz="4" w:space="0"/>
            </w:tcBorders>
            <w:vAlign w:val="center"/>
          </w:tcPr>
          <w:p w14:paraId="7E4E3194">
            <w:pPr>
              <w:pStyle w:val="64"/>
              <w:adjustRightInd w:val="0"/>
              <w:snapToGrid w:val="0"/>
              <w:rPr>
                <w:szCs w:val="22"/>
                <w:lang w:bidi="zh-CN"/>
                <w14:ligatures w14:val="none"/>
              </w:rPr>
            </w:pPr>
            <w:r>
              <w:rPr>
                <w:szCs w:val="22"/>
                <w:lang w:bidi="zh-CN"/>
                <w14:ligatures w14:val="none"/>
              </w:rPr>
              <w:t>居民点</w:t>
            </w:r>
          </w:p>
        </w:tc>
        <w:tc>
          <w:tcPr>
            <w:tcW w:w="1673" w:type="dxa"/>
            <w:gridSpan w:val="2"/>
            <w:tcBorders>
              <w:top w:val="single" w:color="auto" w:sz="4" w:space="0"/>
              <w:left w:val="single" w:color="auto" w:sz="4" w:space="0"/>
              <w:bottom w:val="single" w:color="auto" w:sz="4" w:space="0"/>
              <w:right w:val="single" w:color="auto" w:sz="4" w:space="0"/>
            </w:tcBorders>
            <w:vAlign w:val="center"/>
          </w:tcPr>
          <w:p w14:paraId="18D0F919">
            <w:pPr>
              <w:pStyle w:val="64"/>
              <w:adjustRightInd w:val="0"/>
              <w:snapToGrid w:val="0"/>
              <w:rPr>
                <w:szCs w:val="22"/>
                <w:lang w:bidi="zh-CN"/>
                <w14:ligatures w14:val="none"/>
              </w:rPr>
            </w:pPr>
            <w:r>
              <w:rPr>
                <w:szCs w:val="22"/>
                <w:lang w:bidi="zh-CN"/>
                <w14:ligatures w14:val="none"/>
              </w:rPr>
              <w:t>50</w:t>
            </w:r>
          </w:p>
        </w:tc>
      </w:tr>
      <w:tr w14:paraId="147D366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936" w:type="dxa"/>
            <w:vMerge w:val="continue"/>
            <w:tcBorders>
              <w:top w:val="single" w:color="auto" w:sz="4" w:space="0"/>
              <w:left w:val="single" w:color="auto" w:sz="4" w:space="0"/>
              <w:bottom w:val="single" w:color="auto" w:sz="4" w:space="0"/>
              <w:right w:val="single" w:color="auto" w:sz="4" w:space="0"/>
            </w:tcBorders>
            <w:vAlign w:val="center"/>
          </w:tcPr>
          <w:p w14:paraId="6D601A11">
            <w:pPr>
              <w:pStyle w:val="64"/>
              <w:adjustRightInd w:val="0"/>
              <w:snapToGrid w:val="0"/>
              <w:rPr>
                <w:szCs w:val="22"/>
                <w:lang w:bidi="zh-CN"/>
                <w14:ligatures w14:val="none"/>
              </w:rPr>
            </w:pPr>
          </w:p>
        </w:tc>
        <w:tc>
          <w:tcPr>
            <w:tcW w:w="869" w:type="dxa"/>
            <w:tcBorders>
              <w:top w:val="single" w:color="auto" w:sz="4" w:space="0"/>
              <w:left w:val="single" w:color="auto" w:sz="4" w:space="0"/>
              <w:bottom w:val="single" w:color="auto" w:sz="4" w:space="0"/>
              <w:right w:val="single" w:color="auto" w:sz="4" w:space="0"/>
            </w:tcBorders>
            <w:vAlign w:val="center"/>
          </w:tcPr>
          <w:p w14:paraId="1AD4E129">
            <w:pPr>
              <w:pStyle w:val="64"/>
              <w:adjustRightInd w:val="0"/>
              <w:snapToGrid w:val="0"/>
              <w:rPr>
                <w:szCs w:val="22"/>
                <w:lang w:bidi="zh-CN"/>
                <w14:ligatures w14:val="none"/>
              </w:rPr>
            </w:pPr>
            <w:r>
              <w:rPr>
                <w:szCs w:val="22"/>
                <w:lang w:bidi="zh-CN"/>
                <w14:ligatures w14:val="none"/>
              </w:rPr>
              <w:t>11</w:t>
            </w:r>
          </w:p>
        </w:tc>
        <w:tc>
          <w:tcPr>
            <w:tcW w:w="1597" w:type="dxa"/>
            <w:tcBorders>
              <w:top w:val="single" w:color="auto" w:sz="4" w:space="0"/>
              <w:left w:val="single" w:color="auto" w:sz="4" w:space="0"/>
              <w:bottom w:val="single" w:color="auto" w:sz="4" w:space="0"/>
              <w:right w:val="single" w:color="auto" w:sz="4" w:space="0"/>
            </w:tcBorders>
            <w:vAlign w:val="center"/>
          </w:tcPr>
          <w:p w14:paraId="73CE936B">
            <w:pPr>
              <w:pStyle w:val="64"/>
              <w:adjustRightInd w:val="0"/>
              <w:snapToGrid w:val="0"/>
              <w:rPr>
                <w:szCs w:val="22"/>
                <w:lang w:bidi="zh-CN"/>
                <w14:ligatures w14:val="none"/>
              </w:rPr>
            </w:pPr>
            <w:r>
              <w:rPr>
                <w:szCs w:val="22"/>
                <w:lang w:bidi="zh-CN"/>
                <w14:ligatures w14:val="none"/>
              </w:rPr>
              <w:t>小史家</w:t>
            </w:r>
          </w:p>
        </w:tc>
        <w:tc>
          <w:tcPr>
            <w:tcW w:w="1083" w:type="dxa"/>
            <w:tcBorders>
              <w:top w:val="single" w:color="auto" w:sz="4" w:space="0"/>
              <w:left w:val="single" w:color="auto" w:sz="4" w:space="0"/>
              <w:bottom w:val="single" w:color="auto" w:sz="4" w:space="0"/>
              <w:right w:val="single" w:color="auto" w:sz="4" w:space="0"/>
            </w:tcBorders>
            <w:vAlign w:val="center"/>
          </w:tcPr>
          <w:p w14:paraId="56FA728C">
            <w:pPr>
              <w:pStyle w:val="64"/>
              <w:adjustRightInd w:val="0"/>
              <w:snapToGrid w:val="0"/>
              <w:rPr>
                <w:szCs w:val="22"/>
                <w:lang w:bidi="zh-CN"/>
                <w14:ligatures w14:val="none"/>
              </w:rPr>
            </w:pPr>
            <w:r>
              <w:rPr>
                <w:szCs w:val="22"/>
                <w:lang w:bidi="zh-CN"/>
                <w14:ligatures w14:val="none"/>
              </w:rPr>
              <w:t>ENE</w:t>
            </w:r>
          </w:p>
        </w:tc>
        <w:tc>
          <w:tcPr>
            <w:tcW w:w="1489" w:type="dxa"/>
            <w:gridSpan w:val="2"/>
            <w:tcBorders>
              <w:top w:val="single" w:color="auto" w:sz="4" w:space="0"/>
              <w:left w:val="single" w:color="auto" w:sz="4" w:space="0"/>
              <w:bottom w:val="single" w:color="auto" w:sz="4" w:space="0"/>
              <w:right w:val="single" w:color="auto" w:sz="4" w:space="0"/>
            </w:tcBorders>
            <w:vAlign w:val="center"/>
          </w:tcPr>
          <w:p w14:paraId="6109364E">
            <w:pPr>
              <w:pStyle w:val="64"/>
              <w:adjustRightInd w:val="0"/>
              <w:snapToGrid w:val="0"/>
              <w:rPr>
                <w:szCs w:val="22"/>
                <w:lang w:bidi="zh-CN"/>
                <w14:ligatures w14:val="none"/>
              </w:rPr>
            </w:pPr>
            <w:r>
              <w:rPr>
                <w:szCs w:val="22"/>
                <w:lang w:bidi="zh-CN"/>
                <w14:ligatures w14:val="none"/>
              </w:rPr>
              <w:t>3893</w:t>
            </w:r>
          </w:p>
        </w:tc>
        <w:tc>
          <w:tcPr>
            <w:tcW w:w="1425" w:type="dxa"/>
            <w:gridSpan w:val="3"/>
            <w:tcBorders>
              <w:top w:val="single" w:color="auto" w:sz="4" w:space="0"/>
              <w:left w:val="single" w:color="auto" w:sz="4" w:space="0"/>
              <w:bottom w:val="single" w:color="auto" w:sz="4" w:space="0"/>
              <w:right w:val="single" w:color="auto" w:sz="4" w:space="0"/>
            </w:tcBorders>
            <w:vAlign w:val="center"/>
          </w:tcPr>
          <w:p w14:paraId="3975392F">
            <w:pPr>
              <w:pStyle w:val="64"/>
              <w:adjustRightInd w:val="0"/>
              <w:snapToGrid w:val="0"/>
              <w:rPr>
                <w:szCs w:val="22"/>
                <w:lang w:bidi="zh-CN"/>
                <w14:ligatures w14:val="none"/>
              </w:rPr>
            </w:pPr>
            <w:r>
              <w:rPr>
                <w:szCs w:val="22"/>
                <w:lang w:bidi="zh-CN"/>
                <w14:ligatures w14:val="none"/>
              </w:rPr>
              <w:t>居民点</w:t>
            </w:r>
          </w:p>
        </w:tc>
        <w:tc>
          <w:tcPr>
            <w:tcW w:w="1673" w:type="dxa"/>
            <w:gridSpan w:val="2"/>
            <w:tcBorders>
              <w:top w:val="single" w:color="auto" w:sz="4" w:space="0"/>
              <w:left w:val="single" w:color="auto" w:sz="4" w:space="0"/>
              <w:bottom w:val="single" w:color="auto" w:sz="4" w:space="0"/>
              <w:right w:val="single" w:color="auto" w:sz="4" w:space="0"/>
            </w:tcBorders>
            <w:vAlign w:val="center"/>
          </w:tcPr>
          <w:p w14:paraId="611F9AA9">
            <w:pPr>
              <w:pStyle w:val="64"/>
              <w:adjustRightInd w:val="0"/>
              <w:snapToGrid w:val="0"/>
              <w:rPr>
                <w:szCs w:val="22"/>
                <w:lang w:bidi="zh-CN"/>
                <w14:ligatures w14:val="none"/>
              </w:rPr>
            </w:pPr>
            <w:r>
              <w:rPr>
                <w:szCs w:val="22"/>
                <w:lang w:bidi="zh-CN"/>
                <w14:ligatures w14:val="none"/>
              </w:rPr>
              <w:t>50</w:t>
            </w:r>
          </w:p>
        </w:tc>
      </w:tr>
      <w:tr w14:paraId="6B1368C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936" w:type="dxa"/>
            <w:vMerge w:val="continue"/>
            <w:tcBorders>
              <w:top w:val="single" w:color="auto" w:sz="4" w:space="0"/>
              <w:left w:val="single" w:color="auto" w:sz="4" w:space="0"/>
              <w:bottom w:val="single" w:color="auto" w:sz="4" w:space="0"/>
              <w:right w:val="single" w:color="auto" w:sz="4" w:space="0"/>
            </w:tcBorders>
            <w:vAlign w:val="center"/>
          </w:tcPr>
          <w:p w14:paraId="229C4A82">
            <w:pPr>
              <w:pStyle w:val="64"/>
              <w:adjustRightInd w:val="0"/>
              <w:snapToGrid w:val="0"/>
              <w:rPr>
                <w:szCs w:val="22"/>
                <w:lang w:bidi="zh-CN"/>
                <w14:ligatures w14:val="none"/>
              </w:rPr>
            </w:pPr>
          </w:p>
        </w:tc>
        <w:tc>
          <w:tcPr>
            <w:tcW w:w="869" w:type="dxa"/>
            <w:tcBorders>
              <w:top w:val="single" w:color="auto" w:sz="4" w:space="0"/>
              <w:left w:val="single" w:color="auto" w:sz="4" w:space="0"/>
              <w:bottom w:val="single" w:color="auto" w:sz="4" w:space="0"/>
              <w:right w:val="single" w:color="auto" w:sz="4" w:space="0"/>
            </w:tcBorders>
            <w:vAlign w:val="center"/>
          </w:tcPr>
          <w:p w14:paraId="60E32F32">
            <w:pPr>
              <w:pStyle w:val="64"/>
              <w:adjustRightInd w:val="0"/>
              <w:snapToGrid w:val="0"/>
              <w:rPr>
                <w:szCs w:val="22"/>
                <w:lang w:bidi="zh-CN"/>
                <w14:ligatures w14:val="none"/>
              </w:rPr>
            </w:pPr>
            <w:r>
              <w:rPr>
                <w:szCs w:val="22"/>
                <w:lang w:bidi="zh-CN"/>
                <w14:ligatures w14:val="none"/>
              </w:rPr>
              <w:t>12</w:t>
            </w:r>
          </w:p>
        </w:tc>
        <w:tc>
          <w:tcPr>
            <w:tcW w:w="1597" w:type="dxa"/>
            <w:tcBorders>
              <w:top w:val="single" w:color="auto" w:sz="4" w:space="0"/>
              <w:left w:val="single" w:color="auto" w:sz="4" w:space="0"/>
              <w:bottom w:val="single" w:color="auto" w:sz="4" w:space="0"/>
              <w:right w:val="single" w:color="auto" w:sz="4" w:space="0"/>
            </w:tcBorders>
            <w:vAlign w:val="center"/>
          </w:tcPr>
          <w:p w14:paraId="0696866E">
            <w:pPr>
              <w:pStyle w:val="64"/>
              <w:adjustRightInd w:val="0"/>
              <w:snapToGrid w:val="0"/>
              <w:rPr>
                <w:szCs w:val="22"/>
                <w:lang w:bidi="zh-CN"/>
                <w14:ligatures w14:val="none"/>
              </w:rPr>
            </w:pPr>
            <w:r>
              <w:rPr>
                <w:szCs w:val="22"/>
                <w:lang w:bidi="zh-CN"/>
                <w14:ligatures w14:val="none"/>
              </w:rPr>
              <w:t>芦李庄</w:t>
            </w:r>
          </w:p>
        </w:tc>
        <w:tc>
          <w:tcPr>
            <w:tcW w:w="1083" w:type="dxa"/>
            <w:tcBorders>
              <w:top w:val="single" w:color="auto" w:sz="4" w:space="0"/>
              <w:left w:val="single" w:color="auto" w:sz="4" w:space="0"/>
              <w:bottom w:val="single" w:color="auto" w:sz="4" w:space="0"/>
              <w:right w:val="single" w:color="auto" w:sz="4" w:space="0"/>
            </w:tcBorders>
            <w:vAlign w:val="center"/>
          </w:tcPr>
          <w:p w14:paraId="57AFE7B3">
            <w:pPr>
              <w:pStyle w:val="64"/>
              <w:adjustRightInd w:val="0"/>
              <w:snapToGrid w:val="0"/>
              <w:rPr>
                <w:szCs w:val="22"/>
                <w:lang w:bidi="zh-CN"/>
                <w14:ligatures w14:val="none"/>
              </w:rPr>
            </w:pPr>
            <w:r>
              <w:rPr>
                <w:szCs w:val="22"/>
                <w:lang w:bidi="zh-CN"/>
                <w14:ligatures w14:val="none"/>
              </w:rPr>
              <w:t>ENE</w:t>
            </w:r>
          </w:p>
        </w:tc>
        <w:tc>
          <w:tcPr>
            <w:tcW w:w="1489" w:type="dxa"/>
            <w:gridSpan w:val="2"/>
            <w:tcBorders>
              <w:top w:val="single" w:color="auto" w:sz="4" w:space="0"/>
              <w:left w:val="single" w:color="auto" w:sz="4" w:space="0"/>
              <w:bottom w:val="single" w:color="auto" w:sz="4" w:space="0"/>
              <w:right w:val="single" w:color="auto" w:sz="4" w:space="0"/>
            </w:tcBorders>
            <w:vAlign w:val="center"/>
          </w:tcPr>
          <w:p w14:paraId="1258B1A5">
            <w:pPr>
              <w:pStyle w:val="64"/>
              <w:adjustRightInd w:val="0"/>
              <w:snapToGrid w:val="0"/>
              <w:rPr>
                <w:szCs w:val="22"/>
                <w:lang w:bidi="zh-CN"/>
                <w14:ligatures w14:val="none"/>
              </w:rPr>
            </w:pPr>
            <w:r>
              <w:rPr>
                <w:szCs w:val="22"/>
                <w:lang w:bidi="zh-CN"/>
                <w14:ligatures w14:val="none"/>
              </w:rPr>
              <w:t>2720</w:t>
            </w:r>
          </w:p>
        </w:tc>
        <w:tc>
          <w:tcPr>
            <w:tcW w:w="1425" w:type="dxa"/>
            <w:gridSpan w:val="3"/>
            <w:tcBorders>
              <w:top w:val="single" w:color="auto" w:sz="4" w:space="0"/>
              <w:left w:val="single" w:color="auto" w:sz="4" w:space="0"/>
              <w:bottom w:val="single" w:color="auto" w:sz="4" w:space="0"/>
              <w:right w:val="single" w:color="auto" w:sz="4" w:space="0"/>
            </w:tcBorders>
            <w:vAlign w:val="center"/>
          </w:tcPr>
          <w:p w14:paraId="6FA3C4D4">
            <w:pPr>
              <w:pStyle w:val="64"/>
              <w:adjustRightInd w:val="0"/>
              <w:snapToGrid w:val="0"/>
              <w:rPr>
                <w:szCs w:val="22"/>
                <w:lang w:bidi="zh-CN"/>
                <w14:ligatures w14:val="none"/>
              </w:rPr>
            </w:pPr>
            <w:r>
              <w:rPr>
                <w:szCs w:val="22"/>
                <w:lang w:bidi="zh-CN"/>
                <w14:ligatures w14:val="none"/>
              </w:rPr>
              <w:t>居民点</w:t>
            </w:r>
          </w:p>
        </w:tc>
        <w:tc>
          <w:tcPr>
            <w:tcW w:w="1673" w:type="dxa"/>
            <w:gridSpan w:val="2"/>
            <w:tcBorders>
              <w:top w:val="single" w:color="auto" w:sz="4" w:space="0"/>
              <w:left w:val="single" w:color="auto" w:sz="4" w:space="0"/>
              <w:bottom w:val="single" w:color="auto" w:sz="4" w:space="0"/>
              <w:right w:val="single" w:color="auto" w:sz="4" w:space="0"/>
            </w:tcBorders>
            <w:vAlign w:val="center"/>
          </w:tcPr>
          <w:p w14:paraId="78C2FA90">
            <w:pPr>
              <w:pStyle w:val="64"/>
              <w:adjustRightInd w:val="0"/>
              <w:snapToGrid w:val="0"/>
              <w:rPr>
                <w:szCs w:val="22"/>
                <w:lang w:bidi="zh-CN"/>
                <w14:ligatures w14:val="none"/>
              </w:rPr>
            </w:pPr>
            <w:r>
              <w:rPr>
                <w:szCs w:val="22"/>
                <w:lang w:bidi="zh-CN"/>
                <w14:ligatures w14:val="none"/>
              </w:rPr>
              <w:t>72</w:t>
            </w:r>
          </w:p>
        </w:tc>
      </w:tr>
      <w:tr w14:paraId="64ABD85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936" w:type="dxa"/>
            <w:vMerge w:val="continue"/>
            <w:tcBorders>
              <w:top w:val="single" w:color="auto" w:sz="4" w:space="0"/>
              <w:left w:val="single" w:color="auto" w:sz="4" w:space="0"/>
              <w:bottom w:val="single" w:color="auto" w:sz="4" w:space="0"/>
              <w:right w:val="single" w:color="auto" w:sz="4" w:space="0"/>
            </w:tcBorders>
            <w:vAlign w:val="center"/>
          </w:tcPr>
          <w:p w14:paraId="62A6E3D1">
            <w:pPr>
              <w:pStyle w:val="64"/>
              <w:adjustRightInd w:val="0"/>
              <w:snapToGrid w:val="0"/>
              <w:rPr>
                <w:szCs w:val="22"/>
                <w:lang w:bidi="zh-CN"/>
                <w14:ligatures w14:val="none"/>
              </w:rPr>
            </w:pPr>
          </w:p>
        </w:tc>
        <w:tc>
          <w:tcPr>
            <w:tcW w:w="869" w:type="dxa"/>
            <w:tcBorders>
              <w:top w:val="single" w:color="auto" w:sz="4" w:space="0"/>
              <w:left w:val="single" w:color="auto" w:sz="4" w:space="0"/>
              <w:bottom w:val="single" w:color="auto" w:sz="4" w:space="0"/>
              <w:right w:val="single" w:color="auto" w:sz="4" w:space="0"/>
            </w:tcBorders>
            <w:vAlign w:val="center"/>
          </w:tcPr>
          <w:p w14:paraId="377EC72E">
            <w:pPr>
              <w:pStyle w:val="64"/>
              <w:adjustRightInd w:val="0"/>
              <w:snapToGrid w:val="0"/>
              <w:rPr>
                <w:szCs w:val="22"/>
                <w:lang w:bidi="zh-CN"/>
                <w14:ligatures w14:val="none"/>
              </w:rPr>
            </w:pPr>
            <w:r>
              <w:rPr>
                <w:szCs w:val="22"/>
                <w:lang w:bidi="zh-CN"/>
                <w14:ligatures w14:val="none"/>
              </w:rPr>
              <w:t>13</w:t>
            </w:r>
          </w:p>
        </w:tc>
        <w:tc>
          <w:tcPr>
            <w:tcW w:w="1597" w:type="dxa"/>
            <w:tcBorders>
              <w:top w:val="single" w:color="auto" w:sz="4" w:space="0"/>
              <w:left w:val="single" w:color="auto" w:sz="4" w:space="0"/>
              <w:bottom w:val="single" w:color="auto" w:sz="4" w:space="0"/>
              <w:right w:val="single" w:color="auto" w:sz="4" w:space="0"/>
            </w:tcBorders>
            <w:vAlign w:val="center"/>
          </w:tcPr>
          <w:p w14:paraId="15AC0C07">
            <w:pPr>
              <w:pStyle w:val="64"/>
              <w:adjustRightInd w:val="0"/>
              <w:snapToGrid w:val="0"/>
              <w:rPr>
                <w:szCs w:val="22"/>
                <w:lang w:bidi="zh-CN"/>
                <w14:ligatures w14:val="none"/>
              </w:rPr>
            </w:pPr>
            <w:r>
              <w:rPr>
                <w:szCs w:val="22"/>
                <w:lang w:bidi="zh-CN"/>
                <w14:ligatures w14:val="none"/>
              </w:rPr>
              <w:t>夏家湖</w:t>
            </w:r>
          </w:p>
        </w:tc>
        <w:tc>
          <w:tcPr>
            <w:tcW w:w="1083" w:type="dxa"/>
            <w:tcBorders>
              <w:top w:val="single" w:color="auto" w:sz="4" w:space="0"/>
              <w:left w:val="single" w:color="auto" w:sz="4" w:space="0"/>
              <w:bottom w:val="single" w:color="auto" w:sz="4" w:space="0"/>
              <w:right w:val="single" w:color="auto" w:sz="4" w:space="0"/>
            </w:tcBorders>
            <w:vAlign w:val="center"/>
          </w:tcPr>
          <w:p w14:paraId="045613A1">
            <w:pPr>
              <w:pStyle w:val="64"/>
              <w:adjustRightInd w:val="0"/>
              <w:snapToGrid w:val="0"/>
              <w:rPr>
                <w:szCs w:val="22"/>
                <w:lang w:bidi="zh-CN"/>
                <w14:ligatures w14:val="none"/>
              </w:rPr>
            </w:pPr>
            <w:r>
              <w:rPr>
                <w:szCs w:val="22"/>
                <w:lang w:bidi="zh-CN"/>
                <w14:ligatures w14:val="none"/>
              </w:rPr>
              <w:t>ENE</w:t>
            </w:r>
          </w:p>
        </w:tc>
        <w:tc>
          <w:tcPr>
            <w:tcW w:w="1489" w:type="dxa"/>
            <w:gridSpan w:val="2"/>
            <w:tcBorders>
              <w:top w:val="single" w:color="auto" w:sz="4" w:space="0"/>
              <w:left w:val="single" w:color="auto" w:sz="4" w:space="0"/>
              <w:bottom w:val="single" w:color="auto" w:sz="4" w:space="0"/>
              <w:right w:val="single" w:color="auto" w:sz="4" w:space="0"/>
            </w:tcBorders>
            <w:vAlign w:val="center"/>
          </w:tcPr>
          <w:p w14:paraId="753BCBF8">
            <w:pPr>
              <w:pStyle w:val="64"/>
              <w:adjustRightInd w:val="0"/>
              <w:snapToGrid w:val="0"/>
              <w:rPr>
                <w:szCs w:val="22"/>
                <w:lang w:bidi="zh-CN"/>
                <w14:ligatures w14:val="none"/>
              </w:rPr>
            </w:pPr>
            <w:r>
              <w:rPr>
                <w:szCs w:val="22"/>
                <w:lang w:bidi="zh-CN"/>
                <w14:ligatures w14:val="none"/>
              </w:rPr>
              <w:t>1733</w:t>
            </w:r>
          </w:p>
        </w:tc>
        <w:tc>
          <w:tcPr>
            <w:tcW w:w="1425" w:type="dxa"/>
            <w:gridSpan w:val="3"/>
            <w:tcBorders>
              <w:top w:val="single" w:color="auto" w:sz="4" w:space="0"/>
              <w:left w:val="single" w:color="auto" w:sz="4" w:space="0"/>
              <w:bottom w:val="single" w:color="auto" w:sz="4" w:space="0"/>
              <w:right w:val="single" w:color="auto" w:sz="4" w:space="0"/>
            </w:tcBorders>
            <w:vAlign w:val="center"/>
          </w:tcPr>
          <w:p w14:paraId="120CEA0C">
            <w:pPr>
              <w:pStyle w:val="64"/>
              <w:adjustRightInd w:val="0"/>
              <w:snapToGrid w:val="0"/>
              <w:rPr>
                <w:szCs w:val="22"/>
                <w:lang w:bidi="zh-CN"/>
                <w14:ligatures w14:val="none"/>
              </w:rPr>
            </w:pPr>
            <w:r>
              <w:rPr>
                <w:szCs w:val="22"/>
                <w:lang w:bidi="zh-CN"/>
                <w14:ligatures w14:val="none"/>
              </w:rPr>
              <w:t>居民点</w:t>
            </w:r>
          </w:p>
        </w:tc>
        <w:tc>
          <w:tcPr>
            <w:tcW w:w="1673" w:type="dxa"/>
            <w:gridSpan w:val="2"/>
            <w:tcBorders>
              <w:top w:val="single" w:color="auto" w:sz="4" w:space="0"/>
              <w:left w:val="single" w:color="auto" w:sz="4" w:space="0"/>
              <w:bottom w:val="single" w:color="auto" w:sz="4" w:space="0"/>
              <w:right w:val="single" w:color="auto" w:sz="4" w:space="0"/>
            </w:tcBorders>
            <w:vAlign w:val="center"/>
          </w:tcPr>
          <w:p w14:paraId="147B9911">
            <w:pPr>
              <w:pStyle w:val="64"/>
              <w:adjustRightInd w:val="0"/>
              <w:snapToGrid w:val="0"/>
              <w:rPr>
                <w:szCs w:val="22"/>
                <w:lang w:bidi="zh-CN"/>
                <w14:ligatures w14:val="none"/>
              </w:rPr>
            </w:pPr>
            <w:r>
              <w:rPr>
                <w:szCs w:val="22"/>
                <w:lang w:bidi="zh-CN"/>
                <w14:ligatures w14:val="none"/>
              </w:rPr>
              <w:t>300</w:t>
            </w:r>
          </w:p>
        </w:tc>
      </w:tr>
      <w:tr w14:paraId="0A5F658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936" w:type="dxa"/>
            <w:vMerge w:val="continue"/>
            <w:tcBorders>
              <w:top w:val="single" w:color="auto" w:sz="4" w:space="0"/>
              <w:left w:val="single" w:color="auto" w:sz="4" w:space="0"/>
              <w:bottom w:val="single" w:color="auto" w:sz="4" w:space="0"/>
              <w:right w:val="single" w:color="auto" w:sz="4" w:space="0"/>
            </w:tcBorders>
            <w:vAlign w:val="center"/>
          </w:tcPr>
          <w:p w14:paraId="2F96B601">
            <w:pPr>
              <w:pStyle w:val="64"/>
              <w:adjustRightInd w:val="0"/>
              <w:snapToGrid w:val="0"/>
              <w:rPr>
                <w:szCs w:val="22"/>
                <w:lang w:bidi="zh-CN"/>
                <w14:ligatures w14:val="none"/>
              </w:rPr>
            </w:pPr>
          </w:p>
        </w:tc>
        <w:tc>
          <w:tcPr>
            <w:tcW w:w="869" w:type="dxa"/>
            <w:tcBorders>
              <w:top w:val="single" w:color="auto" w:sz="4" w:space="0"/>
              <w:left w:val="single" w:color="auto" w:sz="4" w:space="0"/>
              <w:bottom w:val="single" w:color="auto" w:sz="4" w:space="0"/>
              <w:right w:val="single" w:color="auto" w:sz="4" w:space="0"/>
            </w:tcBorders>
            <w:vAlign w:val="center"/>
          </w:tcPr>
          <w:p w14:paraId="43D113A3">
            <w:pPr>
              <w:pStyle w:val="64"/>
              <w:adjustRightInd w:val="0"/>
              <w:snapToGrid w:val="0"/>
              <w:rPr>
                <w:szCs w:val="22"/>
                <w:lang w:bidi="zh-CN"/>
                <w14:ligatures w14:val="none"/>
              </w:rPr>
            </w:pPr>
            <w:r>
              <w:rPr>
                <w:szCs w:val="22"/>
                <w:lang w:bidi="zh-CN"/>
                <w14:ligatures w14:val="none"/>
              </w:rPr>
              <w:t>14</w:t>
            </w:r>
          </w:p>
        </w:tc>
        <w:tc>
          <w:tcPr>
            <w:tcW w:w="1597" w:type="dxa"/>
            <w:tcBorders>
              <w:top w:val="single" w:color="auto" w:sz="4" w:space="0"/>
              <w:left w:val="single" w:color="auto" w:sz="4" w:space="0"/>
              <w:bottom w:val="single" w:color="auto" w:sz="4" w:space="0"/>
              <w:right w:val="single" w:color="auto" w:sz="4" w:space="0"/>
            </w:tcBorders>
            <w:vAlign w:val="center"/>
          </w:tcPr>
          <w:p w14:paraId="46EB34CC">
            <w:pPr>
              <w:pStyle w:val="64"/>
              <w:adjustRightInd w:val="0"/>
              <w:snapToGrid w:val="0"/>
              <w:rPr>
                <w:szCs w:val="22"/>
                <w:lang w:bidi="zh-CN"/>
                <w14:ligatures w14:val="none"/>
              </w:rPr>
            </w:pPr>
            <w:r>
              <w:rPr>
                <w:szCs w:val="22"/>
                <w:lang w:bidi="zh-CN"/>
                <w14:ligatures w14:val="none"/>
              </w:rPr>
              <w:t>郭台子</w:t>
            </w:r>
          </w:p>
        </w:tc>
        <w:tc>
          <w:tcPr>
            <w:tcW w:w="1083" w:type="dxa"/>
            <w:tcBorders>
              <w:top w:val="single" w:color="auto" w:sz="4" w:space="0"/>
              <w:left w:val="single" w:color="auto" w:sz="4" w:space="0"/>
              <w:bottom w:val="single" w:color="auto" w:sz="4" w:space="0"/>
              <w:right w:val="single" w:color="auto" w:sz="4" w:space="0"/>
            </w:tcBorders>
            <w:vAlign w:val="center"/>
          </w:tcPr>
          <w:p w14:paraId="4855551E">
            <w:pPr>
              <w:pStyle w:val="64"/>
              <w:adjustRightInd w:val="0"/>
              <w:snapToGrid w:val="0"/>
              <w:rPr>
                <w:szCs w:val="22"/>
                <w:lang w:bidi="zh-CN"/>
                <w14:ligatures w14:val="none"/>
              </w:rPr>
            </w:pPr>
            <w:r>
              <w:rPr>
                <w:szCs w:val="22"/>
                <w:lang w:bidi="zh-CN"/>
                <w14:ligatures w14:val="none"/>
              </w:rPr>
              <w:t>ENE</w:t>
            </w:r>
          </w:p>
        </w:tc>
        <w:tc>
          <w:tcPr>
            <w:tcW w:w="1489" w:type="dxa"/>
            <w:gridSpan w:val="2"/>
            <w:tcBorders>
              <w:top w:val="single" w:color="auto" w:sz="4" w:space="0"/>
              <w:left w:val="single" w:color="auto" w:sz="4" w:space="0"/>
              <w:bottom w:val="single" w:color="auto" w:sz="4" w:space="0"/>
              <w:right w:val="single" w:color="auto" w:sz="4" w:space="0"/>
            </w:tcBorders>
            <w:vAlign w:val="center"/>
          </w:tcPr>
          <w:p w14:paraId="0CAF4607">
            <w:pPr>
              <w:pStyle w:val="64"/>
              <w:adjustRightInd w:val="0"/>
              <w:snapToGrid w:val="0"/>
              <w:rPr>
                <w:szCs w:val="22"/>
                <w:lang w:bidi="zh-CN"/>
                <w14:ligatures w14:val="none"/>
              </w:rPr>
            </w:pPr>
            <w:r>
              <w:rPr>
                <w:szCs w:val="22"/>
                <w:lang w:bidi="zh-CN"/>
                <w14:ligatures w14:val="none"/>
              </w:rPr>
              <w:t>3474</w:t>
            </w:r>
          </w:p>
        </w:tc>
        <w:tc>
          <w:tcPr>
            <w:tcW w:w="1425" w:type="dxa"/>
            <w:gridSpan w:val="3"/>
            <w:tcBorders>
              <w:top w:val="single" w:color="auto" w:sz="4" w:space="0"/>
              <w:left w:val="single" w:color="auto" w:sz="4" w:space="0"/>
              <w:bottom w:val="single" w:color="auto" w:sz="4" w:space="0"/>
              <w:right w:val="single" w:color="auto" w:sz="4" w:space="0"/>
            </w:tcBorders>
            <w:vAlign w:val="center"/>
          </w:tcPr>
          <w:p w14:paraId="3B1E4420">
            <w:pPr>
              <w:pStyle w:val="64"/>
              <w:adjustRightInd w:val="0"/>
              <w:snapToGrid w:val="0"/>
              <w:rPr>
                <w:szCs w:val="22"/>
                <w:lang w:bidi="zh-CN"/>
                <w14:ligatures w14:val="none"/>
              </w:rPr>
            </w:pPr>
            <w:r>
              <w:rPr>
                <w:szCs w:val="22"/>
                <w:lang w:bidi="zh-CN"/>
                <w14:ligatures w14:val="none"/>
              </w:rPr>
              <w:t>居民点</w:t>
            </w:r>
          </w:p>
        </w:tc>
        <w:tc>
          <w:tcPr>
            <w:tcW w:w="1673" w:type="dxa"/>
            <w:gridSpan w:val="2"/>
            <w:tcBorders>
              <w:top w:val="single" w:color="auto" w:sz="4" w:space="0"/>
              <w:left w:val="single" w:color="auto" w:sz="4" w:space="0"/>
              <w:bottom w:val="single" w:color="auto" w:sz="4" w:space="0"/>
              <w:right w:val="single" w:color="auto" w:sz="4" w:space="0"/>
            </w:tcBorders>
            <w:vAlign w:val="center"/>
          </w:tcPr>
          <w:p w14:paraId="13284157">
            <w:pPr>
              <w:pStyle w:val="64"/>
              <w:adjustRightInd w:val="0"/>
              <w:snapToGrid w:val="0"/>
              <w:rPr>
                <w:szCs w:val="22"/>
                <w:lang w:bidi="zh-CN"/>
                <w14:ligatures w14:val="none"/>
              </w:rPr>
            </w:pPr>
            <w:r>
              <w:rPr>
                <w:szCs w:val="22"/>
                <w:lang w:bidi="zh-CN"/>
                <w14:ligatures w14:val="none"/>
              </w:rPr>
              <w:t>100</w:t>
            </w:r>
          </w:p>
        </w:tc>
      </w:tr>
      <w:tr w14:paraId="53D67AB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936" w:type="dxa"/>
            <w:vMerge w:val="continue"/>
            <w:tcBorders>
              <w:top w:val="single" w:color="auto" w:sz="4" w:space="0"/>
              <w:left w:val="single" w:color="auto" w:sz="4" w:space="0"/>
              <w:bottom w:val="single" w:color="auto" w:sz="4" w:space="0"/>
              <w:right w:val="single" w:color="auto" w:sz="4" w:space="0"/>
            </w:tcBorders>
            <w:vAlign w:val="center"/>
          </w:tcPr>
          <w:p w14:paraId="08C77585">
            <w:pPr>
              <w:pStyle w:val="64"/>
              <w:adjustRightInd w:val="0"/>
              <w:snapToGrid w:val="0"/>
              <w:rPr>
                <w:szCs w:val="22"/>
                <w:lang w:bidi="zh-CN"/>
                <w14:ligatures w14:val="none"/>
              </w:rPr>
            </w:pPr>
          </w:p>
        </w:tc>
        <w:tc>
          <w:tcPr>
            <w:tcW w:w="869" w:type="dxa"/>
            <w:tcBorders>
              <w:top w:val="single" w:color="auto" w:sz="4" w:space="0"/>
              <w:left w:val="single" w:color="auto" w:sz="4" w:space="0"/>
              <w:bottom w:val="single" w:color="auto" w:sz="4" w:space="0"/>
              <w:right w:val="single" w:color="auto" w:sz="4" w:space="0"/>
            </w:tcBorders>
            <w:vAlign w:val="center"/>
          </w:tcPr>
          <w:p w14:paraId="66F411A2">
            <w:pPr>
              <w:pStyle w:val="64"/>
              <w:adjustRightInd w:val="0"/>
              <w:snapToGrid w:val="0"/>
              <w:rPr>
                <w:szCs w:val="22"/>
                <w:lang w:bidi="zh-CN"/>
                <w14:ligatures w14:val="none"/>
              </w:rPr>
            </w:pPr>
            <w:r>
              <w:rPr>
                <w:szCs w:val="22"/>
                <w:lang w:bidi="zh-CN"/>
                <w14:ligatures w14:val="none"/>
              </w:rPr>
              <w:t>15</w:t>
            </w:r>
          </w:p>
        </w:tc>
        <w:tc>
          <w:tcPr>
            <w:tcW w:w="1597" w:type="dxa"/>
            <w:tcBorders>
              <w:top w:val="single" w:color="auto" w:sz="4" w:space="0"/>
              <w:left w:val="single" w:color="auto" w:sz="4" w:space="0"/>
              <w:bottom w:val="single" w:color="auto" w:sz="4" w:space="0"/>
              <w:right w:val="single" w:color="auto" w:sz="4" w:space="0"/>
            </w:tcBorders>
            <w:vAlign w:val="center"/>
          </w:tcPr>
          <w:p w14:paraId="3C555509">
            <w:pPr>
              <w:pStyle w:val="64"/>
              <w:adjustRightInd w:val="0"/>
              <w:snapToGrid w:val="0"/>
              <w:rPr>
                <w:szCs w:val="22"/>
                <w:lang w:bidi="zh-CN"/>
                <w14:ligatures w14:val="none"/>
              </w:rPr>
            </w:pPr>
            <w:r>
              <w:rPr>
                <w:szCs w:val="22"/>
                <w:lang w:bidi="zh-CN"/>
                <w14:ligatures w14:val="none"/>
              </w:rPr>
              <w:t>胡圩</w:t>
            </w:r>
          </w:p>
        </w:tc>
        <w:tc>
          <w:tcPr>
            <w:tcW w:w="1083" w:type="dxa"/>
            <w:tcBorders>
              <w:top w:val="single" w:color="auto" w:sz="4" w:space="0"/>
              <w:left w:val="single" w:color="auto" w:sz="4" w:space="0"/>
              <w:bottom w:val="single" w:color="auto" w:sz="4" w:space="0"/>
              <w:right w:val="single" w:color="auto" w:sz="4" w:space="0"/>
            </w:tcBorders>
            <w:vAlign w:val="center"/>
          </w:tcPr>
          <w:p w14:paraId="30AC044D">
            <w:pPr>
              <w:pStyle w:val="64"/>
              <w:adjustRightInd w:val="0"/>
              <w:snapToGrid w:val="0"/>
              <w:rPr>
                <w:szCs w:val="22"/>
                <w:lang w:bidi="zh-CN"/>
                <w14:ligatures w14:val="none"/>
              </w:rPr>
            </w:pPr>
            <w:r>
              <w:rPr>
                <w:szCs w:val="22"/>
                <w:lang w:bidi="zh-CN"/>
                <w14:ligatures w14:val="none"/>
              </w:rPr>
              <w:t>ESE</w:t>
            </w:r>
          </w:p>
        </w:tc>
        <w:tc>
          <w:tcPr>
            <w:tcW w:w="1489" w:type="dxa"/>
            <w:gridSpan w:val="2"/>
            <w:tcBorders>
              <w:top w:val="single" w:color="auto" w:sz="4" w:space="0"/>
              <w:left w:val="single" w:color="auto" w:sz="4" w:space="0"/>
              <w:bottom w:val="single" w:color="auto" w:sz="4" w:space="0"/>
              <w:right w:val="single" w:color="auto" w:sz="4" w:space="0"/>
            </w:tcBorders>
            <w:vAlign w:val="center"/>
          </w:tcPr>
          <w:p w14:paraId="522DC321">
            <w:pPr>
              <w:pStyle w:val="64"/>
              <w:adjustRightInd w:val="0"/>
              <w:snapToGrid w:val="0"/>
              <w:rPr>
                <w:szCs w:val="22"/>
                <w:lang w:bidi="zh-CN"/>
                <w14:ligatures w14:val="none"/>
              </w:rPr>
            </w:pPr>
            <w:r>
              <w:rPr>
                <w:szCs w:val="22"/>
                <w:lang w:bidi="zh-CN"/>
                <w14:ligatures w14:val="none"/>
              </w:rPr>
              <w:t>3376</w:t>
            </w:r>
          </w:p>
        </w:tc>
        <w:tc>
          <w:tcPr>
            <w:tcW w:w="1425" w:type="dxa"/>
            <w:gridSpan w:val="3"/>
            <w:tcBorders>
              <w:top w:val="single" w:color="auto" w:sz="4" w:space="0"/>
              <w:left w:val="single" w:color="auto" w:sz="4" w:space="0"/>
              <w:bottom w:val="single" w:color="auto" w:sz="4" w:space="0"/>
              <w:right w:val="single" w:color="auto" w:sz="4" w:space="0"/>
            </w:tcBorders>
            <w:vAlign w:val="center"/>
          </w:tcPr>
          <w:p w14:paraId="40A3BBEE">
            <w:pPr>
              <w:pStyle w:val="64"/>
              <w:adjustRightInd w:val="0"/>
              <w:snapToGrid w:val="0"/>
              <w:rPr>
                <w:szCs w:val="22"/>
                <w:lang w:bidi="zh-CN"/>
                <w14:ligatures w14:val="none"/>
              </w:rPr>
            </w:pPr>
            <w:r>
              <w:rPr>
                <w:szCs w:val="22"/>
                <w:lang w:bidi="zh-CN"/>
                <w14:ligatures w14:val="none"/>
              </w:rPr>
              <w:t>居民点</w:t>
            </w:r>
          </w:p>
        </w:tc>
        <w:tc>
          <w:tcPr>
            <w:tcW w:w="1673" w:type="dxa"/>
            <w:gridSpan w:val="2"/>
            <w:tcBorders>
              <w:top w:val="single" w:color="auto" w:sz="4" w:space="0"/>
              <w:left w:val="single" w:color="auto" w:sz="4" w:space="0"/>
              <w:bottom w:val="single" w:color="auto" w:sz="4" w:space="0"/>
              <w:right w:val="single" w:color="auto" w:sz="4" w:space="0"/>
            </w:tcBorders>
            <w:vAlign w:val="center"/>
          </w:tcPr>
          <w:p w14:paraId="646D655D">
            <w:pPr>
              <w:pStyle w:val="64"/>
              <w:adjustRightInd w:val="0"/>
              <w:snapToGrid w:val="0"/>
              <w:rPr>
                <w:szCs w:val="22"/>
                <w:lang w:bidi="zh-CN"/>
                <w14:ligatures w14:val="none"/>
              </w:rPr>
            </w:pPr>
            <w:r>
              <w:rPr>
                <w:szCs w:val="22"/>
                <w:lang w:bidi="zh-CN"/>
                <w14:ligatures w14:val="none"/>
              </w:rPr>
              <w:t>80</w:t>
            </w:r>
          </w:p>
        </w:tc>
      </w:tr>
      <w:tr w14:paraId="3961C8D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936" w:type="dxa"/>
            <w:vMerge w:val="continue"/>
            <w:tcBorders>
              <w:top w:val="single" w:color="auto" w:sz="4" w:space="0"/>
              <w:left w:val="single" w:color="auto" w:sz="4" w:space="0"/>
              <w:bottom w:val="single" w:color="auto" w:sz="4" w:space="0"/>
              <w:right w:val="single" w:color="auto" w:sz="4" w:space="0"/>
            </w:tcBorders>
            <w:vAlign w:val="center"/>
          </w:tcPr>
          <w:p w14:paraId="662DFDAA">
            <w:pPr>
              <w:pStyle w:val="64"/>
              <w:adjustRightInd w:val="0"/>
              <w:snapToGrid w:val="0"/>
              <w:rPr>
                <w:szCs w:val="22"/>
                <w:lang w:bidi="zh-CN"/>
                <w14:ligatures w14:val="none"/>
              </w:rPr>
            </w:pPr>
          </w:p>
        </w:tc>
        <w:tc>
          <w:tcPr>
            <w:tcW w:w="869" w:type="dxa"/>
            <w:tcBorders>
              <w:top w:val="single" w:color="auto" w:sz="4" w:space="0"/>
              <w:left w:val="single" w:color="auto" w:sz="4" w:space="0"/>
              <w:bottom w:val="single" w:color="auto" w:sz="4" w:space="0"/>
              <w:right w:val="single" w:color="auto" w:sz="4" w:space="0"/>
            </w:tcBorders>
            <w:vAlign w:val="center"/>
          </w:tcPr>
          <w:p w14:paraId="0D695E65">
            <w:pPr>
              <w:pStyle w:val="64"/>
              <w:adjustRightInd w:val="0"/>
              <w:snapToGrid w:val="0"/>
              <w:rPr>
                <w:szCs w:val="22"/>
                <w:lang w:bidi="zh-CN"/>
                <w14:ligatures w14:val="none"/>
              </w:rPr>
            </w:pPr>
            <w:r>
              <w:rPr>
                <w:szCs w:val="22"/>
                <w:lang w:bidi="zh-CN"/>
                <w14:ligatures w14:val="none"/>
              </w:rPr>
              <w:t>16</w:t>
            </w:r>
          </w:p>
        </w:tc>
        <w:tc>
          <w:tcPr>
            <w:tcW w:w="1597" w:type="dxa"/>
            <w:tcBorders>
              <w:top w:val="single" w:color="auto" w:sz="4" w:space="0"/>
              <w:left w:val="single" w:color="auto" w:sz="4" w:space="0"/>
              <w:bottom w:val="single" w:color="auto" w:sz="4" w:space="0"/>
              <w:right w:val="single" w:color="auto" w:sz="4" w:space="0"/>
            </w:tcBorders>
            <w:vAlign w:val="center"/>
          </w:tcPr>
          <w:p w14:paraId="1E56F0EE">
            <w:pPr>
              <w:pStyle w:val="64"/>
              <w:adjustRightInd w:val="0"/>
              <w:snapToGrid w:val="0"/>
              <w:rPr>
                <w:szCs w:val="22"/>
                <w:lang w:bidi="zh-CN"/>
                <w14:ligatures w14:val="none"/>
              </w:rPr>
            </w:pPr>
            <w:r>
              <w:rPr>
                <w:szCs w:val="22"/>
                <w:lang w:bidi="zh-CN"/>
                <w14:ligatures w14:val="none"/>
              </w:rPr>
              <w:t>二铺</w:t>
            </w:r>
          </w:p>
        </w:tc>
        <w:tc>
          <w:tcPr>
            <w:tcW w:w="1083" w:type="dxa"/>
            <w:tcBorders>
              <w:top w:val="single" w:color="auto" w:sz="4" w:space="0"/>
              <w:left w:val="single" w:color="auto" w:sz="4" w:space="0"/>
              <w:bottom w:val="single" w:color="auto" w:sz="4" w:space="0"/>
              <w:right w:val="single" w:color="auto" w:sz="4" w:space="0"/>
            </w:tcBorders>
            <w:vAlign w:val="center"/>
          </w:tcPr>
          <w:p w14:paraId="0865A2B2">
            <w:pPr>
              <w:pStyle w:val="64"/>
              <w:adjustRightInd w:val="0"/>
              <w:snapToGrid w:val="0"/>
              <w:rPr>
                <w:szCs w:val="22"/>
                <w:lang w:bidi="zh-CN"/>
                <w14:ligatures w14:val="none"/>
              </w:rPr>
            </w:pPr>
            <w:r>
              <w:rPr>
                <w:szCs w:val="22"/>
                <w:lang w:bidi="zh-CN"/>
                <w14:ligatures w14:val="none"/>
              </w:rPr>
              <w:t>SE</w:t>
            </w:r>
          </w:p>
        </w:tc>
        <w:tc>
          <w:tcPr>
            <w:tcW w:w="1489" w:type="dxa"/>
            <w:gridSpan w:val="2"/>
            <w:tcBorders>
              <w:top w:val="single" w:color="auto" w:sz="4" w:space="0"/>
              <w:left w:val="single" w:color="auto" w:sz="4" w:space="0"/>
              <w:bottom w:val="single" w:color="auto" w:sz="4" w:space="0"/>
              <w:right w:val="single" w:color="auto" w:sz="4" w:space="0"/>
            </w:tcBorders>
            <w:vAlign w:val="center"/>
          </w:tcPr>
          <w:p w14:paraId="3E1F3E09">
            <w:pPr>
              <w:pStyle w:val="64"/>
              <w:adjustRightInd w:val="0"/>
              <w:snapToGrid w:val="0"/>
              <w:rPr>
                <w:szCs w:val="22"/>
                <w:lang w:bidi="zh-CN"/>
                <w14:ligatures w14:val="none"/>
              </w:rPr>
            </w:pPr>
            <w:r>
              <w:rPr>
                <w:szCs w:val="22"/>
                <w:lang w:bidi="zh-CN"/>
                <w14:ligatures w14:val="none"/>
              </w:rPr>
              <w:t>2224</w:t>
            </w:r>
          </w:p>
        </w:tc>
        <w:tc>
          <w:tcPr>
            <w:tcW w:w="1425" w:type="dxa"/>
            <w:gridSpan w:val="3"/>
            <w:tcBorders>
              <w:top w:val="single" w:color="auto" w:sz="4" w:space="0"/>
              <w:left w:val="single" w:color="auto" w:sz="4" w:space="0"/>
              <w:bottom w:val="single" w:color="auto" w:sz="4" w:space="0"/>
              <w:right w:val="single" w:color="auto" w:sz="4" w:space="0"/>
            </w:tcBorders>
            <w:vAlign w:val="center"/>
          </w:tcPr>
          <w:p w14:paraId="4F9BC206">
            <w:pPr>
              <w:pStyle w:val="64"/>
              <w:adjustRightInd w:val="0"/>
              <w:snapToGrid w:val="0"/>
              <w:rPr>
                <w:szCs w:val="22"/>
                <w:lang w:bidi="zh-CN"/>
                <w14:ligatures w14:val="none"/>
              </w:rPr>
            </w:pPr>
            <w:r>
              <w:rPr>
                <w:szCs w:val="22"/>
                <w:lang w:bidi="zh-CN"/>
                <w14:ligatures w14:val="none"/>
              </w:rPr>
              <w:t>居民点</w:t>
            </w:r>
          </w:p>
        </w:tc>
        <w:tc>
          <w:tcPr>
            <w:tcW w:w="1673" w:type="dxa"/>
            <w:gridSpan w:val="2"/>
            <w:tcBorders>
              <w:top w:val="single" w:color="auto" w:sz="4" w:space="0"/>
              <w:left w:val="single" w:color="auto" w:sz="4" w:space="0"/>
              <w:bottom w:val="single" w:color="auto" w:sz="4" w:space="0"/>
              <w:right w:val="single" w:color="auto" w:sz="4" w:space="0"/>
            </w:tcBorders>
            <w:vAlign w:val="center"/>
          </w:tcPr>
          <w:p w14:paraId="256F4975">
            <w:pPr>
              <w:pStyle w:val="64"/>
              <w:adjustRightInd w:val="0"/>
              <w:snapToGrid w:val="0"/>
              <w:rPr>
                <w:szCs w:val="22"/>
                <w:lang w:bidi="zh-CN"/>
                <w14:ligatures w14:val="none"/>
              </w:rPr>
            </w:pPr>
            <w:r>
              <w:rPr>
                <w:szCs w:val="22"/>
                <w:lang w:bidi="zh-CN"/>
                <w14:ligatures w14:val="none"/>
              </w:rPr>
              <w:t>260</w:t>
            </w:r>
          </w:p>
        </w:tc>
      </w:tr>
      <w:tr w14:paraId="29B9BF4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936" w:type="dxa"/>
            <w:vMerge w:val="continue"/>
            <w:tcBorders>
              <w:top w:val="single" w:color="auto" w:sz="4" w:space="0"/>
              <w:left w:val="single" w:color="auto" w:sz="4" w:space="0"/>
              <w:bottom w:val="single" w:color="auto" w:sz="4" w:space="0"/>
              <w:right w:val="single" w:color="auto" w:sz="4" w:space="0"/>
            </w:tcBorders>
            <w:vAlign w:val="center"/>
          </w:tcPr>
          <w:p w14:paraId="77630146">
            <w:pPr>
              <w:pStyle w:val="64"/>
              <w:adjustRightInd w:val="0"/>
              <w:snapToGrid w:val="0"/>
              <w:rPr>
                <w:szCs w:val="22"/>
                <w:lang w:bidi="zh-CN"/>
                <w14:ligatures w14:val="none"/>
              </w:rPr>
            </w:pPr>
          </w:p>
        </w:tc>
        <w:tc>
          <w:tcPr>
            <w:tcW w:w="869" w:type="dxa"/>
            <w:tcBorders>
              <w:top w:val="single" w:color="auto" w:sz="4" w:space="0"/>
              <w:left w:val="single" w:color="auto" w:sz="4" w:space="0"/>
              <w:bottom w:val="single" w:color="auto" w:sz="4" w:space="0"/>
              <w:right w:val="single" w:color="auto" w:sz="4" w:space="0"/>
            </w:tcBorders>
            <w:vAlign w:val="center"/>
          </w:tcPr>
          <w:p w14:paraId="2C34CF78">
            <w:pPr>
              <w:pStyle w:val="64"/>
              <w:adjustRightInd w:val="0"/>
              <w:snapToGrid w:val="0"/>
              <w:rPr>
                <w:szCs w:val="22"/>
                <w:lang w:bidi="zh-CN"/>
                <w14:ligatures w14:val="none"/>
              </w:rPr>
            </w:pPr>
            <w:r>
              <w:rPr>
                <w:szCs w:val="22"/>
                <w:lang w:bidi="zh-CN"/>
                <w14:ligatures w14:val="none"/>
              </w:rPr>
              <w:t>17</w:t>
            </w:r>
          </w:p>
        </w:tc>
        <w:tc>
          <w:tcPr>
            <w:tcW w:w="1597" w:type="dxa"/>
            <w:tcBorders>
              <w:top w:val="single" w:color="auto" w:sz="4" w:space="0"/>
              <w:left w:val="single" w:color="auto" w:sz="4" w:space="0"/>
              <w:bottom w:val="single" w:color="auto" w:sz="4" w:space="0"/>
              <w:right w:val="single" w:color="auto" w:sz="4" w:space="0"/>
            </w:tcBorders>
            <w:vAlign w:val="center"/>
          </w:tcPr>
          <w:p w14:paraId="0107FDF2">
            <w:pPr>
              <w:pStyle w:val="64"/>
              <w:adjustRightInd w:val="0"/>
              <w:snapToGrid w:val="0"/>
              <w:rPr>
                <w:szCs w:val="22"/>
                <w:lang w:bidi="zh-CN"/>
                <w14:ligatures w14:val="none"/>
              </w:rPr>
            </w:pPr>
            <w:r>
              <w:rPr>
                <w:szCs w:val="22"/>
                <w:lang w:bidi="zh-CN"/>
                <w14:ligatures w14:val="none"/>
              </w:rPr>
              <w:t>小杨家</w:t>
            </w:r>
          </w:p>
        </w:tc>
        <w:tc>
          <w:tcPr>
            <w:tcW w:w="1083" w:type="dxa"/>
            <w:tcBorders>
              <w:top w:val="single" w:color="auto" w:sz="4" w:space="0"/>
              <w:left w:val="single" w:color="auto" w:sz="4" w:space="0"/>
              <w:bottom w:val="single" w:color="auto" w:sz="4" w:space="0"/>
              <w:right w:val="single" w:color="auto" w:sz="4" w:space="0"/>
            </w:tcBorders>
            <w:vAlign w:val="center"/>
          </w:tcPr>
          <w:p w14:paraId="2AA5EE1A">
            <w:pPr>
              <w:pStyle w:val="64"/>
              <w:adjustRightInd w:val="0"/>
              <w:snapToGrid w:val="0"/>
              <w:rPr>
                <w:szCs w:val="22"/>
                <w:lang w:bidi="zh-CN"/>
                <w14:ligatures w14:val="none"/>
              </w:rPr>
            </w:pPr>
            <w:r>
              <w:rPr>
                <w:szCs w:val="22"/>
                <w:lang w:bidi="zh-CN"/>
                <w14:ligatures w14:val="none"/>
              </w:rPr>
              <w:t>SE</w:t>
            </w:r>
          </w:p>
        </w:tc>
        <w:tc>
          <w:tcPr>
            <w:tcW w:w="1489" w:type="dxa"/>
            <w:gridSpan w:val="2"/>
            <w:tcBorders>
              <w:top w:val="single" w:color="auto" w:sz="4" w:space="0"/>
              <w:left w:val="single" w:color="auto" w:sz="4" w:space="0"/>
              <w:bottom w:val="single" w:color="auto" w:sz="4" w:space="0"/>
              <w:right w:val="single" w:color="auto" w:sz="4" w:space="0"/>
            </w:tcBorders>
            <w:vAlign w:val="center"/>
          </w:tcPr>
          <w:p w14:paraId="3AAC3656">
            <w:pPr>
              <w:pStyle w:val="64"/>
              <w:adjustRightInd w:val="0"/>
              <w:snapToGrid w:val="0"/>
              <w:rPr>
                <w:szCs w:val="22"/>
                <w:lang w:bidi="zh-CN"/>
                <w14:ligatures w14:val="none"/>
              </w:rPr>
            </w:pPr>
            <w:r>
              <w:rPr>
                <w:szCs w:val="22"/>
                <w:lang w:bidi="zh-CN"/>
                <w14:ligatures w14:val="none"/>
              </w:rPr>
              <w:t>3525</w:t>
            </w:r>
          </w:p>
        </w:tc>
        <w:tc>
          <w:tcPr>
            <w:tcW w:w="1425" w:type="dxa"/>
            <w:gridSpan w:val="3"/>
            <w:tcBorders>
              <w:top w:val="single" w:color="auto" w:sz="4" w:space="0"/>
              <w:left w:val="single" w:color="auto" w:sz="4" w:space="0"/>
              <w:bottom w:val="single" w:color="auto" w:sz="4" w:space="0"/>
              <w:right w:val="single" w:color="auto" w:sz="4" w:space="0"/>
            </w:tcBorders>
            <w:vAlign w:val="center"/>
          </w:tcPr>
          <w:p w14:paraId="7BAD4CE1">
            <w:pPr>
              <w:pStyle w:val="64"/>
              <w:adjustRightInd w:val="0"/>
              <w:snapToGrid w:val="0"/>
              <w:rPr>
                <w:szCs w:val="22"/>
                <w:lang w:bidi="zh-CN"/>
                <w14:ligatures w14:val="none"/>
              </w:rPr>
            </w:pPr>
            <w:r>
              <w:rPr>
                <w:szCs w:val="22"/>
                <w:lang w:bidi="zh-CN"/>
                <w14:ligatures w14:val="none"/>
              </w:rPr>
              <w:t>居民点</w:t>
            </w:r>
          </w:p>
        </w:tc>
        <w:tc>
          <w:tcPr>
            <w:tcW w:w="1673" w:type="dxa"/>
            <w:gridSpan w:val="2"/>
            <w:tcBorders>
              <w:top w:val="single" w:color="auto" w:sz="4" w:space="0"/>
              <w:left w:val="single" w:color="auto" w:sz="4" w:space="0"/>
              <w:bottom w:val="single" w:color="auto" w:sz="4" w:space="0"/>
              <w:right w:val="single" w:color="auto" w:sz="4" w:space="0"/>
            </w:tcBorders>
            <w:vAlign w:val="center"/>
          </w:tcPr>
          <w:p w14:paraId="426B4EC5">
            <w:pPr>
              <w:pStyle w:val="64"/>
              <w:adjustRightInd w:val="0"/>
              <w:snapToGrid w:val="0"/>
              <w:rPr>
                <w:szCs w:val="22"/>
                <w:lang w:bidi="zh-CN"/>
                <w14:ligatures w14:val="none"/>
              </w:rPr>
            </w:pPr>
            <w:r>
              <w:rPr>
                <w:szCs w:val="22"/>
                <w:lang w:bidi="zh-CN"/>
                <w14:ligatures w14:val="none"/>
              </w:rPr>
              <w:t>112</w:t>
            </w:r>
          </w:p>
        </w:tc>
      </w:tr>
      <w:tr w14:paraId="7280EBE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936" w:type="dxa"/>
            <w:vMerge w:val="continue"/>
            <w:tcBorders>
              <w:top w:val="single" w:color="auto" w:sz="4" w:space="0"/>
              <w:left w:val="single" w:color="auto" w:sz="4" w:space="0"/>
              <w:bottom w:val="single" w:color="auto" w:sz="4" w:space="0"/>
              <w:right w:val="single" w:color="auto" w:sz="4" w:space="0"/>
            </w:tcBorders>
            <w:vAlign w:val="center"/>
          </w:tcPr>
          <w:p w14:paraId="55EC9762">
            <w:pPr>
              <w:pStyle w:val="64"/>
              <w:adjustRightInd w:val="0"/>
              <w:snapToGrid w:val="0"/>
              <w:rPr>
                <w:szCs w:val="22"/>
                <w:lang w:bidi="zh-CN"/>
                <w14:ligatures w14:val="none"/>
              </w:rPr>
            </w:pPr>
          </w:p>
        </w:tc>
        <w:tc>
          <w:tcPr>
            <w:tcW w:w="869" w:type="dxa"/>
            <w:tcBorders>
              <w:top w:val="single" w:color="auto" w:sz="4" w:space="0"/>
              <w:left w:val="single" w:color="auto" w:sz="4" w:space="0"/>
              <w:bottom w:val="single" w:color="auto" w:sz="4" w:space="0"/>
              <w:right w:val="single" w:color="auto" w:sz="4" w:space="0"/>
            </w:tcBorders>
            <w:vAlign w:val="center"/>
          </w:tcPr>
          <w:p w14:paraId="70785D18">
            <w:pPr>
              <w:pStyle w:val="64"/>
              <w:adjustRightInd w:val="0"/>
              <w:snapToGrid w:val="0"/>
              <w:rPr>
                <w:szCs w:val="22"/>
                <w:lang w:bidi="zh-CN"/>
                <w14:ligatures w14:val="none"/>
              </w:rPr>
            </w:pPr>
            <w:r>
              <w:rPr>
                <w:szCs w:val="22"/>
                <w:lang w:bidi="zh-CN"/>
                <w14:ligatures w14:val="none"/>
              </w:rPr>
              <w:t>18</w:t>
            </w:r>
          </w:p>
        </w:tc>
        <w:tc>
          <w:tcPr>
            <w:tcW w:w="1597" w:type="dxa"/>
            <w:tcBorders>
              <w:top w:val="single" w:color="auto" w:sz="4" w:space="0"/>
              <w:left w:val="single" w:color="auto" w:sz="4" w:space="0"/>
              <w:bottom w:val="single" w:color="auto" w:sz="4" w:space="0"/>
              <w:right w:val="single" w:color="auto" w:sz="4" w:space="0"/>
            </w:tcBorders>
            <w:vAlign w:val="center"/>
          </w:tcPr>
          <w:p w14:paraId="54986165">
            <w:pPr>
              <w:pStyle w:val="64"/>
              <w:adjustRightInd w:val="0"/>
              <w:snapToGrid w:val="0"/>
              <w:rPr>
                <w:szCs w:val="22"/>
                <w:lang w:bidi="zh-CN"/>
                <w14:ligatures w14:val="none"/>
              </w:rPr>
            </w:pPr>
            <w:r>
              <w:rPr>
                <w:szCs w:val="22"/>
                <w:lang w:bidi="zh-CN"/>
                <w14:ligatures w14:val="none"/>
              </w:rPr>
              <w:t>段庄村</w:t>
            </w:r>
          </w:p>
        </w:tc>
        <w:tc>
          <w:tcPr>
            <w:tcW w:w="1083" w:type="dxa"/>
            <w:tcBorders>
              <w:top w:val="single" w:color="auto" w:sz="4" w:space="0"/>
              <w:left w:val="single" w:color="auto" w:sz="4" w:space="0"/>
              <w:bottom w:val="single" w:color="auto" w:sz="4" w:space="0"/>
              <w:right w:val="single" w:color="auto" w:sz="4" w:space="0"/>
            </w:tcBorders>
            <w:vAlign w:val="center"/>
          </w:tcPr>
          <w:p w14:paraId="74DD4D4F">
            <w:pPr>
              <w:pStyle w:val="64"/>
              <w:adjustRightInd w:val="0"/>
              <w:snapToGrid w:val="0"/>
              <w:rPr>
                <w:szCs w:val="22"/>
                <w:lang w:bidi="zh-CN"/>
                <w14:ligatures w14:val="none"/>
              </w:rPr>
            </w:pPr>
            <w:r>
              <w:rPr>
                <w:szCs w:val="22"/>
                <w:lang w:bidi="zh-CN"/>
                <w14:ligatures w14:val="none"/>
              </w:rPr>
              <w:t>ESE</w:t>
            </w:r>
          </w:p>
        </w:tc>
        <w:tc>
          <w:tcPr>
            <w:tcW w:w="1489" w:type="dxa"/>
            <w:gridSpan w:val="2"/>
            <w:tcBorders>
              <w:top w:val="single" w:color="auto" w:sz="4" w:space="0"/>
              <w:left w:val="single" w:color="auto" w:sz="4" w:space="0"/>
              <w:bottom w:val="single" w:color="auto" w:sz="4" w:space="0"/>
              <w:right w:val="single" w:color="auto" w:sz="4" w:space="0"/>
            </w:tcBorders>
            <w:vAlign w:val="center"/>
          </w:tcPr>
          <w:p w14:paraId="68EBC5EF">
            <w:pPr>
              <w:pStyle w:val="64"/>
              <w:adjustRightInd w:val="0"/>
              <w:snapToGrid w:val="0"/>
              <w:rPr>
                <w:szCs w:val="22"/>
                <w:lang w:bidi="zh-CN"/>
                <w14:ligatures w14:val="none"/>
              </w:rPr>
            </w:pPr>
            <w:r>
              <w:rPr>
                <w:szCs w:val="22"/>
                <w:lang w:bidi="zh-CN"/>
                <w14:ligatures w14:val="none"/>
              </w:rPr>
              <w:t>4251</w:t>
            </w:r>
          </w:p>
        </w:tc>
        <w:tc>
          <w:tcPr>
            <w:tcW w:w="1425" w:type="dxa"/>
            <w:gridSpan w:val="3"/>
            <w:tcBorders>
              <w:top w:val="single" w:color="auto" w:sz="4" w:space="0"/>
              <w:left w:val="single" w:color="auto" w:sz="4" w:space="0"/>
              <w:bottom w:val="single" w:color="auto" w:sz="4" w:space="0"/>
              <w:right w:val="single" w:color="auto" w:sz="4" w:space="0"/>
            </w:tcBorders>
            <w:vAlign w:val="center"/>
          </w:tcPr>
          <w:p w14:paraId="381553F1">
            <w:pPr>
              <w:pStyle w:val="64"/>
              <w:adjustRightInd w:val="0"/>
              <w:snapToGrid w:val="0"/>
              <w:rPr>
                <w:szCs w:val="22"/>
                <w:lang w:bidi="zh-CN"/>
                <w14:ligatures w14:val="none"/>
              </w:rPr>
            </w:pPr>
            <w:r>
              <w:rPr>
                <w:szCs w:val="22"/>
                <w:lang w:bidi="zh-CN"/>
                <w14:ligatures w14:val="none"/>
              </w:rPr>
              <w:t>居民点</w:t>
            </w:r>
          </w:p>
        </w:tc>
        <w:tc>
          <w:tcPr>
            <w:tcW w:w="1673" w:type="dxa"/>
            <w:gridSpan w:val="2"/>
            <w:tcBorders>
              <w:top w:val="single" w:color="auto" w:sz="4" w:space="0"/>
              <w:left w:val="single" w:color="auto" w:sz="4" w:space="0"/>
              <w:bottom w:val="single" w:color="auto" w:sz="4" w:space="0"/>
              <w:right w:val="single" w:color="auto" w:sz="4" w:space="0"/>
            </w:tcBorders>
            <w:vAlign w:val="center"/>
          </w:tcPr>
          <w:p w14:paraId="25421088">
            <w:pPr>
              <w:pStyle w:val="64"/>
              <w:adjustRightInd w:val="0"/>
              <w:snapToGrid w:val="0"/>
              <w:rPr>
                <w:szCs w:val="22"/>
                <w:lang w:bidi="zh-CN"/>
                <w14:ligatures w14:val="none"/>
              </w:rPr>
            </w:pPr>
            <w:r>
              <w:rPr>
                <w:szCs w:val="22"/>
                <w:lang w:bidi="zh-CN"/>
                <w14:ligatures w14:val="none"/>
              </w:rPr>
              <w:t>260</w:t>
            </w:r>
          </w:p>
        </w:tc>
      </w:tr>
      <w:tr w14:paraId="14E7C78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936" w:type="dxa"/>
            <w:vMerge w:val="continue"/>
            <w:tcBorders>
              <w:top w:val="single" w:color="auto" w:sz="4" w:space="0"/>
              <w:left w:val="single" w:color="auto" w:sz="4" w:space="0"/>
              <w:bottom w:val="single" w:color="auto" w:sz="4" w:space="0"/>
              <w:right w:val="single" w:color="auto" w:sz="4" w:space="0"/>
            </w:tcBorders>
            <w:vAlign w:val="center"/>
          </w:tcPr>
          <w:p w14:paraId="56E7B79E">
            <w:pPr>
              <w:pStyle w:val="64"/>
              <w:adjustRightInd w:val="0"/>
              <w:snapToGrid w:val="0"/>
              <w:rPr>
                <w:szCs w:val="22"/>
                <w:lang w:bidi="zh-CN"/>
                <w14:ligatures w14:val="none"/>
              </w:rPr>
            </w:pPr>
          </w:p>
        </w:tc>
        <w:tc>
          <w:tcPr>
            <w:tcW w:w="869" w:type="dxa"/>
            <w:tcBorders>
              <w:top w:val="single" w:color="auto" w:sz="4" w:space="0"/>
              <w:left w:val="single" w:color="auto" w:sz="4" w:space="0"/>
              <w:bottom w:val="single" w:color="auto" w:sz="4" w:space="0"/>
              <w:right w:val="single" w:color="auto" w:sz="4" w:space="0"/>
            </w:tcBorders>
            <w:vAlign w:val="center"/>
          </w:tcPr>
          <w:p w14:paraId="127BFE0B">
            <w:pPr>
              <w:pStyle w:val="64"/>
              <w:adjustRightInd w:val="0"/>
              <w:snapToGrid w:val="0"/>
              <w:rPr>
                <w:szCs w:val="22"/>
                <w:lang w:bidi="zh-CN"/>
                <w14:ligatures w14:val="none"/>
              </w:rPr>
            </w:pPr>
            <w:r>
              <w:rPr>
                <w:szCs w:val="22"/>
                <w:lang w:bidi="zh-CN"/>
                <w14:ligatures w14:val="none"/>
              </w:rPr>
              <w:t>19</w:t>
            </w:r>
          </w:p>
        </w:tc>
        <w:tc>
          <w:tcPr>
            <w:tcW w:w="1597" w:type="dxa"/>
            <w:tcBorders>
              <w:top w:val="single" w:color="auto" w:sz="4" w:space="0"/>
              <w:left w:val="single" w:color="auto" w:sz="4" w:space="0"/>
              <w:bottom w:val="single" w:color="auto" w:sz="4" w:space="0"/>
              <w:right w:val="single" w:color="auto" w:sz="4" w:space="0"/>
            </w:tcBorders>
            <w:vAlign w:val="center"/>
          </w:tcPr>
          <w:p w14:paraId="39CDB713">
            <w:pPr>
              <w:pStyle w:val="64"/>
              <w:adjustRightInd w:val="0"/>
              <w:snapToGrid w:val="0"/>
              <w:rPr>
                <w:szCs w:val="22"/>
                <w:lang w:bidi="zh-CN"/>
                <w14:ligatures w14:val="none"/>
              </w:rPr>
            </w:pPr>
            <w:r>
              <w:rPr>
                <w:szCs w:val="22"/>
                <w:lang w:bidi="zh-CN"/>
                <w14:ligatures w14:val="none"/>
              </w:rPr>
              <w:t>大庄口村</w:t>
            </w:r>
          </w:p>
        </w:tc>
        <w:tc>
          <w:tcPr>
            <w:tcW w:w="1083" w:type="dxa"/>
            <w:tcBorders>
              <w:top w:val="single" w:color="auto" w:sz="4" w:space="0"/>
              <w:left w:val="single" w:color="auto" w:sz="4" w:space="0"/>
              <w:bottom w:val="single" w:color="auto" w:sz="4" w:space="0"/>
              <w:right w:val="single" w:color="auto" w:sz="4" w:space="0"/>
            </w:tcBorders>
            <w:vAlign w:val="center"/>
          </w:tcPr>
          <w:p w14:paraId="23F52DE5">
            <w:pPr>
              <w:pStyle w:val="64"/>
              <w:adjustRightInd w:val="0"/>
              <w:snapToGrid w:val="0"/>
              <w:rPr>
                <w:szCs w:val="22"/>
                <w:lang w:bidi="zh-CN"/>
                <w14:ligatures w14:val="none"/>
              </w:rPr>
            </w:pPr>
            <w:r>
              <w:rPr>
                <w:szCs w:val="22"/>
                <w:lang w:bidi="zh-CN"/>
                <w14:ligatures w14:val="none"/>
              </w:rPr>
              <w:t>SE</w:t>
            </w:r>
          </w:p>
        </w:tc>
        <w:tc>
          <w:tcPr>
            <w:tcW w:w="1489" w:type="dxa"/>
            <w:gridSpan w:val="2"/>
            <w:tcBorders>
              <w:top w:val="single" w:color="auto" w:sz="4" w:space="0"/>
              <w:left w:val="single" w:color="auto" w:sz="4" w:space="0"/>
              <w:bottom w:val="single" w:color="auto" w:sz="4" w:space="0"/>
              <w:right w:val="single" w:color="auto" w:sz="4" w:space="0"/>
            </w:tcBorders>
            <w:vAlign w:val="center"/>
          </w:tcPr>
          <w:p w14:paraId="0FEE6371">
            <w:pPr>
              <w:pStyle w:val="64"/>
              <w:adjustRightInd w:val="0"/>
              <w:snapToGrid w:val="0"/>
              <w:rPr>
                <w:szCs w:val="22"/>
                <w:lang w:bidi="zh-CN"/>
                <w14:ligatures w14:val="none"/>
              </w:rPr>
            </w:pPr>
            <w:r>
              <w:rPr>
                <w:szCs w:val="22"/>
                <w:lang w:bidi="zh-CN"/>
                <w14:ligatures w14:val="none"/>
              </w:rPr>
              <w:t>4065</w:t>
            </w:r>
          </w:p>
        </w:tc>
        <w:tc>
          <w:tcPr>
            <w:tcW w:w="1425" w:type="dxa"/>
            <w:gridSpan w:val="3"/>
            <w:tcBorders>
              <w:top w:val="single" w:color="auto" w:sz="4" w:space="0"/>
              <w:left w:val="single" w:color="auto" w:sz="4" w:space="0"/>
              <w:bottom w:val="single" w:color="auto" w:sz="4" w:space="0"/>
              <w:right w:val="single" w:color="auto" w:sz="4" w:space="0"/>
            </w:tcBorders>
            <w:vAlign w:val="center"/>
          </w:tcPr>
          <w:p w14:paraId="476990D6">
            <w:pPr>
              <w:pStyle w:val="64"/>
              <w:adjustRightInd w:val="0"/>
              <w:snapToGrid w:val="0"/>
              <w:rPr>
                <w:szCs w:val="22"/>
                <w:lang w:bidi="zh-CN"/>
                <w14:ligatures w14:val="none"/>
              </w:rPr>
            </w:pPr>
            <w:r>
              <w:rPr>
                <w:szCs w:val="22"/>
                <w:lang w:bidi="zh-CN"/>
                <w14:ligatures w14:val="none"/>
              </w:rPr>
              <w:t>居民点</w:t>
            </w:r>
          </w:p>
        </w:tc>
        <w:tc>
          <w:tcPr>
            <w:tcW w:w="1673" w:type="dxa"/>
            <w:gridSpan w:val="2"/>
            <w:tcBorders>
              <w:top w:val="single" w:color="auto" w:sz="4" w:space="0"/>
              <w:left w:val="single" w:color="auto" w:sz="4" w:space="0"/>
              <w:bottom w:val="single" w:color="auto" w:sz="4" w:space="0"/>
              <w:right w:val="single" w:color="auto" w:sz="4" w:space="0"/>
            </w:tcBorders>
            <w:vAlign w:val="center"/>
          </w:tcPr>
          <w:p w14:paraId="37E630B8">
            <w:pPr>
              <w:pStyle w:val="64"/>
              <w:adjustRightInd w:val="0"/>
              <w:snapToGrid w:val="0"/>
              <w:rPr>
                <w:szCs w:val="22"/>
                <w:lang w:bidi="zh-CN"/>
                <w14:ligatures w14:val="none"/>
              </w:rPr>
            </w:pPr>
            <w:r>
              <w:rPr>
                <w:szCs w:val="22"/>
                <w:lang w:bidi="zh-CN"/>
                <w14:ligatures w14:val="none"/>
              </w:rPr>
              <w:t>520</w:t>
            </w:r>
          </w:p>
        </w:tc>
      </w:tr>
      <w:tr w14:paraId="4992137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936" w:type="dxa"/>
            <w:vMerge w:val="continue"/>
            <w:tcBorders>
              <w:top w:val="single" w:color="auto" w:sz="4" w:space="0"/>
              <w:left w:val="single" w:color="auto" w:sz="4" w:space="0"/>
              <w:bottom w:val="single" w:color="auto" w:sz="4" w:space="0"/>
              <w:right w:val="single" w:color="auto" w:sz="4" w:space="0"/>
            </w:tcBorders>
            <w:vAlign w:val="center"/>
          </w:tcPr>
          <w:p w14:paraId="1ADF5BB8">
            <w:pPr>
              <w:pStyle w:val="64"/>
              <w:adjustRightInd w:val="0"/>
              <w:snapToGrid w:val="0"/>
              <w:rPr>
                <w:szCs w:val="22"/>
                <w:lang w:bidi="zh-CN"/>
                <w14:ligatures w14:val="none"/>
              </w:rPr>
            </w:pPr>
          </w:p>
        </w:tc>
        <w:tc>
          <w:tcPr>
            <w:tcW w:w="869" w:type="dxa"/>
            <w:tcBorders>
              <w:top w:val="single" w:color="auto" w:sz="4" w:space="0"/>
              <w:left w:val="single" w:color="auto" w:sz="4" w:space="0"/>
              <w:bottom w:val="single" w:color="auto" w:sz="4" w:space="0"/>
              <w:right w:val="single" w:color="auto" w:sz="4" w:space="0"/>
            </w:tcBorders>
            <w:vAlign w:val="center"/>
          </w:tcPr>
          <w:p w14:paraId="05CE601D">
            <w:pPr>
              <w:pStyle w:val="64"/>
              <w:adjustRightInd w:val="0"/>
              <w:snapToGrid w:val="0"/>
              <w:rPr>
                <w:szCs w:val="22"/>
                <w:lang w:bidi="zh-CN"/>
                <w14:ligatures w14:val="none"/>
              </w:rPr>
            </w:pPr>
            <w:r>
              <w:rPr>
                <w:szCs w:val="22"/>
                <w:lang w:bidi="zh-CN"/>
                <w14:ligatures w14:val="none"/>
              </w:rPr>
              <w:t>20</w:t>
            </w:r>
          </w:p>
        </w:tc>
        <w:tc>
          <w:tcPr>
            <w:tcW w:w="1597" w:type="dxa"/>
            <w:tcBorders>
              <w:top w:val="single" w:color="auto" w:sz="4" w:space="0"/>
              <w:left w:val="single" w:color="auto" w:sz="4" w:space="0"/>
              <w:bottom w:val="single" w:color="auto" w:sz="4" w:space="0"/>
              <w:right w:val="single" w:color="auto" w:sz="4" w:space="0"/>
            </w:tcBorders>
            <w:vAlign w:val="center"/>
          </w:tcPr>
          <w:p w14:paraId="5949E9D6">
            <w:pPr>
              <w:pStyle w:val="64"/>
              <w:adjustRightInd w:val="0"/>
              <w:snapToGrid w:val="0"/>
              <w:rPr>
                <w:szCs w:val="22"/>
                <w:lang w:bidi="zh-CN"/>
                <w14:ligatures w14:val="none"/>
              </w:rPr>
            </w:pPr>
            <w:r>
              <w:rPr>
                <w:szCs w:val="22"/>
                <w:lang w:bidi="zh-CN"/>
                <w14:ligatures w14:val="none"/>
              </w:rPr>
              <w:t>石家</w:t>
            </w:r>
          </w:p>
        </w:tc>
        <w:tc>
          <w:tcPr>
            <w:tcW w:w="1083" w:type="dxa"/>
            <w:tcBorders>
              <w:top w:val="single" w:color="auto" w:sz="4" w:space="0"/>
              <w:left w:val="single" w:color="auto" w:sz="4" w:space="0"/>
              <w:bottom w:val="single" w:color="auto" w:sz="4" w:space="0"/>
              <w:right w:val="single" w:color="auto" w:sz="4" w:space="0"/>
            </w:tcBorders>
            <w:vAlign w:val="center"/>
          </w:tcPr>
          <w:p w14:paraId="039CA484">
            <w:pPr>
              <w:pStyle w:val="64"/>
              <w:adjustRightInd w:val="0"/>
              <w:snapToGrid w:val="0"/>
              <w:rPr>
                <w:szCs w:val="22"/>
                <w:lang w:bidi="zh-CN"/>
                <w14:ligatures w14:val="none"/>
              </w:rPr>
            </w:pPr>
            <w:r>
              <w:rPr>
                <w:szCs w:val="22"/>
                <w:lang w:bidi="zh-CN"/>
                <w14:ligatures w14:val="none"/>
              </w:rPr>
              <w:t>S</w:t>
            </w:r>
          </w:p>
        </w:tc>
        <w:tc>
          <w:tcPr>
            <w:tcW w:w="1489" w:type="dxa"/>
            <w:gridSpan w:val="2"/>
            <w:tcBorders>
              <w:top w:val="single" w:color="auto" w:sz="4" w:space="0"/>
              <w:left w:val="single" w:color="auto" w:sz="4" w:space="0"/>
              <w:bottom w:val="single" w:color="auto" w:sz="4" w:space="0"/>
              <w:right w:val="single" w:color="auto" w:sz="4" w:space="0"/>
            </w:tcBorders>
            <w:vAlign w:val="center"/>
          </w:tcPr>
          <w:p w14:paraId="2B601367">
            <w:pPr>
              <w:pStyle w:val="64"/>
              <w:adjustRightInd w:val="0"/>
              <w:snapToGrid w:val="0"/>
              <w:rPr>
                <w:szCs w:val="22"/>
                <w:lang w:bidi="zh-CN"/>
                <w14:ligatures w14:val="none"/>
              </w:rPr>
            </w:pPr>
            <w:r>
              <w:rPr>
                <w:szCs w:val="22"/>
                <w:lang w:bidi="zh-CN"/>
                <w14:ligatures w14:val="none"/>
              </w:rPr>
              <w:t>2880</w:t>
            </w:r>
          </w:p>
        </w:tc>
        <w:tc>
          <w:tcPr>
            <w:tcW w:w="1425" w:type="dxa"/>
            <w:gridSpan w:val="3"/>
            <w:tcBorders>
              <w:top w:val="single" w:color="auto" w:sz="4" w:space="0"/>
              <w:left w:val="single" w:color="auto" w:sz="4" w:space="0"/>
              <w:bottom w:val="single" w:color="auto" w:sz="4" w:space="0"/>
              <w:right w:val="single" w:color="auto" w:sz="4" w:space="0"/>
            </w:tcBorders>
            <w:vAlign w:val="center"/>
          </w:tcPr>
          <w:p w14:paraId="1FD519C8">
            <w:pPr>
              <w:pStyle w:val="64"/>
              <w:adjustRightInd w:val="0"/>
              <w:snapToGrid w:val="0"/>
              <w:rPr>
                <w:szCs w:val="22"/>
                <w:lang w:bidi="zh-CN"/>
                <w14:ligatures w14:val="none"/>
              </w:rPr>
            </w:pPr>
            <w:r>
              <w:rPr>
                <w:szCs w:val="22"/>
                <w:lang w:bidi="zh-CN"/>
                <w14:ligatures w14:val="none"/>
              </w:rPr>
              <w:t>居民点</w:t>
            </w:r>
          </w:p>
        </w:tc>
        <w:tc>
          <w:tcPr>
            <w:tcW w:w="1673" w:type="dxa"/>
            <w:gridSpan w:val="2"/>
            <w:tcBorders>
              <w:top w:val="single" w:color="auto" w:sz="4" w:space="0"/>
              <w:left w:val="single" w:color="auto" w:sz="4" w:space="0"/>
              <w:bottom w:val="single" w:color="auto" w:sz="4" w:space="0"/>
              <w:right w:val="single" w:color="auto" w:sz="4" w:space="0"/>
            </w:tcBorders>
            <w:vAlign w:val="center"/>
          </w:tcPr>
          <w:p w14:paraId="4D4ACC72">
            <w:pPr>
              <w:pStyle w:val="64"/>
              <w:adjustRightInd w:val="0"/>
              <w:snapToGrid w:val="0"/>
              <w:rPr>
                <w:szCs w:val="22"/>
                <w:lang w:bidi="zh-CN"/>
                <w14:ligatures w14:val="none"/>
              </w:rPr>
            </w:pPr>
            <w:r>
              <w:rPr>
                <w:szCs w:val="22"/>
                <w:lang w:bidi="zh-CN"/>
                <w14:ligatures w14:val="none"/>
              </w:rPr>
              <w:t>100</w:t>
            </w:r>
          </w:p>
        </w:tc>
      </w:tr>
      <w:tr w14:paraId="16B7D07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936" w:type="dxa"/>
            <w:vMerge w:val="continue"/>
            <w:tcBorders>
              <w:top w:val="single" w:color="auto" w:sz="4" w:space="0"/>
              <w:left w:val="single" w:color="auto" w:sz="4" w:space="0"/>
              <w:bottom w:val="single" w:color="auto" w:sz="4" w:space="0"/>
              <w:right w:val="single" w:color="auto" w:sz="4" w:space="0"/>
            </w:tcBorders>
            <w:vAlign w:val="center"/>
          </w:tcPr>
          <w:p w14:paraId="0402C010">
            <w:pPr>
              <w:pStyle w:val="64"/>
              <w:adjustRightInd w:val="0"/>
              <w:snapToGrid w:val="0"/>
              <w:rPr>
                <w:szCs w:val="22"/>
                <w:lang w:bidi="zh-CN"/>
                <w14:ligatures w14:val="none"/>
              </w:rPr>
            </w:pPr>
          </w:p>
        </w:tc>
        <w:tc>
          <w:tcPr>
            <w:tcW w:w="869" w:type="dxa"/>
            <w:tcBorders>
              <w:top w:val="single" w:color="auto" w:sz="4" w:space="0"/>
              <w:left w:val="single" w:color="auto" w:sz="4" w:space="0"/>
              <w:bottom w:val="single" w:color="auto" w:sz="4" w:space="0"/>
              <w:right w:val="single" w:color="auto" w:sz="4" w:space="0"/>
            </w:tcBorders>
            <w:vAlign w:val="center"/>
          </w:tcPr>
          <w:p w14:paraId="788EDFE1">
            <w:pPr>
              <w:pStyle w:val="64"/>
              <w:adjustRightInd w:val="0"/>
              <w:snapToGrid w:val="0"/>
              <w:rPr>
                <w:szCs w:val="22"/>
                <w:lang w:bidi="zh-CN"/>
                <w14:ligatures w14:val="none"/>
              </w:rPr>
            </w:pPr>
            <w:r>
              <w:rPr>
                <w:rFonts w:hint="eastAsia"/>
                <w:szCs w:val="22"/>
                <w:lang w:bidi="zh-CN"/>
                <w14:ligatures w14:val="none"/>
              </w:rPr>
              <w:t>2</w:t>
            </w:r>
            <w:r>
              <w:rPr>
                <w:szCs w:val="22"/>
                <w:lang w:bidi="zh-CN"/>
                <w14:ligatures w14:val="none"/>
              </w:rPr>
              <w:t>1</w:t>
            </w:r>
          </w:p>
        </w:tc>
        <w:tc>
          <w:tcPr>
            <w:tcW w:w="1597" w:type="dxa"/>
            <w:tcBorders>
              <w:top w:val="single" w:color="auto" w:sz="4" w:space="0"/>
              <w:left w:val="single" w:color="auto" w:sz="4" w:space="0"/>
              <w:bottom w:val="single" w:color="auto" w:sz="4" w:space="0"/>
              <w:right w:val="single" w:color="auto" w:sz="4" w:space="0"/>
            </w:tcBorders>
            <w:vAlign w:val="center"/>
          </w:tcPr>
          <w:p w14:paraId="1C2FB22D">
            <w:pPr>
              <w:pStyle w:val="64"/>
              <w:adjustRightInd w:val="0"/>
              <w:snapToGrid w:val="0"/>
              <w:rPr>
                <w:szCs w:val="22"/>
                <w:lang w:bidi="zh-CN"/>
                <w14:ligatures w14:val="none"/>
              </w:rPr>
            </w:pPr>
            <w:r>
              <w:rPr>
                <w:szCs w:val="22"/>
                <w:lang w:bidi="zh-CN"/>
                <w14:ligatures w14:val="none"/>
              </w:rPr>
              <w:t>地理所</w:t>
            </w:r>
          </w:p>
        </w:tc>
        <w:tc>
          <w:tcPr>
            <w:tcW w:w="1083" w:type="dxa"/>
            <w:tcBorders>
              <w:top w:val="single" w:color="auto" w:sz="4" w:space="0"/>
              <w:left w:val="single" w:color="auto" w:sz="4" w:space="0"/>
              <w:bottom w:val="single" w:color="auto" w:sz="4" w:space="0"/>
              <w:right w:val="single" w:color="auto" w:sz="4" w:space="0"/>
            </w:tcBorders>
            <w:vAlign w:val="center"/>
          </w:tcPr>
          <w:p w14:paraId="6CD33080">
            <w:pPr>
              <w:pStyle w:val="64"/>
              <w:adjustRightInd w:val="0"/>
              <w:snapToGrid w:val="0"/>
              <w:rPr>
                <w:szCs w:val="22"/>
                <w:lang w:bidi="zh-CN"/>
                <w14:ligatures w14:val="none"/>
              </w:rPr>
            </w:pPr>
            <w:r>
              <w:rPr>
                <w:szCs w:val="22"/>
                <w:lang w:bidi="zh-CN"/>
                <w14:ligatures w14:val="none"/>
              </w:rPr>
              <w:t>S</w:t>
            </w:r>
          </w:p>
        </w:tc>
        <w:tc>
          <w:tcPr>
            <w:tcW w:w="1489" w:type="dxa"/>
            <w:gridSpan w:val="2"/>
            <w:tcBorders>
              <w:top w:val="single" w:color="auto" w:sz="4" w:space="0"/>
              <w:left w:val="single" w:color="auto" w:sz="4" w:space="0"/>
              <w:bottom w:val="single" w:color="auto" w:sz="4" w:space="0"/>
              <w:right w:val="single" w:color="auto" w:sz="4" w:space="0"/>
            </w:tcBorders>
            <w:vAlign w:val="center"/>
          </w:tcPr>
          <w:p w14:paraId="7CF89BA0">
            <w:pPr>
              <w:pStyle w:val="64"/>
              <w:adjustRightInd w:val="0"/>
              <w:snapToGrid w:val="0"/>
              <w:rPr>
                <w:szCs w:val="22"/>
                <w:lang w:bidi="zh-CN"/>
                <w14:ligatures w14:val="none"/>
              </w:rPr>
            </w:pPr>
            <w:r>
              <w:rPr>
                <w:szCs w:val="22"/>
                <w:lang w:bidi="zh-CN"/>
                <w14:ligatures w14:val="none"/>
              </w:rPr>
              <w:t>3511</w:t>
            </w:r>
          </w:p>
        </w:tc>
        <w:tc>
          <w:tcPr>
            <w:tcW w:w="1425" w:type="dxa"/>
            <w:gridSpan w:val="3"/>
            <w:tcBorders>
              <w:top w:val="single" w:color="auto" w:sz="4" w:space="0"/>
              <w:left w:val="single" w:color="auto" w:sz="4" w:space="0"/>
              <w:bottom w:val="single" w:color="auto" w:sz="4" w:space="0"/>
              <w:right w:val="single" w:color="auto" w:sz="4" w:space="0"/>
            </w:tcBorders>
            <w:vAlign w:val="center"/>
          </w:tcPr>
          <w:p w14:paraId="68775683">
            <w:pPr>
              <w:pStyle w:val="64"/>
              <w:adjustRightInd w:val="0"/>
              <w:snapToGrid w:val="0"/>
              <w:rPr>
                <w:szCs w:val="22"/>
                <w:lang w:bidi="zh-CN"/>
                <w14:ligatures w14:val="none"/>
              </w:rPr>
            </w:pPr>
            <w:r>
              <w:rPr>
                <w:szCs w:val="22"/>
                <w:lang w:bidi="zh-CN"/>
                <w14:ligatures w14:val="none"/>
              </w:rPr>
              <w:t>居民点</w:t>
            </w:r>
          </w:p>
        </w:tc>
        <w:tc>
          <w:tcPr>
            <w:tcW w:w="1673" w:type="dxa"/>
            <w:gridSpan w:val="2"/>
            <w:tcBorders>
              <w:top w:val="single" w:color="auto" w:sz="4" w:space="0"/>
              <w:left w:val="single" w:color="auto" w:sz="4" w:space="0"/>
              <w:bottom w:val="single" w:color="auto" w:sz="4" w:space="0"/>
              <w:right w:val="single" w:color="auto" w:sz="4" w:space="0"/>
            </w:tcBorders>
            <w:vAlign w:val="center"/>
          </w:tcPr>
          <w:p w14:paraId="453ED680">
            <w:pPr>
              <w:pStyle w:val="64"/>
              <w:adjustRightInd w:val="0"/>
              <w:snapToGrid w:val="0"/>
              <w:rPr>
                <w:szCs w:val="22"/>
                <w:lang w:bidi="zh-CN"/>
                <w14:ligatures w14:val="none"/>
              </w:rPr>
            </w:pPr>
            <w:r>
              <w:rPr>
                <w:szCs w:val="22"/>
                <w:lang w:bidi="zh-CN"/>
                <w14:ligatures w14:val="none"/>
              </w:rPr>
              <w:t>160</w:t>
            </w:r>
          </w:p>
        </w:tc>
      </w:tr>
      <w:tr w14:paraId="1D3417E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936" w:type="dxa"/>
            <w:vMerge w:val="continue"/>
            <w:tcBorders>
              <w:top w:val="single" w:color="auto" w:sz="4" w:space="0"/>
              <w:left w:val="single" w:color="auto" w:sz="4" w:space="0"/>
              <w:bottom w:val="single" w:color="auto" w:sz="4" w:space="0"/>
              <w:right w:val="single" w:color="auto" w:sz="4" w:space="0"/>
            </w:tcBorders>
            <w:vAlign w:val="center"/>
          </w:tcPr>
          <w:p w14:paraId="24C4D7D2">
            <w:pPr>
              <w:pStyle w:val="64"/>
              <w:adjustRightInd w:val="0"/>
              <w:snapToGrid w:val="0"/>
              <w:rPr>
                <w:szCs w:val="22"/>
                <w:lang w:bidi="zh-CN"/>
                <w14:ligatures w14:val="none"/>
              </w:rPr>
            </w:pPr>
          </w:p>
        </w:tc>
        <w:tc>
          <w:tcPr>
            <w:tcW w:w="869" w:type="dxa"/>
            <w:tcBorders>
              <w:top w:val="single" w:color="auto" w:sz="4" w:space="0"/>
              <w:left w:val="single" w:color="auto" w:sz="4" w:space="0"/>
              <w:bottom w:val="single" w:color="auto" w:sz="4" w:space="0"/>
              <w:right w:val="single" w:color="auto" w:sz="4" w:space="0"/>
            </w:tcBorders>
            <w:vAlign w:val="center"/>
          </w:tcPr>
          <w:p w14:paraId="2E98596C">
            <w:pPr>
              <w:pStyle w:val="64"/>
              <w:adjustRightInd w:val="0"/>
              <w:snapToGrid w:val="0"/>
              <w:rPr>
                <w:szCs w:val="22"/>
                <w:lang w:bidi="zh-CN"/>
                <w14:ligatures w14:val="none"/>
              </w:rPr>
            </w:pPr>
            <w:r>
              <w:rPr>
                <w:szCs w:val="22"/>
                <w:lang w:bidi="zh-CN"/>
                <w14:ligatures w14:val="none"/>
              </w:rPr>
              <w:t>22</w:t>
            </w:r>
          </w:p>
        </w:tc>
        <w:tc>
          <w:tcPr>
            <w:tcW w:w="1597" w:type="dxa"/>
            <w:tcBorders>
              <w:top w:val="single" w:color="auto" w:sz="4" w:space="0"/>
              <w:left w:val="single" w:color="auto" w:sz="4" w:space="0"/>
              <w:bottom w:val="single" w:color="auto" w:sz="4" w:space="0"/>
              <w:right w:val="single" w:color="auto" w:sz="4" w:space="0"/>
            </w:tcBorders>
            <w:vAlign w:val="center"/>
          </w:tcPr>
          <w:p w14:paraId="25AB5EAD">
            <w:pPr>
              <w:pStyle w:val="64"/>
              <w:adjustRightInd w:val="0"/>
              <w:snapToGrid w:val="0"/>
              <w:rPr>
                <w:szCs w:val="22"/>
                <w:lang w:bidi="zh-CN"/>
                <w14:ligatures w14:val="none"/>
              </w:rPr>
            </w:pPr>
            <w:r>
              <w:rPr>
                <w:szCs w:val="22"/>
                <w:lang w:bidi="zh-CN"/>
                <w14:ligatures w14:val="none"/>
              </w:rPr>
              <w:t>店子</w:t>
            </w:r>
          </w:p>
        </w:tc>
        <w:tc>
          <w:tcPr>
            <w:tcW w:w="1083" w:type="dxa"/>
            <w:tcBorders>
              <w:top w:val="single" w:color="auto" w:sz="4" w:space="0"/>
              <w:left w:val="single" w:color="auto" w:sz="4" w:space="0"/>
              <w:bottom w:val="single" w:color="auto" w:sz="4" w:space="0"/>
              <w:right w:val="single" w:color="auto" w:sz="4" w:space="0"/>
            </w:tcBorders>
            <w:vAlign w:val="center"/>
          </w:tcPr>
          <w:p w14:paraId="3A5BCF8A">
            <w:pPr>
              <w:pStyle w:val="64"/>
              <w:adjustRightInd w:val="0"/>
              <w:snapToGrid w:val="0"/>
              <w:rPr>
                <w:szCs w:val="22"/>
                <w:lang w:bidi="zh-CN"/>
                <w14:ligatures w14:val="none"/>
              </w:rPr>
            </w:pPr>
            <w:r>
              <w:rPr>
                <w:szCs w:val="22"/>
                <w:lang w:bidi="zh-CN"/>
                <w14:ligatures w14:val="none"/>
              </w:rPr>
              <w:t>SSW</w:t>
            </w:r>
          </w:p>
        </w:tc>
        <w:tc>
          <w:tcPr>
            <w:tcW w:w="1489" w:type="dxa"/>
            <w:gridSpan w:val="2"/>
            <w:tcBorders>
              <w:top w:val="single" w:color="auto" w:sz="4" w:space="0"/>
              <w:left w:val="single" w:color="auto" w:sz="4" w:space="0"/>
              <w:bottom w:val="single" w:color="auto" w:sz="4" w:space="0"/>
              <w:right w:val="single" w:color="auto" w:sz="4" w:space="0"/>
            </w:tcBorders>
            <w:vAlign w:val="center"/>
          </w:tcPr>
          <w:p w14:paraId="6F35BFEA">
            <w:pPr>
              <w:pStyle w:val="64"/>
              <w:adjustRightInd w:val="0"/>
              <w:snapToGrid w:val="0"/>
              <w:rPr>
                <w:szCs w:val="22"/>
                <w:lang w:bidi="zh-CN"/>
                <w14:ligatures w14:val="none"/>
              </w:rPr>
            </w:pPr>
            <w:r>
              <w:rPr>
                <w:szCs w:val="22"/>
                <w:lang w:bidi="zh-CN"/>
                <w14:ligatures w14:val="none"/>
              </w:rPr>
              <w:t>2950</w:t>
            </w:r>
          </w:p>
        </w:tc>
        <w:tc>
          <w:tcPr>
            <w:tcW w:w="1425" w:type="dxa"/>
            <w:gridSpan w:val="3"/>
            <w:tcBorders>
              <w:top w:val="single" w:color="auto" w:sz="4" w:space="0"/>
              <w:left w:val="single" w:color="auto" w:sz="4" w:space="0"/>
              <w:bottom w:val="single" w:color="auto" w:sz="4" w:space="0"/>
              <w:right w:val="single" w:color="auto" w:sz="4" w:space="0"/>
            </w:tcBorders>
            <w:vAlign w:val="center"/>
          </w:tcPr>
          <w:p w14:paraId="7C106B97">
            <w:pPr>
              <w:pStyle w:val="64"/>
              <w:adjustRightInd w:val="0"/>
              <w:snapToGrid w:val="0"/>
              <w:rPr>
                <w:szCs w:val="22"/>
                <w:lang w:bidi="zh-CN"/>
                <w14:ligatures w14:val="none"/>
              </w:rPr>
            </w:pPr>
            <w:r>
              <w:rPr>
                <w:szCs w:val="22"/>
                <w:lang w:bidi="zh-CN"/>
                <w14:ligatures w14:val="none"/>
              </w:rPr>
              <w:t>居民点</w:t>
            </w:r>
          </w:p>
        </w:tc>
        <w:tc>
          <w:tcPr>
            <w:tcW w:w="1673" w:type="dxa"/>
            <w:gridSpan w:val="2"/>
            <w:tcBorders>
              <w:top w:val="single" w:color="auto" w:sz="4" w:space="0"/>
              <w:left w:val="single" w:color="auto" w:sz="4" w:space="0"/>
              <w:bottom w:val="single" w:color="auto" w:sz="4" w:space="0"/>
              <w:right w:val="single" w:color="auto" w:sz="4" w:space="0"/>
            </w:tcBorders>
            <w:vAlign w:val="center"/>
          </w:tcPr>
          <w:p w14:paraId="1CFC7C2A">
            <w:pPr>
              <w:pStyle w:val="64"/>
              <w:adjustRightInd w:val="0"/>
              <w:snapToGrid w:val="0"/>
              <w:rPr>
                <w:szCs w:val="22"/>
                <w:lang w:bidi="zh-CN"/>
                <w14:ligatures w14:val="none"/>
              </w:rPr>
            </w:pPr>
            <w:r>
              <w:rPr>
                <w:szCs w:val="22"/>
                <w:lang w:bidi="zh-CN"/>
                <w14:ligatures w14:val="none"/>
              </w:rPr>
              <w:t>140</w:t>
            </w:r>
          </w:p>
        </w:tc>
      </w:tr>
      <w:tr w14:paraId="3C7463F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936" w:type="dxa"/>
            <w:vMerge w:val="continue"/>
            <w:tcBorders>
              <w:top w:val="single" w:color="auto" w:sz="4" w:space="0"/>
              <w:left w:val="single" w:color="auto" w:sz="4" w:space="0"/>
              <w:bottom w:val="single" w:color="auto" w:sz="4" w:space="0"/>
              <w:right w:val="single" w:color="auto" w:sz="4" w:space="0"/>
            </w:tcBorders>
            <w:vAlign w:val="center"/>
          </w:tcPr>
          <w:p w14:paraId="72868934">
            <w:pPr>
              <w:pStyle w:val="64"/>
              <w:adjustRightInd w:val="0"/>
              <w:snapToGrid w:val="0"/>
              <w:rPr>
                <w:szCs w:val="22"/>
                <w:lang w:bidi="zh-CN"/>
                <w14:ligatures w14:val="none"/>
              </w:rPr>
            </w:pPr>
          </w:p>
        </w:tc>
        <w:tc>
          <w:tcPr>
            <w:tcW w:w="869" w:type="dxa"/>
            <w:tcBorders>
              <w:top w:val="single" w:color="auto" w:sz="4" w:space="0"/>
              <w:left w:val="single" w:color="auto" w:sz="4" w:space="0"/>
              <w:bottom w:val="single" w:color="auto" w:sz="4" w:space="0"/>
              <w:right w:val="single" w:color="auto" w:sz="4" w:space="0"/>
            </w:tcBorders>
            <w:vAlign w:val="center"/>
          </w:tcPr>
          <w:p w14:paraId="2E4A933E">
            <w:pPr>
              <w:pStyle w:val="64"/>
              <w:adjustRightInd w:val="0"/>
              <w:snapToGrid w:val="0"/>
              <w:rPr>
                <w:szCs w:val="22"/>
                <w:lang w:bidi="zh-CN"/>
                <w14:ligatures w14:val="none"/>
              </w:rPr>
            </w:pPr>
            <w:r>
              <w:rPr>
                <w:szCs w:val="22"/>
                <w:lang w:bidi="zh-CN"/>
                <w14:ligatures w14:val="none"/>
              </w:rPr>
              <w:t>23</w:t>
            </w:r>
          </w:p>
        </w:tc>
        <w:tc>
          <w:tcPr>
            <w:tcW w:w="1597" w:type="dxa"/>
            <w:tcBorders>
              <w:top w:val="single" w:color="auto" w:sz="4" w:space="0"/>
              <w:left w:val="single" w:color="auto" w:sz="4" w:space="0"/>
              <w:bottom w:val="single" w:color="auto" w:sz="4" w:space="0"/>
              <w:right w:val="single" w:color="auto" w:sz="4" w:space="0"/>
            </w:tcBorders>
            <w:vAlign w:val="center"/>
          </w:tcPr>
          <w:p w14:paraId="7DFF7508">
            <w:pPr>
              <w:pStyle w:val="64"/>
              <w:adjustRightInd w:val="0"/>
              <w:snapToGrid w:val="0"/>
              <w:rPr>
                <w:szCs w:val="22"/>
                <w:lang w:bidi="zh-CN"/>
                <w14:ligatures w14:val="none"/>
              </w:rPr>
            </w:pPr>
            <w:r>
              <w:rPr>
                <w:szCs w:val="22"/>
                <w:lang w:bidi="zh-CN"/>
                <w14:ligatures w14:val="none"/>
              </w:rPr>
              <w:t>于家村</w:t>
            </w:r>
          </w:p>
        </w:tc>
        <w:tc>
          <w:tcPr>
            <w:tcW w:w="1083" w:type="dxa"/>
            <w:tcBorders>
              <w:top w:val="single" w:color="auto" w:sz="4" w:space="0"/>
              <w:left w:val="single" w:color="auto" w:sz="4" w:space="0"/>
              <w:bottom w:val="single" w:color="auto" w:sz="4" w:space="0"/>
              <w:right w:val="single" w:color="auto" w:sz="4" w:space="0"/>
            </w:tcBorders>
            <w:vAlign w:val="center"/>
          </w:tcPr>
          <w:p w14:paraId="4C39A6FF">
            <w:pPr>
              <w:pStyle w:val="64"/>
              <w:adjustRightInd w:val="0"/>
              <w:snapToGrid w:val="0"/>
              <w:rPr>
                <w:szCs w:val="22"/>
                <w:lang w:bidi="zh-CN"/>
                <w14:ligatures w14:val="none"/>
              </w:rPr>
            </w:pPr>
            <w:r>
              <w:rPr>
                <w:szCs w:val="22"/>
                <w:lang w:bidi="zh-CN"/>
                <w14:ligatures w14:val="none"/>
              </w:rPr>
              <w:t>SW</w:t>
            </w:r>
          </w:p>
        </w:tc>
        <w:tc>
          <w:tcPr>
            <w:tcW w:w="1489" w:type="dxa"/>
            <w:gridSpan w:val="2"/>
            <w:tcBorders>
              <w:top w:val="single" w:color="auto" w:sz="4" w:space="0"/>
              <w:left w:val="single" w:color="auto" w:sz="4" w:space="0"/>
              <w:bottom w:val="single" w:color="auto" w:sz="4" w:space="0"/>
              <w:right w:val="single" w:color="auto" w:sz="4" w:space="0"/>
            </w:tcBorders>
            <w:vAlign w:val="center"/>
          </w:tcPr>
          <w:p w14:paraId="5AC85E79">
            <w:pPr>
              <w:pStyle w:val="64"/>
              <w:adjustRightInd w:val="0"/>
              <w:snapToGrid w:val="0"/>
              <w:rPr>
                <w:szCs w:val="22"/>
                <w:lang w:bidi="zh-CN"/>
                <w14:ligatures w14:val="none"/>
              </w:rPr>
            </w:pPr>
            <w:r>
              <w:rPr>
                <w:szCs w:val="22"/>
                <w:lang w:bidi="zh-CN"/>
                <w14:ligatures w14:val="none"/>
              </w:rPr>
              <w:t>3025</w:t>
            </w:r>
          </w:p>
        </w:tc>
        <w:tc>
          <w:tcPr>
            <w:tcW w:w="1425" w:type="dxa"/>
            <w:gridSpan w:val="3"/>
            <w:tcBorders>
              <w:top w:val="single" w:color="auto" w:sz="4" w:space="0"/>
              <w:left w:val="single" w:color="auto" w:sz="4" w:space="0"/>
              <w:bottom w:val="single" w:color="auto" w:sz="4" w:space="0"/>
              <w:right w:val="single" w:color="auto" w:sz="4" w:space="0"/>
            </w:tcBorders>
            <w:vAlign w:val="center"/>
          </w:tcPr>
          <w:p w14:paraId="53DD3FFE">
            <w:pPr>
              <w:pStyle w:val="64"/>
              <w:adjustRightInd w:val="0"/>
              <w:snapToGrid w:val="0"/>
              <w:rPr>
                <w:szCs w:val="22"/>
                <w:lang w:bidi="zh-CN"/>
                <w14:ligatures w14:val="none"/>
              </w:rPr>
            </w:pPr>
            <w:r>
              <w:rPr>
                <w:szCs w:val="22"/>
                <w:lang w:bidi="zh-CN"/>
                <w14:ligatures w14:val="none"/>
              </w:rPr>
              <w:t>居民点</w:t>
            </w:r>
          </w:p>
        </w:tc>
        <w:tc>
          <w:tcPr>
            <w:tcW w:w="1673" w:type="dxa"/>
            <w:gridSpan w:val="2"/>
            <w:tcBorders>
              <w:top w:val="single" w:color="auto" w:sz="4" w:space="0"/>
              <w:left w:val="single" w:color="auto" w:sz="4" w:space="0"/>
              <w:bottom w:val="single" w:color="auto" w:sz="4" w:space="0"/>
              <w:right w:val="single" w:color="auto" w:sz="4" w:space="0"/>
            </w:tcBorders>
            <w:vAlign w:val="center"/>
          </w:tcPr>
          <w:p w14:paraId="69ECCCA9">
            <w:pPr>
              <w:pStyle w:val="64"/>
              <w:adjustRightInd w:val="0"/>
              <w:snapToGrid w:val="0"/>
              <w:rPr>
                <w:szCs w:val="22"/>
                <w:lang w:bidi="zh-CN"/>
                <w14:ligatures w14:val="none"/>
              </w:rPr>
            </w:pPr>
            <w:r>
              <w:rPr>
                <w:szCs w:val="22"/>
                <w:lang w:bidi="zh-CN"/>
                <w14:ligatures w14:val="none"/>
              </w:rPr>
              <w:t>184</w:t>
            </w:r>
          </w:p>
        </w:tc>
      </w:tr>
      <w:tr w14:paraId="445FE8F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936" w:type="dxa"/>
            <w:vMerge w:val="continue"/>
            <w:tcBorders>
              <w:top w:val="single" w:color="auto" w:sz="4" w:space="0"/>
              <w:left w:val="single" w:color="auto" w:sz="4" w:space="0"/>
              <w:bottom w:val="single" w:color="auto" w:sz="4" w:space="0"/>
              <w:right w:val="single" w:color="auto" w:sz="4" w:space="0"/>
            </w:tcBorders>
            <w:vAlign w:val="center"/>
          </w:tcPr>
          <w:p w14:paraId="582C864C">
            <w:pPr>
              <w:pStyle w:val="64"/>
              <w:adjustRightInd w:val="0"/>
              <w:snapToGrid w:val="0"/>
              <w:rPr>
                <w:szCs w:val="22"/>
                <w:lang w:bidi="zh-CN"/>
                <w14:ligatures w14:val="none"/>
              </w:rPr>
            </w:pPr>
          </w:p>
        </w:tc>
        <w:tc>
          <w:tcPr>
            <w:tcW w:w="869" w:type="dxa"/>
            <w:tcBorders>
              <w:top w:val="single" w:color="auto" w:sz="4" w:space="0"/>
              <w:left w:val="single" w:color="auto" w:sz="4" w:space="0"/>
              <w:bottom w:val="single" w:color="auto" w:sz="4" w:space="0"/>
              <w:right w:val="single" w:color="auto" w:sz="4" w:space="0"/>
            </w:tcBorders>
            <w:vAlign w:val="center"/>
          </w:tcPr>
          <w:p w14:paraId="3F2903F3">
            <w:pPr>
              <w:pStyle w:val="64"/>
              <w:adjustRightInd w:val="0"/>
              <w:snapToGrid w:val="0"/>
              <w:rPr>
                <w:szCs w:val="22"/>
                <w:lang w:bidi="zh-CN"/>
                <w14:ligatures w14:val="none"/>
              </w:rPr>
            </w:pPr>
            <w:r>
              <w:rPr>
                <w:szCs w:val="22"/>
                <w:lang w:bidi="zh-CN"/>
                <w14:ligatures w14:val="none"/>
              </w:rPr>
              <w:t>24</w:t>
            </w:r>
          </w:p>
        </w:tc>
        <w:tc>
          <w:tcPr>
            <w:tcW w:w="1597" w:type="dxa"/>
            <w:tcBorders>
              <w:top w:val="single" w:color="auto" w:sz="4" w:space="0"/>
              <w:left w:val="single" w:color="auto" w:sz="4" w:space="0"/>
              <w:bottom w:val="single" w:color="auto" w:sz="4" w:space="0"/>
              <w:right w:val="single" w:color="auto" w:sz="4" w:space="0"/>
            </w:tcBorders>
            <w:vAlign w:val="center"/>
          </w:tcPr>
          <w:p w14:paraId="23896229">
            <w:pPr>
              <w:pStyle w:val="64"/>
              <w:adjustRightInd w:val="0"/>
              <w:snapToGrid w:val="0"/>
              <w:rPr>
                <w:szCs w:val="22"/>
                <w:lang w:bidi="zh-CN"/>
                <w14:ligatures w14:val="none"/>
              </w:rPr>
            </w:pPr>
            <w:r>
              <w:rPr>
                <w:szCs w:val="22"/>
                <w14:ligatures w14:val="none"/>
              </w:rPr>
              <w:t>于家</w:t>
            </w:r>
            <w:r>
              <w:rPr>
                <w:rFonts w:hint="eastAsia"/>
                <w:szCs w:val="22"/>
                <w14:ligatures w14:val="none"/>
              </w:rPr>
              <w:t>小学</w:t>
            </w:r>
          </w:p>
        </w:tc>
        <w:tc>
          <w:tcPr>
            <w:tcW w:w="1083" w:type="dxa"/>
            <w:tcBorders>
              <w:top w:val="single" w:color="auto" w:sz="4" w:space="0"/>
              <w:left w:val="single" w:color="auto" w:sz="4" w:space="0"/>
              <w:bottom w:val="single" w:color="auto" w:sz="4" w:space="0"/>
              <w:right w:val="single" w:color="auto" w:sz="4" w:space="0"/>
            </w:tcBorders>
            <w:vAlign w:val="center"/>
          </w:tcPr>
          <w:p w14:paraId="68879369">
            <w:pPr>
              <w:pStyle w:val="64"/>
              <w:adjustRightInd w:val="0"/>
              <w:snapToGrid w:val="0"/>
              <w:rPr>
                <w:szCs w:val="22"/>
                <w:lang w:bidi="zh-CN"/>
                <w14:ligatures w14:val="none"/>
              </w:rPr>
            </w:pPr>
            <w:r>
              <w:rPr>
                <w:szCs w:val="22"/>
                <w14:ligatures w14:val="none"/>
              </w:rPr>
              <w:t>SW</w:t>
            </w:r>
          </w:p>
        </w:tc>
        <w:tc>
          <w:tcPr>
            <w:tcW w:w="1489" w:type="dxa"/>
            <w:gridSpan w:val="2"/>
            <w:tcBorders>
              <w:top w:val="single" w:color="auto" w:sz="4" w:space="0"/>
              <w:left w:val="single" w:color="auto" w:sz="4" w:space="0"/>
              <w:bottom w:val="single" w:color="auto" w:sz="4" w:space="0"/>
              <w:right w:val="single" w:color="auto" w:sz="4" w:space="0"/>
            </w:tcBorders>
            <w:vAlign w:val="center"/>
          </w:tcPr>
          <w:p w14:paraId="342F1F27">
            <w:pPr>
              <w:pStyle w:val="64"/>
              <w:adjustRightInd w:val="0"/>
              <w:snapToGrid w:val="0"/>
              <w:rPr>
                <w:szCs w:val="22"/>
                <w:lang w:bidi="zh-CN"/>
                <w14:ligatures w14:val="none"/>
              </w:rPr>
            </w:pPr>
            <w:r>
              <w:rPr>
                <w:rFonts w:hint="eastAsia"/>
                <w:szCs w:val="22"/>
                <w14:ligatures w14:val="none"/>
              </w:rPr>
              <w:t>3162</w:t>
            </w:r>
          </w:p>
        </w:tc>
        <w:tc>
          <w:tcPr>
            <w:tcW w:w="1425" w:type="dxa"/>
            <w:gridSpan w:val="3"/>
            <w:tcBorders>
              <w:top w:val="single" w:color="auto" w:sz="4" w:space="0"/>
              <w:left w:val="single" w:color="auto" w:sz="4" w:space="0"/>
              <w:bottom w:val="single" w:color="auto" w:sz="4" w:space="0"/>
              <w:right w:val="single" w:color="auto" w:sz="4" w:space="0"/>
            </w:tcBorders>
            <w:vAlign w:val="center"/>
          </w:tcPr>
          <w:p w14:paraId="0ECAE640">
            <w:pPr>
              <w:pStyle w:val="64"/>
              <w:adjustRightInd w:val="0"/>
              <w:snapToGrid w:val="0"/>
              <w:rPr>
                <w:szCs w:val="22"/>
                <w:lang w:bidi="zh-CN"/>
                <w14:ligatures w14:val="none"/>
              </w:rPr>
            </w:pPr>
            <w:r>
              <w:rPr>
                <w:szCs w:val="22"/>
                <w:lang w:bidi="zh-CN"/>
                <w14:ligatures w14:val="none"/>
              </w:rPr>
              <w:t>居民点</w:t>
            </w:r>
          </w:p>
        </w:tc>
        <w:tc>
          <w:tcPr>
            <w:tcW w:w="1673" w:type="dxa"/>
            <w:gridSpan w:val="2"/>
            <w:tcBorders>
              <w:top w:val="single" w:color="auto" w:sz="4" w:space="0"/>
              <w:left w:val="single" w:color="auto" w:sz="4" w:space="0"/>
              <w:bottom w:val="single" w:color="auto" w:sz="4" w:space="0"/>
              <w:right w:val="single" w:color="auto" w:sz="4" w:space="0"/>
            </w:tcBorders>
            <w:vAlign w:val="center"/>
          </w:tcPr>
          <w:p w14:paraId="18EFD8E1">
            <w:pPr>
              <w:pStyle w:val="64"/>
              <w:adjustRightInd w:val="0"/>
              <w:snapToGrid w:val="0"/>
              <w:rPr>
                <w:szCs w:val="22"/>
                <w:lang w:bidi="zh-CN"/>
                <w14:ligatures w14:val="none"/>
              </w:rPr>
            </w:pPr>
            <w:r>
              <w:rPr>
                <w:rFonts w:hint="eastAsia"/>
                <w:szCs w:val="22"/>
                <w:lang w:bidi="zh-CN"/>
                <w14:ligatures w14:val="none"/>
              </w:rPr>
              <w:t>100</w:t>
            </w:r>
          </w:p>
        </w:tc>
      </w:tr>
      <w:tr w14:paraId="511F307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936" w:type="dxa"/>
            <w:vMerge w:val="continue"/>
            <w:tcBorders>
              <w:top w:val="single" w:color="auto" w:sz="4" w:space="0"/>
              <w:left w:val="single" w:color="auto" w:sz="4" w:space="0"/>
              <w:bottom w:val="single" w:color="auto" w:sz="4" w:space="0"/>
              <w:right w:val="single" w:color="auto" w:sz="4" w:space="0"/>
            </w:tcBorders>
            <w:vAlign w:val="center"/>
          </w:tcPr>
          <w:p w14:paraId="2E79DCB2">
            <w:pPr>
              <w:pStyle w:val="64"/>
              <w:adjustRightInd w:val="0"/>
              <w:snapToGrid w:val="0"/>
              <w:rPr>
                <w:szCs w:val="22"/>
                <w:lang w:bidi="zh-CN"/>
                <w14:ligatures w14:val="none"/>
              </w:rPr>
            </w:pPr>
          </w:p>
        </w:tc>
        <w:tc>
          <w:tcPr>
            <w:tcW w:w="869" w:type="dxa"/>
            <w:tcBorders>
              <w:top w:val="single" w:color="auto" w:sz="4" w:space="0"/>
              <w:left w:val="single" w:color="auto" w:sz="4" w:space="0"/>
              <w:bottom w:val="single" w:color="auto" w:sz="4" w:space="0"/>
              <w:right w:val="single" w:color="auto" w:sz="4" w:space="0"/>
            </w:tcBorders>
            <w:vAlign w:val="center"/>
          </w:tcPr>
          <w:p w14:paraId="141467A4">
            <w:pPr>
              <w:pStyle w:val="64"/>
              <w:adjustRightInd w:val="0"/>
              <w:snapToGrid w:val="0"/>
              <w:rPr>
                <w:szCs w:val="22"/>
                <w:lang w:bidi="zh-CN"/>
                <w14:ligatures w14:val="none"/>
              </w:rPr>
            </w:pPr>
            <w:r>
              <w:rPr>
                <w:szCs w:val="22"/>
                <w:lang w:bidi="zh-CN"/>
                <w14:ligatures w14:val="none"/>
              </w:rPr>
              <w:t>25</w:t>
            </w:r>
          </w:p>
        </w:tc>
        <w:tc>
          <w:tcPr>
            <w:tcW w:w="1597" w:type="dxa"/>
            <w:tcBorders>
              <w:top w:val="single" w:color="auto" w:sz="4" w:space="0"/>
              <w:left w:val="single" w:color="auto" w:sz="4" w:space="0"/>
              <w:bottom w:val="single" w:color="auto" w:sz="4" w:space="0"/>
              <w:right w:val="single" w:color="auto" w:sz="4" w:space="0"/>
            </w:tcBorders>
            <w:vAlign w:val="center"/>
          </w:tcPr>
          <w:p w14:paraId="6DD8C349">
            <w:pPr>
              <w:pStyle w:val="64"/>
              <w:adjustRightInd w:val="0"/>
              <w:snapToGrid w:val="0"/>
              <w:rPr>
                <w:szCs w:val="22"/>
                <w:lang w:bidi="zh-CN"/>
                <w14:ligatures w14:val="none"/>
              </w:rPr>
            </w:pPr>
            <w:r>
              <w:rPr>
                <w:szCs w:val="22"/>
                <w:lang w:bidi="zh-CN"/>
                <w14:ligatures w14:val="none"/>
              </w:rPr>
              <w:t>陈巷</w:t>
            </w:r>
          </w:p>
        </w:tc>
        <w:tc>
          <w:tcPr>
            <w:tcW w:w="1083" w:type="dxa"/>
            <w:tcBorders>
              <w:top w:val="single" w:color="auto" w:sz="4" w:space="0"/>
              <w:left w:val="single" w:color="auto" w:sz="4" w:space="0"/>
              <w:bottom w:val="single" w:color="auto" w:sz="4" w:space="0"/>
              <w:right w:val="single" w:color="auto" w:sz="4" w:space="0"/>
            </w:tcBorders>
            <w:vAlign w:val="center"/>
          </w:tcPr>
          <w:p w14:paraId="2FC8B704">
            <w:pPr>
              <w:pStyle w:val="64"/>
              <w:adjustRightInd w:val="0"/>
              <w:snapToGrid w:val="0"/>
              <w:rPr>
                <w:szCs w:val="22"/>
                <w:lang w:bidi="zh-CN"/>
                <w14:ligatures w14:val="none"/>
              </w:rPr>
            </w:pPr>
            <w:r>
              <w:rPr>
                <w:szCs w:val="22"/>
                <w:lang w:bidi="zh-CN"/>
                <w14:ligatures w14:val="none"/>
              </w:rPr>
              <w:t>SW</w:t>
            </w:r>
          </w:p>
        </w:tc>
        <w:tc>
          <w:tcPr>
            <w:tcW w:w="1489" w:type="dxa"/>
            <w:gridSpan w:val="2"/>
            <w:tcBorders>
              <w:top w:val="single" w:color="auto" w:sz="4" w:space="0"/>
              <w:left w:val="single" w:color="auto" w:sz="4" w:space="0"/>
              <w:bottom w:val="single" w:color="auto" w:sz="4" w:space="0"/>
              <w:right w:val="single" w:color="auto" w:sz="4" w:space="0"/>
            </w:tcBorders>
            <w:vAlign w:val="center"/>
          </w:tcPr>
          <w:p w14:paraId="4221D2B8">
            <w:pPr>
              <w:pStyle w:val="64"/>
              <w:adjustRightInd w:val="0"/>
              <w:snapToGrid w:val="0"/>
              <w:rPr>
                <w:szCs w:val="22"/>
                <w:lang w:bidi="zh-CN"/>
                <w14:ligatures w14:val="none"/>
              </w:rPr>
            </w:pPr>
            <w:r>
              <w:rPr>
                <w:szCs w:val="22"/>
                <w:lang w:bidi="zh-CN"/>
                <w14:ligatures w14:val="none"/>
              </w:rPr>
              <w:t>3151</w:t>
            </w:r>
          </w:p>
        </w:tc>
        <w:tc>
          <w:tcPr>
            <w:tcW w:w="1425" w:type="dxa"/>
            <w:gridSpan w:val="3"/>
            <w:tcBorders>
              <w:top w:val="single" w:color="auto" w:sz="4" w:space="0"/>
              <w:left w:val="single" w:color="auto" w:sz="4" w:space="0"/>
              <w:bottom w:val="single" w:color="auto" w:sz="4" w:space="0"/>
              <w:right w:val="single" w:color="auto" w:sz="4" w:space="0"/>
            </w:tcBorders>
            <w:vAlign w:val="center"/>
          </w:tcPr>
          <w:p w14:paraId="269DB483">
            <w:pPr>
              <w:pStyle w:val="64"/>
              <w:adjustRightInd w:val="0"/>
              <w:snapToGrid w:val="0"/>
              <w:rPr>
                <w:szCs w:val="22"/>
                <w:lang w:bidi="zh-CN"/>
                <w14:ligatures w14:val="none"/>
              </w:rPr>
            </w:pPr>
            <w:r>
              <w:rPr>
                <w:szCs w:val="22"/>
                <w:lang w:bidi="zh-CN"/>
                <w14:ligatures w14:val="none"/>
              </w:rPr>
              <w:t>居民点</w:t>
            </w:r>
          </w:p>
        </w:tc>
        <w:tc>
          <w:tcPr>
            <w:tcW w:w="1673" w:type="dxa"/>
            <w:gridSpan w:val="2"/>
            <w:tcBorders>
              <w:top w:val="single" w:color="auto" w:sz="4" w:space="0"/>
              <w:left w:val="single" w:color="auto" w:sz="4" w:space="0"/>
              <w:bottom w:val="single" w:color="auto" w:sz="4" w:space="0"/>
              <w:right w:val="single" w:color="auto" w:sz="4" w:space="0"/>
            </w:tcBorders>
            <w:vAlign w:val="center"/>
          </w:tcPr>
          <w:p w14:paraId="0B22CD00">
            <w:pPr>
              <w:pStyle w:val="64"/>
              <w:adjustRightInd w:val="0"/>
              <w:snapToGrid w:val="0"/>
              <w:rPr>
                <w:szCs w:val="22"/>
                <w:lang w:bidi="zh-CN"/>
                <w14:ligatures w14:val="none"/>
              </w:rPr>
            </w:pPr>
            <w:r>
              <w:rPr>
                <w:szCs w:val="22"/>
                <w:lang w:bidi="zh-CN"/>
                <w14:ligatures w14:val="none"/>
              </w:rPr>
              <w:t>200</w:t>
            </w:r>
          </w:p>
        </w:tc>
      </w:tr>
      <w:tr w14:paraId="102C53F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936" w:type="dxa"/>
            <w:vMerge w:val="continue"/>
            <w:tcBorders>
              <w:top w:val="single" w:color="auto" w:sz="4" w:space="0"/>
              <w:left w:val="single" w:color="auto" w:sz="4" w:space="0"/>
              <w:bottom w:val="single" w:color="auto" w:sz="4" w:space="0"/>
              <w:right w:val="single" w:color="auto" w:sz="4" w:space="0"/>
            </w:tcBorders>
            <w:vAlign w:val="center"/>
          </w:tcPr>
          <w:p w14:paraId="34926F24">
            <w:pPr>
              <w:pStyle w:val="64"/>
              <w:adjustRightInd w:val="0"/>
              <w:snapToGrid w:val="0"/>
              <w:rPr>
                <w:szCs w:val="22"/>
                <w:lang w:bidi="zh-CN"/>
                <w14:ligatures w14:val="none"/>
              </w:rPr>
            </w:pPr>
          </w:p>
        </w:tc>
        <w:tc>
          <w:tcPr>
            <w:tcW w:w="869" w:type="dxa"/>
            <w:tcBorders>
              <w:top w:val="single" w:color="auto" w:sz="4" w:space="0"/>
              <w:left w:val="single" w:color="auto" w:sz="4" w:space="0"/>
              <w:bottom w:val="single" w:color="auto" w:sz="4" w:space="0"/>
              <w:right w:val="single" w:color="auto" w:sz="4" w:space="0"/>
            </w:tcBorders>
            <w:vAlign w:val="center"/>
          </w:tcPr>
          <w:p w14:paraId="70BE76DE">
            <w:pPr>
              <w:pStyle w:val="64"/>
              <w:adjustRightInd w:val="0"/>
              <w:snapToGrid w:val="0"/>
              <w:rPr>
                <w:szCs w:val="22"/>
                <w:lang w:bidi="zh-CN"/>
                <w14:ligatures w14:val="none"/>
              </w:rPr>
            </w:pPr>
            <w:r>
              <w:rPr>
                <w:szCs w:val="22"/>
                <w:lang w:bidi="zh-CN"/>
                <w14:ligatures w14:val="none"/>
              </w:rPr>
              <w:t>26</w:t>
            </w:r>
          </w:p>
        </w:tc>
        <w:tc>
          <w:tcPr>
            <w:tcW w:w="1597" w:type="dxa"/>
            <w:tcBorders>
              <w:top w:val="single" w:color="auto" w:sz="4" w:space="0"/>
              <w:left w:val="single" w:color="auto" w:sz="4" w:space="0"/>
              <w:bottom w:val="single" w:color="auto" w:sz="4" w:space="0"/>
              <w:right w:val="single" w:color="auto" w:sz="4" w:space="0"/>
            </w:tcBorders>
            <w:vAlign w:val="center"/>
          </w:tcPr>
          <w:p w14:paraId="55E304BB">
            <w:pPr>
              <w:pStyle w:val="64"/>
              <w:adjustRightInd w:val="0"/>
              <w:snapToGrid w:val="0"/>
              <w:rPr>
                <w:szCs w:val="22"/>
                <w:lang w:bidi="zh-CN"/>
                <w14:ligatures w14:val="none"/>
              </w:rPr>
            </w:pPr>
            <w:r>
              <w:rPr>
                <w:szCs w:val="22"/>
                <w:lang w:bidi="zh-CN"/>
                <w14:ligatures w14:val="none"/>
              </w:rPr>
              <w:t>小朱家</w:t>
            </w:r>
          </w:p>
        </w:tc>
        <w:tc>
          <w:tcPr>
            <w:tcW w:w="1083" w:type="dxa"/>
            <w:tcBorders>
              <w:top w:val="single" w:color="auto" w:sz="4" w:space="0"/>
              <w:left w:val="single" w:color="auto" w:sz="4" w:space="0"/>
              <w:bottom w:val="single" w:color="auto" w:sz="4" w:space="0"/>
              <w:right w:val="single" w:color="auto" w:sz="4" w:space="0"/>
            </w:tcBorders>
            <w:vAlign w:val="center"/>
          </w:tcPr>
          <w:p w14:paraId="01394AEF">
            <w:pPr>
              <w:pStyle w:val="64"/>
              <w:adjustRightInd w:val="0"/>
              <w:snapToGrid w:val="0"/>
              <w:rPr>
                <w:szCs w:val="22"/>
                <w:lang w:bidi="zh-CN"/>
                <w14:ligatures w14:val="none"/>
              </w:rPr>
            </w:pPr>
            <w:r>
              <w:rPr>
                <w:szCs w:val="22"/>
                <w:lang w:bidi="zh-CN"/>
                <w14:ligatures w14:val="none"/>
              </w:rPr>
              <w:t>SW</w:t>
            </w:r>
          </w:p>
        </w:tc>
        <w:tc>
          <w:tcPr>
            <w:tcW w:w="1489" w:type="dxa"/>
            <w:gridSpan w:val="2"/>
            <w:tcBorders>
              <w:top w:val="single" w:color="auto" w:sz="4" w:space="0"/>
              <w:left w:val="single" w:color="auto" w:sz="4" w:space="0"/>
              <w:bottom w:val="single" w:color="auto" w:sz="4" w:space="0"/>
              <w:right w:val="single" w:color="auto" w:sz="4" w:space="0"/>
            </w:tcBorders>
            <w:vAlign w:val="center"/>
          </w:tcPr>
          <w:p w14:paraId="0DFC73DE">
            <w:pPr>
              <w:pStyle w:val="64"/>
              <w:adjustRightInd w:val="0"/>
              <w:snapToGrid w:val="0"/>
              <w:rPr>
                <w:szCs w:val="22"/>
                <w:lang w:bidi="zh-CN"/>
                <w14:ligatures w14:val="none"/>
              </w:rPr>
            </w:pPr>
            <w:r>
              <w:rPr>
                <w:szCs w:val="22"/>
                <w:lang w:bidi="zh-CN"/>
                <w14:ligatures w14:val="none"/>
              </w:rPr>
              <w:t>3219</w:t>
            </w:r>
          </w:p>
        </w:tc>
        <w:tc>
          <w:tcPr>
            <w:tcW w:w="1425" w:type="dxa"/>
            <w:gridSpan w:val="3"/>
            <w:tcBorders>
              <w:top w:val="single" w:color="auto" w:sz="4" w:space="0"/>
              <w:left w:val="single" w:color="auto" w:sz="4" w:space="0"/>
              <w:bottom w:val="single" w:color="auto" w:sz="4" w:space="0"/>
              <w:right w:val="single" w:color="auto" w:sz="4" w:space="0"/>
            </w:tcBorders>
            <w:vAlign w:val="center"/>
          </w:tcPr>
          <w:p w14:paraId="28F5B23D">
            <w:pPr>
              <w:pStyle w:val="64"/>
              <w:adjustRightInd w:val="0"/>
              <w:snapToGrid w:val="0"/>
              <w:rPr>
                <w:szCs w:val="22"/>
                <w:lang w:bidi="zh-CN"/>
                <w14:ligatures w14:val="none"/>
              </w:rPr>
            </w:pPr>
            <w:r>
              <w:rPr>
                <w:szCs w:val="22"/>
                <w:lang w:bidi="zh-CN"/>
                <w14:ligatures w14:val="none"/>
              </w:rPr>
              <w:t>居民点</w:t>
            </w:r>
          </w:p>
        </w:tc>
        <w:tc>
          <w:tcPr>
            <w:tcW w:w="1673" w:type="dxa"/>
            <w:gridSpan w:val="2"/>
            <w:tcBorders>
              <w:top w:val="single" w:color="auto" w:sz="4" w:space="0"/>
              <w:left w:val="single" w:color="auto" w:sz="4" w:space="0"/>
              <w:bottom w:val="single" w:color="auto" w:sz="4" w:space="0"/>
              <w:right w:val="single" w:color="auto" w:sz="4" w:space="0"/>
            </w:tcBorders>
            <w:vAlign w:val="center"/>
          </w:tcPr>
          <w:p w14:paraId="74C3A20A">
            <w:pPr>
              <w:pStyle w:val="64"/>
              <w:adjustRightInd w:val="0"/>
              <w:snapToGrid w:val="0"/>
              <w:rPr>
                <w:szCs w:val="22"/>
                <w:lang w:bidi="zh-CN"/>
                <w14:ligatures w14:val="none"/>
              </w:rPr>
            </w:pPr>
            <w:r>
              <w:rPr>
                <w:szCs w:val="22"/>
                <w:lang w:bidi="zh-CN"/>
                <w14:ligatures w14:val="none"/>
              </w:rPr>
              <w:t>140</w:t>
            </w:r>
          </w:p>
        </w:tc>
      </w:tr>
      <w:tr w14:paraId="633CE04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936" w:type="dxa"/>
            <w:vMerge w:val="continue"/>
            <w:tcBorders>
              <w:top w:val="single" w:color="auto" w:sz="4" w:space="0"/>
              <w:left w:val="single" w:color="auto" w:sz="4" w:space="0"/>
              <w:bottom w:val="single" w:color="auto" w:sz="4" w:space="0"/>
              <w:right w:val="single" w:color="auto" w:sz="4" w:space="0"/>
            </w:tcBorders>
            <w:vAlign w:val="center"/>
          </w:tcPr>
          <w:p w14:paraId="0F9D92AF">
            <w:pPr>
              <w:pStyle w:val="64"/>
              <w:adjustRightInd w:val="0"/>
              <w:snapToGrid w:val="0"/>
              <w:rPr>
                <w:szCs w:val="22"/>
                <w:lang w:bidi="zh-CN"/>
                <w14:ligatures w14:val="none"/>
              </w:rPr>
            </w:pPr>
          </w:p>
        </w:tc>
        <w:tc>
          <w:tcPr>
            <w:tcW w:w="869" w:type="dxa"/>
            <w:tcBorders>
              <w:top w:val="single" w:color="auto" w:sz="4" w:space="0"/>
              <w:left w:val="single" w:color="auto" w:sz="4" w:space="0"/>
              <w:bottom w:val="single" w:color="auto" w:sz="4" w:space="0"/>
              <w:right w:val="single" w:color="auto" w:sz="4" w:space="0"/>
            </w:tcBorders>
            <w:vAlign w:val="center"/>
          </w:tcPr>
          <w:p w14:paraId="2B10EB4A">
            <w:pPr>
              <w:pStyle w:val="64"/>
              <w:adjustRightInd w:val="0"/>
              <w:snapToGrid w:val="0"/>
              <w:rPr>
                <w:szCs w:val="22"/>
                <w:lang w:bidi="zh-CN"/>
                <w14:ligatures w14:val="none"/>
              </w:rPr>
            </w:pPr>
            <w:r>
              <w:rPr>
                <w:szCs w:val="22"/>
                <w:lang w:bidi="zh-CN"/>
                <w14:ligatures w14:val="none"/>
              </w:rPr>
              <w:t>27</w:t>
            </w:r>
          </w:p>
        </w:tc>
        <w:tc>
          <w:tcPr>
            <w:tcW w:w="1597" w:type="dxa"/>
            <w:tcBorders>
              <w:top w:val="single" w:color="auto" w:sz="4" w:space="0"/>
              <w:left w:val="single" w:color="auto" w:sz="4" w:space="0"/>
              <w:bottom w:val="single" w:color="auto" w:sz="4" w:space="0"/>
              <w:right w:val="single" w:color="auto" w:sz="4" w:space="0"/>
            </w:tcBorders>
            <w:vAlign w:val="center"/>
          </w:tcPr>
          <w:p w14:paraId="431F33B3">
            <w:pPr>
              <w:pStyle w:val="64"/>
              <w:adjustRightInd w:val="0"/>
              <w:snapToGrid w:val="0"/>
              <w:rPr>
                <w:szCs w:val="22"/>
                <w:lang w:bidi="zh-CN"/>
                <w14:ligatures w14:val="none"/>
              </w:rPr>
            </w:pPr>
            <w:r>
              <w:rPr>
                <w:szCs w:val="22"/>
                <w:lang w:bidi="zh-CN"/>
                <w14:ligatures w14:val="none"/>
              </w:rPr>
              <w:t>汤陈村</w:t>
            </w:r>
          </w:p>
        </w:tc>
        <w:tc>
          <w:tcPr>
            <w:tcW w:w="1083" w:type="dxa"/>
            <w:tcBorders>
              <w:top w:val="single" w:color="auto" w:sz="4" w:space="0"/>
              <w:left w:val="single" w:color="auto" w:sz="4" w:space="0"/>
              <w:bottom w:val="single" w:color="auto" w:sz="4" w:space="0"/>
              <w:right w:val="single" w:color="auto" w:sz="4" w:space="0"/>
            </w:tcBorders>
            <w:vAlign w:val="center"/>
          </w:tcPr>
          <w:p w14:paraId="1F0F2E40">
            <w:pPr>
              <w:pStyle w:val="64"/>
              <w:adjustRightInd w:val="0"/>
              <w:snapToGrid w:val="0"/>
              <w:rPr>
                <w:szCs w:val="22"/>
                <w:lang w:bidi="zh-CN"/>
                <w14:ligatures w14:val="none"/>
              </w:rPr>
            </w:pPr>
            <w:r>
              <w:rPr>
                <w:szCs w:val="22"/>
                <w:lang w:bidi="zh-CN"/>
                <w14:ligatures w14:val="none"/>
              </w:rPr>
              <w:t>SW</w:t>
            </w:r>
          </w:p>
        </w:tc>
        <w:tc>
          <w:tcPr>
            <w:tcW w:w="1489" w:type="dxa"/>
            <w:gridSpan w:val="2"/>
            <w:tcBorders>
              <w:top w:val="single" w:color="auto" w:sz="4" w:space="0"/>
              <w:left w:val="single" w:color="auto" w:sz="4" w:space="0"/>
              <w:bottom w:val="single" w:color="auto" w:sz="4" w:space="0"/>
              <w:right w:val="single" w:color="auto" w:sz="4" w:space="0"/>
            </w:tcBorders>
            <w:vAlign w:val="center"/>
          </w:tcPr>
          <w:p w14:paraId="246E0706">
            <w:pPr>
              <w:pStyle w:val="64"/>
              <w:adjustRightInd w:val="0"/>
              <w:snapToGrid w:val="0"/>
              <w:rPr>
                <w:szCs w:val="22"/>
                <w:lang w:bidi="zh-CN"/>
                <w14:ligatures w14:val="none"/>
              </w:rPr>
            </w:pPr>
            <w:r>
              <w:rPr>
                <w:szCs w:val="22"/>
                <w:lang w:bidi="zh-CN"/>
                <w14:ligatures w14:val="none"/>
              </w:rPr>
              <w:t>3190</w:t>
            </w:r>
          </w:p>
        </w:tc>
        <w:tc>
          <w:tcPr>
            <w:tcW w:w="1425" w:type="dxa"/>
            <w:gridSpan w:val="3"/>
            <w:tcBorders>
              <w:top w:val="single" w:color="auto" w:sz="4" w:space="0"/>
              <w:left w:val="single" w:color="auto" w:sz="4" w:space="0"/>
              <w:bottom w:val="single" w:color="auto" w:sz="4" w:space="0"/>
              <w:right w:val="single" w:color="auto" w:sz="4" w:space="0"/>
            </w:tcBorders>
            <w:vAlign w:val="center"/>
          </w:tcPr>
          <w:p w14:paraId="2C102661">
            <w:pPr>
              <w:pStyle w:val="64"/>
              <w:adjustRightInd w:val="0"/>
              <w:snapToGrid w:val="0"/>
              <w:rPr>
                <w:szCs w:val="22"/>
                <w:lang w:bidi="zh-CN"/>
                <w14:ligatures w14:val="none"/>
              </w:rPr>
            </w:pPr>
            <w:r>
              <w:rPr>
                <w:szCs w:val="22"/>
                <w:lang w:bidi="zh-CN"/>
                <w14:ligatures w14:val="none"/>
              </w:rPr>
              <w:t>居民点</w:t>
            </w:r>
          </w:p>
        </w:tc>
        <w:tc>
          <w:tcPr>
            <w:tcW w:w="1673" w:type="dxa"/>
            <w:gridSpan w:val="2"/>
            <w:tcBorders>
              <w:top w:val="single" w:color="auto" w:sz="4" w:space="0"/>
              <w:left w:val="single" w:color="auto" w:sz="4" w:space="0"/>
              <w:bottom w:val="single" w:color="auto" w:sz="4" w:space="0"/>
              <w:right w:val="single" w:color="auto" w:sz="4" w:space="0"/>
            </w:tcBorders>
            <w:vAlign w:val="center"/>
          </w:tcPr>
          <w:p w14:paraId="029D2FBC">
            <w:pPr>
              <w:pStyle w:val="64"/>
              <w:adjustRightInd w:val="0"/>
              <w:snapToGrid w:val="0"/>
              <w:rPr>
                <w:szCs w:val="22"/>
                <w:lang w:bidi="zh-CN"/>
                <w14:ligatures w14:val="none"/>
              </w:rPr>
            </w:pPr>
            <w:r>
              <w:rPr>
                <w:szCs w:val="22"/>
                <w:lang w:bidi="zh-CN"/>
                <w14:ligatures w14:val="none"/>
              </w:rPr>
              <w:t>350</w:t>
            </w:r>
          </w:p>
        </w:tc>
      </w:tr>
      <w:tr w14:paraId="3D4D3A4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936" w:type="dxa"/>
            <w:vMerge w:val="continue"/>
            <w:tcBorders>
              <w:top w:val="single" w:color="auto" w:sz="4" w:space="0"/>
              <w:left w:val="single" w:color="auto" w:sz="4" w:space="0"/>
              <w:bottom w:val="single" w:color="auto" w:sz="4" w:space="0"/>
              <w:right w:val="single" w:color="auto" w:sz="4" w:space="0"/>
            </w:tcBorders>
            <w:vAlign w:val="center"/>
          </w:tcPr>
          <w:p w14:paraId="3174678C">
            <w:pPr>
              <w:pStyle w:val="64"/>
              <w:adjustRightInd w:val="0"/>
              <w:snapToGrid w:val="0"/>
              <w:rPr>
                <w:szCs w:val="22"/>
                <w:lang w:bidi="zh-CN"/>
                <w14:ligatures w14:val="none"/>
              </w:rPr>
            </w:pPr>
          </w:p>
        </w:tc>
        <w:tc>
          <w:tcPr>
            <w:tcW w:w="869" w:type="dxa"/>
            <w:tcBorders>
              <w:top w:val="single" w:color="auto" w:sz="4" w:space="0"/>
              <w:left w:val="single" w:color="auto" w:sz="4" w:space="0"/>
              <w:bottom w:val="single" w:color="auto" w:sz="4" w:space="0"/>
              <w:right w:val="single" w:color="auto" w:sz="4" w:space="0"/>
            </w:tcBorders>
            <w:vAlign w:val="center"/>
          </w:tcPr>
          <w:p w14:paraId="59B54458">
            <w:pPr>
              <w:pStyle w:val="64"/>
              <w:adjustRightInd w:val="0"/>
              <w:snapToGrid w:val="0"/>
              <w:rPr>
                <w:szCs w:val="22"/>
                <w:lang w:bidi="zh-CN"/>
                <w14:ligatures w14:val="none"/>
              </w:rPr>
            </w:pPr>
            <w:r>
              <w:rPr>
                <w:szCs w:val="22"/>
                <w:lang w:bidi="zh-CN"/>
                <w14:ligatures w14:val="none"/>
              </w:rPr>
              <w:t>28</w:t>
            </w:r>
          </w:p>
        </w:tc>
        <w:tc>
          <w:tcPr>
            <w:tcW w:w="1597" w:type="dxa"/>
            <w:tcBorders>
              <w:top w:val="single" w:color="auto" w:sz="4" w:space="0"/>
              <w:left w:val="single" w:color="auto" w:sz="4" w:space="0"/>
              <w:bottom w:val="single" w:color="auto" w:sz="4" w:space="0"/>
              <w:right w:val="single" w:color="auto" w:sz="4" w:space="0"/>
            </w:tcBorders>
            <w:vAlign w:val="center"/>
          </w:tcPr>
          <w:p w14:paraId="1A0BBFAF">
            <w:pPr>
              <w:pStyle w:val="64"/>
              <w:adjustRightInd w:val="0"/>
              <w:snapToGrid w:val="0"/>
              <w:rPr>
                <w:szCs w:val="22"/>
                <w:lang w:bidi="zh-CN"/>
                <w14:ligatures w14:val="none"/>
              </w:rPr>
            </w:pPr>
            <w:r>
              <w:rPr>
                <w:szCs w:val="22"/>
                <w:lang w:bidi="zh-CN"/>
                <w14:ligatures w14:val="none"/>
              </w:rPr>
              <w:t>沫河口镇</w:t>
            </w:r>
          </w:p>
        </w:tc>
        <w:tc>
          <w:tcPr>
            <w:tcW w:w="1083" w:type="dxa"/>
            <w:tcBorders>
              <w:top w:val="single" w:color="auto" w:sz="4" w:space="0"/>
              <w:left w:val="single" w:color="auto" w:sz="4" w:space="0"/>
              <w:bottom w:val="single" w:color="auto" w:sz="4" w:space="0"/>
              <w:right w:val="single" w:color="auto" w:sz="4" w:space="0"/>
            </w:tcBorders>
            <w:vAlign w:val="center"/>
          </w:tcPr>
          <w:p w14:paraId="4FC55CA3">
            <w:pPr>
              <w:pStyle w:val="64"/>
              <w:adjustRightInd w:val="0"/>
              <w:snapToGrid w:val="0"/>
              <w:rPr>
                <w:szCs w:val="22"/>
                <w:lang w:bidi="zh-CN"/>
                <w14:ligatures w14:val="none"/>
              </w:rPr>
            </w:pPr>
            <w:r>
              <w:rPr>
                <w:szCs w:val="22"/>
                <w:lang w:bidi="zh-CN"/>
                <w14:ligatures w14:val="none"/>
              </w:rPr>
              <w:t>W</w:t>
            </w:r>
          </w:p>
        </w:tc>
        <w:tc>
          <w:tcPr>
            <w:tcW w:w="1489" w:type="dxa"/>
            <w:gridSpan w:val="2"/>
            <w:tcBorders>
              <w:top w:val="single" w:color="auto" w:sz="4" w:space="0"/>
              <w:left w:val="single" w:color="auto" w:sz="4" w:space="0"/>
              <w:bottom w:val="single" w:color="auto" w:sz="4" w:space="0"/>
              <w:right w:val="single" w:color="auto" w:sz="4" w:space="0"/>
            </w:tcBorders>
            <w:vAlign w:val="center"/>
          </w:tcPr>
          <w:p w14:paraId="617FBEAB">
            <w:pPr>
              <w:pStyle w:val="64"/>
              <w:adjustRightInd w:val="0"/>
              <w:snapToGrid w:val="0"/>
              <w:rPr>
                <w:szCs w:val="22"/>
                <w:lang w:bidi="zh-CN"/>
                <w14:ligatures w14:val="none"/>
              </w:rPr>
            </w:pPr>
            <w:r>
              <w:rPr>
                <w:szCs w:val="22"/>
                <w:lang w:bidi="zh-CN"/>
                <w14:ligatures w14:val="none"/>
              </w:rPr>
              <w:t>3895</w:t>
            </w:r>
          </w:p>
        </w:tc>
        <w:tc>
          <w:tcPr>
            <w:tcW w:w="1425" w:type="dxa"/>
            <w:gridSpan w:val="3"/>
            <w:tcBorders>
              <w:top w:val="single" w:color="auto" w:sz="4" w:space="0"/>
              <w:left w:val="single" w:color="auto" w:sz="4" w:space="0"/>
              <w:bottom w:val="single" w:color="auto" w:sz="4" w:space="0"/>
              <w:right w:val="single" w:color="auto" w:sz="4" w:space="0"/>
            </w:tcBorders>
            <w:vAlign w:val="center"/>
          </w:tcPr>
          <w:p w14:paraId="7CC27DB5">
            <w:pPr>
              <w:pStyle w:val="64"/>
              <w:adjustRightInd w:val="0"/>
              <w:snapToGrid w:val="0"/>
              <w:rPr>
                <w:szCs w:val="22"/>
                <w:lang w:bidi="zh-CN"/>
                <w14:ligatures w14:val="none"/>
              </w:rPr>
            </w:pPr>
            <w:r>
              <w:rPr>
                <w:szCs w:val="22"/>
                <w:lang w:bidi="zh-CN"/>
                <w14:ligatures w14:val="none"/>
              </w:rPr>
              <w:t>居民点</w:t>
            </w:r>
          </w:p>
        </w:tc>
        <w:tc>
          <w:tcPr>
            <w:tcW w:w="1673" w:type="dxa"/>
            <w:gridSpan w:val="2"/>
            <w:tcBorders>
              <w:top w:val="single" w:color="auto" w:sz="4" w:space="0"/>
              <w:left w:val="single" w:color="auto" w:sz="4" w:space="0"/>
              <w:bottom w:val="single" w:color="auto" w:sz="4" w:space="0"/>
              <w:right w:val="single" w:color="auto" w:sz="4" w:space="0"/>
            </w:tcBorders>
            <w:vAlign w:val="center"/>
          </w:tcPr>
          <w:p w14:paraId="4C5D95EB">
            <w:pPr>
              <w:pStyle w:val="64"/>
              <w:adjustRightInd w:val="0"/>
              <w:snapToGrid w:val="0"/>
              <w:rPr>
                <w:szCs w:val="22"/>
                <w:lang w:bidi="zh-CN"/>
                <w14:ligatures w14:val="none"/>
              </w:rPr>
            </w:pPr>
            <w:r>
              <w:rPr>
                <w:szCs w:val="22"/>
                <w:lang w:bidi="zh-CN"/>
                <w14:ligatures w14:val="none"/>
              </w:rPr>
              <w:t>9000</w:t>
            </w:r>
          </w:p>
        </w:tc>
      </w:tr>
      <w:tr w14:paraId="4078AE7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936" w:type="dxa"/>
            <w:vMerge w:val="continue"/>
            <w:tcBorders>
              <w:top w:val="single" w:color="auto" w:sz="4" w:space="0"/>
              <w:left w:val="single" w:color="auto" w:sz="4" w:space="0"/>
              <w:bottom w:val="single" w:color="auto" w:sz="4" w:space="0"/>
              <w:right w:val="single" w:color="auto" w:sz="4" w:space="0"/>
            </w:tcBorders>
            <w:vAlign w:val="center"/>
          </w:tcPr>
          <w:p w14:paraId="56C28552">
            <w:pPr>
              <w:pStyle w:val="64"/>
              <w:adjustRightInd w:val="0"/>
              <w:snapToGrid w:val="0"/>
              <w:rPr>
                <w:szCs w:val="22"/>
                <w:lang w:bidi="zh-CN"/>
                <w14:ligatures w14:val="none"/>
              </w:rPr>
            </w:pPr>
          </w:p>
        </w:tc>
        <w:tc>
          <w:tcPr>
            <w:tcW w:w="869" w:type="dxa"/>
            <w:tcBorders>
              <w:top w:val="single" w:color="auto" w:sz="4" w:space="0"/>
              <w:left w:val="single" w:color="auto" w:sz="4" w:space="0"/>
              <w:bottom w:val="single" w:color="auto" w:sz="4" w:space="0"/>
              <w:right w:val="single" w:color="auto" w:sz="4" w:space="0"/>
            </w:tcBorders>
            <w:vAlign w:val="center"/>
          </w:tcPr>
          <w:p w14:paraId="7F818376">
            <w:pPr>
              <w:pStyle w:val="64"/>
              <w:adjustRightInd w:val="0"/>
              <w:snapToGrid w:val="0"/>
              <w:rPr>
                <w:szCs w:val="22"/>
                <w:lang w:bidi="zh-CN"/>
                <w14:ligatures w14:val="none"/>
              </w:rPr>
            </w:pPr>
            <w:r>
              <w:rPr>
                <w:szCs w:val="22"/>
                <w:lang w:bidi="zh-CN"/>
                <w14:ligatures w14:val="none"/>
              </w:rPr>
              <w:t>29</w:t>
            </w:r>
          </w:p>
        </w:tc>
        <w:tc>
          <w:tcPr>
            <w:tcW w:w="1597" w:type="dxa"/>
            <w:tcBorders>
              <w:top w:val="single" w:color="auto" w:sz="4" w:space="0"/>
              <w:left w:val="single" w:color="auto" w:sz="4" w:space="0"/>
              <w:bottom w:val="single" w:color="auto" w:sz="4" w:space="0"/>
              <w:right w:val="single" w:color="auto" w:sz="4" w:space="0"/>
            </w:tcBorders>
            <w:vAlign w:val="center"/>
          </w:tcPr>
          <w:p w14:paraId="269D3C8E">
            <w:pPr>
              <w:pStyle w:val="64"/>
              <w:adjustRightInd w:val="0"/>
              <w:snapToGrid w:val="0"/>
              <w:rPr>
                <w:szCs w:val="22"/>
                <w:lang w:bidi="zh-CN"/>
                <w14:ligatures w14:val="none"/>
              </w:rPr>
            </w:pPr>
            <w:r>
              <w:rPr>
                <w:szCs w:val="22"/>
                <w:lang w:bidi="zh-CN"/>
                <w14:ligatures w14:val="none"/>
              </w:rPr>
              <w:t>三铺村</w:t>
            </w:r>
          </w:p>
        </w:tc>
        <w:tc>
          <w:tcPr>
            <w:tcW w:w="1083" w:type="dxa"/>
            <w:tcBorders>
              <w:top w:val="single" w:color="auto" w:sz="4" w:space="0"/>
              <w:left w:val="single" w:color="auto" w:sz="4" w:space="0"/>
              <w:bottom w:val="single" w:color="auto" w:sz="4" w:space="0"/>
              <w:right w:val="single" w:color="auto" w:sz="4" w:space="0"/>
            </w:tcBorders>
            <w:vAlign w:val="center"/>
          </w:tcPr>
          <w:p w14:paraId="7928E2A2">
            <w:pPr>
              <w:pStyle w:val="64"/>
              <w:adjustRightInd w:val="0"/>
              <w:snapToGrid w:val="0"/>
              <w:rPr>
                <w:szCs w:val="22"/>
                <w:lang w:bidi="zh-CN"/>
                <w14:ligatures w14:val="none"/>
              </w:rPr>
            </w:pPr>
            <w:r>
              <w:rPr>
                <w:szCs w:val="22"/>
                <w:lang w:bidi="zh-CN"/>
                <w14:ligatures w14:val="none"/>
              </w:rPr>
              <w:t>NW</w:t>
            </w:r>
          </w:p>
        </w:tc>
        <w:tc>
          <w:tcPr>
            <w:tcW w:w="1489" w:type="dxa"/>
            <w:gridSpan w:val="2"/>
            <w:tcBorders>
              <w:top w:val="single" w:color="auto" w:sz="4" w:space="0"/>
              <w:left w:val="single" w:color="auto" w:sz="4" w:space="0"/>
              <w:bottom w:val="single" w:color="auto" w:sz="4" w:space="0"/>
              <w:right w:val="single" w:color="auto" w:sz="4" w:space="0"/>
            </w:tcBorders>
            <w:vAlign w:val="center"/>
          </w:tcPr>
          <w:p w14:paraId="308B52E5">
            <w:pPr>
              <w:pStyle w:val="64"/>
              <w:adjustRightInd w:val="0"/>
              <w:snapToGrid w:val="0"/>
              <w:rPr>
                <w:szCs w:val="22"/>
                <w:lang w:bidi="zh-CN"/>
                <w14:ligatures w14:val="none"/>
              </w:rPr>
            </w:pPr>
            <w:r>
              <w:rPr>
                <w:szCs w:val="22"/>
                <w:lang w:bidi="zh-CN"/>
                <w14:ligatures w14:val="none"/>
              </w:rPr>
              <w:t>1047</w:t>
            </w:r>
          </w:p>
        </w:tc>
        <w:tc>
          <w:tcPr>
            <w:tcW w:w="1425" w:type="dxa"/>
            <w:gridSpan w:val="3"/>
            <w:tcBorders>
              <w:top w:val="single" w:color="auto" w:sz="4" w:space="0"/>
              <w:left w:val="single" w:color="auto" w:sz="4" w:space="0"/>
              <w:bottom w:val="single" w:color="auto" w:sz="4" w:space="0"/>
              <w:right w:val="single" w:color="auto" w:sz="4" w:space="0"/>
            </w:tcBorders>
            <w:vAlign w:val="center"/>
          </w:tcPr>
          <w:p w14:paraId="6BF7E059">
            <w:pPr>
              <w:pStyle w:val="64"/>
              <w:adjustRightInd w:val="0"/>
              <w:snapToGrid w:val="0"/>
              <w:rPr>
                <w:szCs w:val="22"/>
                <w:lang w:bidi="zh-CN"/>
                <w14:ligatures w14:val="none"/>
              </w:rPr>
            </w:pPr>
            <w:r>
              <w:rPr>
                <w:szCs w:val="22"/>
                <w:lang w:bidi="zh-CN"/>
                <w14:ligatures w14:val="none"/>
              </w:rPr>
              <w:t>居民点</w:t>
            </w:r>
          </w:p>
        </w:tc>
        <w:tc>
          <w:tcPr>
            <w:tcW w:w="1673" w:type="dxa"/>
            <w:gridSpan w:val="2"/>
            <w:tcBorders>
              <w:top w:val="single" w:color="auto" w:sz="4" w:space="0"/>
              <w:left w:val="single" w:color="auto" w:sz="4" w:space="0"/>
              <w:bottom w:val="single" w:color="auto" w:sz="4" w:space="0"/>
              <w:right w:val="single" w:color="auto" w:sz="4" w:space="0"/>
            </w:tcBorders>
            <w:vAlign w:val="center"/>
          </w:tcPr>
          <w:p w14:paraId="1F66A946">
            <w:pPr>
              <w:pStyle w:val="64"/>
              <w:adjustRightInd w:val="0"/>
              <w:snapToGrid w:val="0"/>
              <w:rPr>
                <w:szCs w:val="22"/>
                <w:lang w:bidi="zh-CN"/>
                <w14:ligatures w14:val="none"/>
              </w:rPr>
            </w:pPr>
            <w:r>
              <w:rPr>
                <w:szCs w:val="22"/>
                <w:lang w:bidi="zh-CN"/>
                <w14:ligatures w14:val="none"/>
              </w:rPr>
              <w:t>3200</w:t>
            </w:r>
          </w:p>
        </w:tc>
      </w:tr>
      <w:tr w14:paraId="6D717BE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936" w:type="dxa"/>
            <w:vMerge w:val="continue"/>
            <w:tcBorders>
              <w:top w:val="single" w:color="auto" w:sz="4" w:space="0"/>
              <w:left w:val="single" w:color="auto" w:sz="4" w:space="0"/>
              <w:bottom w:val="single" w:color="auto" w:sz="4" w:space="0"/>
              <w:right w:val="single" w:color="auto" w:sz="4" w:space="0"/>
            </w:tcBorders>
            <w:vAlign w:val="center"/>
          </w:tcPr>
          <w:p w14:paraId="70CA8C88">
            <w:pPr>
              <w:pStyle w:val="64"/>
              <w:adjustRightInd w:val="0"/>
              <w:snapToGrid w:val="0"/>
              <w:rPr>
                <w:szCs w:val="22"/>
                <w:lang w:bidi="zh-CN"/>
                <w14:ligatures w14:val="none"/>
              </w:rPr>
            </w:pPr>
          </w:p>
        </w:tc>
        <w:tc>
          <w:tcPr>
            <w:tcW w:w="869" w:type="dxa"/>
            <w:tcBorders>
              <w:top w:val="single" w:color="auto" w:sz="4" w:space="0"/>
              <w:left w:val="single" w:color="auto" w:sz="4" w:space="0"/>
              <w:bottom w:val="single" w:color="auto" w:sz="4" w:space="0"/>
              <w:right w:val="single" w:color="auto" w:sz="4" w:space="0"/>
            </w:tcBorders>
            <w:vAlign w:val="center"/>
          </w:tcPr>
          <w:p w14:paraId="257E342B">
            <w:pPr>
              <w:pStyle w:val="64"/>
              <w:adjustRightInd w:val="0"/>
              <w:snapToGrid w:val="0"/>
              <w:rPr>
                <w:szCs w:val="22"/>
                <w:lang w:bidi="zh-CN"/>
                <w14:ligatures w14:val="none"/>
              </w:rPr>
            </w:pPr>
            <w:r>
              <w:rPr>
                <w:szCs w:val="22"/>
                <w:lang w:bidi="zh-CN"/>
                <w14:ligatures w14:val="none"/>
              </w:rPr>
              <w:t>30</w:t>
            </w:r>
          </w:p>
        </w:tc>
        <w:tc>
          <w:tcPr>
            <w:tcW w:w="1597" w:type="dxa"/>
            <w:tcBorders>
              <w:top w:val="single" w:color="auto" w:sz="4" w:space="0"/>
              <w:left w:val="single" w:color="auto" w:sz="4" w:space="0"/>
              <w:bottom w:val="single" w:color="auto" w:sz="4" w:space="0"/>
              <w:right w:val="single" w:color="auto" w:sz="4" w:space="0"/>
            </w:tcBorders>
            <w:vAlign w:val="center"/>
          </w:tcPr>
          <w:p w14:paraId="75A42BB6">
            <w:pPr>
              <w:pStyle w:val="64"/>
              <w:adjustRightInd w:val="0"/>
              <w:snapToGrid w:val="0"/>
              <w:rPr>
                <w:szCs w:val="22"/>
                <w:lang w:bidi="zh-CN"/>
                <w14:ligatures w14:val="none"/>
              </w:rPr>
            </w:pPr>
            <w:r>
              <w:rPr>
                <w:szCs w:val="22"/>
                <w:lang w:bidi="zh-CN"/>
                <w14:ligatures w14:val="none"/>
              </w:rPr>
              <w:t>李洼</w:t>
            </w:r>
          </w:p>
        </w:tc>
        <w:tc>
          <w:tcPr>
            <w:tcW w:w="1083" w:type="dxa"/>
            <w:tcBorders>
              <w:top w:val="single" w:color="auto" w:sz="4" w:space="0"/>
              <w:left w:val="single" w:color="auto" w:sz="4" w:space="0"/>
              <w:bottom w:val="single" w:color="auto" w:sz="4" w:space="0"/>
              <w:right w:val="single" w:color="auto" w:sz="4" w:space="0"/>
            </w:tcBorders>
            <w:vAlign w:val="center"/>
          </w:tcPr>
          <w:p w14:paraId="362DDA02">
            <w:pPr>
              <w:pStyle w:val="64"/>
              <w:adjustRightInd w:val="0"/>
              <w:snapToGrid w:val="0"/>
              <w:rPr>
                <w:szCs w:val="22"/>
                <w:lang w:bidi="zh-CN"/>
                <w14:ligatures w14:val="none"/>
              </w:rPr>
            </w:pPr>
            <w:r>
              <w:rPr>
                <w:szCs w:val="22"/>
                <w:lang w:bidi="zh-CN"/>
                <w14:ligatures w14:val="none"/>
              </w:rPr>
              <w:t>WSW</w:t>
            </w:r>
          </w:p>
        </w:tc>
        <w:tc>
          <w:tcPr>
            <w:tcW w:w="1489" w:type="dxa"/>
            <w:gridSpan w:val="2"/>
            <w:tcBorders>
              <w:top w:val="single" w:color="auto" w:sz="4" w:space="0"/>
              <w:left w:val="single" w:color="auto" w:sz="4" w:space="0"/>
              <w:bottom w:val="single" w:color="auto" w:sz="4" w:space="0"/>
              <w:right w:val="single" w:color="auto" w:sz="4" w:space="0"/>
            </w:tcBorders>
            <w:vAlign w:val="center"/>
          </w:tcPr>
          <w:p w14:paraId="18113FFE">
            <w:pPr>
              <w:pStyle w:val="64"/>
              <w:adjustRightInd w:val="0"/>
              <w:snapToGrid w:val="0"/>
              <w:rPr>
                <w:szCs w:val="22"/>
                <w:lang w:bidi="zh-CN"/>
                <w14:ligatures w14:val="none"/>
              </w:rPr>
            </w:pPr>
            <w:r>
              <w:rPr>
                <w:szCs w:val="22"/>
                <w:lang w:bidi="zh-CN"/>
                <w14:ligatures w14:val="none"/>
              </w:rPr>
              <w:t>2983</w:t>
            </w:r>
          </w:p>
        </w:tc>
        <w:tc>
          <w:tcPr>
            <w:tcW w:w="1425" w:type="dxa"/>
            <w:gridSpan w:val="3"/>
            <w:tcBorders>
              <w:top w:val="single" w:color="auto" w:sz="4" w:space="0"/>
              <w:left w:val="single" w:color="auto" w:sz="4" w:space="0"/>
              <w:bottom w:val="single" w:color="auto" w:sz="4" w:space="0"/>
              <w:right w:val="single" w:color="auto" w:sz="4" w:space="0"/>
            </w:tcBorders>
            <w:vAlign w:val="center"/>
          </w:tcPr>
          <w:p w14:paraId="68D0AEC4">
            <w:pPr>
              <w:pStyle w:val="64"/>
              <w:adjustRightInd w:val="0"/>
              <w:snapToGrid w:val="0"/>
              <w:rPr>
                <w:szCs w:val="22"/>
                <w:lang w:bidi="zh-CN"/>
                <w14:ligatures w14:val="none"/>
              </w:rPr>
            </w:pPr>
            <w:r>
              <w:rPr>
                <w:szCs w:val="22"/>
                <w:lang w:bidi="zh-CN"/>
                <w14:ligatures w14:val="none"/>
              </w:rPr>
              <w:t>居民点</w:t>
            </w:r>
          </w:p>
        </w:tc>
        <w:tc>
          <w:tcPr>
            <w:tcW w:w="1673" w:type="dxa"/>
            <w:gridSpan w:val="2"/>
            <w:tcBorders>
              <w:top w:val="single" w:color="auto" w:sz="4" w:space="0"/>
              <w:left w:val="single" w:color="auto" w:sz="4" w:space="0"/>
              <w:bottom w:val="single" w:color="auto" w:sz="4" w:space="0"/>
              <w:right w:val="single" w:color="auto" w:sz="4" w:space="0"/>
            </w:tcBorders>
            <w:vAlign w:val="center"/>
          </w:tcPr>
          <w:p w14:paraId="28CD7796">
            <w:pPr>
              <w:pStyle w:val="64"/>
              <w:adjustRightInd w:val="0"/>
              <w:snapToGrid w:val="0"/>
              <w:rPr>
                <w:szCs w:val="22"/>
                <w:lang w:bidi="zh-CN"/>
                <w14:ligatures w14:val="none"/>
              </w:rPr>
            </w:pPr>
            <w:r>
              <w:rPr>
                <w:szCs w:val="22"/>
                <w:lang w:bidi="zh-CN"/>
                <w14:ligatures w14:val="none"/>
              </w:rPr>
              <w:t>240</w:t>
            </w:r>
          </w:p>
        </w:tc>
      </w:tr>
      <w:tr w14:paraId="799D9D7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936" w:type="dxa"/>
            <w:vMerge w:val="continue"/>
            <w:tcBorders>
              <w:top w:val="single" w:color="auto" w:sz="4" w:space="0"/>
              <w:left w:val="single" w:color="auto" w:sz="4" w:space="0"/>
              <w:bottom w:val="single" w:color="auto" w:sz="4" w:space="0"/>
              <w:right w:val="single" w:color="auto" w:sz="4" w:space="0"/>
            </w:tcBorders>
            <w:vAlign w:val="center"/>
          </w:tcPr>
          <w:p w14:paraId="35AC030C">
            <w:pPr>
              <w:pStyle w:val="64"/>
              <w:adjustRightInd w:val="0"/>
              <w:snapToGrid w:val="0"/>
              <w:rPr>
                <w:szCs w:val="22"/>
                <w:lang w:bidi="zh-CN"/>
                <w14:ligatures w14:val="none"/>
              </w:rPr>
            </w:pPr>
          </w:p>
        </w:tc>
        <w:tc>
          <w:tcPr>
            <w:tcW w:w="869" w:type="dxa"/>
            <w:tcBorders>
              <w:top w:val="single" w:color="auto" w:sz="4" w:space="0"/>
              <w:left w:val="single" w:color="auto" w:sz="4" w:space="0"/>
              <w:bottom w:val="single" w:color="auto" w:sz="4" w:space="0"/>
              <w:right w:val="single" w:color="auto" w:sz="4" w:space="0"/>
            </w:tcBorders>
            <w:vAlign w:val="center"/>
          </w:tcPr>
          <w:p w14:paraId="22FDB602">
            <w:pPr>
              <w:pStyle w:val="64"/>
              <w:adjustRightInd w:val="0"/>
              <w:snapToGrid w:val="0"/>
              <w:rPr>
                <w:szCs w:val="22"/>
                <w:lang w:bidi="zh-CN"/>
                <w14:ligatures w14:val="none"/>
              </w:rPr>
            </w:pPr>
            <w:r>
              <w:rPr>
                <w:szCs w:val="22"/>
                <w:lang w:bidi="zh-CN"/>
                <w14:ligatures w14:val="none"/>
              </w:rPr>
              <w:t>31</w:t>
            </w:r>
          </w:p>
        </w:tc>
        <w:tc>
          <w:tcPr>
            <w:tcW w:w="1597" w:type="dxa"/>
            <w:tcBorders>
              <w:top w:val="single" w:color="auto" w:sz="4" w:space="0"/>
              <w:left w:val="single" w:color="auto" w:sz="4" w:space="0"/>
              <w:bottom w:val="single" w:color="auto" w:sz="4" w:space="0"/>
              <w:right w:val="single" w:color="auto" w:sz="4" w:space="0"/>
            </w:tcBorders>
            <w:vAlign w:val="center"/>
          </w:tcPr>
          <w:p w14:paraId="7A3C2B9C">
            <w:pPr>
              <w:pStyle w:val="64"/>
              <w:adjustRightInd w:val="0"/>
              <w:snapToGrid w:val="0"/>
              <w:rPr>
                <w:szCs w:val="22"/>
                <w:lang w:bidi="zh-CN"/>
                <w14:ligatures w14:val="none"/>
              </w:rPr>
            </w:pPr>
            <w:r>
              <w:rPr>
                <w:szCs w:val="22"/>
                <w:lang w:bidi="zh-CN"/>
                <w14:ligatures w14:val="none"/>
              </w:rPr>
              <w:t>小石家</w:t>
            </w:r>
          </w:p>
        </w:tc>
        <w:tc>
          <w:tcPr>
            <w:tcW w:w="1083" w:type="dxa"/>
            <w:tcBorders>
              <w:top w:val="single" w:color="auto" w:sz="4" w:space="0"/>
              <w:left w:val="single" w:color="auto" w:sz="4" w:space="0"/>
              <w:bottom w:val="single" w:color="auto" w:sz="4" w:space="0"/>
              <w:right w:val="single" w:color="auto" w:sz="4" w:space="0"/>
            </w:tcBorders>
            <w:vAlign w:val="center"/>
          </w:tcPr>
          <w:p w14:paraId="71620B69">
            <w:pPr>
              <w:pStyle w:val="64"/>
              <w:adjustRightInd w:val="0"/>
              <w:snapToGrid w:val="0"/>
              <w:rPr>
                <w:szCs w:val="22"/>
                <w:lang w:bidi="zh-CN"/>
                <w14:ligatures w14:val="none"/>
              </w:rPr>
            </w:pPr>
            <w:r>
              <w:rPr>
                <w:szCs w:val="22"/>
                <w:lang w:bidi="zh-CN"/>
                <w14:ligatures w14:val="none"/>
              </w:rPr>
              <w:t>WSW</w:t>
            </w:r>
          </w:p>
        </w:tc>
        <w:tc>
          <w:tcPr>
            <w:tcW w:w="1489" w:type="dxa"/>
            <w:gridSpan w:val="2"/>
            <w:tcBorders>
              <w:top w:val="single" w:color="auto" w:sz="4" w:space="0"/>
              <w:left w:val="single" w:color="auto" w:sz="4" w:space="0"/>
              <w:bottom w:val="single" w:color="auto" w:sz="4" w:space="0"/>
              <w:right w:val="single" w:color="auto" w:sz="4" w:space="0"/>
            </w:tcBorders>
            <w:vAlign w:val="center"/>
          </w:tcPr>
          <w:p w14:paraId="595CB234">
            <w:pPr>
              <w:pStyle w:val="64"/>
              <w:adjustRightInd w:val="0"/>
              <w:snapToGrid w:val="0"/>
              <w:rPr>
                <w:szCs w:val="22"/>
                <w:lang w:bidi="zh-CN"/>
                <w14:ligatures w14:val="none"/>
              </w:rPr>
            </w:pPr>
            <w:r>
              <w:rPr>
                <w:szCs w:val="22"/>
                <w:lang w:bidi="zh-CN"/>
                <w14:ligatures w14:val="none"/>
              </w:rPr>
              <w:t>3235</w:t>
            </w:r>
          </w:p>
        </w:tc>
        <w:tc>
          <w:tcPr>
            <w:tcW w:w="1425" w:type="dxa"/>
            <w:gridSpan w:val="3"/>
            <w:tcBorders>
              <w:top w:val="single" w:color="auto" w:sz="4" w:space="0"/>
              <w:left w:val="single" w:color="auto" w:sz="4" w:space="0"/>
              <w:bottom w:val="single" w:color="auto" w:sz="4" w:space="0"/>
              <w:right w:val="single" w:color="auto" w:sz="4" w:space="0"/>
            </w:tcBorders>
            <w:vAlign w:val="center"/>
          </w:tcPr>
          <w:p w14:paraId="542D66DB">
            <w:pPr>
              <w:pStyle w:val="64"/>
              <w:adjustRightInd w:val="0"/>
              <w:snapToGrid w:val="0"/>
              <w:rPr>
                <w:szCs w:val="22"/>
                <w:lang w:bidi="zh-CN"/>
                <w14:ligatures w14:val="none"/>
              </w:rPr>
            </w:pPr>
            <w:r>
              <w:rPr>
                <w:szCs w:val="22"/>
                <w:lang w:bidi="zh-CN"/>
                <w14:ligatures w14:val="none"/>
              </w:rPr>
              <w:t>居民点</w:t>
            </w:r>
          </w:p>
        </w:tc>
        <w:tc>
          <w:tcPr>
            <w:tcW w:w="1673" w:type="dxa"/>
            <w:gridSpan w:val="2"/>
            <w:tcBorders>
              <w:top w:val="single" w:color="auto" w:sz="4" w:space="0"/>
              <w:left w:val="single" w:color="auto" w:sz="4" w:space="0"/>
              <w:bottom w:val="single" w:color="auto" w:sz="4" w:space="0"/>
              <w:right w:val="single" w:color="auto" w:sz="4" w:space="0"/>
            </w:tcBorders>
            <w:vAlign w:val="center"/>
          </w:tcPr>
          <w:p w14:paraId="6CCFC3F6">
            <w:pPr>
              <w:pStyle w:val="64"/>
              <w:adjustRightInd w:val="0"/>
              <w:snapToGrid w:val="0"/>
              <w:rPr>
                <w:szCs w:val="22"/>
                <w:lang w:bidi="zh-CN"/>
                <w14:ligatures w14:val="none"/>
              </w:rPr>
            </w:pPr>
            <w:r>
              <w:rPr>
                <w:szCs w:val="22"/>
                <w:lang w:bidi="zh-CN"/>
                <w14:ligatures w14:val="none"/>
              </w:rPr>
              <w:t>150</w:t>
            </w:r>
          </w:p>
        </w:tc>
      </w:tr>
      <w:tr w14:paraId="65B6831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936" w:type="dxa"/>
            <w:vMerge w:val="continue"/>
            <w:tcBorders>
              <w:top w:val="single" w:color="auto" w:sz="4" w:space="0"/>
              <w:left w:val="single" w:color="auto" w:sz="4" w:space="0"/>
              <w:bottom w:val="single" w:color="auto" w:sz="4" w:space="0"/>
              <w:right w:val="single" w:color="auto" w:sz="4" w:space="0"/>
            </w:tcBorders>
            <w:vAlign w:val="center"/>
          </w:tcPr>
          <w:p w14:paraId="2EAFBE9F">
            <w:pPr>
              <w:pStyle w:val="64"/>
              <w:adjustRightInd w:val="0"/>
              <w:snapToGrid w:val="0"/>
              <w:rPr>
                <w:szCs w:val="22"/>
                <w:lang w:bidi="zh-CN"/>
                <w14:ligatures w14:val="none"/>
              </w:rPr>
            </w:pPr>
          </w:p>
        </w:tc>
        <w:tc>
          <w:tcPr>
            <w:tcW w:w="869" w:type="dxa"/>
            <w:tcBorders>
              <w:top w:val="single" w:color="auto" w:sz="4" w:space="0"/>
              <w:left w:val="single" w:color="auto" w:sz="4" w:space="0"/>
              <w:bottom w:val="single" w:color="auto" w:sz="4" w:space="0"/>
              <w:right w:val="single" w:color="auto" w:sz="4" w:space="0"/>
            </w:tcBorders>
            <w:vAlign w:val="center"/>
          </w:tcPr>
          <w:p w14:paraId="27309721">
            <w:pPr>
              <w:pStyle w:val="64"/>
              <w:adjustRightInd w:val="0"/>
              <w:snapToGrid w:val="0"/>
              <w:rPr>
                <w:szCs w:val="22"/>
                <w:lang w:bidi="zh-CN"/>
                <w14:ligatures w14:val="none"/>
              </w:rPr>
            </w:pPr>
            <w:r>
              <w:rPr>
                <w:szCs w:val="22"/>
                <w:lang w:bidi="zh-CN"/>
                <w14:ligatures w14:val="none"/>
              </w:rPr>
              <w:t>32</w:t>
            </w:r>
          </w:p>
        </w:tc>
        <w:tc>
          <w:tcPr>
            <w:tcW w:w="1597" w:type="dxa"/>
            <w:tcBorders>
              <w:top w:val="single" w:color="auto" w:sz="4" w:space="0"/>
              <w:left w:val="single" w:color="auto" w:sz="4" w:space="0"/>
              <w:bottom w:val="single" w:color="auto" w:sz="4" w:space="0"/>
              <w:right w:val="single" w:color="auto" w:sz="4" w:space="0"/>
            </w:tcBorders>
            <w:vAlign w:val="center"/>
          </w:tcPr>
          <w:p w14:paraId="0E229DC4">
            <w:pPr>
              <w:pStyle w:val="64"/>
              <w:adjustRightInd w:val="0"/>
              <w:snapToGrid w:val="0"/>
              <w:rPr>
                <w:szCs w:val="22"/>
                <w:lang w:bidi="zh-CN"/>
                <w14:ligatures w14:val="none"/>
              </w:rPr>
            </w:pPr>
            <w:r>
              <w:rPr>
                <w:szCs w:val="22"/>
                <w:lang w:bidi="zh-CN"/>
                <w14:ligatures w14:val="none"/>
              </w:rPr>
              <w:t>团结村</w:t>
            </w:r>
          </w:p>
        </w:tc>
        <w:tc>
          <w:tcPr>
            <w:tcW w:w="1083" w:type="dxa"/>
            <w:tcBorders>
              <w:top w:val="single" w:color="auto" w:sz="4" w:space="0"/>
              <w:left w:val="single" w:color="auto" w:sz="4" w:space="0"/>
              <w:bottom w:val="single" w:color="auto" w:sz="4" w:space="0"/>
              <w:right w:val="single" w:color="auto" w:sz="4" w:space="0"/>
            </w:tcBorders>
            <w:vAlign w:val="center"/>
          </w:tcPr>
          <w:p w14:paraId="610B1456">
            <w:pPr>
              <w:pStyle w:val="64"/>
              <w:adjustRightInd w:val="0"/>
              <w:snapToGrid w:val="0"/>
              <w:rPr>
                <w:szCs w:val="22"/>
                <w:lang w:bidi="zh-CN"/>
                <w14:ligatures w14:val="none"/>
              </w:rPr>
            </w:pPr>
            <w:r>
              <w:rPr>
                <w:szCs w:val="22"/>
                <w:lang w:bidi="zh-CN"/>
                <w14:ligatures w14:val="none"/>
              </w:rPr>
              <w:t>WSW</w:t>
            </w:r>
          </w:p>
        </w:tc>
        <w:tc>
          <w:tcPr>
            <w:tcW w:w="1489" w:type="dxa"/>
            <w:gridSpan w:val="2"/>
            <w:tcBorders>
              <w:top w:val="single" w:color="auto" w:sz="4" w:space="0"/>
              <w:left w:val="single" w:color="auto" w:sz="4" w:space="0"/>
              <w:bottom w:val="single" w:color="auto" w:sz="4" w:space="0"/>
              <w:right w:val="single" w:color="auto" w:sz="4" w:space="0"/>
            </w:tcBorders>
            <w:vAlign w:val="center"/>
          </w:tcPr>
          <w:p w14:paraId="01180090">
            <w:pPr>
              <w:pStyle w:val="64"/>
              <w:adjustRightInd w:val="0"/>
              <w:snapToGrid w:val="0"/>
              <w:rPr>
                <w:szCs w:val="22"/>
                <w:lang w:bidi="zh-CN"/>
                <w14:ligatures w14:val="none"/>
              </w:rPr>
            </w:pPr>
            <w:r>
              <w:rPr>
                <w:szCs w:val="22"/>
                <w:lang w:bidi="zh-CN"/>
                <w14:ligatures w14:val="none"/>
              </w:rPr>
              <w:t>3625</w:t>
            </w:r>
          </w:p>
        </w:tc>
        <w:tc>
          <w:tcPr>
            <w:tcW w:w="1425" w:type="dxa"/>
            <w:gridSpan w:val="3"/>
            <w:tcBorders>
              <w:top w:val="single" w:color="auto" w:sz="4" w:space="0"/>
              <w:left w:val="single" w:color="auto" w:sz="4" w:space="0"/>
              <w:bottom w:val="single" w:color="auto" w:sz="4" w:space="0"/>
              <w:right w:val="single" w:color="auto" w:sz="4" w:space="0"/>
            </w:tcBorders>
            <w:vAlign w:val="center"/>
          </w:tcPr>
          <w:p w14:paraId="10DA3536">
            <w:pPr>
              <w:pStyle w:val="64"/>
              <w:adjustRightInd w:val="0"/>
              <w:snapToGrid w:val="0"/>
              <w:rPr>
                <w:szCs w:val="22"/>
                <w:lang w:bidi="zh-CN"/>
                <w14:ligatures w14:val="none"/>
              </w:rPr>
            </w:pPr>
            <w:r>
              <w:rPr>
                <w:szCs w:val="22"/>
                <w:lang w:bidi="zh-CN"/>
                <w14:ligatures w14:val="none"/>
              </w:rPr>
              <w:t>居民点</w:t>
            </w:r>
          </w:p>
        </w:tc>
        <w:tc>
          <w:tcPr>
            <w:tcW w:w="1673" w:type="dxa"/>
            <w:gridSpan w:val="2"/>
            <w:tcBorders>
              <w:top w:val="single" w:color="auto" w:sz="4" w:space="0"/>
              <w:left w:val="single" w:color="auto" w:sz="4" w:space="0"/>
              <w:bottom w:val="single" w:color="auto" w:sz="4" w:space="0"/>
              <w:right w:val="single" w:color="auto" w:sz="4" w:space="0"/>
            </w:tcBorders>
            <w:vAlign w:val="center"/>
          </w:tcPr>
          <w:p w14:paraId="1E380222">
            <w:pPr>
              <w:pStyle w:val="64"/>
              <w:adjustRightInd w:val="0"/>
              <w:snapToGrid w:val="0"/>
              <w:rPr>
                <w:szCs w:val="22"/>
                <w:lang w:bidi="zh-CN"/>
                <w14:ligatures w14:val="none"/>
              </w:rPr>
            </w:pPr>
            <w:r>
              <w:rPr>
                <w:szCs w:val="22"/>
                <w:lang w:bidi="zh-CN"/>
                <w14:ligatures w14:val="none"/>
              </w:rPr>
              <w:t>170</w:t>
            </w:r>
          </w:p>
        </w:tc>
      </w:tr>
      <w:tr w14:paraId="5789B55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936" w:type="dxa"/>
            <w:vMerge w:val="continue"/>
            <w:tcBorders>
              <w:top w:val="single" w:color="auto" w:sz="4" w:space="0"/>
              <w:left w:val="single" w:color="auto" w:sz="4" w:space="0"/>
              <w:bottom w:val="single" w:color="auto" w:sz="4" w:space="0"/>
              <w:right w:val="single" w:color="auto" w:sz="4" w:space="0"/>
            </w:tcBorders>
            <w:vAlign w:val="center"/>
          </w:tcPr>
          <w:p w14:paraId="25CFFC69">
            <w:pPr>
              <w:pStyle w:val="64"/>
              <w:adjustRightInd w:val="0"/>
              <w:snapToGrid w:val="0"/>
              <w:rPr>
                <w:szCs w:val="22"/>
                <w:lang w:bidi="zh-CN"/>
                <w14:ligatures w14:val="none"/>
              </w:rPr>
            </w:pPr>
          </w:p>
        </w:tc>
        <w:tc>
          <w:tcPr>
            <w:tcW w:w="869" w:type="dxa"/>
            <w:tcBorders>
              <w:top w:val="single" w:color="auto" w:sz="4" w:space="0"/>
              <w:left w:val="single" w:color="auto" w:sz="4" w:space="0"/>
              <w:bottom w:val="single" w:color="auto" w:sz="4" w:space="0"/>
              <w:right w:val="single" w:color="auto" w:sz="4" w:space="0"/>
            </w:tcBorders>
            <w:vAlign w:val="center"/>
          </w:tcPr>
          <w:p w14:paraId="37130B48">
            <w:pPr>
              <w:pStyle w:val="64"/>
              <w:adjustRightInd w:val="0"/>
              <w:snapToGrid w:val="0"/>
              <w:rPr>
                <w:szCs w:val="22"/>
                <w:lang w:bidi="zh-CN"/>
                <w14:ligatures w14:val="none"/>
              </w:rPr>
            </w:pPr>
            <w:r>
              <w:rPr>
                <w:szCs w:val="22"/>
                <w:lang w:bidi="zh-CN"/>
                <w14:ligatures w14:val="none"/>
              </w:rPr>
              <w:t>33</w:t>
            </w:r>
          </w:p>
        </w:tc>
        <w:tc>
          <w:tcPr>
            <w:tcW w:w="1597" w:type="dxa"/>
            <w:tcBorders>
              <w:top w:val="single" w:color="auto" w:sz="4" w:space="0"/>
              <w:left w:val="single" w:color="auto" w:sz="4" w:space="0"/>
              <w:bottom w:val="single" w:color="auto" w:sz="4" w:space="0"/>
              <w:right w:val="single" w:color="auto" w:sz="4" w:space="0"/>
            </w:tcBorders>
            <w:vAlign w:val="center"/>
          </w:tcPr>
          <w:p w14:paraId="70A49967">
            <w:pPr>
              <w:pStyle w:val="64"/>
              <w:adjustRightInd w:val="0"/>
              <w:snapToGrid w:val="0"/>
              <w:rPr>
                <w:szCs w:val="22"/>
                <w:lang w:bidi="zh-CN"/>
                <w14:ligatures w14:val="none"/>
              </w:rPr>
            </w:pPr>
            <w:r>
              <w:rPr>
                <w:szCs w:val="22"/>
                <w:lang w:bidi="zh-CN"/>
                <w14:ligatures w14:val="none"/>
              </w:rPr>
              <w:t>小王家</w:t>
            </w:r>
          </w:p>
        </w:tc>
        <w:tc>
          <w:tcPr>
            <w:tcW w:w="1083" w:type="dxa"/>
            <w:tcBorders>
              <w:top w:val="single" w:color="auto" w:sz="4" w:space="0"/>
              <w:left w:val="single" w:color="auto" w:sz="4" w:space="0"/>
              <w:bottom w:val="single" w:color="auto" w:sz="4" w:space="0"/>
              <w:right w:val="single" w:color="auto" w:sz="4" w:space="0"/>
            </w:tcBorders>
            <w:vAlign w:val="center"/>
          </w:tcPr>
          <w:p w14:paraId="759DF2DC">
            <w:pPr>
              <w:pStyle w:val="64"/>
              <w:adjustRightInd w:val="0"/>
              <w:snapToGrid w:val="0"/>
              <w:rPr>
                <w:szCs w:val="22"/>
                <w:lang w:bidi="zh-CN"/>
                <w14:ligatures w14:val="none"/>
              </w:rPr>
            </w:pPr>
            <w:r>
              <w:rPr>
                <w:szCs w:val="22"/>
                <w:lang w:bidi="zh-CN"/>
                <w14:ligatures w14:val="none"/>
              </w:rPr>
              <w:t>WSW</w:t>
            </w:r>
          </w:p>
        </w:tc>
        <w:tc>
          <w:tcPr>
            <w:tcW w:w="1489" w:type="dxa"/>
            <w:gridSpan w:val="2"/>
            <w:tcBorders>
              <w:top w:val="single" w:color="auto" w:sz="4" w:space="0"/>
              <w:left w:val="single" w:color="auto" w:sz="4" w:space="0"/>
              <w:bottom w:val="single" w:color="auto" w:sz="4" w:space="0"/>
              <w:right w:val="single" w:color="auto" w:sz="4" w:space="0"/>
            </w:tcBorders>
            <w:vAlign w:val="center"/>
          </w:tcPr>
          <w:p w14:paraId="477AD83C">
            <w:pPr>
              <w:pStyle w:val="64"/>
              <w:adjustRightInd w:val="0"/>
              <w:snapToGrid w:val="0"/>
              <w:rPr>
                <w:szCs w:val="22"/>
                <w:lang w:bidi="zh-CN"/>
                <w14:ligatures w14:val="none"/>
              </w:rPr>
            </w:pPr>
            <w:r>
              <w:rPr>
                <w:szCs w:val="22"/>
                <w:lang w:bidi="zh-CN"/>
                <w14:ligatures w14:val="none"/>
              </w:rPr>
              <w:t>4260</w:t>
            </w:r>
          </w:p>
        </w:tc>
        <w:tc>
          <w:tcPr>
            <w:tcW w:w="1425" w:type="dxa"/>
            <w:gridSpan w:val="3"/>
            <w:tcBorders>
              <w:top w:val="single" w:color="auto" w:sz="4" w:space="0"/>
              <w:left w:val="single" w:color="auto" w:sz="4" w:space="0"/>
              <w:bottom w:val="single" w:color="auto" w:sz="4" w:space="0"/>
              <w:right w:val="single" w:color="auto" w:sz="4" w:space="0"/>
            </w:tcBorders>
            <w:vAlign w:val="center"/>
          </w:tcPr>
          <w:p w14:paraId="4EC64871">
            <w:pPr>
              <w:pStyle w:val="64"/>
              <w:adjustRightInd w:val="0"/>
              <w:snapToGrid w:val="0"/>
              <w:rPr>
                <w:szCs w:val="22"/>
                <w:lang w:bidi="zh-CN"/>
                <w14:ligatures w14:val="none"/>
              </w:rPr>
            </w:pPr>
            <w:r>
              <w:rPr>
                <w:szCs w:val="22"/>
                <w:lang w:bidi="zh-CN"/>
                <w14:ligatures w14:val="none"/>
              </w:rPr>
              <w:t>居民点</w:t>
            </w:r>
          </w:p>
        </w:tc>
        <w:tc>
          <w:tcPr>
            <w:tcW w:w="1673" w:type="dxa"/>
            <w:gridSpan w:val="2"/>
            <w:tcBorders>
              <w:top w:val="single" w:color="auto" w:sz="4" w:space="0"/>
              <w:left w:val="single" w:color="auto" w:sz="4" w:space="0"/>
              <w:bottom w:val="single" w:color="auto" w:sz="4" w:space="0"/>
              <w:right w:val="single" w:color="auto" w:sz="4" w:space="0"/>
            </w:tcBorders>
            <w:vAlign w:val="center"/>
          </w:tcPr>
          <w:p w14:paraId="27D5FE4E">
            <w:pPr>
              <w:pStyle w:val="64"/>
              <w:adjustRightInd w:val="0"/>
              <w:snapToGrid w:val="0"/>
              <w:rPr>
                <w:szCs w:val="22"/>
                <w:lang w:bidi="zh-CN"/>
                <w14:ligatures w14:val="none"/>
              </w:rPr>
            </w:pPr>
            <w:r>
              <w:rPr>
                <w:szCs w:val="22"/>
                <w:lang w:bidi="zh-CN"/>
                <w14:ligatures w14:val="none"/>
              </w:rPr>
              <w:t>140</w:t>
            </w:r>
          </w:p>
        </w:tc>
      </w:tr>
      <w:tr w14:paraId="04184D1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936" w:type="dxa"/>
            <w:vMerge w:val="continue"/>
            <w:tcBorders>
              <w:top w:val="single" w:color="auto" w:sz="4" w:space="0"/>
              <w:left w:val="single" w:color="auto" w:sz="4" w:space="0"/>
              <w:bottom w:val="single" w:color="auto" w:sz="4" w:space="0"/>
              <w:right w:val="single" w:color="auto" w:sz="4" w:space="0"/>
            </w:tcBorders>
            <w:vAlign w:val="center"/>
          </w:tcPr>
          <w:p w14:paraId="58FF0E51">
            <w:pPr>
              <w:pStyle w:val="64"/>
              <w:adjustRightInd w:val="0"/>
              <w:snapToGrid w:val="0"/>
              <w:rPr>
                <w:szCs w:val="22"/>
                <w:lang w:bidi="zh-CN"/>
                <w14:ligatures w14:val="none"/>
              </w:rPr>
            </w:pPr>
          </w:p>
        </w:tc>
        <w:tc>
          <w:tcPr>
            <w:tcW w:w="869" w:type="dxa"/>
            <w:tcBorders>
              <w:top w:val="single" w:color="auto" w:sz="4" w:space="0"/>
              <w:left w:val="single" w:color="auto" w:sz="4" w:space="0"/>
              <w:bottom w:val="single" w:color="auto" w:sz="4" w:space="0"/>
              <w:right w:val="single" w:color="auto" w:sz="4" w:space="0"/>
            </w:tcBorders>
            <w:vAlign w:val="center"/>
          </w:tcPr>
          <w:p w14:paraId="4BD52459">
            <w:pPr>
              <w:pStyle w:val="64"/>
              <w:adjustRightInd w:val="0"/>
              <w:snapToGrid w:val="0"/>
              <w:rPr>
                <w:szCs w:val="22"/>
                <w:lang w:bidi="zh-CN"/>
                <w14:ligatures w14:val="none"/>
              </w:rPr>
            </w:pPr>
            <w:r>
              <w:rPr>
                <w:szCs w:val="22"/>
                <w:lang w:bidi="zh-CN"/>
                <w14:ligatures w14:val="none"/>
              </w:rPr>
              <w:t>34</w:t>
            </w:r>
          </w:p>
        </w:tc>
        <w:tc>
          <w:tcPr>
            <w:tcW w:w="1597" w:type="dxa"/>
            <w:tcBorders>
              <w:top w:val="single" w:color="auto" w:sz="4" w:space="0"/>
              <w:left w:val="single" w:color="auto" w:sz="4" w:space="0"/>
              <w:bottom w:val="single" w:color="auto" w:sz="4" w:space="0"/>
              <w:right w:val="single" w:color="auto" w:sz="4" w:space="0"/>
            </w:tcBorders>
            <w:vAlign w:val="center"/>
          </w:tcPr>
          <w:p w14:paraId="4AE04BE3">
            <w:pPr>
              <w:pStyle w:val="64"/>
              <w:adjustRightInd w:val="0"/>
              <w:snapToGrid w:val="0"/>
              <w:rPr>
                <w:szCs w:val="22"/>
                <w:lang w:bidi="zh-CN"/>
                <w14:ligatures w14:val="none"/>
              </w:rPr>
            </w:pPr>
            <w:r>
              <w:rPr>
                <w:szCs w:val="22"/>
                <w:lang w:bidi="zh-CN"/>
                <w14:ligatures w14:val="none"/>
              </w:rPr>
              <w:t>曹吴村</w:t>
            </w:r>
          </w:p>
        </w:tc>
        <w:tc>
          <w:tcPr>
            <w:tcW w:w="1083" w:type="dxa"/>
            <w:tcBorders>
              <w:top w:val="single" w:color="auto" w:sz="4" w:space="0"/>
              <w:left w:val="single" w:color="auto" w:sz="4" w:space="0"/>
              <w:bottom w:val="single" w:color="auto" w:sz="4" w:space="0"/>
              <w:right w:val="single" w:color="auto" w:sz="4" w:space="0"/>
            </w:tcBorders>
            <w:vAlign w:val="center"/>
          </w:tcPr>
          <w:p w14:paraId="19CC3057">
            <w:pPr>
              <w:pStyle w:val="64"/>
              <w:adjustRightInd w:val="0"/>
              <w:snapToGrid w:val="0"/>
              <w:rPr>
                <w:szCs w:val="22"/>
                <w:lang w:bidi="zh-CN"/>
                <w14:ligatures w14:val="none"/>
              </w:rPr>
            </w:pPr>
            <w:r>
              <w:rPr>
                <w:szCs w:val="22"/>
                <w:lang w:bidi="zh-CN"/>
                <w14:ligatures w14:val="none"/>
              </w:rPr>
              <w:t>NW</w:t>
            </w:r>
          </w:p>
        </w:tc>
        <w:tc>
          <w:tcPr>
            <w:tcW w:w="1489" w:type="dxa"/>
            <w:gridSpan w:val="2"/>
            <w:tcBorders>
              <w:top w:val="single" w:color="auto" w:sz="4" w:space="0"/>
              <w:left w:val="single" w:color="auto" w:sz="4" w:space="0"/>
              <w:bottom w:val="single" w:color="auto" w:sz="4" w:space="0"/>
              <w:right w:val="single" w:color="auto" w:sz="4" w:space="0"/>
            </w:tcBorders>
            <w:vAlign w:val="center"/>
          </w:tcPr>
          <w:p w14:paraId="49672A29">
            <w:pPr>
              <w:pStyle w:val="64"/>
              <w:adjustRightInd w:val="0"/>
              <w:snapToGrid w:val="0"/>
              <w:rPr>
                <w:szCs w:val="22"/>
                <w:lang w:bidi="zh-CN"/>
                <w14:ligatures w14:val="none"/>
              </w:rPr>
            </w:pPr>
            <w:r>
              <w:rPr>
                <w:szCs w:val="22"/>
                <w:lang w:bidi="zh-CN"/>
                <w14:ligatures w14:val="none"/>
              </w:rPr>
              <w:t>3640</w:t>
            </w:r>
          </w:p>
        </w:tc>
        <w:tc>
          <w:tcPr>
            <w:tcW w:w="1425" w:type="dxa"/>
            <w:gridSpan w:val="3"/>
            <w:tcBorders>
              <w:top w:val="single" w:color="auto" w:sz="4" w:space="0"/>
              <w:left w:val="single" w:color="auto" w:sz="4" w:space="0"/>
              <w:bottom w:val="single" w:color="auto" w:sz="4" w:space="0"/>
              <w:right w:val="single" w:color="auto" w:sz="4" w:space="0"/>
            </w:tcBorders>
            <w:vAlign w:val="center"/>
          </w:tcPr>
          <w:p w14:paraId="15C93559">
            <w:pPr>
              <w:pStyle w:val="64"/>
              <w:adjustRightInd w:val="0"/>
              <w:snapToGrid w:val="0"/>
              <w:rPr>
                <w:szCs w:val="22"/>
                <w:lang w:bidi="zh-CN"/>
                <w14:ligatures w14:val="none"/>
              </w:rPr>
            </w:pPr>
            <w:r>
              <w:rPr>
                <w:szCs w:val="22"/>
                <w:lang w:bidi="zh-CN"/>
                <w14:ligatures w14:val="none"/>
              </w:rPr>
              <w:t>居民点</w:t>
            </w:r>
          </w:p>
        </w:tc>
        <w:tc>
          <w:tcPr>
            <w:tcW w:w="1673" w:type="dxa"/>
            <w:gridSpan w:val="2"/>
            <w:tcBorders>
              <w:top w:val="single" w:color="auto" w:sz="4" w:space="0"/>
              <w:left w:val="single" w:color="auto" w:sz="4" w:space="0"/>
              <w:bottom w:val="single" w:color="auto" w:sz="4" w:space="0"/>
              <w:right w:val="single" w:color="auto" w:sz="4" w:space="0"/>
            </w:tcBorders>
            <w:vAlign w:val="center"/>
          </w:tcPr>
          <w:p w14:paraId="631051A0">
            <w:pPr>
              <w:pStyle w:val="64"/>
              <w:adjustRightInd w:val="0"/>
              <w:snapToGrid w:val="0"/>
              <w:rPr>
                <w:szCs w:val="22"/>
                <w:lang w:bidi="zh-CN"/>
                <w14:ligatures w14:val="none"/>
              </w:rPr>
            </w:pPr>
            <w:r>
              <w:rPr>
                <w:szCs w:val="22"/>
                <w:lang w:bidi="zh-CN"/>
                <w14:ligatures w14:val="none"/>
              </w:rPr>
              <w:t>220</w:t>
            </w:r>
          </w:p>
        </w:tc>
      </w:tr>
      <w:tr w14:paraId="61C4730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936" w:type="dxa"/>
            <w:vMerge w:val="continue"/>
            <w:tcBorders>
              <w:top w:val="single" w:color="auto" w:sz="4" w:space="0"/>
              <w:left w:val="single" w:color="auto" w:sz="4" w:space="0"/>
              <w:bottom w:val="single" w:color="auto" w:sz="4" w:space="0"/>
              <w:right w:val="single" w:color="auto" w:sz="4" w:space="0"/>
            </w:tcBorders>
            <w:vAlign w:val="center"/>
          </w:tcPr>
          <w:p w14:paraId="3352C074">
            <w:pPr>
              <w:pStyle w:val="64"/>
              <w:adjustRightInd w:val="0"/>
              <w:snapToGrid w:val="0"/>
              <w:rPr>
                <w:szCs w:val="22"/>
                <w:lang w:bidi="zh-CN"/>
                <w14:ligatures w14:val="none"/>
              </w:rPr>
            </w:pPr>
          </w:p>
        </w:tc>
        <w:tc>
          <w:tcPr>
            <w:tcW w:w="869" w:type="dxa"/>
            <w:tcBorders>
              <w:top w:val="single" w:color="auto" w:sz="4" w:space="0"/>
              <w:left w:val="single" w:color="auto" w:sz="4" w:space="0"/>
              <w:bottom w:val="single" w:color="auto" w:sz="4" w:space="0"/>
              <w:right w:val="single" w:color="auto" w:sz="4" w:space="0"/>
            </w:tcBorders>
            <w:vAlign w:val="center"/>
          </w:tcPr>
          <w:p w14:paraId="08ADEC19">
            <w:pPr>
              <w:pStyle w:val="64"/>
              <w:adjustRightInd w:val="0"/>
              <w:snapToGrid w:val="0"/>
              <w:rPr>
                <w:szCs w:val="22"/>
                <w:lang w:bidi="zh-CN"/>
                <w14:ligatures w14:val="none"/>
              </w:rPr>
            </w:pPr>
            <w:r>
              <w:rPr>
                <w:szCs w:val="22"/>
                <w:lang w:bidi="zh-CN"/>
                <w14:ligatures w14:val="none"/>
              </w:rPr>
              <w:t>35</w:t>
            </w:r>
          </w:p>
        </w:tc>
        <w:tc>
          <w:tcPr>
            <w:tcW w:w="1597" w:type="dxa"/>
            <w:tcBorders>
              <w:top w:val="single" w:color="auto" w:sz="4" w:space="0"/>
              <w:left w:val="single" w:color="auto" w:sz="4" w:space="0"/>
              <w:bottom w:val="single" w:color="auto" w:sz="4" w:space="0"/>
              <w:right w:val="single" w:color="auto" w:sz="4" w:space="0"/>
            </w:tcBorders>
            <w:vAlign w:val="center"/>
          </w:tcPr>
          <w:p w14:paraId="13473947">
            <w:pPr>
              <w:pStyle w:val="64"/>
              <w:adjustRightInd w:val="0"/>
              <w:snapToGrid w:val="0"/>
              <w:rPr>
                <w:szCs w:val="22"/>
                <w:lang w:bidi="zh-CN"/>
                <w14:ligatures w14:val="none"/>
              </w:rPr>
            </w:pPr>
            <w:r>
              <w:rPr>
                <w:szCs w:val="22"/>
                <w:lang w:bidi="zh-CN"/>
                <w14:ligatures w14:val="none"/>
              </w:rPr>
              <w:t>邓庙</w:t>
            </w:r>
          </w:p>
        </w:tc>
        <w:tc>
          <w:tcPr>
            <w:tcW w:w="1083" w:type="dxa"/>
            <w:tcBorders>
              <w:top w:val="single" w:color="auto" w:sz="4" w:space="0"/>
              <w:left w:val="single" w:color="auto" w:sz="4" w:space="0"/>
              <w:bottom w:val="single" w:color="auto" w:sz="4" w:space="0"/>
              <w:right w:val="single" w:color="auto" w:sz="4" w:space="0"/>
            </w:tcBorders>
            <w:vAlign w:val="center"/>
          </w:tcPr>
          <w:p w14:paraId="2E6D0321">
            <w:pPr>
              <w:pStyle w:val="64"/>
              <w:adjustRightInd w:val="0"/>
              <w:snapToGrid w:val="0"/>
              <w:rPr>
                <w:szCs w:val="22"/>
                <w:lang w:bidi="zh-CN"/>
                <w14:ligatures w14:val="none"/>
              </w:rPr>
            </w:pPr>
            <w:r>
              <w:rPr>
                <w:szCs w:val="22"/>
                <w:lang w:bidi="zh-CN"/>
                <w14:ligatures w14:val="none"/>
              </w:rPr>
              <w:t>NW</w:t>
            </w:r>
          </w:p>
        </w:tc>
        <w:tc>
          <w:tcPr>
            <w:tcW w:w="1489" w:type="dxa"/>
            <w:gridSpan w:val="2"/>
            <w:tcBorders>
              <w:top w:val="single" w:color="auto" w:sz="4" w:space="0"/>
              <w:left w:val="single" w:color="auto" w:sz="4" w:space="0"/>
              <w:bottom w:val="single" w:color="auto" w:sz="4" w:space="0"/>
              <w:right w:val="single" w:color="auto" w:sz="4" w:space="0"/>
            </w:tcBorders>
            <w:vAlign w:val="center"/>
          </w:tcPr>
          <w:p w14:paraId="271DD485">
            <w:pPr>
              <w:pStyle w:val="64"/>
              <w:adjustRightInd w:val="0"/>
              <w:snapToGrid w:val="0"/>
              <w:rPr>
                <w:szCs w:val="22"/>
                <w:lang w:bidi="zh-CN"/>
                <w14:ligatures w14:val="none"/>
              </w:rPr>
            </w:pPr>
            <w:r>
              <w:rPr>
                <w:szCs w:val="22"/>
                <w:lang w:bidi="zh-CN"/>
                <w14:ligatures w14:val="none"/>
              </w:rPr>
              <w:t>3045</w:t>
            </w:r>
          </w:p>
        </w:tc>
        <w:tc>
          <w:tcPr>
            <w:tcW w:w="1425" w:type="dxa"/>
            <w:gridSpan w:val="3"/>
            <w:tcBorders>
              <w:top w:val="single" w:color="auto" w:sz="4" w:space="0"/>
              <w:left w:val="single" w:color="auto" w:sz="4" w:space="0"/>
              <w:bottom w:val="single" w:color="auto" w:sz="4" w:space="0"/>
              <w:right w:val="single" w:color="auto" w:sz="4" w:space="0"/>
            </w:tcBorders>
            <w:vAlign w:val="center"/>
          </w:tcPr>
          <w:p w14:paraId="3E6EA964">
            <w:pPr>
              <w:pStyle w:val="64"/>
              <w:adjustRightInd w:val="0"/>
              <w:snapToGrid w:val="0"/>
              <w:rPr>
                <w:szCs w:val="22"/>
                <w:lang w:bidi="zh-CN"/>
                <w14:ligatures w14:val="none"/>
              </w:rPr>
            </w:pPr>
            <w:r>
              <w:rPr>
                <w:szCs w:val="22"/>
                <w:lang w:bidi="zh-CN"/>
                <w14:ligatures w14:val="none"/>
              </w:rPr>
              <w:t>居民点</w:t>
            </w:r>
          </w:p>
        </w:tc>
        <w:tc>
          <w:tcPr>
            <w:tcW w:w="1673" w:type="dxa"/>
            <w:gridSpan w:val="2"/>
            <w:tcBorders>
              <w:top w:val="single" w:color="auto" w:sz="4" w:space="0"/>
              <w:left w:val="single" w:color="auto" w:sz="4" w:space="0"/>
              <w:bottom w:val="single" w:color="auto" w:sz="4" w:space="0"/>
              <w:right w:val="single" w:color="auto" w:sz="4" w:space="0"/>
            </w:tcBorders>
            <w:vAlign w:val="center"/>
          </w:tcPr>
          <w:p w14:paraId="36652836">
            <w:pPr>
              <w:pStyle w:val="64"/>
              <w:adjustRightInd w:val="0"/>
              <w:snapToGrid w:val="0"/>
              <w:rPr>
                <w:szCs w:val="22"/>
                <w:lang w:bidi="zh-CN"/>
                <w14:ligatures w14:val="none"/>
              </w:rPr>
            </w:pPr>
            <w:r>
              <w:rPr>
                <w:szCs w:val="22"/>
                <w:lang w:bidi="zh-CN"/>
                <w14:ligatures w14:val="none"/>
              </w:rPr>
              <w:t>180</w:t>
            </w:r>
          </w:p>
        </w:tc>
      </w:tr>
      <w:tr w14:paraId="5B11DAA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936" w:type="dxa"/>
            <w:vMerge w:val="continue"/>
            <w:tcBorders>
              <w:top w:val="single" w:color="auto" w:sz="4" w:space="0"/>
              <w:left w:val="single" w:color="auto" w:sz="4" w:space="0"/>
              <w:bottom w:val="single" w:color="auto" w:sz="4" w:space="0"/>
              <w:right w:val="single" w:color="auto" w:sz="4" w:space="0"/>
            </w:tcBorders>
            <w:vAlign w:val="center"/>
          </w:tcPr>
          <w:p w14:paraId="487D1A4C">
            <w:pPr>
              <w:pStyle w:val="64"/>
              <w:adjustRightInd w:val="0"/>
              <w:snapToGrid w:val="0"/>
              <w:rPr>
                <w:szCs w:val="22"/>
                <w:lang w:bidi="zh-CN"/>
                <w14:ligatures w14:val="none"/>
              </w:rPr>
            </w:pPr>
          </w:p>
        </w:tc>
        <w:tc>
          <w:tcPr>
            <w:tcW w:w="869" w:type="dxa"/>
            <w:tcBorders>
              <w:top w:val="single" w:color="auto" w:sz="4" w:space="0"/>
              <w:left w:val="single" w:color="auto" w:sz="4" w:space="0"/>
              <w:bottom w:val="single" w:color="auto" w:sz="4" w:space="0"/>
              <w:right w:val="single" w:color="auto" w:sz="4" w:space="0"/>
            </w:tcBorders>
            <w:vAlign w:val="center"/>
          </w:tcPr>
          <w:p w14:paraId="0266B825">
            <w:pPr>
              <w:pStyle w:val="64"/>
              <w:adjustRightInd w:val="0"/>
              <w:snapToGrid w:val="0"/>
              <w:rPr>
                <w:szCs w:val="22"/>
                <w:lang w:bidi="zh-CN"/>
                <w14:ligatures w14:val="none"/>
              </w:rPr>
            </w:pPr>
            <w:r>
              <w:rPr>
                <w:szCs w:val="22"/>
                <w:lang w:bidi="zh-CN"/>
                <w14:ligatures w14:val="none"/>
              </w:rPr>
              <w:t>36</w:t>
            </w:r>
          </w:p>
        </w:tc>
        <w:tc>
          <w:tcPr>
            <w:tcW w:w="1597" w:type="dxa"/>
            <w:tcBorders>
              <w:top w:val="single" w:color="auto" w:sz="4" w:space="0"/>
              <w:left w:val="single" w:color="auto" w:sz="4" w:space="0"/>
              <w:bottom w:val="single" w:color="auto" w:sz="4" w:space="0"/>
              <w:right w:val="single" w:color="auto" w:sz="4" w:space="0"/>
            </w:tcBorders>
            <w:vAlign w:val="center"/>
          </w:tcPr>
          <w:p w14:paraId="39B31173">
            <w:pPr>
              <w:pStyle w:val="64"/>
              <w:adjustRightInd w:val="0"/>
              <w:snapToGrid w:val="0"/>
              <w:rPr>
                <w:szCs w:val="22"/>
                <w:lang w:bidi="zh-CN"/>
                <w14:ligatures w14:val="none"/>
              </w:rPr>
            </w:pPr>
            <w:r>
              <w:rPr>
                <w:szCs w:val="22"/>
                <w:lang w:bidi="zh-CN"/>
                <w14:ligatures w14:val="none"/>
              </w:rPr>
              <w:t>李圩子</w:t>
            </w:r>
          </w:p>
        </w:tc>
        <w:tc>
          <w:tcPr>
            <w:tcW w:w="1083" w:type="dxa"/>
            <w:tcBorders>
              <w:top w:val="single" w:color="auto" w:sz="4" w:space="0"/>
              <w:left w:val="single" w:color="auto" w:sz="4" w:space="0"/>
              <w:bottom w:val="single" w:color="auto" w:sz="4" w:space="0"/>
              <w:right w:val="single" w:color="auto" w:sz="4" w:space="0"/>
            </w:tcBorders>
            <w:vAlign w:val="center"/>
          </w:tcPr>
          <w:p w14:paraId="25B1307D">
            <w:pPr>
              <w:pStyle w:val="64"/>
              <w:adjustRightInd w:val="0"/>
              <w:snapToGrid w:val="0"/>
              <w:rPr>
                <w:szCs w:val="22"/>
                <w:lang w:bidi="zh-CN"/>
                <w14:ligatures w14:val="none"/>
              </w:rPr>
            </w:pPr>
            <w:r>
              <w:rPr>
                <w:szCs w:val="22"/>
                <w:lang w:bidi="zh-CN"/>
                <w14:ligatures w14:val="none"/>
              </w:rPr>
              <w:t>NW</w:t>
            </w:r>
          </w:p>
        </w:tc>
        <w:tc>
          <w:tcPr>
            <w:tcW w:w="1489" w:type="dxa"/>
            <w:gridSpan w:val="2"/>
            <w:tcBorders>
              <w:top w:val="single" w:color="auto" w:sz="4" w:space="0"/>
              <w:left w:val="single" w:color="auto" w:sz="4" w:space="0"/>
              <w:bottom w:val="single" w:color="auto" w:sz="4" w:space="0"/>
              <w:right w:val="single" w:color="auto" w:sz="4" w:space="0"/>
            </w:tcBorders>
            <w:vAlign w:val="center"/>
          </w:tcPr>
          <w:p w14:paraId="199DEF5F">
            <w:pPr>
              <w:pStyle w:val="64"/>
              <w:adjustRightInd w:val="0"/>
              <w:snapToGrid w:val="0"/>
              <w:rPr>
                <w:szCs w:val="22"/>
                <w:lang w:bidi="zh-CN"/>
                <w14:ligatures w14:val="none"/>
              </w:rPr>
            </w:pPr>
            <w:r>
              <w:rPr>
                <w:szCs w:val="22"/>
                <w:lang w:bidi="zh-CN"/>
                <w14:ligatures w14:val="none"/>
              </w:rPr>
              <w:t>3730</w:t>
            </w:r>
          </w:p>
        </w:tc>
        <w:tc>
          <w:tcPr>
            <w:tcW w:w="1425" w:type="dxa"/>
            <w:gridSpan w:val="3"/>
            <w:tcBorders>
              <w:top w:val="single" w:color="auto" w:sz="4" w:space="0"/>
              <w:left w:val="single" w:color="auto" w:sz="4" w:space="0"/>
              <w:bottom w:val="single" w:color="auto" w:sz="4" w:space="0"/>
              <w:right w:val="single" w:color="auto" w:sz="4" w:space="0"/>
            </w:tcBorders>
            <w:vAlign w:val="center"/>
          </w:tcPr>
          <w:p w14:paraId="5AF4DFAF">
            <w:pPr>
              <w:pStyle w:val="64"/>
              <w:adjustRightInd w:val="0"/>
              <w:snapToGrid w:val="0"/>
              <w:rPr>
                <w:szCs w:val="22"/>
                <w:lang w:bidi="zh-CN"/>
                <w14:ligatures w14:val="none"/>
              </w:rPr>
            </w:pPr>
            <w:r>
              <w:rPr>
                <w:szCs w:val="22"/>
                <w:lang w:bidi="zh-CN"/>
                <w14:ligatures w14:val="none"/>
              </w:rPr>
              <w:t>居民点</w:t>
            </w:r>
          </w:p>
        </w:tc>
        <w:tc>
          <w:tcPr>
            <w:tcW w:w="1673" w:type="dxa"/>
            <w:gridSpan w:val="2"/>
            <w:tcBorders>
              <w:top w:val="single" w:color="auto" w:sz="4" w:space="0"/>
              <w:left w:val="single" w:color="auto" w:sz="4" w:space="0"/>
              <w:bottom w:val="single" w:color="auto" w:sz="4" w:space="0"/>
              <w:right w:val="single" w:color="auto" w:sz="4" w:space="0"/>
            </w:tcBorders>
            <w:vAlign w:val="center"/>
          </w:tcPr>
          <w:p w14:paraId="7F36240C">
            <w:pPr>
              <w:pStyle w:val="64"/>
              <w:adjustRightInd w:val="0"/>
              <w:snapToGrid w:val="0"/>
              <w:rPr>
                <w:szCs w:val="22"/>
                <w:lang w:bidi="zh-CN"/>
                <w14:ligatures w14:val="none"/>
              </w:rPr>
            </w:pPr>
            <w:r>
              <w:rPr>
                <w:szCs w:val="22"/>
                <w:lang w:bidi="zh-CN"/>
                <w14:ligatures w14:val="none"/>
              </w:rPr>
              <w:t>220</w:t>
            </w:r>
          </w:p>
        </w:tc>
      </w:tr>
      <w:tr w14:paraId="356DFED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936" w:type="dxa"/>
            <w:vMerge w:val="continue"/>
            <w:tcBorders>
              <w:top w:val="single" w:color="auto" w:sz="4" w:space="0"/>
              <w:left w:val="single" w:color="auto" w:sz="4" w:space="0"/>
              <w:bottom w:val="single" w:color="auto" w:sz="4" w:space="0"/>
              <w:right w:val="single" w:color="auto" w:sz="4" w:space="0"/>
            </w:tcBorders>
            <w:vAlign w:val="center"/>
          </w:tcPr>
          <w:p w14:paraId="56FDB033">
            <w:pPr>
              <w:pStyle w:val="64"/>
              <w:adjustRightInd w:val="0"/>
              <w:snapToGrid w:val="0"/>
              <w:rPr>
                <w:szCs w:val="22"/>
                <w:lang w:bidi="zh-CN"/>
                <w14:ligatures w14:val="none"/>
              </w:rPr>
            </w:pPr>
          </w:p>
        </w:tc>
        <w:tc>
          <w:tcPr>
            <w:tcW w:w="869" w:type="dxa"/>
            <w:tcBorders>
              <w:top w:val="single" w:color="auto" w:sz="4" w:space="0"/>
              <w:left w:val="single" w:color="auto" w:sz="4" w:space="0"/>
              <w:bottom w:val="single" w:color="auto" w:sz="4" w:space="0"/>
              <w:right w:val="single" w:color="auto" w:sz="4" w:space="0"/>
            </w:tcBorders>
            <w:vAlign w:val="center"/>
          </w:tcPr>
          <w:p w14:paraId="5D5D8093">
            <w:pPr>
              <w:pStyle w:val="64"/>
              <w:adjustRightInd w:val="0"/>
              <w:snapToGrid w:val="0"/>
              <w:rPr>
                <w:szCs w:val="22"/>
                <w:lang w:bidi="zh-CN"/>
                <w14:ligatures w14:val="none"/>
              </w:rPr>
            </w:pPr>
            <w:r>
              <w:rPr>
                <w:szCs w:val="22"/>
                <w:lang w:bidi="zh-CN"/>
                <w14:ligatures w14:val="none"/>
              </w:rPr>
              <w:t>37</w:t>
            </w:r>
          </w:p>
        </w:tc>
        <w:tc>
          <w:tcPr>
            <w:tcW w:w="1597" w:type="dxa"/>
            <w:tcBorders>
              <w:top w:val="single" w:color="auto" w:sz="4" w:space="0"/>
              <w:left w:val="single" w:color="auto" w:sz="4" w:space="0"/>
              <w:bottom w:val="single" w:color="auto" w:sz="4" w:space="0"/>
              <w:right w:val="single" w:color="auto" w:sz="4" w:space="0"/>
            </w:tcBorders>
            <w:vAlign w:val="center"/>
          </w:tcPr>
          <w:p w14:paraId="671A5E64">
            <w:pPr>
              <w:pStyle w:val="64"/>
              <w:adjustRightInd w:val="0"/>
              <w:snapToGrid w:val="0"/>
              <w:rPr>
                <w:szCs w:val="22"/>
                <w:lang w:bidi="zh-CN"/>
                <w14:ligatures w14:val="none"/>
              </w:rPr>
            </w:pPr>
            <w:r>
              <w:rPr>
                <w:szCs w:val="22"/>
                <w:lang w:bidi="zh-CN"/>
                <w14:ligatures w14:val="none"/>
              </w:rPr>
              <w:t>小董家</w:t>
            </w:r>
          </w:p>
        </w:tc>
        <w:tc>
          <w:tcPr>
            <w:tcW w:w="1083" w:type="dxa"/>
            <w:tcBorders>
              <w:top w:val="single" w:color="auto" w:sz="4" w:space="0"/>
              <w:left w:val="single" w:color="auto" w:sz="4" w:space="0"/>
              <w:bottom w:val="single" w:color="auto" w:sz="4" w:space="0"/>
              <w:right w:val="single" w:color="auto" w:sz="4" w:space="0"/>
            </w:tcBorders>
            <w:vAlign w:val="center"/>
          </w:tcPr>
          <w:p w14:paraId="79A41E1B">
            <w:pPr>
              <w:pStyle w:val="64"/>
              <w:adjustRightInd w:val="0"/>
              <w:snapToGrid w:val="0"/>
              <w:rPr>
                <w:szCs w:val="22"/>
                <w:lang w:bidi="zh-CN"/>
                <w14:ligatures w14:val="none"/>
              </w:rPr>
            </w:pPr>
            <w:r>
              <w:rPr>
                <w:szCs w:val="22"/>
                <w:lang w:bidi="zh-CN"/>
                <w14:ligatures w14:val="none"/>
              </w:rPr>
              <w:t>NW</w:t>
            </w:r>
          </w:p>
        </w:tc>
        <w:tc>
          <w:tcPr>
            <w:tcW w:w="1489" w:type="dxa"/>
            <w:gridSpan w:val="2"/>
            <w:tcBorders>
              <w:top w:val="single" w:color="auto" w:sz="4" w:space="0"/>
              <w:left w:val="single" w:color="auto" w:sz="4" w:space="0"/>
              <w:bottom w:val="single" w:color="auto" w:sz="4" w:space="0"/>
              <w:right w:val="single" w:color="auto" w:sz="4" w:space="0"/>
            </w:tcBorders>
            <w:vAlign w:val="center"/>
          </w:tcPr>
          <w:p w14:paraId="2823F4B6">
            <w:pPr>
              <w:pStyle w:val="64"/>
              <w:adjustRightInd w:val="0"/>
              <w:snapToGrid w:val="0"/>
              <w:rPr>
                <w:szCs w:val="22"/>
                <w:lang w:bidi="zh-CN"/>
                <w14:ligatures w14:val="none"/>
              </w:rPr>
            </w:pPr>
            <w:r>
              <w:rPr>
                <w:szCs w:val="22"/>
                <w:lang w:bidi="zh-CN"/>
                <w14:ligatures w14:val="none"/>
              </w:rPr>
              <w:t>4565</w:t>
            </w:r>
          </w:p>
        </w:tc>
        <w:tc>
          <w:tcPr>
            <w:tcW w:w="1425" w:type="dxa"/>
            <w:gridSpan w:val="3"/>
            <w:tcBorders>
              <w:top w:val="single" w:color="auto" w:sz="4" w:space="0"/>
              <w:left w:val="single" w:color="auto" w:sz="4" w:space="0"/>
              <w:bottom w:val="single" w:color="auto" w:sz="4" w:space="0"/>
              <w:right w:val="single" w:color="auto" w:sz="4" w:space="0"/>
            </w:tcBorders>
            <w:vAlign w:val="center"/>
          </w:tcPr>
          <w:p w14:paraId="066FAA2F">
            <w:pPr>
              <w:pStyle w:val="64"/>
              <w:adjustRightInd w:val="0"/>
              <w:snapToGrid w:val="0"/>
              <w:rPr>
                <w:szCs w:val="22"/>
                <w:lang w:bidi="zh-CN"/>
                <w14:ligatures w14:val="none"/>
              </w:rPr>
            </w:pPr>
            <w:r>
              <w:rPr>
                <w:szCs w:val="22"/>
                <w:lang w:bidi="zh-CN"/>
                <w14:ligatures w14:val="none"/>
              </w:rPr>
              <w:t>居民点</w:t>
            </w:r>
          </w:p>
        </w:tc>
        <w:tc>
          <w:tcPr>
            <w:tcW w:w="1673" w:type="dxa"/>
            <w:gridSpan w:val="2"/>
            <w:tcBorders>
              <w:top w:val="single" w:color="auto" w:sz="4" w:space="0"/>
              <w:left w:val="single" w:color="auto" w:sz="4" w:space="0"/>
              <w:bottom w:val="single" w:color="auto" w:sz="4" w:space="0"/>
              <w:right w:val="single" w:color="auto" w:sz="4" w:space="0"/>
            </w:tcBorders>
            <w:vAlign w:val="center"/>
          </w:tcPr>
          <w:p w14:paraId="04E08C2B">
            <w:pPr>
              <w:pStyle w:val="64"/>
              <w:adjustRightInd w:val="0"/>
              <w:snapToGrid w:val="0"/>
              <w:rPr>
                <w:szCs w:val="22"/>
                <w:lang w:bidi="zh-CN"/>
                <w14:ligatures w14:val="none"/>
              </w:rPr>
            </w:pPr>
            <w:r>
              <w:rPr>
                <w:szCs w:val="22"/>
                <w:lang w:bidi="zh-CN"/>
                <w14:ligatures w14:val="none"/>
              </w:rPr>
              <w:t>230</w:t>
            </w:r>
          </w:p>
        </w:tc>
      </w:tr>
      <w:tr w14:paraId="25659BA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936" w:type="dxa"/>
            <w:vMerge w:val="continue"/>
            <w:tcBorders>
              <w:top w:val="single" w:color="auto" w:sz="4" w:space="0"/>
              <w:left w:val="single" w:color="auto" w:sz="4" w:space="0"/>
              <w:bottom w:val="single" w:color="auto" w:sz="4" w:space="0"/>
              <w:right w:val="single" w:color="auto" w:sz="4" w:space="0"/>
            </w:tcBorders>
            <w:vAlign w:val="center"/>
          </w:tcPr>
          <w:p w14:paraId="57D6B1A2">
            <w:pPr>
              <w:pStyle w:val="64"/>
              <w:adjustRightInd w:val="0"/>
              <w:snapToGrid w:val="0"/>
              <w:rPr>
                <w:szCs w:val="22"/>
                <w:lang w:bidi="zh-CN"/>
                <w14:ligatures w14:val="none"/>
              </w:rPr>
            </w:pPr>
          </w:p>
        </w:tc>
        <w:tc>
          <w:tcPr>
            <w:tcW w:w="869" w:type="dxa"/>
            <w:tcBorders>
              <w:top w:val="single" w:color="auto" w:sz="4" w:space="0"/>
              <w:left w:val="single" w:color="auto" w:sz="4" w:space="0"/>
              <w:bottom w:val="single" w:color="auto" w:sz="4" w:space="0"/>
              <w:right w:val="single" w:color="auto" w:sz="4" w:space="0"/>
            </w:tcBorders>
            <w:vAlign w:val="center"/>
          </w:tcPr>
          <w:p w14:paraId="626975C8">
            <w:pPr>
              <w:pStyle w:val="64"/>
              <w:adjustRightInd w:val="0"/>
              <w:snapToGrid w:val="0"/>
              <w:rPr>
                <w:szCs w:val="22"/>
                <w:lang w:bidi="zh-CN"/>
                <w14:ligatures w14:val="none"/>
              </w:rPr>
            </w:pPr>
            <w:r>
              <w:rPr>
                <w:szCs w:val="22"/>
                <w:lang w:bidi="zh-CN"/>
                <w14:ligatures w14:val="none"/>
              </w:rPr>
              <w:t>38</w:t>
            </w:r>
          </w:p>
        </w:tc>
        <w:tc>
          <w:tcPr>
            <w:tcW w:w="1597" w:type="dxa"/>
            <w:tcBorders>
              <w:top w:val="single" w:color="auto" w:sz="4" w:space="0"/>
              <w:left w:val="single" w:color="auto" w:sz="4" w:space="0"/>
              <w:bottom w:val="single" w:color="auto" w:sz="4" w:space="0"/>
              <w:right w:val="single" w:color="auto" w:sz="4" w:space="0"/>
            </w:tcBorders>
            <w:vAlign w:val="center"/>
          </w:tcPr>
          <w:p w14:paraId="02D86302">
            <w:pPr>
              <w:pStyle w:val="64"/>
              <w:adjustRightInd w:val="0"/>
              <w:snapToGrid w:val="0"/>
              <w:rPr>
                <w:szCs w:val="22"/>
                <w:lang w:bidi="zh-CN"/>
                <w14:ligatures w14:val="none"/>
              </w:rPr>
            </w:pPr>
            <w:r>
              <w:rPr>
                <w:szCs w:val="22"/>
                <w:lang w:bidi="zh-CN"/>
                <w14:ligatures w14:val="none"/>
              </w:rPr>
              <w:t>任桥</w:t>
            </w:r>
          </w:p>
        </w:tc>
        <w:tc>
          <w:tcPr>
            <w:tcW w:w="1083" w:type="dxa"/>
            <w:tcBorders>
              <w:top w:val="single" w:color="auto" w:sz="4" w:space="0"/>
              <w:left w:val="single" w:color="auto" w:sz="4" w:space="0"/>
              <w:bottom w:val="single" w:color="auto" w:sz="4" w:space="0"/>
              <w:right w:val="single" w:color="auto" w:sz="4" w:space="0"/>
            </w:tcBorders>
            <w:vAlign w:val="center"/>
          </w:tcPr>
          <w:p w14:paraId="425B060A">
            <w:pPr>
              <w:pStyle w:val="64"/>
              <w:adjustRightInd w:val="0"/>
              <w:snapToGrid w:val="0"/>
              <w:rPr>
                <w:szCs w:val="22"/>
                <w:lang w:bidi="zh-CN"/>
                <w14:ligatures w14:val="none"/>
              </w:rPr>
            </w:pPr>
            <w:r>
              <w:rPr>
                <w:szCs w:val="22"/>
                <w:lang w:bidi="zh-CN"/>
                <w14:ligatures w14:val="none"/>
              </w:rPr>
              <w:t>NW</w:t>
            </w:r>
          </w:p>
        </w:tc>
        <w:tc>
          <w:tcPr>
            <w:tcW w:w="1489" w:type="dxa"/>
            <w:gridSpan w:val="2"/>
            <w:tcBorders>
              <w:top w:val="single" w:color="auto" w:sz="4" w:space="0"/>
              <w:left w:val="single" w:color="auto" w:sz="4" w:space="0"/>
              <w:bottom w:val="single" w:color="auto" w:sz="4" w:space="0"/>
              <w:right w:val="single" w:color="auto" w:sz="4" w:space="0"/>
            </w:tcBorders>
            <w:vAlign w:val="center"/>
          </w:tcPr>
          <w:p w14:paraId="39037DF6">
            <w:pPr>
              <w:pStyle w:val="64"/>
              <w:adjustRightInd w:val="0"/>
              <w:snapToGrid w:val="0"/>
              <w:rPr>
                <w:szCs w:val="22"/>
                <w:lang w:bidi="zh-CN"/>
                <w14:ligatures w14:val="none"/>
              </w:rPr>
            </w:pPr>
            <w:r>
              <w:rPr>
                <w:szCs w:val="22"/>
                <w:lang w:bidi="zh-CN"/>
                <w14:ligatures w14:val="none"/>
              </w:rPr>
              <w:t>4084</w:t>
            </w:r>
          </w:p>
        </w:tc>
        <w:tc>
          <w:tcPr>
            <w:tcW w:w="1425" w:type="dxa"/>
            <w:gridSpan w:val="3"/>
            <w:tcBorders>
              <w:top w:val="single" w:color="auto" w:sz="4" w:space="0"/>
              <w:left w:val="single" w:color="auto" w:sz="4" w:space="0"/>
              <w:bottom w:val="single" w:color="auto" w:sz="4" w:space="0"/>
              <w:right w:val="single" w:color="auto" w:sz="4" w:space="0"/>
            </w:tcBorders>
            <w:vAlign w:val="center"/>
          </w:tcPr>
          <w:p w14:paraId="5604060E">
            <w:pPr>
              <w:pStyle w:val="64"/>
              <w:adjustRightInd w:val="0"/>
              <w:snapToGrid w:val="0"/>
              <w:rPr>
                <w:szCs w:val="22"/>
                <w:lang w:bidi="zh-CN"/>
                <w14:ligatures w14:val="none"/>
              </w:rPr>
            </w:pPr>
            <w:r>
              <w:rPr>
                <w:szCs w:val="22"/>
                <w:lang w:bidi="zh-CN"/>
                <w14:ligatures w14:val="none"/>
              </w:rPr>
              <w:t>居民点</w:t>
            </w:r>
          </w:p>
        </w:tc>
        <w:tc>
          <w:tcPr>
            <w:tcW w:w="1673" w:type="dxa"/>
            <w:gridSpan w:val="2"/>
            <w:tcBorders>
              <w:top w:val="single" w:color="auto" w:sz="4" w:space="0"/>
              <w:left w:val="single" w:color="auto" w:sz="4" w:space="0"/>
              <w:bottom w:val="single" w:color="auto" w:sz="4" w:space="0"/>
              <w:right w:val="single" w:color="auto" w:sz="4" w:space="0"/>
            </w:tcBorders>
            <w:vAlign w:val="center"/>
          </w:tcPr>
          <w:p w14:paraId="7369300F">
            <w:pPr>
              <w:pStyle w:val="64"/>
              <w:adjustRightInd w:val="0"/>
              <w:snapToGrid w:val="0"/>
              <w:rPr>
                <w:szCs w:val="22"/>
                <w:lang w:bidi="zh-CN"/>
                <w14:ligatures w14:val="none"/>
              </w:rPr>
            </w:pPr>
            <w:r>
              <w:rPr>
                <w:szCs w:val="22"/>
                <w:lang w:bidi="zh-CN"/>
                <w14:ligatures w14:val="none"/>
              </w:rPr>
              <w:t>120</w:t>
            </w:r>
          </w:p>
        </w:tc>
      </w:tr>
      <w:tr w14:paraId="2064382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936" w:type="dxa"/>
            <w:vMerge w:val="continue"/>
            <w:tcBorders>
              <w:top w:val="single" w:color="auto" w:sz="4" w:space="0"/>
              <w:left w:val="single" w:color="auto" w:sz="4" w:space="0"/>
              <w:bottom w:val="single" w:color="auto" w:sz="4" w:space="0"/>
              <w:right w:val="single" w:color="auto" w:sz="4" w:space="0"/>
            </w:tcBorders>
            <w:vAlign w:val="center"/>
          </w:tcPr>
          <w:p w14:paraId="4610EDDF">
            <w:pPr>
              <w:pStyle w:val="64"/>
              <w:adjustRightInd w:val="0"/>
              <w:snapToGrid w:val="0"/>
              <w:rPr>
                <w:szCs w:val="22"/>
                <w:lang w:bidi="zh-CN"/>
                <w14:ligatures w14:val="none"/>
              </w:rPr>
            </w:pPr>
          </w:p>
        </w:tc>
        <w:tc>
          <w:tcPr>
            <w:tcW w:w="869" w:type="dxa"/>
            <w:tcBorders>
              <w:top w:val="single" w:color="auto" w:sz="4" w:space="0"/>
              <w:left w:val="single" w:color="auto" w:sz="4" w:space="0"/>
              <w:bottom w:val="single" w:color="auto" w:sz="4" w:space="0"/>
              <w:right w:val="single" w:color="auto" w:sz="4" w:space="0"/>
            </w:tcBorders>
            <w:vAlign w:val="center"/>
          </w:tcPr>
          <w:p w14:paraId="12825131">
            <w:pPr>
              <w:pStyle w:val="64"/>
              <w:adjustRightInd w:val="0"/>
              <w:snapToGrid w:val="0"/>
              <w:rPr>
                <w:szCs w:val="22"/>
                <w:lang w:bidi="zh-CN"/>
                <w14:ligatures w14:val="none"/>
              </w:rPr>
            </w:pPr>
            <w:r>
              <w:rPr>
                <w:szCs w:val="22"/>
                <w:lang w:bidi="zh-CN"/>
                <w14:ligatures w14:val="none"/>
              </w:rPr>
              <w:t>39</w:t>
            </w:r>
          </w:p>
        </w:tc>
        <w:tc>
          <w:tcPr>
            <w:tcW w:w="1597" w:type="dxa"/>
            <w:tcBorders>
              <w:top w:val="single" w:color="auto" w:sz="4" w:space="0"/>
              <w:left w:val="single" w:color="auto" w:sz="4" w:space="0"/>
              <w:bottom w:val="single" w:color="auto" w:sz="4" w:space="0"/>
              <w:right w:val="single" w:color="auto" w:sz="4" w:space="0"/>
            </w:tcBorders>
            <w:vAlign w:val="center"/>
          </w:tcPr>
          <w:p w14:paraId="2C717BBA">
            <w:pPr>
              <w:pStyle w:val="64"/>
              <w:adjustRightInd w:val="0"/>
              <w:snapToGrid w:val="0"/>
              <w:rPr>
                <w:szCs w:val="22"/>
                <w:lang w:bidi="zh-CN"/>
                <w14:ligatures w14:val="none"/>
              </w:rPr>
            </w:pPr>
            <w:r>
              <w:rPr>
                <w:szCs w:val="22"/>
                <w:lang w:bidi="zh-CN"/>
                <w14:ligatures w14:val="none"/>
              </w:rPr>
              <w:t>邓郭</w:t>
            </w:r>
          </w:p>
        </w:tc>
        <w:tc>
          <w:tcPr>
            <w:tcW w:w="1083" w:type="dxa"/>
            <w:tcBorders>
              <w:top w:val="single" w:color="auto" w:sz="4" w:space="0"/>
              <w:left w:val="single" w:color="auto" w:sz="4" w:space="0"/>
              <w:bottom w:val="single" w:color="auto" w:sz="4" w:space="0"/>
              <w:right w:val="single" w:color="auto" w:sz="4" w:space="0"/>
            </w:tcBorders>
            <w:vAlign w:val="center"/>
          </w:tcPr>
          <w:p w14:paraId="18A44785">
            <w:pPr>
              <w:pStyle w:val="64"/>
              <w:adjustRightInd w:val="0"/>
              <w:snapToGrid w:val="0"/>
              <w:rPr>
                <w:szCs w:val="22"/>
                <w:lang w:bidi="zh-CN"/>
                <w14:ligatures w14:val="none"/>
              </w:rPr>
            </w:pPr>
            <w:r>
              <w:rPr>
                <w:szCs w:val="22"/>
                <w:lang w:bidi="zh-CN"/>
                <w14:ligatures w14:val="none"/>
              </w:rPr>
              <w:t>NNW</w:t>
            </w:r>
          </w:p>
        </w:tc>
        <w:tc>
          <w:tcPr>
            <w:tcW w:w="1489" w:type="dxa"/>
            <w:gridSpan w:val="2"/>
            <w:tcBorders>
              <w:top w:val="single" w:color="auto" w:sz="4" w:space="0"/>
              <w:left w:val="single" w:color="auto" w:sz="4" w:space="0"/>
              <w:bottom w:val="single" w:color="auto" w:sz="4" w:space="0"/>
              <w:right w:val="single" w:color="auto" w:sz="4" w:space="0"/>
            </w:tcBorders>
            <w:vAlign w:val="center"/>
          </w:tcPr>
          <w:p w14:paraId="71586E96">
            <w:pPr>
              <w:pStyle w:val="64"/>
              <w:adjustRightInd w:val="0"/>
              <w:snapToGrid w:val="0"/>
              <w:rPr>
                <w:szCs w:val="22"/>
                <w:lang w:bidi="zh-CN"/>
                <w14:ligatures w14:val="none"/>
              </w:rPr>
            </w:pPr>
            <w:r>
              <w:rPr>
                <w:szCs w:val="22"/>
                <w:lang w:bidi="zh-CN"/>
                <w14:ligatures w14:val="none"/>
              </w:rPr>
              <w:t>3606</w:t>
            </w:r>
          </w:p>
        </w:tc>
        <w:tc>
          <w:tcPr>
            <w:tcW w:w="1425" w:type="dxa"/>
            <w:gridSpan w:val="3"/>
            <w:tcBorders>
              <w:top w:val="single" w:color="auto" w:sz="4" w:space="0"/>
              <w:left w:val="single" w:color="auto" w:sz="4" w:space="0"/>
              <w:bottom w:val="single" w:color="auto" w:sz="4" w:space="0"/>
              <w:right w:val="single" w:color="auto" w:sz="4" w:space="0"/>
            </w:tcBorders>
            <w:vAlign w:val="center"/>
          </w:tcPr>
          <w:p w14:paraId="68977650">
            <w:pPr>
              <w:pStyle w:val="64"/>
              <w:adjustRightInd w:val="0"/>
              <w:snapToGrid w:val="0"/>
              <w:rPr>
                <w:szCs w:val="22"/>
                <w:lang w:bidi="zh-CN"/>
                <w14:ligatures w14:val="none"/>
              </w:rPr>
            </w:pPr>
            <w:r>
              <w:rPr>
                <w:szCs w:val="22"/>
                <w:lang w:bidi="zh-CN"/>
                <w14:ligatures w14:val="none"/>
              </w:rPr>
              <w:t>居民点</w:t>
            </w:r>
          </w:p>
        </w:tc>
        <w:tc>
          <w:tcPr>
            <w:tcW w:w="1673" w:type="dxa"/>
            <w:gridSpan w:val="2"/>
            <w:tcBorders>
              <w:top w:val="single" w:color="auto" w:sz="4" w:space="0"/>
              <w:left w:val="single" w:color="auto" w:sz="4" w:space="0"/>
              <w:bottom w:val="single" w:color="auto" w:sz="4" w:space="0"/>
              <w:right w:val="single" w:color="auto" w:sz="4" w:space="0"/>
            </w:tcBorders>
            <w:vAlign w:val="center"/>
          </w:tcPr>
          <w:p w14:paraId="15A2C4CA">
            <w:pPr>
              <w:pStyle w:val="64"/>
              <w:adjustRightInd w:val="0"/>
              <w:snapToGrid w:val="0"/>
              <w:rPr>
                <w:szCs w:val="22"/>
                <w:lang w:bidi="zh-CN"/>
                <w14:ligatures w14:val="none"/>
              </w:rPr>
            </w:pPr>
            <w:r>
              <w:rPr>
                <w:szCs w:val="22"/>
                <w:lang w:bidi="zh-CN"/>
                <w14:ligatures w14:val="none"/>
              </w:rPr>
              <w:t>170</w:t>
            </w:r>
          </w:p>
        </w:tc>
      </w:tr>
      <w:tr w14:paraId="630E107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936" w:type="dxa"/>
            <w:vMerge w:val="continue"/>
            <w:tcBorders>
              <w:top w:val="single" w:color="auto" w:sz="4" w:space="0"/>
              <w:left w:val="single" w:color="auto" w:sz="4" w:space="0"/>
              <w:bottom w:val="single" w:color="auto" w:sz="4" w:space="0"/>
              <w:right w:val="single" w:color="auto" w:sz="4" w:space="0"/>
            </w:tcBorders>
            <w:vAlign w:val="center"/>
          </w:tcPr>
          <w:p w14:paraId="3FCBD211">
            <w:pPr>
              <w:pStyle w:val="64"/>
              <w:adjustRightInd w:val="0"/>
              <w:snapToGrid w:val="0"/>
              <w:rPr>
                <w:szCs w:val="22"/>
                <w:lang w:bidi="zh-CN"/>
                <w14:ligatures w14:val="none"/>
              </w:rPr>
            </w:pPr>
          </w:p>
        </w:tc>
        <w:tc>
          <w:tcPr>
            <w:tcW w:w="869" w:type="dxa"/>
            <w:tcBorders>
              <w:top w:val="single" w:color="auto" w:sz="4" w:space="0"/>
              <w:left w:val="single" w:color="auto" w:sz="4" w:space="0"/>
              <w:bottom w:val="single" w:color="auto" w:sz="4" w:space="0"/>
              <w:right w:val="single" w:color="auto" w:sz="4" w:space="0"/>
            </w:tcBorders>
            <w:vAlign w:val="center"/>
          </w:tcPr>
          <w:p w14:paraId="0946A71A">
            <w:pPr>
              <w:pStyle w:val="64"/>
              <w:adjustRightInd w:val="0"/>
              <w:snapToGrid w:val="0"/>
              <w:rPr>
                <w:szCs w:val="22"/>
                <w:lang w:bidi="zh-CN"/>
                <w14:ligatures w14:val="none"/>
              </w:rPr>
            </w:pPr>
            <w:r>
              <w:rPr>
                <w:szCs w:val="22"/>
                <w:lang w:bidi="zh-CN"/>
                <w14:ligatures w14:val="none"/>
              </w:rPr>
              <w:t>40</w:t>
            </w:r>
          </w:p>
        </w:tc>
        <w:tc>
          <w:tcPr>
            <w:tcW w:w="1597" w:type="dxa"/>
            <w:tcBorders>
              <w:top w:val="single" w:color="auto" w:sz="4" w:space="0"/>
              <w:left w:val="single" w:color="auto" w:sz="4" w:space="0"/>
              <w:bottom w:val="single" w:color="auto" w:sz="4" w:space="0"/>
              <w:right w:val="single" w:color="auto" w:sz="4" w:space="0"/>
            </w:tcBorders>
            <w:vAlign w:val="center"/>
          </w:tcPr>
          <w:p w14:paraId="76854A83">
            <w:pPr>
              <w:pStyle w:val="64"/>
              <w:adjustRightInd w:val="0"/>
              <w:snapToGrid w:val="0"/>
              <w:rPr>
                <w:szCs w:val="22"/>
                <w:lang w:bidi="zh-CN"/>
                <w14:ligatures w14:val="none"/>
              </w:rPr>
            </w:pPr>
            <w:r>
              <w:rPr>
                <w:szCs w:val="22"/>
                <w:lang w:bidi="zh-CN"/>
                <w14:ligatures w14:val="none"/>
              </w:rPr>
              <w:t>三铺中学</w:t>
            </w:r>
          </w:p>
        </w:tc>
        <w:tc>
          <w:tcPr>
            <w:tcW w:w="1083" w:type="dxa"/>
            <w:tcBorders>
              <w:top w:val="single" w:color="auto" w:sz="4" w:space="0"/>
              <w:left w:val="single" w:color="auto" w:sz="4" w:space="0"/>
              <w:bottom w:val="single" w:color="auto" w:sz="4" w:space="0"/>
              <w:right w:val="single" w:color="auto" w:sz="4" w:space="0"/>
            </w:tcBorders>
            <w:vAlign w:val="center"/>
          </w:tcPr>
          <w:p w14:paraId="72887B06">
            <w:pPr>
              <w:pStyle w:val="64"/>
              <w:adjustRightInd w:val="0"/>
              <w:snapToGrid w:val="0"/>
              <w:rPr>
                <w:szCs w:val="22"/>
                <w:lang w:bidi="zh-CN"/>
                <w14:ligatures w14:val="none"/>
              </w:rPr>
            </w:pPr>
            <w:r>
              <w:rPr>
                <w:szCs w:val="22"/>
                <w:lang w:bidi="zh-CN"/>
                <w14:ligatures w14:val="none"/>
              </w:rPr>
              <w:t>N</w:t>
            </w:r>
          </w:p>
        </w:tc>
        <w:tc>
          <w:tcPr>
            <w:tcW w:w="1489" w:type="dxa"/>
            <w:gridSpan w:val="2"/>
            <w:tcBorders>
              <w:top w:val="single" w:color="auto" w:sz="4" w:space="0"/>
              <w:left w:val="single" w:color="auto" w:sz="4" w:space="0"/>
              <w:bottom w:val="single" w:color="auto" w:sz="4" w:space="0"/>
              <w:right w:val="single" w:color="auto" w:sz="4" w:space="0"/>
            </w:tcBorders>
            <w:vAlign w:val="center"/>
          </w:tcPr>
          <w:p w14:paraId="78E483B2">
            <w:pPr>
              <w:pStyle w:val="64"/>
              <w:adjustRightInd w:val="0"/>
              <w:snapToGrid w:val="0"/>
              <w:rPr>
                <w:szCs w:val="22"/>
                <w:lang w:bidi="zh-CN"/>
                <w14:ligatures w14:val="none"/>
              </w:rPr>
            </w:pPr>
            <w:r>
              <w:rPr>
                <w:szCs w:val="22"/>
                <w:lang w:bidi="zh-CN"/>
                <w14:ligatures w14:val="none"/>
              </w:rPr>
              <w:t>1475</w:t>
            </w:r>
          </w:p>
        </w:tc>
        <w:tc>
          <w:tcPr>
            <w:tcW w:w="1425" w:type="dxa"/>
            <w:gridSpan w:val="3"/>
            <w:tcBorders>
              <w:top w:val="single" w:color="auto" w:sz="4" w:space="0"/>
              <w:left w:val="single" w:color="auto" w:sz="4" w:space="0"/>
              <w:bottom w:val="single" w:color="auto" w:sz="4" w:space="0"/>
              <w:right w:val="single" w:color="auto" w:sz="4" w:space="0"/>
            </w:tcBorders>
            <w:vAlign w:val="center"/>
          </w:tcPr>
          <w:p w14:paraId="719D40DE">
            <w:pPr>
              <w:pStyle w:val="64"/>
              <w:adjustRightInd w:val="0"/>
              <w:snapToGrid w:val="0"/>
              <w:rPr>
                <w:szCs w:val="22"/>
                <w:lang w:bidi="zh-CN"/>
                <w14:ligatures w14:val="none"/>
              </w:rPr>
            </w:pPr>
            <w:r>
              <w:rPr>
                <w:szCs w:val="22"/>
                <w:lang w:bidi="zh-CN"/>
                <w14:ligatures w14:val="none"/>
              </w:rPr>
              <w:t>学校</w:t>
            </w:r>
          </w:p>
        </w:tc>
        <w:tc>
          <w:tcPr>
            <w:tcW w:w="1673" w:type="dxa"/>
            <w:gridSpan w:val="2"/>
            <w:tcBorders>
              <w:top w:val="single" w:color="auto" w:sz="4" w:space="0"/>
              <w:left w:val="single" w:color="auto" w:sz="4" w:space="0"/>
              <w:bottom w:val="single" w:color="auto" w:sz="4" w:space="0"/>
              <w:right w:val="single" w:color="auto" w:sz="4" w:space="0"/>
            </w:tcBorders>
            <w:vAlign w:val="center"/>
          </w:tcPr>
          <w:p w14:paraId="38CE7292">
            <w:pPr>
              <w:pStyle w:val="64"/>
              <w:adjustRightInd w:val="0"/>
              <w:snapToGrid w:val="0"/>
              <w:rPr>
                <w:szCs w:val="22"/>
                <w:lang w:bidi="zh-CN"/>
                <w14:ligatures w14:val="none"/>
              </w:rPr>
            </w:pPr>
            <w:r>
              <w:rPr>
                <w:szCs w:val="22"/>
                <w:lang w:bidi="zh-CN"/>
                <w14:ligatures w14:val="none"/>
              </w:rPr>
              <w:t>600</w:t>
            </w:r>
          </w:p>
        </w:tc>
      </w:tr>
      <w:tr w14:paraId="5792A4E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936" w:type="dxa"/>
            <w:vMerge w:val="continue"/>
            <w:tcBorders>
              <w:top w:val="single" w:color="auto" w:sz="4" w:space="0"/>
              <w:left w:val="single" w:color="auto" w:sz="4" w:space="0"/>
              <w:bottom w:val="single" w:color="auto" w:sz="4" w:space="0"/>
              <w:right w:val="single" w:color="auto" w:sz="4" w:space="0"/>
            </w:tcBorders>
            <w:vAlign w:val="center"/>
          </w:tcPr>
          <w:p w14:paraId="2D9BC097">
            <w:pPr>
              <w:pStyle w:val="64"/>
              <w:adjustRightInd w:val="0"/>
              <w:snapToGrid w:val="0"/>
              <w:rPr>
                <w:szCs w:val="22"/>
                <w:lang w:bidi="zh-CN"/>
                <w14:ligatures w14:val="none"/>
              </w:rPr>
            </w:pPr>
          </w:p>
        </w:tc>
        <w:tc>
          <w:tcPr>
            <w:tcW w:w="869" w:type="dxa"/>
            <w:tcBorders>
              <w:top w:val="single" w:color="auto" w:sz="4" w:space="0"/>
              <w:left w:val="single" w:color="auto" w:sz="4" w:space="0"/>
              <w:bottom w:val="single" w:color="auto" w:sz="4" w:space="0"/>
              <w:right w:val="single" w:color="auto" w:sz="4" w:space="0"/>
            </w:tcBorders>
            <w:vAlign w:val="center"/>
          </w:tcPr>
          <w:p w14:paraId="4B381C46">
            <w:pPr>
              <w:pStyle w:val="64"/>
              <w:adjustRightInd w:val="0"/>
              <w:snapToGrid w:val="0"/>
              <w:rPr>
                <w:szCs w:val="22"/>
                <w:lang w:bidi="zh-CN"/>
                <w14:ligatures w14:val="none"/>
              </w:rPr>
            </w:pPr>
            <w:r>
              <w:rPr>
                <w:rFonts w:hint="eastAsia"/>
                <w:szCs w:val="22"/>
                <w:lang w:bidi="zh-CN"/>
                <w14:ligatures w14:val="none"/>
              </w:rPr>
              <w:t>41</w:t>
            </w:r>
          </w:p>
        </w:tc>
        <w:tc>
          <w:tcPr>
            <w:tcW w:w="1597" w:type="dxa"/>
            <w:tcBorders>
              <w:top w:val="single" w:color="auto" w:sz="4" w:space="0"/>
              <w:left w:val="single" w:color="auto" w:sz="4" w:space="0"/>
              <w:bottom w:val="single" w:color="auto" w:sz="4" w:space="0"/>
              <w:right w:val="single" w:color="auto" w:sz="4" w:space="0"/>
            </w:tcBorders>
            <w:vAlign w:val="center"/>
          </w:tcPr>
          <w:p w14:paraId="42A184D8">
            <w:pPr>
              <w:pStyle w:val="64"/>
              <w:adjustRightInd w:val="0"/>
              <w:snapToGrid w:val="0"/>
              <w:rPr>
                <w:szCs w:val="22"/>
                <w:lang w:bidi="zh-CN"/>
                <w14:ligatures w14:val="none"/>
              </w:rPr>
            </w:pPr>
            <w:r>
              <w:rPr>
                <w:szCs w:val="22"/>
                <w:lang w:bidi="zh-CN"/>
                <w14:ligatures w14:val="none"/>
              </w:rPr>
              <w:t>三铺小学</w:t>
            </w:r>
          </w:p>
        </w:tc>
        <w:tc>
          <w:tcPr>
            <w:tcW w:w="1083" w:type="dxa"/>
            <w:tcBorders>
              <w:top w:val="single" w:color="auto" w:sz="4" w:space="0"/>
              <w:left w:val="single" w:color="auto" w:sz="4" w:space="0"/>
              <w:bottom w:val="single" w:color="auto" w:sz="4" w:space="0"/>
              <w:right w:val="single" w:color="auto" w:sz="4" w:space="0"/>
            </w:tcBorders>
            <w:vAlign w:val="center"/>
          </w:tcPr>
          <w:p w14:paraId="49721D06">
            <w:pPr>
              <w:pStyle w:val="64"/>
              <w:adjustRightInd w:val="0"/>
              <w:snapToGrid w:val="0"/>
              <w:rPr>
                <w:szCs w:val="22"/>
                <w:lang w:bidi="zh-CN"/>
                <w14:ligatures w14:val="none"/>
              </w:rPr>
            </w:pPr>
            <w:r>
              <w:rPr>
                <w:szCs w:val="22"/>
                <w:lang w:bidi="zh-CN"/>
                <w14:ligatures w14:val="none"/>
              </w:rPr>
              <w:t>N</w:t>
            </w:r>
          </w:p>
        </w:tc>
        <w:tc>
          <w:tcPr>
            <w:tcW w:w="1489" w:type="dxa"/>
            <w:gridSpan w:val="2"/>
            <w:tcBorders>
              <w:top w:val="single" w:color="auto" w:sz="4" w:space="0"/>
              <w:left w:val="single" w:color="auto" w:sz="4" w:space="0"/>
              <w:bottom w:val="single" w:color="auto" w:sz="4" w:space="0"/>
              <w:right w:val="single" w:color="auto" w:sz="4" w:space="0"/>
            </w:tcBorders>
            <w:vAlign w:val="center"/>
          </w:tcPr>
          <w:p w14:paraId="39D03EC1">
            <w:pPr>
              <w:pStyle w:val="64"/>
              <w:adjustRightInd w:val="0"/>
              <w:snapToGrid w:val="0"/>
              <w:rPr>
                <w:szCs w:val="22"/>
                <w:lang w:bidi="zh-CN"/>
                <w14:ligatures w14:val="none"/>
              </w:rPr>
            </w:pPr>
            <w:r>
              <w:rPr>
                <w:szCs w:val="22"/>
                <w:lang w:bidi="zh-CN"/>
                <w14:ligatures w14:val="none"/>
              </w:rPr>
              <w:t>1602</w:t>
            </w:r>
          </w:p>
        </w:tc>
        <w:tc>
          <w:tcPr>
            <w:tcW w:w="1425" w:type="dxa"/>
            <w:gridSpan w:val="3"/>
            <w:tcBorders>
              <w:top w:val="single" w:color="auto" w:sz="4" w:space="0"/>
              <w:left w:val="single" w:color="auto" w:sz="4" w:space="0"/>
              <w:bottom w:val="single" w:color="auto" w:sz="4" w:space="0"/>
              <w:right w:val="single" w:color="auto" w:sz="4" w:space="0"/>
            </w:tcBorders>
            <w:vAlign w:val="center"/>
          </w:tcPr>
          <w:p w14:paraId="05044836">
            <w:pPr>
              <w:pStyle w:val="64"/>
              <w:adjustRightInd w:val="0"/>
              <w:snapToGrid w:val="0"/>
              <w:rPr>
                <w:szCs w:val="22"/>
                <w:lang w:bidi="zh-CN"/>
                <w14:ligatures w14:val="none"/>
              </w:rPr>
            </w:pPr>
            <w:r>
              <w:rPr>
                <w:szCs w:val="22"/>
                <w:lang w:bidi="zh-CN"/>
                <w14:ligatures w14:val="none"/>
              </w:rPr>
              <w:t>学校</w:t>
            </w:r>
          </w:p>
        </w:tc>
        <w:tc>
          <w:tcPr>
            <w:tcW w:w="1673" w:type="dxa"/>
            <w:gridSpan w:val="2"/>
            <w:tcBorders>
              <w:top w:val="single" w:color="auto" w:sz="4" w:space="0"/>
              <w:left w:val="single" w:color="auto" w:sz="4" w:space="0"/>
              <w:bottom w:val="single" w:color="auto" w:sz="4" w:space="0"/>
              <w:right w:val="single" w:color="auto" w:sz="4" w:space="0"/>
            </w:tcBorders>
            <w:vAlign w:val="center"/>
          </w:tcPr>
          <w:p w14:paraId="1052E7C8">
            <w:pPr>
              <w:pStyle w:val="64"/>
              <w:adjustRightInd w:val="0"/>
              <w:snapToGrid w:val="0"/>
              <w:rPr>
                <w:szCs w:val="22"/>
                <w:lang w:bidi="zh-CN"/>
                <w14:ligatures w14:val="none"/>
              </w:rPr>
            </w:pPr>
            <w:r>
              <w:rPr>
                <w:szCs w:val="22"/>
                <w:lang w:bidi="zh-CN"/>
                <w14:ligatures w14:val="none"/>
              </w:rPr>
              <w:t>200</w:t>
            </w:r>
          </w:p>
        </w:tc>
      </w:tr>
      <w:tr w14:paraId="1A0DAAF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936" w:type="dxa"/>
            <w:vMerge w:val="continue"/>
            <w:tcBorders>
              <w:top w:val="single" w:color="auto" w:sz="4" w:space="0"/>
              <w:left w:val="single" w:color="auto" w:sz="4" w:space="0"/>
              <w:bottom w:val="single" w:color="auto" w:sz="4" w:space="0"/>
              <w:right w:val="single" w:color="auto" w:sz="4" w:space="0"/>
            </w:tcBorders>
            <w:vAlign w:val="center"/>
          </w:tcPr>
          <w:p w14:paraId="2FCDAD3B">
            <w:pPr>
              <w:pStyle w:val="64"/>
              <w:adjustRightInd w:val="0"/>
              <w:snapToGrid w:val="0"/>
              <w:rPr>
                <w:szCs w:val="22"/>
                <w:lang w:bidi="zh-CN"/>
                <w14:ligatures w14:val="none"/>
              </w:rPr>
            </w:pPr>
          </w:p>
        </w:tc>
        <w:tc>
          <w:tcPr>
            <w:tcW w:w="869" w:type="dxa"/>
            <w:tcBorders>
              <w:top w:val="single" w:color="auto" w:sz="4" w:space="0"/>
              <w:left w:val="single" w:color="auto" w:sz="4" w:space="0"/>
              <w:bottom w:val="single" w:color="auto" w:sz="4" w:space="0"/>
              <w:right w:val="single" w:color="auto" w:sz="4" w:space="0"/>
            </w:tcBorders>
            <w:vAlign w:val="center"/>
          </w:tcPr>
          <w:p w14:paraId="007B6C75">
            <w:pPr>
              <w:pStyle w:val="64"/>
              <w:adjustRightInd w:val="0"/>
              <w:snapToGrid w:val="0"/>
              <w:rPr>
                <w:szCs w:val="22"/>
                <w:lang w:bidi="zh-CN"/>
                <w14:ligatures w14:val="none"/>
              </w:rPr>
            </w:pPr>
            <w:r>
              <w:rPr>
                <w:rFonts w:hint="eastAsia"/>
                <w:szCs w:val="22"/>
                <w:lang w:bidi="zh-CN"/>
                <w14:ligatures w14:val="none"/>
              </w:rPr>
              <w:t>42</w:t>
            </w:r>
          </w:p>
        </w:tc>
        <w:tc>
          <w:tcPr>
            <w:tcW w:w="1597" w:type="dxa"/>
            <w:tcBorders>
              <w:top w:val="single" w:color="auto" w:sz="4" w:space="0"/>
              <w:left w:val="single" w:color="auto" w:sz="4" w:space="0"/>
              <w:bottom w:val="single" w:color="auto" w:sz="4" w:space="0"/>
              <w:right w:val="single" w:color="auto" w:sz="4" w:space="0"/>
            </w:tcBorders>
            <w:vAlign w:val="center"/>
          </w:tcPr>
          <w:p w14:paraId="19FC6493">
            <w:pPr>
              <w:pStyle w:val="64"/>
              <w:adjustRightInd w:val="0"/>
              <w:snapToGrid w:val="0"/>
              <w:rPr>
                <w:szCs w:val="22"/>
                <w:lang w:bidi="zh-CN"/>
                <w14:ligatures w14:val="none"/>
              </w:rPr>
            </w:pPr>
            <w:r>
              <w:rPr>
                <w:szCs w:val="22"/>
                <w14:ligatures w14:val="none"/>
              </w:rPr>
              <w:t>沫河口镇中心小学</w:t>
            </w:r>
          </w:p>
        </w:tc>
        <w:tc>
          <w:tcPr>
            <w:tcW w:w="1083" w:type="dxa"/>
            <w:tcBorders>
              <w:top w:val="single" w:color="auto" w:sz="4" w:space="0"/>
              <w:left w:val="single" w:color="auto" w:sz="4" w:space="0"/>
              <w:bottom w:val="single" w:color="auto" w:sz="4" w:space="0"/>
              <w:right w:val="single" w:color="auto" w:sz="4" w:space="0"/>
            </w:tcBorders>
            <w:vAlign w:val="center"/>
          </w:tcPr>
          <w:p w14:paraId="02AB2B5B">
            <w:pPr>
              <w:pStyle w:val="64"/>
              <w:adjustRightInd w:val="0"/>
              <w:snapToGrid w:val="0"/>
              <w:rPr>
                <w:szCs w:val="22"/>
                <w:lang w:bidi="zh-CN"/>
                <w14:ligatures w14:val="none"/>
              </w:rPr>
            </w:pPr>
            <w:r>
              <w:rPr>
                <w:szCs w:val="22"/>
                <w14:ligatures w14:val="none"/>
              </w:rPr>
              <w:t>W</w:t>
            </w:r>
          </w:p>
        </w:tc>
        <w:tc>
          <w:tcPr>
            <w:tcW w:w="1489" w:type="dxa"/>
            <w:gridSpan w:val="2"/>
            <w:tcBorders>
              <w:top w:val="single" w:color="auto" w:sz="4" w:space="0"/>
              <w:left w:val="single" w:color="auto" w:sz="4" w:space="0"/>
              <w:bottom w:val="single" w:color="auto" w:sz="4" w:space="0"/>
              <w:right w:val="single" w:color="auto" w:sz="4" w:space="0"/>
            </w:tcBorders>
            <w:vAlign w:val="center"/>
          </w:tcPr>
          <w:p w14:paraId="7BAAF9C4">
            <w:pPr>
              <w:pStyle w:val="64"/>
              <w:adjustRightInd w:val="0"/>
              <w:snapToGrid w:val="0"/>
              <w:rPr>
                <w:szCs w:val="22"/>
                <w:lang w:bidi="zh-CN"/>
                <w14:ligatures w14:val="none"/>
              </w:rPr>
            </w:pPr>
            <w:r>
              <w:rPr>
                <w:szCs w:val="22"/>
                <w14:ligatures w14:val="none"/>
              </w:rPr>
              <w:t>3857</w:t>
            </w:r>
          </w:p>
        </w:tc>
        <w:tc>
          <w:tcPr>
            <w:tcW w:w="1425" w:type="dxa"/>
            <w:gridSpan w:val="3"/>
            <w:tcBorders>
              <w:top w:val="single" w:color="auto" w:sz="4" w:space="0"/>
              <w:left w:val="single" w:color="auto" w:sz="4" w:space="0"/>
              <w:bottom w:val="single" w:color="auto" w:sz="4" w:space="0"/>
              <w:right w:val="single" w:color="auto" w:sz="4" w:space="0"/>
            </w:tcBorders>
            <w:vAlign w:val="center"/>
          </w:tcPr>
          <w:p w14:paraId="693CC322">
            <w:pPr>
              <w:pStyle w:val="64"/>
              <w:adjustRightInd w:val="0"/>
              <w:snapToGrid w:val="0"/>
              <w:rPr>
                <w:szCs w:val="22"/>
                <w:lang w:bidi="zh-CN"/>
                <w14:ligatures w14:val="none"/>
              </w:rPr>
            </w:pPr>
            <w:r>
              <w:rPr>
                <w:szCs w:val="22"/>
                <w:lang w:bidi="zh-CN"/>
                <w14:ligatures w14:val="none"/>
              </w:rPr>
              <w:t>学校</w:t>
            </w:r>
          </w:p>
        </w:tc>
        <w:tc>
          <w:tcPr>
            <w:tcW w:w="1673" w:type="dxa"/>
            <w:gridSpan w:val="2"/>
            <w:tcBorders>
              <w:top w:val="single" w:color="auto" w:sz="4" w:space="0"/>
              <w:left w:val="single" w:color="auto" w:sz="4" w:space="0"/>
              <w:bottom w:val="single" w:color="auto" w:sz="4" w:space="0"/>
              <w:right w:val="single" w:color="auto" w:sz="4" w:space="0"/>
            </w:tcBorders>
            <w:vAlign w:val="center"/>
          </w:tcPr>
          <w:p w14:paraId="5B16F04D">
            <w:pPr>
              <w:pStyle w:val="64"/>
              <w:adjustRightInd w:val="0"/>
              <w:snapToGrid w:val="0"/>
              <w:rPr>
                <w:szCs w:val="22"/>
                <w:lang w:bidi="zh-CN"/>
                <w14:ligatures w14:val="none"/>
              </w:rPr>
            </w:pPr>
            <w:r>
              <w:rPr>
                <w:szCs w:val="22"/>
                <w:lang w:bidi="zh-CN"/>
                <w14:ligatures w14:val="none"/>
              </w:rPr>
              <w:t>300</w:t>
            </w:r>
          </w:p>
        </w:tc>
      </w:tr>
      <w:tr w14:paraId="40BD99C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936" w:type="dxa"/>
            <w:vMerge w:val="continue"/>
            <w:tcBorders>
              <w:top w:val="single" w:color="auto" w:sz="4" w:space="0"/>
              <w:left w:val="single" w:color="auto" w:sz="4" w:space="0"/>
              <w:bottom w:val="single" w:color="auto" w:sz="4" w:space="0"/>
              <w:right w:val="single" w:color="auto" w:sz="4" w:space="0"/>
            </w:tcBorders>
            <w:vAlign w:val="center"/>
          </w:tcPr>
          <w:p w14:paraId="19649C46">
            <w:pPr>
              <w:pStyle w:val="64"/>
              <w:adjustRightInd w:val="0"/>
              <w:snapToGrid w:val="0"/>
              <w:rPr>
                <w:szCs w:val="22"/>
                <w:lang w:bidi="zh-CN"/>
                <w14:ligatures w14:val="none"/>
              </w:rPr>
            </w:pPr>
          </w:p>
        </w:tc>
        <w:tc>
          <w:tcPr>
            <w:tcW w:w="869" w:type="dxa"/>
            <w:tcBorders>
              <w:top w:val="single" w:color="auto" w:sz="4" w:space="0"/>
              <w:left w:val="single" w:color="auto" w:sz="4" w:space="0"/>
              <w:bottom w:val="single" w:color="auto" w:sz="4" w:space="0"/>
              <w:right w:val="single" w:color="auto" w:sz="4" w:space="0"/>
            </w:tcBorders>
            <w:vAlign w:val="center"/>
          </w:tcPr>
          <w:p w14:paraId="43CBFB67">
            <w:pPr>
              <w:pStyle w:val="64"/>
              <w:adjustRightInd w:val="0"/>
              <w:snapToGrid w:val="0"/>
              <w:rPr>
                <w:szCs w:val="22"/>
                <w:lang w:bidi="zh-CN"/>
                <w14:ligatures w14:val="none"/>
              </w:rPr>
            </w:pPr>
            <w:r>
              <w:rPr>
                <w:rFonts w:hint="eastAsia"/>
                <w:szCs w:val="22"/>
                <w:lang w:bidi="zh-CN"/>
                <w14:ligatures w14:val="none"/>
              </w:rPr>
              <w:t>43</w:t>
            </w:r>
          </w:p>
        </w:tc>
        <w:tc>
          <w:tcPr>
            <w:tcW w:w="1597" w:type="dxa"/>
            <w:tcBorders>
              <w:top w:val="single" w:color="auto" w:sz="4" w:space="0"/>
              <w:left w:val="single" w:color="auto" w:sz="4" w:space="0"/>
              <w:bottom w:val="single" w:color="auto" w:sz="4" w:space="0"/>
              <w:right w:val="single" w:color="auto" w:sz="4" w:space="0"/>
            </w:tcBorders>
            <w:vAlign w:val="center"/>
          </w:tcPr>
          <w:p w14:paraId="03786D52">
            <w:pPr>
              <w:pStyle w:val="64"/>
              <w:adjustRightInd w:val="0"/>
              <w:snapToGrid w:val="0"/>
              <w:rPr>
                <w:szCs w:val="22"/>
                <w:lang w:bidi="zh-CN"/>
                <w14:ligatures w14:val="none"/>
              </w:rPr>
            </w:pPr>
            <w:r>
              <w:rPr>
                <w:szCs w:val="22"/>
                <w14:ligatures w14:val="none"/>
              </w:rPr>
              <w:t>蚌埠沫河口中学</w:t>
            </w:r>
          </w:p>
        </w:tc>
        <w:tc>
          <w:tcPr>
            <w:tcW w:w="1083" w:type="dxa"/>
            <w:tcBorders>
              <w:top w:val="single" w:color="auto" w:sz="4" w:space="0"/>
              <w:left w:val="single" w:color="auto" w:sz="4" w:space="0"/>
              <w:bottom w:val="single" w:color="auto" w:sz="4" w:space="0"/>
              <w:right w:val="single" w:color="auto" w:sz="4" w:space="0"/>
            </w:tcBorders>
            <w:vAlign w:val="center"/>
          </w:tcPr>
          <w:p w14:paraId="3E06A088">
            <w:pPr>
              <w:pStyle w:val="64"/>
              <w:adjustRightInd w:val="0"/>
              <w:snapToGrid w:val="0"/>
              <w:rPr>
                <w:szCs w:val="22"/>
                <w:lang w:bidi="zh-CN"/>
                <w14:ligatures w14:val="none"/>
              </w:rPr>
            </w:pPr>
            <w:r>
              <w:rPr>
                <w:szCs w:val="22"/>
                <w14:ligatures w14:val="none"/>
              </w:rPr>
              <w:t>W</w:t>
            </w:r>
          </w:p>
        </w:tc>
        <w:tc>
          <w:tcPr>
            <w:tcW w:w="1489" w:type="dxa"/>
            <w:gridSpan w:val="2"/>
            <w:tcBorders>
              <w:top w:val="single" w:color="auto" w:sz="4" w:space="0"/>
              <w:left w:val="single" w:color="auto" w:sz="4" w:space="0"/>
              <w:bottom w:val="single" w:color="auto" w:sz="4" w:space="0"/>
              <w:right w:val="single" w:color="auto" w:sz="4" w:space="0"/>
            </w:tcBorders>
            <w:vAlign w:val="center"/>
          </w:tcPr>
          <w:p w14:paraId="1F494EA9">
            <w:pPr>
              <w:pStyle w:val="64"/>
              <w:adjustRightInd w:val="0"/>
              <w:snapToGrid w:val="0"/>
              <w:rPr>
                <w:szCs w:val="22"/>
                <w:lang w:bidi="zh-CN"/>
                <w14:ligatures w14:val="none"/>
              </w:rPr>
            </w:pPr>
            <w:r>
              <w:rPr>
                <w:rFonts w:hint="eastAsia"/>
                <w:szCs w:val="22"/>
                <w14:ligatures w14:val="none"/>
              </w:rPr>
              <w:t>4</w:t>
            </w:r>
            <w:r>
              <w:rPr>
                <w:szCs w:val="22"/>
                <w14:ligatures w14:val="none"/>
              </w:rPr>
              <w:t>035</w:t>
            </w:r>
          </w:p>
        </w:tc>
        <w:tc>
          <w:tcPr>
            <w:tcW w:w="1425" w:type="dxa"/>
            <w:gridSpan w:val="3"/>
            <w:tcBorders>
              <w:top w:val="single" w:color="auto" w:sz="4" w:space="0"/>
              <w:left w:val="single" w:color="auto" w:sz="4" w:space="0"/>
              <w:bottom w:val="single" w:color="auto" w:sz="4" w:space="0"/>
              <w:right w:val="single" w:color="auto" w:sz="4" w:space="0"/>
            </w:tcBorders>
            <w:vAlign w:val="center"/>
          </w:tcPr>
          <w:p w14:paraId="5A5B6749">
            <w:pPr>
              <w:pStyle w:val="64"/>
              <w:adjustRightInd w:val="0"/>
              <w:snapToGrid w:val="0"/>
              <w:rPr>
                <w:szCs w:val="22"/>
                <w:lang w:bidi="zh-CN"/>
                <w14:ligatures w14:val="none"/>
              </w:rPr>
            </w:pPr>
            <w:r>
              <w:rPr>
                <w:szCs w:val="22"/>
                <w:lang w:bidi="zh-CN"/>
                <w14:ligatures w14:val="none"/>
              </w:rPr>
              <w:t>学校</w:t>
            </w:r>
          </w:p>
        </w:tc>
        <w:tc>
          <w:tcPr>
            <w:tcW w:w="1673" w:type="dxa"/>
            <w:gridSpan w:val="2"/>
            <w:tcBorders>
              <w:top w:val="single" w:color="auto" w:sz="4" w:space="0"/>
              <w:left w:val="single" w:color="auto" w:sz="4" w:space="0"/>
              <w:bottom w:val="single" w:color="auto" w:sz="4" w:space="0"/>
              <w:right w:val="single" w:color="auto" w:sz="4" w:space="0"/>
            </w:tcBorders>
            <w:vAlign w:val="center"/>
          </w:tcPr>
          <w:p w14:paraId="7F9636B4">
            <w:pPr>
              <w:pStyle w:val="64"/>
              <w:adjustRightInd w:val="0"/>
              <w:snapToGrid w:val="0"/>
              <w:rPr>
                <w:szCs w:val="22"/>
                <w:lang w:bidi="zh-CN"/>
                <w14:ligatures w14:val="none"/>
              </w:rPr>
            </w:pPr>
            <w:r>
              <w:rPr>
                <w:rFonts w:hint="eastAsia"/>
                <w:szCs w:val="22"/>
                <w:lang w:bidi="zh-CN"/>
                <w14:ligatures w14:val="none"/>
              </w:rPr>
              <w:t>1</w:t>
            </w:r>
            <w:r>
              <w:rPr>
                <w:szCs w:val="22"/>
                <w:lang w:bidi="zh-CN"/>
                <w14:ligatures w14:val="none"/>
              </w:rPr>
              <w:t>200</w:t>
            </w:r>
          </w:p>
        </w:tc>
      </w:tr>
      <w:tr w14:paraId="7EFFDB7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936" w:type="dxa"/>
            <w:vMerge w:val="continue"/>
            <w:tcBorders>
              <w:top w:val="single" w:color="auto" w:sz="4" w:space="0"/>
              <w:left w:val="single" w:color="auto" w:sz="4" w:space="0"/>
              <w:bottom w:val="single" w:color="auto" w:sz="4" w:space="0"/>
              <w:right w:val="single" w:color="auto" w:sz="4" w:space="0"/>
            </w:tcBorders>
            <w:vAlign w:val="center"/>
          </w:tcPr>
          <w:p w14:paraId="44C0D024">
            <w:pPr>
              <w:pStyle w:val="64"/>
              <w:adjustRightInd w:val="0"/>
              <w:snapToGrid w:val="0"/>
              <w:rPr>
                <w:szCs w:val="22"/>
                <w:lang w:bidi="zh-CN"/>
                <w14:ligatures w14:val="none"/>
              </w:rPr>
            </w:pPr>
          </w:p>
        </w:tc>
        <w:tc>
          <w:tcPr>
            <w:tcW w:w="869" w:type="dxa"/>
            <w:tcBorders>
              <w:top w:val="single" w:color="auto" w:sz="4" w:space="0"/>
              <w:left w:val="single" w:color="auto" w:sz="4" w:space="0"/>
              <w:bottom w:val="single" w:color="auto" w:sz="4" w:space="0"/>
              <w:right w:val="single" w:color="auto" w:sz="4" w:space="0"/>
            </w:tcBorders>
            <w:vAlign w:val="center"/>
          </w:tcPr>
          <w:p w14:paraId="33FDCA0C">
            <w:pPr>
              <w:pStyle w:val="64"/>
              <w:adjustRightInd w:val="0"/>
              <w:snapToGrid w:val="0"/>
              <w:rPr>
                <w:szCs w:val="22"/>
                <w:lang w:bidi="zh-CN"/>
                <w14:ligatures w14:val="none"/>
              </w:rPr>
            </w:pPr>
            <w:r>
              <w:rPr>
                <w:rFonts w:hint="eastAsia"/>
                <w:szCs w:val="22"/>
                <w:lang w:bidi="zh-CN"/>
                <w14:ligatures w14:val="none"/>
              </w:rPr>
              <w:t>44</w:t>
            </w:r>
          </w:p>
        </w:tc>
        <w:tc>
          <w:tcPr>
            <w:tcW w:w="1597" w:type="dxa"/>
            <w:tcBorders>
              <w:top w:val="single" w:color="auto" w:sz="4" w:space="0"/>
              <w:left w:val="single" w:color="auto" w:sz="4" w:space="0"/>
              <w:bottom w:val="single" w:color="auto" w:sz="4" w:space="0"/>
              <w:right w:val="single" w:color="auto" w:sz="4" w:space="0"/>
            </w:tcBorders>
            <w:vAlign w:val="center"/>
          </w:tcPr>
          <w:p w14:paraId="2A3D0773">
            <w:pPr>
              <w:pStyle w:val="64"/>
              <w:adjustRightInd w:val="0"/>
              <w:snapToGrid w:val="0"/>
              <w:rPr>
                <w:szCs w:val="22"/>
                <w14:ligatures w14:val="none"/>
              </w:rPr>
            </w:pPr>
            <w:r>
              <w:rPr>
                <w:rFonts w:hint="eastAsia"/>
                <w:szCs w:val="22"/>
                <w14:ligatures w14:val="none"/>
              </w:rPr>
              <w:t>安徽胜达化工科技有限公司</w:t>
            </w:r>
          </w:p>
        </w:tc>
        <w:tc>
          <w:tcPr>
            <w:tcW w:w="1083" w:type="dxa"/>
            <w:tcBorders>
              <w:top w:val="single" w:color="auto" w:sz="4" w:space="0"/>
              <w:left w:val="single" w:color="auto" w:sz="4" w:space="0"/>
              <w:bottom w:val="single" w:color="auto" w:sz="4" w:space="0"/>
              <w:right w:val="single" w:color="auto" w:sz="4" w:space="0"/>
            </w:tcBorders>
            <w:vAlign w:val="center"/>
          </w:tcPr>
          <w:p w14:paraId="02539F7F">
            <w:pPr>
              <w:pStyle w:val="64"/>
              <w:adjustRightInd w:val="0"/>
              <w:snapToGrid w:val="0"/>
              <w:rPr>
                <w:szCs w:val="22"/>
                <w14:ligatures w14:val="none"/>
              </w:rPr>
            </w:pPr>
            <w:r>
              <w:rPr>
                <w:rFonts w:hint="eastAsia"/>
                <w:szCs w:val="22"/>
                <w14:ligatures w14:val="none"/>
              </w:rPr>
              <w:t>W</w:t>
            </w:r>
          </w:p>
        </w:tc>
        <w:tc>
          <w:tcPr>
            <w:tcW w:w="1489" w:type="dxa"/>
            <w:gridSpan w:val="2"/>
            <w:tcBorders>
              <w:top w:val="single" w:color="auto" w:sz="4" w:space="0"/>
              <w:left w:val="single" w:color="auto" w:sz="4" w:space="0"/>
              <w:bottom w:val="single" w:color="auto" w:sz="4" w:space="0"/>
              <w:right w:val="single" w:color="auto" w:sz="4" w:space="0"/>
            </w:tcBorders>
            <w:vAlign w:val="center"/>
          </w:tcPr>
          <w:p w14:paraId="5D1A8102">
            <w:pPr>
              <w:pStyle w:val="64"/>
              <w:adjustRightInd w:val="0"/>
              <w:snapToGrid w:val="0"/>
              <w:rPr>
                <w:szCs w:val="22"/>
                <w14:ligatures w14:val="none"/>
              </w:rPr>
            </w:pPr>
            <w:r>
              <w:rPr>
                <w:rFonts w:hint="eastAsia"/>
                <w:szCs w:val="22"/>
                <w14:ligatures w14:val="none"/>
              </w:rPr>
              <w:t>30</w:t>
            </w:r>
          </w:p>
        </w:tc>
        <w:tc>
          <w:tcPr>
            <w:tcW w:w="1425" w:type="dxa"/>
            <w:gridSpan w:val="3"/>
            <w:tcBorders>
              <w:top w:val="single" w:color="auto" w:sz="4" w:space="0"/>
              <w:left w:val="single" w:color="auto" w:sz="4" w:space="0"/>
              <w:bottom w:val="single" w:color="auto" w:sz="4" w:space="0"/>
              <w:right w:val="single" w:color="auto" w:sz="4" w:space="0"/>
            </w:tcBorders>
            <w:vAlign w:val="center"/>
          </w:tcPr>
          <w:p w14:paraId="5CD41A92">
            <w:pPr>
              <w:pStyle w:val="64"/>
              <w:adjustRightInd w:val="0"/>
              <w:snapToGrid w:val="0"/>
              <w:rPr>
                <w:szCs w:val="22"/>
                <w:lang w:bidi="zh-CN"/>
                <w14:ligatures w14:val="none"/>
              </w:rPr>
            </w:pPr>
            <w:r>
              <w:rPr>
                <w:rFonts w:hint="eastAsia"/>
                <w:szCs w:val="22"/>
                <w:lang w:bidi="zh-CN"/>
                <w14:ligatures w14:val="none"/>
              </w:rPr>
              <w:t>企业员工</w:t>
            </w:r>
          </w:p>
        </w:tc>
        <w:tc>
          <w:tcPr>
            <w:tcW w:w="1673" w:type="dxa"/>
            <w:gridSpan w:val="2"/>
            <w:tcBorders>
              <w:top w:val="single" w:color="auto" w:sz="4" w:space="0"/>
              <w:left w:val="single" w:color="auto" w:sz="4" w:space="0"/>
              <w:bottom w:val="single" w:color="auto" w:sz="4" w:space="0"/>
              <w:right w:val="single" w:color="auto" w:sz="4" w:space="0"/>
            </w:tcBorders>
            <w:vAlign w:val="center"/>
          </w:tcPr>
          <w:p w14:paraId="500C32A6">
            <w:pPr>
              <w:pStyle w:val="64"/>
              <w:adjustRightInd w:val="0"/>
              <w:snapToGrid w:val="0"/>
              <w:rPr>
                <w:szCs w:val="22"/>
                <w:lang w:bidi="zh-CN"/>
                <w14:ligatures w14:val="none"/>
              </w:rPr>
            </w:pPr>
            <w:r>
              <w:rPr>
                <w:rFonts w:hint="eastAsia"/>
                <w:szCs w:val="22"/>
                <w:lang w:bidi="zh-CN"/>
                <w14:ligatures w14:val="none"/>
              </w:rPr>
              <w:t>20</w:t>
            </w:r>
          </w:p>
        </w:tc>
      </w:tr>
      <w:tr w14:paraId="7AA8863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936" w:type="dxa"/>
            <w:vMerge w:val="continue"/>
            <w:tcBorders>
              <w:top w:val="single" w:color="auto" w:sz="4" w:space="0"/>
              <w:left w:val="single" w:color="auto" w:sz="4" w:space="0"/>
              <w:bottom w:val="single" w:color="auto" w:sz="4" w:space="0"/>
              <w:right w:val="single" w:color="auto" w:sz="4" w:space="0"/>
            </w:tcBorders>
            <w:vAlign w:val="center"/>
          </w:tcPr>
          <w:p w14:paraId="3892C01E">
            <w:pPr>
              <w:pStyle w:val="64"/>
              <w:adjustRightInd w:val="0"/>
              <w:snapToGrid w:val="0"/>
              <w:rPr>
                <w:szCs w:val="22"/>
                <w:lang w:bidi="zh-CN"/>
                <w14:ligatures w14:val="none"/>
              </w:rPr>
            </w:pPr>
          </w:p>
        </w:tc>
        <w:tc>
          <w:tcPr>
            <w:tcW w:w="869" w:type="dxa"/>
            <w:tcBorders>
              <w:top w:val="single" w:color="auto" w:sz="4" w:space="0"/>
              <w:left w:val="single" w:color="auto" w:sz="4" w:space="0"/>
              <w:bottom w:val="single" w:color="auto" w:sz="4" w:space="0"/>
              <w:right w:val="single" w:color="auto" w:sz="4" w:space="0"/>
            </w:tcBorders>
            <w:vAlign w:val="center"/>
          </w:tcPr>
          <w:p w14:paraId="70E103C1">
            <w:pPr>
              <w:pStyle w:val="64"/>
              <w:adjustRightInd w:val="0"/>
              <w:snapToGrid w:val="0"/>
              <w:rPr>
                <w:szCs w:val="22"/>
                <w:lang w:bidi="zh-CN"/>
                <w14:ligatures w14:val="none"/>
              </w:rPr>
            </w:pPr>
            <w:r>
              <w:rPr>
                <w:rFonts w:hint="eastAsia"/>
                <w:szCs w:val="22"/>
                <w:lang w:bidi="zh-CN"/>
                <w14:ligatures w14:val="none"/>
              </w:rPr>
              <w:t>45</w:t>
            </w:r>
          </w:p>
        </w:tc>
        <w:tc>
          <w:tcPr>
            <w:tcW w:w="1597" w:type="dxa"/>
            <w:tcBorders>
              <w:top w:val="single" w:color="auto" w:sz="4" w:space="0"/>
              <w:left w:val="single" w:color="auto" w:sz="4" w:space="0"/>
              <w:bottom w:val="single" w:color="auto" w:sz="4" w:space="0"/>
              <w:right w:val="single" w:color="auto" w:sz="4" w:space="0"/>
            </w:tcBorders>
            <w:vAlign w:val="center"/>
          </w:tcPr>
          <w:p w14:paraId="035A008C">
            <w:pPr>
              <w:pStyle w:val="64"/>
              <w:adjustRightInd w:val="0"/>
              <w:snapToGrid w:val="0"/>
              <w:rPr>
                <w:szCs w:val="22"/>
                <w14:ligatures w14:val="none"/>
              </w:rPr>
            </w:pPr>
            <w:r>
              <w:rPr>
                <w:rFonts w:hint="eastAsia"/>
                <w:szCs w:val="22"/>
                <w14:ligatures w14:val="none"/>
              </w:rPr>
              <w:t>安徽天润化学工业股份有限公司</w:t>
            </w:r>
          </w:p>
        </w:tc>
        <w:tc>
          <w:tcPr>
            <w:tcW w:w="1083" w:type="dxa"/>
            <w:tcBorders>
              <w:top w:val="single" w:color="auto" w:sz="4" w:space="0"/>
              <w:left w:val="single" w:color="auto" w:sz="4" w:space="0"/>
              <w:bottom w:val="single" w:color="auto" w:sz="4" w:space="0"/>
              <w:right w:val="single" w:color="auto" w:sz="4" w:space="0"/>
            </w:tcBorders>
            <w:vAlign w:val="center"/>
          </w:tcPr>
          <w:p w14:paraId="2ED3B109">
            <w:pPr>
              <w:pStyle w:val="64"/>
              <w:adjustRightInd w:val="0"/>
              <w:snapToGrid w:val="0"/>
              <w:rPr>
                <w:szCs w:val="22"/>
                <w14:ligatures w14:val="none"/>
              </w:rPr>
            </w:pPr>
            <w:r>
              <w:rPr>
                <w:rFonts w:hint="eastAsia"/>
                <w:szCs w:val="22"/>
                <w14:ligatures w14:val="none"/>
              </w:rPr>
              <w:t>S</w:t>
            </w:r>
          </w:p>
        </w:tc>
        <w:tc>
          <w:tcPr>
            <w:tcW w:w="1489" w:type="dxa"/>
            <w:gridSpan w:val="2"/>
            <w:tcBorders>
              <w:top w:val="single" w:color="auto" w:sz="4" w:space="0"/>
              <w:left w:val="single" w:color="auto" w:sz="4" w:space="0"/>
              <w:bottom w:val="single" w:color="auto" w:sz="4" w:space="0"/>
              <w:right w:val="single" w:color="auto" w:sz="4" w:space="0"/>
            </w:tcBorders>
            <w:vAlign w:val="center"/>
          </w:tcPr>
          <w:p w14:paraId="0A3B6643">
            <w:pPr>
              <w:pStyle w:val="64"/>
              <w:adjustRightInd w:val="0"/>
              <w:snapToGrid w:val="0"/>
              <w:rPr>
                <w:szCs w:val="22"/>
                <w14:ligatures w14:val="none"/>
              </w:rPr>
            </w:pPr>
            <w:r>
              <w:rPr>
                <w:rFonts w:hint="eastAsia"/>
                <w:szCs w:val="22"/>
                <w14:ligatures w14:val="none"/>
              </w:rPr>
              <w:t>30</w:t>
            </w:r>
          </w:p>
        </w:tc>
        <w:tc>
          <w:tcPr>
            <w:tcW w:w="1425" w:type="dxa"/>
            <w:gridSpan w:val="3"/>
            <w:tcBorders>
              <w:top w:val="single" w:color="auto" w:sz="4" w:space="0"/>
              <w:left w:val="single" w:color="auto" w:sz="4" w:space="0"/>
              <w:bottom w:val="single" w:color="auto" w:sz="4" w:space="0"/>
              <w:right w:val="single" w:color="auto" w:sz="4" w:space="0"/>
            </w:tcBorders>
            <w:vAlign w:val="center"/>
          </w:tcPr>
          <w:p w14:paraId="23CED077">
            <w:pPr>
              <w:pStyle w:val="64"/>
              <w:adjustRightInd w:val="0"/>
              <w:snapToGrid w:val="0"/>
              <w:rPr>
                <w:szCs w:val="22"/>
                <w:lang w:bidi="zh-CN"/>
                <w14:ligatures w14:val="none"/>
              </w:rPr>
            </w:pPr>
            <w:r>
              <w:rPr>
                <w:rFonts w:hint="eastAsia"/>
                <w:szCs w:val="22"/>
                <w:lang w:bidi="zh-CN"/>
                <w14:ligatures w14:val="none"/>
              </w:rPr>
              <w:t>企业员工</w:t>
            </w:r>
          </w:p>
        </w:tc>
        <w:tc>
          <w:tcPr>
            <w:tcW w:w="1673" w:type="dxa"/>
            <w:gridSpan w:val="2"/>
            <w:tcBorders>
              <w:top w:val="single" w:color="auto" w:sz="4" w:space="0"/>
              <w:left w:val="single" w:color="auto" w:sz="4" w:space="0"/>
              <w:bottom w:val="single" w:color="auto" w:sz="4" w:space="0"/>
              <w:right w:val="single" w:color="auto" w:sz="4" w:space="0"/>
            </w:tcBorders>
            <w:vAlign w:val="center"/>
          </w:tcPr>
          <w:p w14:paraId="50201A94">
            <w:pPr>
              <w:pStyle w:val="64"/>
              <w:adjustRightInd w:val="0"/>
              <w:snapToGrid w:val="0"/>
              <w:rPr>
                <w:szCs w:val="22"/>
                <w:lang w:bidi="zh-CN"/>
                <w14:ligatures w14:val="none"/>
              </w:rPr>
            </w:pPr>
            <w:r>
              <w:rPr>
                <w:rFonts w:hint="eastAsia"/>
                <w:szCs w:val="22"/>
                <w:lang w:bidi="zh-CN"/>
                <w14:ligatures w14:val="none"/>
              </w:rPr>
              <w:t>236</w:t>
            </w:r>
          </w:p>
        </w:tc>
      </w:tr>
      <w:tr w14:paraId="760E51A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936" w:type="dxa"/>
            <w:vMerge w:val="continue"/>
            <w:tcBorders>
              <w:top w:val="single" w:color="auto" w:sz="4" w:space="0"/>
              <w:left w:val="single" w:color="auto" w:sz="4" w:space="0"/>
              <w:bottom w:val="single" w:color="auto" w:sz="4" w:space="0"/>
              <w:right w:val="single" w:color="auto" w:sz="4" w:space="0"/>
            </w:tcBorders>
            <w:vAlign w:val="center"/>
          </w:tcPr>
          <w:p w14:paraId="2E30EB41">
            <w:pPr>
              <w:pStyle w:val="64"/>
              <w:adjustRightInd w:val="0"/>
              <w:snapToGrid w:val="0"/>
              <w:rPr>
                <w:szCs w:val="22"/>
                <w:lang w:bidi="zh-CN"/>
                <w14:ligatures w14:val="none"/>
              </w:rPr>
            </w:pPr>
          </w:p>
        </w:tc>
        <w:tc>
          <w:tcPr>
            <w:tcW w:w="869" w:type="dxa"/>
            <w:tcBorders>
              <w:top w:val="single" w:color="auto" w:sz="4" w:space="0"/>
              <w:left w:val="single" w:color="auto" w:sz="4" w:space="0"/>
              <w:bottom w:val="single" w:color="auto" w:sz="4" w:space="0"/>
              <w:right w:val="single" w:color="auto" w:sz="4" w:space="0"/>
            </w:tcBorders>
            <w:vAlign w:val="center"/>
          </w:tcPr>
          <w:p w14:paraId="25BDF45B">
            <w:pPr>
              <w:pStyle w:val="64"/>
              <w:adjustRightInd w:val="0"/>
              <w:snapToGrid w:val="0"/>
              <w:rPr>
                <w:szCs w:val="22"/>
                <w:lang w:bidi="zh-CN"/>
                <w14:ligatures w14:val="none"/>
              </w:rPr>
            </w:pPr>
            <w:r>
              <w:rPr>
                <w:rFonts w:hint="eastAsia"/>
                <w:szCs w:val="22"/>
                <w:lang w:bidi="zh-CN"/>
                <w14:ligatures w14:val="none"/>
              </w:rPr>
              <w:t>46</w:t>
            </w:r>
          </w:p>
        </w:tc>
        <w:tc>
          <w:tcPr>
            <w:tcW w:w="1597" w:type="dxa"/>
            <w:tcBorders>
              <w:top w:val="single" w:color="auto" w:sz="4" w:space="0"/>
              <w:left w:val="single" w:color="auto" w:sz="4" w:space="0"/>
              <w:bottom w:val="single" w:color="auto" w:sz="4" w:space="0"/>
              <w:right w:val="single" w:color="auto" w:sz="4" w:space="0"/>
            </w:tcBorders>
            <w:vAlign w:val="center"/>
          </w:tcPr>
          <w:p w14:paraId="03541570">
            <w:pPr>
              <w:pStyle w:val="64"/>
              <w:adjustRightInd w:val="0"/>
              <w:snapToGrid w:val="0"/>
              <w:rPr>
                <w:szCs w:val="22"/>
                <w14:ligatures w14:val="none"/>
              </w:rPr>
            </w:pPr>
            <w:r>
              <w:rPr>
                <w:rFonts w:hint="eastAsia"/>
                <w:szCs w:val="22"/>
                <w14:ligatures w14:val="none"/>
              </w:rPr>
              <w:t>中粮生物科技股份有限公司</w:t>
            </w:r>
          </w:p>
        </w:tc>
        <w:tc>
          <w:tcPr>
            <w:tcW w:w="1083" w:type="dxa"/>
            <w:tcBorders>
              <w:top w:val="single" w:color="auto" w:sz="4" w:space="0"/>
              <w:left w:val="single" w:color="auto" w:sz="4" w:space="0"/>
              <w:bottom w:val="single" w:color="auto" w:sz="4" w:space="0"/>
              <w:right w:val="single" w:color="auto" w:sz="4" w:space="0"/>
            </w:tcBorders>
            <w:vAlign w:val="center"/>
          </w:tcPr>
          <w:p w14:paraId="4BC71D03">
            <w:pPr>
              <w:pStyle w:val="64"/>
              <w:adjustRightInd w:val="0"/>
              <w:snapToGrid w:val="0"/>
              <w:rPr>
                <w:szCs w:val="22"/>
                <w14:ligatures w14:val="none"/>
              </w:rPr>
            </w:pPr>
            <w:r>
              <w:rPr>
                <w:rFonts w:hint="eastAsia"/>
                <w:szCs w:val="22"/>
                <w14:ligatures w14:val="none"/>
              </w:rPr>
              <w:t>NE</w:t>
            </w:r>
          </w:p>
        </w:tc>
        <w:tc>
          <w:tcPr>
            <w:tcW w:w="1489" w:type="dxa"/>
            <w:gridSpan w:val="2"/>
            <w:tcBorders>
              <w:top w:val="single" w:color="auto" w:sz="4" w:space="0"/>
              <w:left w:val="single" w:color="auto" w:sz="4" w:space="0"/>
              <w:bottom w:val="single" w:color="auto" w:sz="4" w:space="0"/>
              <w:right w:val="single" w:color="auto" w:sz="4" w:space="0"/>
            </w:tcBorders>
            <w:vAlign w:val="center"/>
          </w:tcPr>
          <w:p w14:paraId="30B0E631">
            <w:pPr>
              <w:pStyle w:val="64"/>
              <w:adjustRightInd w:val="0"/>
              <w:snapToGrid w:val="0"/>
              <w:rPr>
                <w:szCs w:val="22"/>
                <w14:ligatures w14:val="none"/>
              </w:rPr>
            </w:pPr>
            <w:r>
              <w:rPr>
                <w:rFonts w:hint="eastAsia"/>
                <w:szCs w:val="22"/>
                <w14:ligatures w14:val="none"/>
              </w:rPr>
              <w:t>60</w:t>
            </w:r>
          </w:p>
        </w:tc>
        <w:tc>
          <w:tcPr>
            <w:tcW w:w="1425" w:type="dxa"/>
            <w:gridSpan w:val="3"/>
            <w:tcBorders>
              <w:top w:val="single" w:color="auto" w:sz="4" w:space="0"/>
              <w:left w:val="single" w:color="auto" w:sz="4" w:space="0"/>
              <w:bottom w:val="single" w:color="auto" w:sz="4" w:space="0"/>
              <w:right w:val="single" w:color="auto" w:sz="4" w:space="0"/>
            </w:tcBorders>
            <w:vAlign w:val="center"/>
          </w:tcPr>
          <w:p w14:paraId="0D7BB813">
            <w:pPr>
              <w:pStyle w:val="64"/>
              <w:adjustRightInd w:val="0"/>
              <w:snapToGrid w:val="0"/>
              <w:rPr>
                <w:szCs w:val="22"/>
                <w:lang w:bidi="zh-CN"/>
                <w14:ligatures w14:val="none"/>
              </w:rPr>
            </w:pPr>
            <w:r>
              <w:rPr>
                <w:rFonts w:hint="eastAsia"/>
                <w:szCs w:val="22"/>
                <w:lang w:bidi="zh-CN"/>
                <w14:ligatures w14:val="none"/>
              </w:rPr>
              <w:t>企业员工</w:t>
            </w:r>
          </w:p>
        </w:tc>
        <w:tc>
          <w:tcPr>
            <w:tcW w:w="1673" w:type="dxa"/>
            <w:gridSpan w:val="2"/>
            <w:tcBorders>
              <w:top w:val="single" w:color="auto" w:sz="4" w:space="0"/>
              <w:left w:val="single" w:color="auto" w:sz="4" w:space="0"/>
              <w:bottom w:val="single" w:color="auto" w:sz="4" w:space="0"/>
              <w:right w:val="single" w:color="auto" w:sz="4" w:space="0"/>
            </w:tcBorders>
            <w:vAlign w:val="center"/>
          </w:tcPr>
          <w:p w14:paraId="5E51754F">
            <w:pPr>
              <w:pStyle w:val="64"/>
              <w:adjustRightInd w:val="0"/>
              <w:snapToGrid w:val="0"/>
              <w:rPr>
                <w:szCs w:val="22"/>
                <w:lang w:bidi="zh-CN"/>
                <w14:ligatures w14:val="none"/>
              </w:rPr>
            </w:pPr>
            <w:r>
              <w:rPr>
                <w:rFonts w:hint="eastAsia"/>
                <w:szCs w:val="22"/>
                <w:lang w:bidi="zh-CN"/>
                <w14:ligatures w14:val="none"/>
              </w:rPr>
              <w:t>300</w:t>
            </w:r>
          </w:p>
        </w:tc>
      </w:tr>
      <w:tr w14:paraId="71C1E25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936" w:type="dxa"/>
            <w:vMerge w:val="continue"/>
            <w:tcBorders>
              <w:top w:val="single" w:color="auto" w:sz="4" w:space="0"/>
              <w:left w:val="single" w:color="auto" w:sz="4" w:space="0"/>
              <w:bottom w:val="single" w:color="auto" w:sz="4" w:space="0"/>
              <w:right w:val="single" w:color="auto" w:sz="4" w:space="0"/>
            </w:tcBorders>
            <w:vAlign w:val="center"/>
          </w:tcPr>
          <w:p w14:paraId="1E607554">
            <w:pPr>
              <w:pStyle w:val="64"/>
              <w:adjustRightInd w:val="0"/>
              <w:snapToGrid w:val="0"/>
              <w:rPr>
                <w:szCs w:val="22"/>
                <w:lang w:bidi="zh-CN"/>
                <w14:ligatures w14:val="none"/>
              </w:rPr>
            </w:pPr>
          </w:p>
        </w:tc>
        <w:tc>
          <w:tcPr>
            <w:tcW w:w="869" w:type="dxa"/>
            <w:tcBorders>
              <w:top w:val="single" w:color="auto" w:sz="4" w:space="0"/>
              <w:left w:val="single" w:color="auto" w:sz="4" w:space="0"/>
              <w:bottom w:val="single" w:color="auto" w:sz="4" w:space="0"/>
              <w:right w:val="single" w:color="auto" w:sz="4" w:space="0"/>
            </w:tcBorders>
            <w:vAlign w:val="center"/>
          </w:tcPr>
          <w:p w14:paraId="7581C764">
            <w:pPr>
              <w:pStyle w:val="64"/>
              <w:adjustRightInd w:val="0"/>
              <w:snapToGrid w:val="0"/>
              <w:rPr>
                <w:szCs w:val="22"/>
                <w:lang w:bidi="zh-CN"/>
                <w14:ligatures w14:val="none"/>
              </w:rPr>
            </w:pPr>
            <w:r>
              <w:rPr>
                <w:rFonts w:hint="eastAsia"/>
                <w:szCs w:val="22"/>
                <w:lang w:bidi="zh-CN"/>
                <w14:ligatures w14:val="none"/>
              </w:rPr>
              <w:t>47</w:t>
            </w:r>
          </w:p>
        </w:tc>
        <w:tc>
          <w:tcPr>
            <w:tcW w:w="1597" w:type="dxa"/>
            <w:tcBorders>
              <w:top w:val="single" w:color="auto" w:sz="4" w:space="0"/>
              <w:left w:val="single" w:color="auto" w:sz="4" w:space="0"/>
              <w:bottom w:val="single" w:color="auto" w:sz="4" w:space="0"/>
              <w:right w:val="single" w:color="auto" w:sz="4" w:space="0"/>
            </w:tcBorders>
            <w:vAlign w:val="center"/>
          </w:tcPr>
          <w:p w14:paraId="0ECB4A28">
            <w:pPr>
              <w:pStyle w:val="64"/>
              <w:adjustRightInd w:val="0"/>
              <w:snapToGrid w:val="0"/>
              <w:rPr>
                <w:szCs w:val="22"/>
                <w14:ligatures w14:val="none"/>
              </w:rPr>
            </w:pPr>
            <w:r>
              <w:rPr>
                <w:rFonts w:hint="eastAsia"/>
                <w:szCs w:val="22"/>
                <w14:ligatures w14:val="none"/>
              </w:rPr>
              <w:t>百川药业有限公司</w:t>
            </w:r>
          </w:p>
        </w:tc>
        <w:tc>
          <w:tcPr>
            <w:tcW w:w="1083" w:type="dxa"/>
            <w:tcBorders>
              <w:top w:val="single" w:color="auto" w:sz="4" w:space="0"/>
              <w:left w:val="single" w:color="auto" w:sz="4" w:space="0"/>
              <w:bottom w:val="single" w:color="auto" w:sz="4" w:space="0"/>
              <w:right w:val="single" w:color="auto" w:sz="4" w:space="0"/>
            </w:tcBorders>
            <w:vAlign w:val="center"/>
          </w:tcPr>
          <w:p w14:paraId="27E899B4">
            <w:pPr>
              <w:pStyle w:val="64"/>
              <w:adjustRightInd w:val="0"/>
              <w:snapToGrid w:val="0"/>
              <w:rPr>
                <w:szCs w:val="22"/>
                <w14:ligatures w14:val="none"/>
              </w:rPr>
            </w:pPr>
            <w:r>
              <w:rPr>
                <w:rFonts w:hint="eastAsia"/>
                <w:szCs w:val="22"/>
                <w14:ligatures w14:val="none"/>
              </w:rPr>
              <w:t>NW</w:t>
            </w:r>
          </w:p>
        </w:tc>
        <w:tc>
          <w:tcPr>
            <w:tcW w:w="1489" w:type="dxa"/>
            <w:gridSpan w:val="2"/>
            <w:tcBorders>
              <w:top w:val="single" w:color="auto" w:sz="4" w:space="0"/>
              <w:left w:val="single" w:color="auto" w:sz="4" w:space="0"/>
              <w:bottom w:val="single" w:color="auto" w:sz="4" w:space="0"/>
              <w:right w:val="single" w:color="auto" w:sz="4" w:space="0"/>
            </w:tcBorders>
            <w:vAlign w:val="center"/>
          </w:tcPr>
          <w:p w14:paraId="215D5892">
            <w:pPr>
              <w:pStyle w:val="64"/>
              <w:adjustRightInd w:val="0"/>
              <w:snapToGrid w:val="0"/>
              <w:rPr>
                <w:szCs w:val="22"/>
                <w14:ligatures w14:val="none"/>
              </w:rPr>
            </w:pPr>
            <w:r>
              <w:rPr>
                <w:rFonts w:hint="eastAsia"/>
                <w:szCs w:val="22"/>
                <w14:ligatures w14:val="none"/>
              </w:rPr>
              <w:t>60</w:t>
            </w:r>
          </w:p>
        </w:tc>
        <w:tc>
          <w:tcPr>
            <w:tcW w:w="1425" w:type="dxa"/>
            <w:gridSpan w:val="3"/>
            <w:tcBorders>
              <w:top w:val="single" w:color="auto" w:sz="4" w:space="0"/>
              <w:left w:val="single" w:color="auto" w:sz="4" w:space="0"/>
              <w:bottom w:val="single" w:color="auto" w:sz="4" w:space="0"/>
              <w:right w:val="single" w:color="auto" w:sz="4" w:space="0"/>
            </w:tcBorders>
            <w:vAlign w:val="center"/>
          </w:tcPr>
          <w:p w14:paraId="151BAC23">
            <w:pPr>
              <w:pStyle w:val="64"/>
              <w:adjustRightInd w:val="0"/>
              <w:snapToGrid w:val="0"/>
              <w:rPr>
                <w:szCs w:val="22"/>
                <w:lang w:bidi="zh-CN"/>
                <w14:ligatures w14:val="none"/>
              </w:rPr>
            </w:pPr>
            <w:r>
              <w:rPr>
                <w:rFonts w:hint="eastAsia"/>
                <w:szCs w:val="22"/>
                <w:lang w:bidi="zh-CN"/>
                <w14:ligatures w14:val="none"/>
              </w:rPr>
              <w:t>企业员工</w:t>
            </w:r>
          </w:p>
        </w:tc>
        <w:tc>
          <w:tcPr>
            <w:tcW w:w="1673" w:type="dxa"/>
            <w:gridSpan w:val="2"/>
            <w:tcBorders>
              <w:top w:val="single" w:color="auto" w:sz="4" w:space="0"/>
              <w:left w:val="single" w:color="auto" w:sz="4" w:space="0"/>
              <w:bottom w:val="single" w:color="auto" w:sz="4" w:space="0"/>
              <w:right w:val="single" w:color="auto" w:sz="4" w:space="0"/>
            </w:tcBorders>
            <w:vAlign w:val="center"/>
          </w:tcPr>
          <w:p w14:paraId="61A77F0C">
            <w:pPr>
              <w:pStyle w:val="64"/>
              <w:adjustRightInd w:val="0"/>
              <w:snapToGrid w:val="0"/>
              <w:rPr>
                <w:szCs w:val="22"/>
                <w:lang w:bidi="zh-CN"/>
                <w14:ligatures w14:val="none"/>
              </w:rPr>
            </w:pPr>
            <w:r>
              <w:rPr>
                <w:rFonts w:hint="eastAsia"/>
                <w:szCs w:val="22"/>
                <w:lang w:bidi="zh-CN"/>
                <w14:ligatures w14:val="none"/>
              </w:rPr>
              <w:t>50</w:t>
            </w:r>
          </w:p>
        </w:tc>
      </w:tr>
      <w:tr w14:paraId="29B9602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936" w:type="dxa"/>
            <w:vMerge w:val="continue"/>
            <w:tcBorders>
              <w:top w:val="single" w:color="auto" w:sz="4" w:space="0"/>
              <w:left w:val="single" w:color="auto" w:sz="4" w:space="0"/>
              <w:bottom w:val="single" w:color="auto" w:sz="4" w:space="0"/>
              <w:right w:val="single" w:color="auto" w:sz="4" w:space="0"/>
            </w:tcBorders>
            <w:vAlign w:val="center"/>
          </w:tcPr>
          <w:p w14:paraId="36164FBF">
            <w:pPr>
              <w:pStyle w:val="64"/>
              <w:adjustRightInd w:val="0"/>
              <w:snapToGrid w:val="0"/>
              <w:rPr>
                <w:szCs w:val="22"/>
                <w:lang w:bidi="zh-CN"/>
                <w14:ligatures w14:val="none"/>
              </w:rPr>
            </w:pPr>
          </w:p>
        </w:tc>
        <w:tc>
          <w:tcPr>
            <w:tcW w:w="869" w:type="dxa"/>
            <w:tcBorders>
              <w:top w:val="single" w:color="auto" w:sz="4" w:space="0"/>
              <w:left w:val="single" w:color="auto" w:sz="4" w:space="0"/>
              <w:bottom w:val="single" w:color="auto" w:sz="4" w:space="0"/>
              <w:right w:val="single" w:color="auto" w:sz="4" w:space="0"/>
            </w:tcBorders>
            <w:vAlign w:val="center"/>
          </w:tcPr>
          <w:p w14:paraId="10FE2855">
            <w:pPr>
              <w:pStyle w:val="64"/>
              <w:adjustRightInd w:val="0"/>
              <w:snapToGrid w:val="0"/>
              <w:rPr>
                <w:szCs w:val="22"/>
                <w:lang w:bidi="zh-CN"/>
                <w14:ligatures w14:val="none"/>
              </w:rPr>
            </w:pPr>
            <w:r>
              <w:rPr>
                <w:rFonts w:hint="eastAsia"/>
                <w:szCs w:val="22"/>
                <w:lang w:bidi="zh-CN"/>
                <w14:ligatures w14:val="none"/>
              </w:rPr>
              <w:t>48</w:t>
            </w:r>
          </w:p>
        </w:tc>
        <w:tc>
          <w:tcPr>
            <w:tcW w:w="1597" w:type="dxa"/>
            <w:tcBorders>
              <w:top w:val="single" w:color="auto" w:sz="4" w:space="0"/>
              <w:left w:val="single" w:color="auto" w:sz="4" w:space="0"/>
              <w:bottom w:val="single" w:color="auto" w:sz="4" w:space="0"/>
              <w:right w:val="single" w:color="auto" w:sz="4" w:space="0"/>
            </w:tcBorders>
            <w:vAlign w:val="center"/>
          </w:tcPr>
          <w:p w14:paraId="015E0579">
            <w:pPr>
              <w:pStyle w:val="64"/>
              <w:adjustRightInd w:val="0"/>
              <w:snapToGrid w:val="0"/>
              <w:rPr>
                <w:szCs w:val="22"/>
                <w14:ligatures w14:val="none"/>
              </w:rPr>
            </w:pPr>
            <w:r>
              <w:rPr>
                <w:rFonts w:hint="eastAsia"/>
                <w:szCs w:val="22"/>
                <w14:ligatures w14:val="none"/>
              </w:rPr>
              <w:t>安徽海华科技集团有限公司</w:t>
            </w:r>
          </w:p>
        </w:tc>
        <w:tc>
          <w:tcPr>
            <w:tcW w:w="1083" w:type="dxa"/>
            <w:tcBorders>
              <w:top w:val="single" w:color="auto" w:sz="4" w:space="0"/>
              <w:left w:val="single" w:color="auto" w:sz="4" w:space="0"/>
              <w:bottom w:val="single" w:color="auto" w:sz="4" w:space="0"/>
              <w:right w:val="single" w:color="auto" w:sz="4" w:space="0"/>
            </w:tcBorders>
            <w:vAlign w:val="center"/>
          </w:tcPr>
          <w:p w14:paraId="0F04961A">
            <w:pPr>
              <w:pStyle w:val="64"/>
              <w:adjustRightInd w:val="0"/>
              <w:snapToGrid w:val="0"/>
              <w:rPr>
                <w:szCs w:val="22"/>
                <w14:ligatures w14:val="none"/>
              </w:rPr>
            </w:pPr>
            <w:r>
              <w:rPr>
                <w:rFonts w:hint="eastAsia"/>
                <w:szCs w:val="22"/>
                <w14:ligatures w14:val="none"/>
              </w:rPr>
              <w:t>/</w:t>
            </w:r>
          </w:p>
        </w:tc>
        <w:tc>
          <w:tcPr>
            <w:tcW w:w="1489" w:type="dxa"/>
            <w:gridSpan w:val="2"/>
            <w:tcBorders>
              <w:top w:val="single" w:color="auto" w:sz="4" w:space="0"/>
              <w:left w:val="single" w:color="auto" w:sz="4" w:space="0"/>
              <w:bottom w:val="single" w:color="auto" w:sz="4" w:space="0"/>
              <w:right w:val="single" w:color="auto" w:sz="4" w:space="0"/>
            </w:tcBorders>
            <w:vAlign w:val="center"/>
          </w:tcPr>
          <w:p w14:paraId="3DFF1E31">
            <w:pPr>
              <w:pStyle w:val="64"/>
              <w:adjustRightInd w:val="0"/>
              <w:snapToGrid w:val="0"/>
              <w:rPr>
                <w:szCs w:val="22"/>
                <w14:ligatures w14:val="none"/>
              </w:rPr>
            </w:pPr>
            <w:r>
              <w:rPr>
                <w:rFonts w:hint="eastAsia"/>
                <w:szCs w:val="22"/>
                <w14:ligatures w14:val="none"/>
              </w:rPr>
              <w:t>/</w:t>
            </w:r>
          </w:p>
        </w:tc>
        <w:tc>
          <w:tcPr>
            <w:tcW w:w="1425" w:type="dxa"/>
            <w:gridSpan w:val="3"/>
            <w:tcBorders>
              <w:top w:val="single" w:color="auto" w:sz="4" w:space="0"/>
              <w:left w:val="single" w:color="auto" w:sz="4" w:space="0"/>
              <w:bottom w:val="single" w:color="auto" w:sz="4" w:space="0"/>
              <w:right w:val="single" w:color="auto" w:sz="4" w:space="0"/>
            </w:tcBorders>
            <w:vAlign w:val="center"/>
          </w:tcPr>
          <w:p w14:paraId="7F360C5C">
            <w:pPr>
              <w:pStyle w:val="64"/>
              <w:adjustRightInd w:val="0"/>
              <w:snapToGrid w:val="0"/>
              <w:rPr>
                <w:szCs w:val="22"/>
                <w:lang w:bidi="zh-CN"/>
                <w14:ligatures w14:val="none"/>
              </w:rPr>
            </w:pPr>
            <w:r>
              <w:rPr>
                <w:rFonts w:hint="eastAsia"/>
                <w:szCs w:val="22"/>
                <w:lang w:bidi="zh-CN"/>
                <w14:ligatures w14:val="none"/>
              </w:rPr>
              <w:t>企业员工</w:t>
            </w:r>
          </w:p>
        </w:tc>
        <w:tc>
          <w:tcPr>
            <w:tcW w:w="1673" w:type="dxa"/>
            <w:gridSpan w:val="2"/>
            <w:tcBorders>
              <w:top w:val="single" w:color="auto" w:sz="4" w:space="0"/>
              <w:left w:val="single" w:color="auto" w:sz="4" w:space="0"/>
              <w:bottom w:val="single" w:color="auto" w:sz="4" w:space="0"/>
              <w:right w:val="single" w:color="auto" w:sz="4" w:space="0"/>
            </w:tcBorders>
            <w:vAlign w:val="center"/>
          </w:tcPr>
          <w:p w14:paraId="578523C0">
            <w:pPr>
              <w:pStyle w:val="64"/>
              <w:adjustRightInd w:val="0"/>
              <w:snapToGrid w:val="0"/>
              <w:rPr>
                <w:szCs w:val="22"/>
                <w:lang w:bidi="zh-CN"/>
                <w14:ligatures w14:val="none"/>
              </w:rPr>
            </w:pPr>
            <w:r>
              <w:rPr>
                <w:rFonts w:hint="eastAsia"/>
                <w:szCs w:val="22"/>
                <w:lang w:bidi="zh-CN"/>
                <w14:ligatures w14:val="none"/>
              </w:rPr>
              <w:t>220</w:t>
            </w:r>
          </w:p>
        </w:tc>
      </w:tr>
      <w:tr w14:paraId="5946703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936" w:type="dxa"/>
            <w:vMerge w:val="continue"/>
            <w:tcBorders>
              <w:top w:val="single" w:color="auto" w:sz="4" w:space="0"/>
              <w:left w:val="single" w:color="auto" w:sz="4" w:space="0"/>
              <w:bottom w:val="single" w:color="auto" w:sz="4" w:space="0"/>
              <w:right w:val="single" w:color="auto" w:sz="4" w:space="0"/>
            </w:tcBorders>
            <w:vAlign w:val="center"/>
          </w:tcPr>
          <w:p w14:paraId="47AB9FF9">
            <w:pPr>
              <w:pStyle w:val="64"/>
              <w:adjustRightInd w:val="0"/>
              <w:snapToGrid w:val="0"/>
              <w:rPr>
                <w:szCs w:val="22"/>
                <w:lang w:bidi="zh-CN"/>
                <w14:ligatures w14:val="none"/>
              </w:rPr>
            </w:pPr>
          </w:p>
        </w:tc>
        <w:tc>
          <w:tcPr>
            <w:tcW w:w="6463" w:type="dxa"/>
            <w:gridSpan w:val="8"/>
            <w:tcBorders>
              <w:top w:val="single" w:color="auto" w:sz="4" w:space="0"/>
              <w:left w:val="single" w:color="auto" w:sz="4" w:space="0"/>
              <w:bottom w:val="single" w:color="auto" w:sz="4" w:space="0"/>
              <w:right w:val="single" w:color="auto" w:sz="4" w:space="0"/>
            </w:tcBorders>
            <w:vAlign w:val="center"/>
          </w:tcPr>
          <w:p w14:paraId="1E24F671">
            <w:pPr>
              <w:pStyle w:val="64"/>
              <w:adjustRightInd w:val="0"/>
              <w:snapToGrid w:val="0"/>
              <w:rPr>
                <w:szCs w:val="22"/>
                <w:lang w:bidi="zh-CN"/>
                <w14:ligatures w14:val="none"/>
              </w:rPr>
            </w:pPr>
            <w:r>
              <w:rPr>
                <w:szCs w:val="22"/>
                <w:lang w:bidi="zh-CN"/>
                <w14:ligatures w14:val="none"/>
              </w:rPr>
              <w:t>厂址周边500m范围内人口数小计</w:t>
            </w:r>
          </w:p>
        </w:tc>
        <w:tc>
          <w:tcPr>
            <w:tcW w:w="1673" w:type="dxa"/>
            <w:gridSpan w:val="2"/>
            <w:tcBorders>
              <w:top w:val="single" w:color="auto" w:sz="4" w:space="0"/>
              <w:left w:val="single" w:color="auto" w:sz="4" w:space="0"/>
              <w:bottom w:val="single" w:color="auto" w:sz="4" w:space="0"/>
              <w:right w:val="single" w:color="auto" w:sz="4" w:space="0"/>
            </w:tcBorders>
            <w:vAlign w:val="center"/>
          </w:tcPr>
          <w:p w14:paraId="0B0EFE82">
            <w:pPr>
              <w:pStyle w:val="64"/>
              <w:adjustRightInd w:val="0"/>
              <w:snapToGrid w:val="0"/>
              <w:rPr>
                <w:szCs w:val="22"/>
                <w:lang w:bidi="zh-CN"/>
                <w14:ligatures w14:val="none"/>
              </w:rPr>
            </w:pPr>
            <w:r>
              <w:rPr>
                <w:szCs w:val="22"/>
                <w:lang w:bidi="zh-CN"/>
                <w14:ligatures w14:val="none"/>
              </w:rPr>
              <w:t>8</w:t>
            </w:r>
            <w:r>
              <w:rPr>
                <w:rFonts w:hint="eastAsia"/>
                <w:szCs w:val="22"/>
                <w:lang w:bidi="zh-CN"/>
                <w14:ligatures w14:val="none"/>
              </w:rPr>
              <w:t>26</w:t>
            </w:r>
          </w:p>
        </w:tc>
      </w:tr>
      <w:tr w14:paraId="1E9E676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936" w:type="dxa"/>
            <w:vMerge w:val="continue"/>
            <w:tcBorders>
              <w:top w:val="single" w:color="auto" w:sz="4" w:space="0"/>
              <w:left w:val="single" w:color="auto" w:sz="4" w:space="0"/>
              <w:bottom w:val="single" w:color="auto" w:sz="4" w:space="0"/>
              <w:right w:val="single" w:color="auto" w:sz="4" w:space="0"/>
            </w:tcBorders>
            <w:vAlign w:val="center"/>
          </w:tcPr>
          <w:p w14:paraId="7E4B76D2">
            <w:pPr>
              <w:pStyle w:val="64"/>
              <w:adjustRightInd w:val="0"/>
              <w:snapToGrid w:val="0"/>
              <w:rPr>
                <w:szCs w:val="22"/>
                <w:lang w:bidi="zh-CN"/>
                <w14:ligatures w14:val="none"/>
              </w:rPr>
            </w:pPr>
          </w:p>
        </w:tc>
        <w:tc>
          <w:tcPr>
            <w:tcW w:w="6463" w:type="dxa"/>
            <w:gridSpan w:val="8"/>
            <w:tcBorders>
              <w:top w:val="single" w:color="auto" w:sz="4" w:space="0"/>
              <w:left w:val="single" w:color="auto" w:sz="4" w:space="0"/>
              <w:bottom w:val="single" w:color="auto" w:sz="4" w:space="0"/>
              <w:right w:val="single" w:color="auto" w:sz="4" w:space="0"/>
            </w:tcBorders>
            <w:vAlign w:val="center"/>
          </w:tcPr>
          <w:p w14:paraId="301A40C3">
            <w:pPr>
              <w:pStyle w:val="64"/>
              <w:adjustRightInd w:val="0"/>
              <w:snapToGrid w:val="0"/>
              <w:rPr>
                <w:szCs w:val="22"/>
                <w:lang w:bidi="zh-CN"/>
                <w14:ligatures w14:val="none"/>
              </w:rPr>
            </w:pPr>
            <w:r>
              <w:rPr>
                <w:szCs w:val="22"/>
                <w:lang w:bidi="zh-CN"/>
                <w14:ligatures w14:val="none"/>
              </w:rPr>
              <w:t>厂址周边5km范围内人口数小计</w:t>
            </w:r>
          </w:p>
        </w:tc>
        <w:tc>
          <w:tcPr>
            <w:tcW w:w="1673" w:type="dxa"/>
            <w:gridSpan w:val="2"/>
            <w:tcBorders>
              <w:top w:val="single" w:color="auto" w:sz="4" w:space="0"/>
              <w:left w:val="single" w:color="auto" w:sz="4" w:space="0"/>
              <w:bottom w:val="single" w:color="auto" w:sz="4" w:space="0"/>
              <w:right w:val="single" w:color="auto" w:sz="4" w:space="0"/>
            </w:tcBorders>
            <w:vAlign w:val="center"/>
          </w:tcPr>
          <w:p w14:paraId="7A335705">
            <w:pPr>
              <w:pStyle w:val="64"/>
              <w:adjustRightInd w:val="0"/>
              <w:snapToGrid w:val="0"/>
              <w:rPr>
                <w:szCs w:val="22"/>
                <w:lang w:bidi="zh-CN"/>
                <w14:ligatures w14:val="none"/>
              </w:rPr>
            </w:pPr>
            <w:r>
              <w:rPr>
                <w:szCs w:val="22"/>
                <w:lang w:bidi="zh-CN"/>
                <w14:ligatures w14:val="none"/>
              </w:rPr>
              <w:t>21708</w:t>
            </w:r>
          </w:p>
        </w:tc>
      </w:tr>
      <w:tr w14:paraId="770670A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936" w:type="dxa"/>
            <w:vMerge w:val="continue"/>
            <w:tcBorders>
              <w:top w:val="single" w:color="auto" w:sz="4" w:space="0"/>
              <w:left w:val="single" w:color="auto" w:sz="4" w:space="0"/>
              <w:bottom w:val="single" w:color="auto" w:sz="4" w:space="0"/>
              <w:right w:val="single" w:color="auto" w:sz="4" w:space="0"/>
            </w:tcBorders>
            <w:vAlign w:val="center"/>
          </w:tcPr>
          <w:p w14:paraId="3DF0EB26">
            <w:pPr>
              <w:pStyle w:val="64"/>
              <w:adjustRightInd w:val="0"/>
              <w:snapToGrid w:val="0"/>
              <w:rPr>
                <w:szCs w:val="22"/>
                <w:lang w:bidi="zh-CN"/>
                <w14:ligatures w14:val="none"/>
              </w:rPr>
            </w:pPr>
          </w:p>
        </w:tc>
        <w:tc>
          <w:tcPr>
            <w:tcW w:w="6463" w:type="dxa"/>
            <w:gridSpan w:val="8"/>
            <w:tcBorders>
              <w:top w:val="single" w:color="auto" w:sz="4" w:space="0"/>
              <w:left w:val="single" w:color="auto" w:sz="4" w:space="0"/>
              <w:bottom w:val="single" w:color="auto" w:sz="4" w:space="0"/>
              <w:right w:val="single" w:color="auto" w:sz="4" w:space="0"/>
            </w:tcBorders>
            <w:vAlign w:val="center"/>
          </w:tcPr>
          <w:p w14:paraId="5E79F4C2">
            <w:pPr>
              <w:pStyle w:val="64"/>
              <w:adjustRightInd w:val="0"/>
              <w:snapToGrid w:val="0"/>
              <w:rPr>
                <w:szCs w:val="22"/>
                <w:lang w:bidi="zh-CN"/>
                <w14:ligatures w14:val="none"/>
              </w:rPr>
            </w:pPr>
            <w:r>
              <w:rPr>
                <w:szCs w:val="22"/>
                <w:lang w:bidi="zh-CN"/>
                <w14:ligatures w14:val="none"/>
              </w:rPr>
              <w:t>大气环境敏感程度E值</w:t>
            </w:r>
          </w:p>
        </w:tc>
        <w:tc>
          <w:tcPr>
            <w:tcW w:w="1673" w:type="dxa"/>
            <w:gridSpan w:val="2"/>
            <w:tcBorders>
              <w:top w:val="single" w:color="auto" w:sz="4" w:space="0"/>
              <w:left w:val="single" w:color="auto" w:sz="4" w:space="0"/>
              <w:bottom w:val="single" w:color="auto" w:sz="4" w:space="0"/>
              <w:right w:val="single" w:color="auto" w:sz="4" w:space="0"/>
            </w:tcBorders>
            <w:vAlign w:val="center"/>
          </w:tcPr>
          <w:p w14:paraId="07AF9C28">
            <w:pPr>
              <w:pStyle w:val="64"/>
              <w:adjustRightInd w:val="0"/>
              <w:snapToGrid w:val="0"/>
              <w:rPr>
                <w:szCs w:val="22"/>
                <w:lang w:bidi="zh-CN"/>
                <w14:ligatures w14:val="none"/>
              </w:rPr>
            </w:pPr>
            <w:r>
              <w:rPr>
                <w:szCs w:val="22"/>
                <w:lang w:bidi="zh-CN"/>
                <w14:ligatures w14:val="none"/>
              </w:rPr>
              <w:t>E2</w:t>
            </w:r>
          </w:p>
        </w:tc>
      </w:tr>
      <w:tr w14:paraId="013D47E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936" w:type="dxa"/>
            <w:vMerge w:val="restart"/>
            <w:tcBorders>
              <w:top w:val="single" w:color="auto" w:sz="4" w:space="0"/>
              <w:left w:val="single" w:color="auto" w:sz="4" w:space="0"/>
              <w:bottom w:val="single" w:color="auto" w:sz="4" w:space="0"/>
              <w:right w:val="single" w:color="auto" w:sz="4" w:space="0"/>
            </w:tcBorders>
            <w:vAlign w:val="center"/>
          </w:tcPr>
          <w:p w14:paraId="4D1D0432">
            <w:pPr>
              <w:pStyle w:val="64"/>
              <w:adjustRightInd w:val="0"/>
              <w:snapToGrid w:val="0"/>
              <w:rPr>
                <w:szCs w:val="22"/>
                <w:lang w:bidi="zh-CN"/>
                <w14:ligatures w14:val="none"/>
              </w:rPr>
            </w:pPr>
            <w:r>
              <w:rPr>
                <w:szCs w:val="22"/>
                <w:lang w:bidi="zh-CN"/>
                <w14:ligatures w14:val="none"/>
              </w:rPr>
              <w:t>地表水</w:t>
            </w:r>
          </w:p>
        </w:tc>
        <w:tc>
          <w:tcPr>
            <w:tcW w:w="869" w:type="dxa"/>
            <w:tcBorders>
              <w:top w:val="single" w:color="auto" w:sz="4" w:space="0"/>
              <w:left w:val="single" w:color="auto" w:sz="4" w:space="0"/>
              <w:bottom w:val="single" w:color="auto" w:sz="4" w:space="0"/>
              <w:right w:val="single" w:color="auto" w:sz="4" w:space="0"/>
            </w:tcBorders>
            <w:vAlign w:val="center"/>
          </w:tcPr>
          <w:p w14:paraId="6D36D54B">
            <w:pPr>
              <w:pStyle w:val="64"/>
              <w:adjustRightInd w:val="0"/>
              <w:snapToGrid w:val="0"/>
              <w:rPr>
                <w:szCs w:val="22"/>
                <w:lang w:bidi="zh-CN"/>
                <w14:ligatures w14:val="none"/>
              </w:rPr>
            </w:pPr>
            <w:r>
              <w:rPr>
                <w:szCs w:val="22"/>
                <w:lang w:bidi="zh-CN"/>
                <w14:ligatures w14:val="none"/>
              </w:rPr>
              <w:t>序号</w:t>
            </w:r>
          </w:p>
        </w:tc>
        <w:tc>
          <w:tcPr>
            <w:tcW w:w="1597" w:type="dxa"/>
            <w:tcBorders>
              <w:top w:val="single" w:color="auto" w:sz="4" w:space="0"/>
              <w:left w:val="single" w:color="auto" w:sz="4" w:space="0"/>
              <w:bottom w:val="single" w:color="auto" w:sz="4" w:space="0"/>
              <w:right w:val="single" w:color="auto" w:sz="4" w:space="0"/>
            </w:tcBorders>
            <w:vAlign w:val="center"/>
          </w:tcPr>
          <w:p w14:paraId="6BA183FF">
            <w:pPr>
              <w:pStyle w:val="64"/>
              <w:adjustRightInd w:val="0"/>
              <w:snapToGrid w:val="0"/>
              <w:rPr>
                <w:szCs w:val="22"/>
                <w:lang w:bidi="zh-CN"/>
                <w14:ligatures w14:val="none"/>
              </w:rPr>
            </w:pPr>
            <w:r>
              <w:rPr>
                <w:szCs w:val="22"/>
                <w:lang w:bidi="zh-CN"/>
                <w14:ligatures w14:val="none"/>
              </w:rPr>
              <w:t>受纳水体名称</w:t>
            </w:r>
          </w:p>
        </w:tc>
        <w:tc>
          <w:tcPr>
            <w:tcW w:w="2572" w:type="dxa"/>
            <w:gridSpan w:val="3"/>
            <w:tcBorders>
              <w:top w:val="single" w:color="auto" w:sz="4" w:space="0"/>
              <w:left w:val="single" w:color="auto" w:sz="4" w:space="0"/>
              <w:bottom w:val="single" w:color="auto" w:sz="4" w:space="0"/>
              <w:right w:val="single" w:color="auto" w:sz="4" w:space="0"/>
            </w:tcBorders>
            <w:vAlign w:val="center"/>
          </w:tcPr>
          <w:p w14:paraId="2E51C141">
            <w:pPr>
              <w:pStyle w:val="64"/>
              <w:adjustRightInd w:val="0"/>
              <w:snapToGrid w:val="0"/>
              <w:rPr>
                <w:szCs w:val="22"/>
                <w:lang w:bidi="zh-CN"/>
                <w14:ligatures w14:val="none"/>
              </w:rPr>
            </w:pPr>
            <w:r>
              <w:rPr>
                <w:szCs w:val="22"/>
                <w:lang w:bidi="zh-CN"/>
                <w14:ligatures w14:val="none"/>
              </w:rPr>
              <w:t>排放点水域环境功能</w:t>
            </w:r>
          </w:p>
        </w:tc>
        <w:tc>
          <w:tcPr>
            <w:tcW w:w="3098" w:type="dxa"/>
            <w:gridSpan w:val="5"/>
            <w:tcBorders>
              <w:top w:val="single" w:color="auto" w:sz="4" w:space="0"/>
              <w:left w:val="single" w:color="auto" w:sz="4" w:space="0"/>
              <w:bottom w:val="single" w:color="auto" w:sz="4" w:space="0"/>
              <w:right w:val="single" w:color="auto" w:sz="4" w:space="0"/>
            </w:tcBorders>
            <w:vAlign w:val="center"/>
          </w:tcPr>
          <w:p w14:paraId="116F9895">
            <w:pPr>
              <w:pStyle w:val="64"/>
              <w:adjustRightInd w:val="0"/>
              <w:snapToGrid w:val="0"/>
              <w:rPr>
                <w:szCs w:val="22"/>
                <w:lang w:bidi="zh-CN"/>
                <w14:ligatures w14:val="none"/>
              </w:rPr>
            </w:pPr>
            <w:r>
              <w:rPr>
                <w:szCs w:val="22"/>
                <w:lang w:bidi="zh-CN"/>
                <w14:ligatures w14:val="none"/>
              </w:rPr>
              <w:t>24h流经范围/km</w:t>
            </w:r>
          </w:p>
        </w:tc>
      </w:tr>
      <w:tr w14:paraId="6D67CBA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936" w:type="dxa"/>
            <w:vMerge w:val="continue"/>
            <w:tcBorders>
              <w:top w:val="single" w:color="auto" w:sz="4" w:space="0"/>
              <w:left w:val="single" w:color="auto" w:sz="4" w:space="0"/>
              <w:bottom w:val="single" w:color="auto" w:sz="4" w:space="0"/>
              <w:right w:val="single" w:color="auto" w:sz="4" w:space="0"/>
            </w:tcBorders>
            <w:vAlign w:val="center"/>
          </w:tcPr>
          <w:p w14:paraId="26FD00A1">
            <w:pPr>
              <w:pStyle w:val="64"/>
              <w:adjustRightInd w:val="0"/>
              <w:snapToGrid w:val="0"/>
              <w:rPr>
                <w:szCs w:val="22"/>
                <w:lang w:bidi="zh-CN"/>
                <w14:ligatures w14:val="none"/>
              </w:rPr>
            </w:pPr>
          </w:p>
        </w:tc>
        <w:tc>
          <w:tcPr>
            <w:tcW w:w="869" w:type="dxa"/>
            <w:tcBorders>
              <w:top w:val="single" w:color="auto" w:sz="4" w:space="0"/>
              <w:left w:val="single" w:color="auto" w:sz="4" w:space="0"/>
              <w:bottom w:val="single" w:color="auto" w:sz="4" w:space="0"/>
              <w:right w:val="single" w:color="auto" w:sz="4" w:space="0"/>
            </w:tcBorders>
            <w:vAlign w:val="center"/>
          </w:tcPr>
          <w:p w14:paraId="530DD670">
            <w:pPr>
              <w:pStyle w:val="64"/>
              <w:adjustRightInd w:val="0"/>
              <w:snapToGrid w:val="0"/>
              <w:rPr>
                <w:szCs w:val="22"/>
                <w:lang w:bidi="zh-CN"/>
                <w14:ligatures w14:val="none"/>
              </w:rPr>
            </w:pPr>
            <w:r>
              <w:rPr>
                <w:szCs w:val="22"/>
                <w:lang w:bidi="zh-CN"/>
                <w14:ligatures w14:val="none"/>
              </w:rPr>
              <w:t>1</w:t>
            </w:r>
          </w:p>
        </w:tc>
        <w:tc>
          <w:tcPr>
            <w:tcW w:w="1597" w:type="dxa"/>
            <w:tcBorders>
              <w:top w:val="single" w:color="auto" w:sz="4" w:space="0"/>
              <w:left w:val="single" w:color="auto" w:sz="4" w:space="0"/>
              <w:bottom w:val="single" w:color="auto" w:sz="4" w:space="0"/>
              <w:right w:val="single" w:color="auto" w:sz="4" w:space="0"/>
            </w:tcBorders>
            <w:vAlign w:val="center"/>
          </w:tcPr>
          <w:p w14:paraId="54E863A3">
            <w:pPr>
              <w:pStyle w:val="64"/>
              <w:adjustRightInd w:val="0"/>
              <w:snapToGrid w:val="0"/>
              <w:rPr>
                <w:szCs w:val="22"/>
                <w:lang w:bidi="zh-CN"/>
                <w14:ligatures w14:val="none"/>
              </w:rPr>
            </w:pPr>
            <w:r>
              <w:rPr>
                <w:szCs w:val="22"/>
                <w:lang w:bidi="zh-CN"/>
                <w14:ligatures w14:val="none"/>
              </w:rPr>
              <w:t>淮河</w:t>
            </w:r>
          </w:p>
        </w:tc>
        <w:tc>
          <w:tcPr>
            <w:tcW w:w="2572" w:type="dxa"/>
            <w:gridSpan w:val="3"/>
            <w:tcBorders>
              <w:top w:val="single" w:color="auto" w:sz="4" w:space="0"/>
              <w:left w:val="single" w:color="auto" w:sz="4" w:space="0"/>
              <w:bottom w:val="single" w:color="auto" w:sz="4" w:space="0"/>
              <w:right w:val="single" w:color="auto" w:sz="4" w:space="0"/>
            </w:tcBorders>
            <w:vAlign w:val="center"/>
          </w:tcPr>
          <w:p w14:paraId="72433762">
            <w:pPr>
              <w:pStyle w:val="64"/>
              <w:adjustRightInd w:val="0"/>
              <w:snapToGrid w:val="0"/>
              <w:rPr>
                <w:szCs w:val="22"/>
                <w:lang w:bidi="zh-CN"/>
                <w14:ligatures w14:val="none"/>
              </w:rPr>
            </w:pPr>
            <w:r>
              <w:rPr>
                <w:szCs w:val="22"/>
                <w:lang w:bidi="zh-CN"/>
                <w14:ligatures w14:val="none"/>
              </w:rPr>
              <w:t>III</w:t>
            </w:r>
          </w:p>
        </w:tc>
        <w:tc>
          <w:tcPr>
            <w:tcW w:w="3098" w:type="dxa"/>
            <w:gridSpan w:val="5"/>
            <w:tcBorders>
              <w:top w:val="single" w:color="auto" w:sz="4" w:space="0"/>
              <w:left w:val="single" w:color="auto" w:sz="4" w:space="0"/>
              <w:bottom w:val="single" w:color="auto" w:sz="4" w:space="0"/>
              <w:right w:val="single" w:color="auto" w:sz="4" w:space="0"/>
            </w:tcBorders>
            <w:vAlign w:val="center"/>
          </w:tcPr>
          <w:p w14:paraId="17B09C45">
            <w:pPr>
              <w:pStyle w:val="64"/>
              <w:adjustRightInd w:val="0"/>
              <w:snapToGrid w:val="0"/>
              <w:rPr>
                <w:szCs w:val="22"/>
                <w:lang w:bidi="zh-CN"/>
                <w14:ligatures w14:val="none"/>
              </w:rPr>
            </w:pPr>
            <w:r>
              <w:rPr>
                <w:szCs w:val="22"/>
                <w:lang w:bidi="zh-CN"/>
                <w14:ligatures w14:val="none"/>
              </w:rPr>
              <w:t>其他</w:t>
            </w:r>
          </w:p>
        </w:tc>
      </w:tr>
      <w:tr w14:paraId="4E57776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936" w:type="dxa"/>
            <w:vMerge w:val="continue"/>
            <w:tcBorders>
              <w:top w:val="single" w:color="auto" w:sz="4" w:space="0"/>
              <w:left w:val="single" w:color="auto" w:sz="4" w:space="0"/>
              <w:bottom w:val="single" w:color="auto" w:sz="4" w:space="0"/>
              <w:right w:val="single" w:color="auto" w:sz="4" w:space="0"/>
            </w:tcBorders>
            <w:vAlign w:val="center"/>
          </w:tcPr>
          <w:p w14:paraId="41FD5FB3">
            <w:pPr>
              <w:pStyle w:val="64"/>
              <w:adjustRightInd w:val="0"/>
              <w:snapToGrid w:val="0"/>
              <w:rPr>
                <w:szCs w:val="22"/>
                <w:lang w:bidi="zh-CN"/>
                <w14:ligatures w14:val="none"/>
              </w:rPr>
            </w:pPr>
          </w:p>
        </w:tc>
        <w:tc>
          <w:tcPr>
            <w:tcW w:w="869" w:type="dxa"/>
            <w:tcBorders>
              <w:top w:val="single" w:color="auto" w:sz="4" w:space="0"/>
              <w:left w:val="single" w:color="auto" w:sz="4" w:space="0"/>
              <w:bottom w:val="single" w:color="auto" w:sz="4" w:space="0"/>
              <w:right w:val="single" w:color="auto" w:sz="4" w:space="0"/>
            </w:tcBorders>
            <w:vAlign w:val="center"/>
          </w:tcPr>
          <w:p w14:paraId="304D242E">
            <w:pPr>
              <w:pStyle w:val="64"/>
              <w:adjustRightInd w:val="0"/>
              <w:snapToGrid w:val="0"/>
              <w:rPr>
                <w:szCs w:val="22"/>
                <w:lang w:bidi="zh-CN"/>
                <w14:ligatures w14:val="none"/>
              </w:rPr>
            </w:pPr>
            <w:r>
              <w:rPr>
                <w:szCs w:val="22"/>
                <w:lang w:bidi="zh-CN"/>
                <w14:ligatures w14:val="none"/>
              </w:rPr>
              <w:t>2</w:t>
            </w:r>
          </w:p>
        </w:tc>
        <w:tc>
          <w:tcPr>
            <w:tcW w:w="1597" w:type="dxa"/>
            <w:tcBorders>
              <w:top w:val="single" w:color="auto" w:sz="4" w:space="0"/>
              <w:left w:val="single" w:color="auto" w:sz="4" w:space="0"/>
              <w:bottom w:val="single" w:color="auto" w:sz="4" w:space="0"/>
              <w:right w:val="single" w:color="auto" w:sz="4" w:space="0"/>
            </w:tcBorders>
            <w:vAlign w:val="center"/>
          </w:tcPr>
          <w:p w14:paraId="1A71BD7F">
            <w:pPr>
              <w:pStyle w:val="64"/>
              <w:adjustRightInd w:val="0"/>
              <w:snapToGrid w:val="0"/>
              <w:rPr>
                <w:szCs w:val="22"/>
                <w:lang w:bidi="zh-CN"/>
                <w14:ligatures w14:val="none"/>
              </w:rPr>
            </w:pPr>
            <w:r>
              <w:rPr>
                <w:szCs w:val="22"/>
                <w:lang w:bidi="zh-CN"/>
                <w14:ligatures w14:val="none"/>
              </w:rPr>
              <w:t>三铺大沟</w:t>
            </w:r>
          </w:p>
        </w:tc>
        <w:tc>
          <w:tcPr>
            <w:tcW w:w="2572" w:type="dxa"/>
            <w:gridSpan w:val="3"/>
            <w:tcBorders>
              <w:top w:val="single" w:color="auto" w:sz="4" w:space="0"/>
              <w:left w:val="single" w:color="auto" w:sz="4" w:space="0"/>
              <w:bottom w:val="single" w:color="auto" w:sz="4" w:space="0"/>
              <w:right w:val="single" w:color="auto" w:sz="4" w:space="0"/>
            </w:tcBorders>
            <w:vAlign w:val="center"/>
          </w:tcPr>
          <w:p w14:paraId="187F813D">
            <w:pPr>
              <w:pStyle w:val="64"/>
              <w:adjustRightInd w:val="0"/>
              <w:snapToGrid w:val="0"/>
              <w:rPr>
                <w:szCs w:val="22"/>
                <w:lang w:bidi="zh-CN"/>
                <w14:ligatures w14:val="none"/>
              </w:rPr>
            </w:pPr>
            <w:r>
              <w:rPr>
                <w:szCs w:val="22"/>
                <w:lang w:bidi="zh-CN"/>
                <w14:ligatures w14:val="none"/>
              </w:rPr>
              <w:t>IV</w:t>
            </w:r>
          </w:p>
        </w:tc>
        <w:tc>
          <w:tcPr>
            <w:tcW w:w="3098" w:type="dxa"/>
            <w:gridSpan w:val="5"/>
            <w:tcBorders>
              <w:top w:val="single" w:color="auto" w:sz="4" w:space="0"/>
              <w:left w:val="single" w:color="auto" w:sz="4" w:space="0"/>
              <w:bottom w:val="single" w:color="auto" w:sz="4" w:space="0"/>
              <w:right w:val="single" w:color="auto" w:sz="4" w:space="0"/>
            </w:tcBorders>
            <w:vAlign w:val="center"/>
          </w:tcPr>
          <w:p w14:paraId="6E8DBB4D">
            <w:pPr>
              <w:pStyle w:val="64"/>
              <w:adjustRightInd w:val="0"/>
              <w:snapToGrid w:val="0"/>
              <w:rPr>
                <w:szCs w:val="22"/>
                <w:lang w:bidi="zh-CN"/>
                <w14:ligatures w14:val="none"/>
              </w:rPr>
            </w:pPr>
            <w:r>
              <w:rPr>
                <w:szCs w:val="22"/>
                <w:lang w:bidi="zh-CN"/>
                <w14:ligatures w14:val="none"/>
              </w:rPr>
              <w:t>其他</w:t>
            </w:r>
          </w:p>
        </w:tc>
      </w:tr>
      <w:tr w14:paraId="73A7ACD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936" w:type="dxa"/>
            <w:vMerge w:val="continue"/>
            <w:tcBorders>
              <w:top w:val="single" w:color="auto" w:sz="4" w:space="0"/>
              <w:left w:val="single" w:color="auto" w:sz="4" w:space="0"/>
              <w:bottom w:val="single" w:color="auto" w:sz="4" w:space="0"/>
              <w:right w:val="single" w:color="auto" w:sz="4" w:space="0"/>
            </w:tcBorders>
            <w:vAlign w:val="center"/>
          </w:tcPr>
          <w:p w14:paraId="0C8B8834">
            <w:pPr>
              <w:pStyle w:val="64"/>
              <w:adjustRightInd w:val="0"/>
              <w:snapToGrid w:val="0"/>
              <w:rPr>
                <w:szCs w:val="22"/>
                <w14:ligatures w14:val="none"/>
              </w:rPr>
            </w:pPr>
          </w:p>
        </w:tc>
        <w:tc>
          <w:tcPr>
            <w:tcW w:w="869" w:type="dxa"/>
            <w:tcBorders>
              <w:top w:val="single" w:color="auto" w:sz="4" w:space="0"/>
              <w:left w:val="single" w:color="auto" w:sz="4" w:space="0"/>
              <w:bottom w:val="single" w:color="auto" w:sz="4" w:space="0"/>
              <w:right w:val="single" w:color="auto" w:sz="4" w:space="0"/>
            </w:tcBorders>
            <w:vAlign w:val="center"/>
          </w:tcPr>
          <w:p w14:paraId="5FF4DCB3">
            <w:pPr>
              <w:pStyle w:val="64"/>
              <w:adjustRightInd w:val="0"/>
              <w:snapToGrid w:val="0"/>
              <w:rPr>
                <w:szCs w:val="22"/>
                <w:lang w:bidi="zh-CN"/>
                <w14:ligatures w14:val="none"/>
              </w:rPr>
            </w:pPr>
            <w:r>
              <w:rPr>
                <w:rFonts w:hint="eastAsia"/>
                <w:szCs w:val="22"/>
                <w:lang w:bidi="zh-CN"/>
                <w14:ligatures w14:val="none"/>
              </w:rPr>
              <w:t>3</w:t>
            </w:r>
          </w:p>
        </w:tc>
        <w:tc>
          <w:tcPr>
            <w:tcW w:w="1597" w:type="dxa"/>
            <w:tcBorders>
              <w:top w:val="single" w:color="auto" w:sz="4" w:space="0"/>
              <w:left w:val="single" w:color="auto" w:sz="4" w:space="0"/>
              <w:bottom w:val="single" w:color="auto" w:sz="4" w:space="0"/>
              <w:right w:val="single" w:color="auto" w:sz="4" w:space="0"/>
            </w:tcBorders>
            <w:vAlign w:val="center"/>
          </w:tcPr>
          <w:p w14:paraId="4FC3A681">
            <w:pPr>
              <w:pStyle w:val="64"/>
              <w:adjustRightInd w:val="0"/>
              <w:snapToGrid w:val="0"/>
              <w:rPr>
                <w:szCs w:val="22"/>
                <w:lang w:bidi="zh-CN"/>
                <w14:ligatures w14:val="none"/>
              </w:rPr>
            </w:pPr>
            <w:r>
              <w:rPr>
                <w:rFonts w:hint="eastAsia"/>
                <w:szCs w:val="22"/>
                <w:lang w:bidi="zh-CN"/>
                <w14:ligatures w14:val="none"/>
              </w:rPr>
              <w:t>沫冲引河</w:t>
            </w:r>
          </w:p>
        </w:tc>
        <w:tc>
          <w:tcPr>
            <w:tcW w:w="2572" w:type="dxa"/>
            <w:gridSpan w:val="3"/>
            <w:tcBorders>
              <w:top w:val="single" w:color="auto" w:sz="4" w:space="0"/>
              <w:left w:val="single" w:color="auto" w:sz="4" w:space="0"/>
              <w:bottom w:val="single" w:color="auto" w:sz="4" w:space="0"/>
              <w:right w:val="single" w:color="auto" w:sz="4" w:space="0"/>
            </w:tcBorders>
            <w:vAlign w:val="center"/>
          </w:tcPr>
          <w:p w14:paraId="1FD776C9">
            <w:pPr>
              <w:pStyle w:val="64"/>
              <w:adjustRightInd w:val="0"/>
              <w:snapToGrid w:val="0"/>
              <w:rPr>
                <w:szCs w:val="22"/>
                <w:lang w:bidi="zh-CN"/>
                <w14:ligatures w14:val="none"/>
              </w:rPr>
            </w:pPr>
            <w:r>
              <w:rPr>
                <w:szCs w:val="22"/>
                <w:lang w:bidi="zh-CN"/>
                <w14:ligatures w14:val="none"/>
              </w:rPr>
              <w:t>IV</w:t>
            </w:r>
          </w:p>
        </w:tc>
        <w:tc>
          <w:tcPr>
            <w:tcW w:w="3098" w:type="dxa"/>
            <w:gridSpan w:val="5"/>
            <w:tcBorders>
              <w:top w:val="single" w:color="auto" w:sz="4" w:space="0"/>
              <w:left w:val="single" w:color="auto" w:sz="4" w:space="0"/>
              <w:bottom w:val="single" w:color="auto" w:sz="4" w:space="0"/>
              <w:right w:val="single" w:color="auto" w:sz="4" w:space="0"/>
            </w:tcBorders>
            <w:vAlign w:val="center"/>
          </w:tcPr>
          <w:p w14:paraId="27F4C148">
            <w:pPr>
              <w:pStyle w:val="64"/>
              <w:adjustRightInd w:val="0"/>
              <w:snapToGrid w:val="0"/>
              <w:rPr>
                <w:szCs w:val="22"/>
                <w:lang w:bidi="zh-CN"/>
                <w14:ligatures w14:val="none"/>
              </w:rPr>
            </w:pPr>
            <w:r>
              <w:rPr>
                <w:szCs w:val="22"/>
                <w:lang w:bidi="zh-CN"/>
                <w14:ligatures w14:val="none"/>
              </w:rPr>
              <w:t>其他</w:t>
            </w:r>
          </w:p>
        </w:tc>
      </w:tr>
      <w:tr w14:paraId="0993AA8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936" w:type="dxa"/>
            <w:vMerge w:val="continue"/>
            <w:tcBorders>
              <w:top w:val="single" w:color="auto" w:sz="4" w:space="0"/>
              <w:left w:val="single" w:color="auto" w:sz="4" w:space="0"/>
              <w:bottom w:val="single" w:color="auto" w:sz="4" w:space="0"/>
              <w:right w:val="single" w:color="auto" w:sz="4" w:space="0"/>
            </w:tcBorders>
            <w:vAlign w:val="center"/>
          </w:tcPr>
          <w:p w14:paraId="029E8B1A">
            <w:pPr>
              <w:pStyle w:val="64"/>
              <w:adjustRightInd w:val="0"/>
              <w:snapToGrid w:val="0"/>
              <w:rPr>
                <w:szCs w:val="22"/>
                <w14:ligatures w14:val="none"/>
              </w:rPr>
            </w:pPr>
          </w:p>
        </w:tc>
        <w:tc>
          <w:tcPr>
            <w:tcW w:w="6314" w:type="dxa"/>
            <w:gridSpan w:val="7"/>
            <w:tcBorders>
              <w:top w:val="single" w:color="auto" w:sz="4" w:space="0"/>
              <w:left w:val="single" w:color="auto" w:sz="4" w:space="0"/>
              <w:bottom w:val="single" w:color="auto" w:sz="4" w:space="0"/>
              <w:right w:val="single" w:color="auto" w:sz="4" w:space="0"/>
            </w:tcBorders>
            <w:vAlign w:val="center"/>
          </w:tcPr>
          <w:p w14:paraId="174B1394">
            <w:pPr>
              <w:pStyle w:val="64"/>
              <w:adjustRightInd w:val="0"/>
              <w:snapToGrid w:val="0"/>
              <w:rPr>
                <w:szCs w:val="22"/>
                <w:lang w:bidi="zh-CN"/>
                <w14:ligatures w14:val="none"/>
              </w:rPr>
            </w:pPr>
            <w:r>
              <w:rPr>
                <w:szCs w:val="22"/>
                <w:lang w:bidi="zh-CN"/>
                <w14:ligatures w14:val="none"/>
              </w:rPr>
              <w:t>地表水环境敏感程度E值</w:t>
            </w:r>
          </w:p>
        </w:tc>
        <w:tc>
          <w:tcPr>
            <w:tcW w:w="1822" w:type="dxa"/>
            <w:gridSpan w:val="3"/>
            <w:tcBorders>
              <w:top w:val="single" w:color="auto" w:sz="4" w:space="0"/>
              <w:left w:val="single" w:color="auto" w:sz="4" w:space="0"/>
              <w:bottom w:val="single" w:color="auto" w:sz="4" w:space="0"/>
              <w:right w:val="single" w:color="auto" w:sz="4" w:space="0"/>
            </w:tcBorders>
            <w:vAlign w:val="center"/>
          </w:tcPr>
          <w:p w14:paraId="363AD1E9">
            <w:pPr>
              <w:pStyle w:val="64"/>
              <w:adjustRightInd w:val="0"/>
              <w:snapToGrid w:val="0"/>
              <w:rPr>
                <w:szCs w:val="22"/>
                <w:lang w:bidi="zh-CN"/>
                <w14:ligatures w14:val="none"/>
              </w:rPr>
            </w:pPr>
            <w:r>
              <w:rPr>
                <w:szCs w:val="22"/>
                <w:lang w:bidi="zh-CN"/>
                <w14:ligatures w14:val="none"/>
              </w:rPr>
              <w:t>E</w:t>
            </w:r>
            <w:r>
              <w:rPr>
                <w:rFonts w:hint="eastAsia"/>
                <w:szCs w:val="22"/>
                <w:lang w:bidi="zh-CN"/>
                <w14:ligatures w14:val="none"/>
              </w:rPr>
              <w:t>1</w:t>
            </w:r>
          </w:p>
        </w:tc>
      </w:tr>
      <w:tr w14:paraId="6C668B6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936" w:type="dxa"/>
            <w:vMerge w:val="restart"/>
            <w:tcBorders>
              <w:top w:val="single" w:color="auto" w:sz="4" w:space="0"/>
              <w:left w:val="single" w:color="auto" w:sz="4" w:space="0"/>
              <w:bottom w:val="single" w:color="auto" w:sz="4" w:space="0"/>
              <w:right w:val="single" w:color="auto" w:sz="4" w:space="0"/>
            </w:tcBorders>
            <w:vAlign w:val="center"/>
          </w:tcPr>
          <w:p w14:paraId="01015FC0">
            <w:pPr>
              <w:pStyle w:val="64"/>
              <w:adjustRightInd w:val="0"/>
              <w:snapToGrid w:val="0"/>
              <w:rPr>
                <w:szCs w:val="22"/>
                <w:lang w:bidi="zh-CN"/>
                <w14:ligatures w14:val="none"/>
              </w:rPr>
            </w:pPr>
            <w:r>
              <w:rPr>
                <w:szCs w:val="22"/>
                <w:lang w:bidi="zh-CN"/>
                <w14:ligatures w14:val="none"/>
              </w:rPr>
              <w:t>地下水</w:t>
            </w:r>
          </w:p>
        </w:tc>
        <w:tc>
          <w:tcPr>
            <w:tcW w:w="869" w:type="dxa"/>
            <w:tcBorders>
              <w:top w:val="single" w:color="auto" w:sz="4" w:space="0"/>
              <w:left w:val="single" w:color="auto" w:sz="4" w:space="0"/>
              <w:bottom w:val="single" w:color="auto" w:sz="4" w:space="0"/>
              <w:right w:val="single" w:color="auto" w:sz="4" w:space="0"/>
            </w:tcBorders>
            <w:vAlign w:val="center"/>
          </w:tcPr>
          <w:p w14:paraId="2CC2FB67">
            <w:pPr>
              <w:pStyle w:val="64"/>
              <w:adjustRightInd w:val="0"/>
              <w:snapToGrid w:val="0"/>
              <w:rPr>
                <w:szCs w:val="22"/>
                <w:lang w:bidi="zh-CN"/>
                <w14:ligatures w14:val="none"/>
              </w:rPr>
            </w:pPr>
            <w:r>
              <w:rPr>
                <w:szCs w:val="22"/>
                <w:lang w:bidi="zh-CN"/>
                <w14:ligatures w14:val="none"/>
              </w:rPr>
              <w:t>序号</w:t>
            </w:r>
          </w:p>
        </w:tc>
        <w:tc>
          <w:tcPr>
            <w:tcW w:w="1597" w:type="dxa"/>
            <w:tcBorders>
              <w:top w:val="single" w:color="auto" w:sz="4" w:space="0"/>
              <w:left w:val="single" w:color="auto" w:sz="4" w:space="0"/>
              <w:bottom w:val="single" w:color="auto" w:sz="4" w:space="0"/>
              <w:right w:val="single" w:color="auto" w:sz="4" w:space="0"/>
            </w:tcBorders>
            <w:vAlign w:val="center"/>
          </w:tcPr>
          <w:p w14:paraId="4F33702A">
            <w:pPr>
              <w:pStyle w:val="64"/>
              <w:adjustRightInd w:val="0"/>
              <w:snapToGrid w:val="0"/>
              <w:rPr>
                <w:szCs w:val="22"/>
                <w:lang w:bidi="zh-CN"/>
                <w14:ligatures w14:val="none"/>
              </w:rPr>
            </w:pPr>
            <w:r>
              <w:rPr>
                <w:szCs w:val="22"/>
                <w:lang w:bidi="zh-CN"/>
                <w14:ligatures w14:val="none"/>
              </w:rPr>
              <w:t>环境敏感区特征</w:t>
            </w:r>
          </w:p>
        </w:tc>
        <w:tc>
          <w:tcPr>
            <w:tcW w:w="1613" w:type="dxa"/>
            <w:gridSpan w:val="2"/>
            <w:tcBorders>
              <w:top w:val="single" w:color="auto" w:sz="4" w:space="0"/>
              <w:left w:val="single" w:color="auto" w:sz="4" w:space="0"/>
              <w:bottom w:val="single" w:color="auto" w:sz="4" w:space="0"/>
              <w:right w:val="single" w:color="auto" w:sz="4" w:space="0"/>
            </w:tcBorders>
            <w:vAlign w:val="center"/>
          </w:tcPr>
          <w:p w14:paraId="0362E71F">
            <w:pPr>
              <w:pStyle w:val="64"/>
              <w:adjustRightInd w:val="0"/>
              <w:snapToGrid w:val="0"/>
              <w:rPr>
                <w:szCs w:val="22"/>
                <w:lang w:bidi="zh-CN"/>
                <w14:ligatures w14:val="none"/>
              </w:rPr>
            </w:pPr>
            <w:r>
              <w:rPr>
                <w:szCs w:val="22"/>
                <w:lang w:bidi="zh-CN"/>
                <w14:ligatures w14:val="none"/>
              </w:rPr>
              <w:t>环境敏感特征</w:t>
            </w:r>
          </w:p>
        </w:tc>
        <w:tc>
          <w:tcPr>
            <w:tcW w:w="1351" w:type="dxa"/>
            <w:gridSpan w:val="2"/>
            <w:tcBorders>
              <w:top w:val="single" w:color="auto" w:sz="4" w:space="0"/>
              <w:left w:val="single" w:color="auto" w:sz="4" w:space="0"/>
              <w:bottom w:val="single" w:color="auto" w:sz="4" w:space="0"/>
              <w:right w:val="single" w:color="auto" w:sz="4" w:space="0"/>
            </w:tcBorders>
            <w:vAlign w:val="center"/>
          </w:tcPr>
          <w:p w14:paraId="0449429E">
            <w:pPr>
              <w:pStyle w:val="64"/>
              <w:adjustRightInd w:val="0"/>
              <w:snapToGrid w:val="0"/>
              <w:rPr>
                <w:szCs w:val="22"/>
                <w:lang w:bidi="zh-CN"/>
                <w14:ligatures w14:val="none"/>
              </w:rPr>
            </w:pPr>
            <w:r>
              <w:rPr>
                <w:szCs w:val="22"/>
                <w:lang w:bidi="zh-CN"/>
                <w14:ligatures w14:val="none"/>
              </w:rPr>
              <w:t>水质目标</w:t>
            </w:r>
          </w:p>
        </w:tc>
        <w:tc>
          <w:tcPr>
            <w:tcW w:w="1356" w:type="dxa"/>
            <w:gridSpan w:val="3"/>
            <w:tcBorders>
              <w:top w:val="single" w:color="auto" w:sz="4" w:space="0"/>
              <w:left w:val="single" w:color="auto" w:sz="4" w:space="0"/>
              <w:bottom w:val="single" w:color="auto" w:sz="4" w:space="0"/>
              <w:right w:val="single" w:color="auto" w:sz="4" w:space="0"/>
            </w:tcBorders>
            <w:vAlign w:val="center"/>
          </w:tcPr>
          <w:p w14:paraId="098D5D47">
            <w:pPr>
              <w:pStyle w:val="64"/>
              <w:adjustRightInd w:val="0"/>
              <w:snapToGrid w:val="0"/>
              <w:rPr>
                <w:szCs w:val="22"/>
                <w:lang w:bidi="zh-CN"/>
                <w14:ligatures w14:val="none"/>
              </w:rPr>
            </w:pPr>
            <w:r>
              <w:rPr>
                <w:szCs w:val="22"/>
                <w:lang w:bidi="zh-CN"/>
                <w14:ligatures w14:val="none"/>
              </w:rPr>
              <w:t>包气带防污</w:t>
            </w:r>
          </w:p>
          <w:p w14:paraId="0F4010E9">
            <w:pPr>
              <w:pStyle w:val="64"/>
              <w:adjustRightInd w:val="0"/>
              <w:snapToGrid w:val="0"/>
              <w:rPr>
                <w:szCs w:val="22"/>
                <w:lang w:bidi="zh-CN"/>
                <w14:ligatures w14:val="none"/>
              </w:rPr>
            </w:pPr>
            <w:r>
              <w:rPr>
                <w:szCs w:val="22"/>
                <w:lang w:bidi="zh-CN"/>
                <w14:ligatures w14:val="none"/>
              </w:rPr>
              <w:t>性能</w:t>
            </w:r>
          </w:p>
        </w:tc>
        <w:tc>
          <w:tcPr>
            <w:tcW w:w="1350" w:type="dxa"/>
            <w:tcBorders>
              <w:top w:val="single" w:color="auto" w:sz="4" w:space="0"/>
              <w:left w:val="single" w:color="auto" w:sz="4" w:space="0"/>
              <w:bottom w:val="single" w:color="auto" w:sz="4" w:space="0"/>
              <w:right w:val="single" w:color="auto" w:sz="4" w:space="0"/>
            </w:tcBorders>
            <w:vAlign w:val="center"/>
          </w:tcPr>
          <w:p w14:paraId="27D58340">
            <w:pPr>
              <w:pStyle w:val="64"/>
              <w:adjustRightInd w:val="0"/>
              <w:snapToGrid w:val="0"/>
              <w:rPr>
                <w:szCs w:val="22"/>
                <w:lang w:bidi="zh-CN"/>
                <w14:ligatures w14:val="none"/>
              </w:rPr>
            </w:pPr>
            <w:r>
              <w:rPr>
                <w:szCs w:val="22"/>
                <w:lang w:bidi="zh-CN"/>
                <w14:ligatures w14:val="none"/>
              </w:rPr>
              <w:t>与下游厂界</w:t>
            </w:r>
          </w:p>
          <w:p w14:paraId="45190877">
            <w:pPr>
              <w:pStyle w:val="64"/>
              <w:adjustRightInd w:val="0"/>
              <w:snapToGrid w:val="0"/>
              <w:rPr>
                <w:szCs w:val="22"/>
                <w:lang w:bidi="zh-CN"/>
                <w14:ligatures w14:val="none"/>
              </w:rPr>
            </w:pPr>
            <w:r>
              <w:rPr>
                <w:szCs w:val="22"/>
                <w:lang w:bidi="zh-CN"/>
                <w14:ligatures w14:val="none"/>
              </w:rPr>
              <w:t>距离/m</w:t>
            </w:r>
          </w:p>
        </w:tc>
      </w:tr>
      <w:tr w14:paraId="7E22BED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936" w:type="dxa"/>
            <w:vMerge w:val="continue"/>
            <w:tcBorders>
              <w:top w:val="single" w:color="auto" w:sz="4" w:space="0"/>
              <w:left w:val="single" w:color="auto" w:sz="4" w:space="0"/>
              <w:bottom w:val="single" w:color="auto" w:sz="4" w:space="0"/>
              <w:right w:val="single" w:color="auto" w:sz="4" w:space="0"/>
            </w:tcBorders>
            <w:vAlign w:val="center"/>
          </w:tcPr>
          <w:p w14:paraId="34FDF363">
            <w:pPr>
              <w:pStyle w:val="64"/>
              <w:adjustRightInd w:val="0"/>
              <w:snapToGrid w:val="0"/>
              <w:rPr>
                <w:szCs w:val="22"/>
                <w14:ligatures w14:val="none"/>
              </w:rPr>
            </w:pPr>
          </w:p>
        </w:tc>
        <w:tc>
          <w:tcPr>
            <w:tcW w:w="869" w:type="dxa"/>
            <w:tcBorders>
              <w:top w:val="single" w:color="auto" w:sz="4" w:space="0"/>
              <w:left w:val="single" w:color="auto" w:sz="4" w:space="0"/>
              <w:bottom w:val="single" w:color="auto" w:sz="4" w:space="0"/>
              <w:right w:val="single" w:color="auto" w:sz="4" w:space="0"/>
            </w:tcBorders>
            <w:vAlign w:val="center"/>
          </w:tcPr>
          <w:p w14:paraId="0D6EED37">
            <w:pPr>
              <w:pStyle w:val="64"/>
              <w:adjustRightInd w:val="0"/>
              <w:snapToGrid w:val="0"/>
              <w:rPr>
                <w:szCs w:val="22"/>
                <w:lang w:bidi="zh-CN"/>
                <w14:ligatures w14:val="none"/>
              </w:rPr>
            </w:pPr>
            <w:r>
              <w:rPr>
                <w:szCs w:val="22"/>
                <w:lang w:bidi="zh-CN"/>
                <w14:ligatures w14:val="none"/>
              </w:rPr>
              <w:t>/</w:t>
            </w:r>
          </w:p>
        </w:tc>
        <w:tc>
          <w:tcPr>
            <w:tcW w:w="1597" w:type="dxa"/>
            <w:tcBorders>
              <w:top w:val="single" w:color="auto" w:sz="4" w:space="0"/>
              <w:left w:val="single" w:color="auto" w:sz="4" w:space="0"/>
              <w:bottom w:val="single" w:color="auto" w:sz="4" w:space="0"/>
              <w:right w:val="single" w:color="auto" w:sz="4" w:space="0"/>
            </w:tcBorders>
            <w:vAlign w:val="center"/>
          </w:tcPr>
          <w:p w14:paraId="738F1F0F">
            <w:pPr>
              <w:pStyle w:val="64"/>
              <w:adjustRightInd w:val="0"/>
              <w:snapToGrid w:val="0"/>
              <w:rPr>
                <w:szCs w:val="22"/>
                <w:lang w:bidi="zh-CN"/>
                <w14:ligatures w14:val="none"/>
              </w:rPr>
            </w:pPr>
            <w:r>
              <w:rPr>
                <w:szCs w:val="22"/>
                <w:lang w:bidi="zh-CN"/>
                <w14:ligatures w14:val="none"/>
              </w:rPr>
              <w:t>/</w:t>
            </w:r>
          </w:p>
        </w:tc>
        <w:tc>
          <w:tcPr>
            <w:tcW w:w="1613" w:type="dxa"/>
            <w:gridSpan w:val="2"/>
            <w:tcBorders>
              <w:top w:val="single" w:color="auto" w:sz="4" w:space="0"/>
              <w:left w:val="single" w:color="auto" w:sz="4" w:space="0"/>
              <w:bottom w:val="single" w:color="auto" w:sz="4" w:space="0"/>
              <w:right w:val="single" w:color="auto" w:sz="4" w:space="0"/>
            </w:tcBorders>
            <w:vAlign w:val="center"/>
          </w:tcPr>
          <w:p w14:paraId="54A7789C">
            <w:pPr>
              <w:pStyle w:val="64"/>
              <w:adjustRightInd w:val="0"/>
              <w:snapToGrid w:val="0"/>
              <w:rPr>
                <w:szCs w:val="22"/>
                <w:lang w:bidi="zh-CN"/>
                <w14:ligatures w14:val="none"/>
              </w:rPr>
            </w:pPr>
            <w:r>
              <w:rPr>
                <w:szCs w:val="22"/>
                <w:lang w:bidi="zh-CN"/>
                <w14:ligatures w14:val="none"/>
              </w:rPr>
              <w:t>/</w:t>
            </w:r>
          </w:p>
        </w:tc>
        <w:tc>
          <w:tcPr>
            <w:tcW w:w="1351" w:type="dxa"/>
            <w:gridSpan w:val="2"/>
            <w:tcBorders>
              <w:top w:val="single" w:color="auto" w:sz="4" w:space="0"/>
              <w:left w:val="single" w:color="auto" w:sz="4" w:space="0"/>
              <w:bottom w:val="single" w:color="auto" w:sz="4" w:space="0"/>
              <w:right w:val="single" w:color="auto" w:sz="4" w:space="0"/>
            </w:tcBorders>
            <w:vAlign w:val="center"/>
          </w:tcPr>
          <w:p w14:paraId="37CAE3BF">
            <w:pPr>
              <w:pStyle w:val="64"/>
              <w:adjustRightInd w:val="0"/>
              <w:snapToGrid w:val="0"/>
              <w:rPr>
                <w:szCs w:val="22"/>
                <w:lang w:bidi="zh-CN"/>
                <w14:ligatures w14:val="none"/>
              </w:rPr>
            </w:pPr>
            <w:r>
              <w:rPr>
                <w:szCs w:val="22"/>
                <w:lang w:bidi="zh-CN"/>
                <w14:ligatures w14:val="none"/>
              </w:rPr>
              <w:t>/</w:t>
            </w:r>
          </w:p>
        </w:tc>
        <w:tc>
          <w:tcPr>
            <w:tcW w:w="1356" w:type="dxa"/>
            <w:gridSpan w:val="3"/>
            <w:tcBorders>
              <w:top w:val="single" w:color="auto" w:sz="4" w:space="0"/>
              <w:left w:val="single" w:color="auto" w:sz="4" w:space="0"/>
              <w:bottom w:val="single" w:color="auto" w:sz="4" w:space="0"/>
              <w:right w:val="single" w:color="auto" w:sz="4" w:space="0"/>
            </w:tcBorders>
            <w:vAlign w:val="center"/>
          </w:tcPr>
          <w:p w14:paraId="7D8FDF83">
            <w:pPr>
              <w:pStyle w:val="64"/>
              <w:adjustRightInd w:val="0"/>
              <w:snapToGrid w:val="0"/>
              <w:rPr>
                <w:szCs w:val="22"/>
                <w:lang w:bidi="zh-CN"/>
                <w14:ligatures w14:val="none"/>
              </w:rPr>
            </w:pPr>
            <w:r>
              <w:rPr>
                <w:szCs w:val="22"/>
                <w:lang w:bidi="zh-CN"/>
                <w14:ligatures w14:val="none"/>
              </w:rPr>
              <w:t>D2</w:t>
            </w:r>
          </w:p>
        </w:tc>
        <w:tc>
          <w:tcPr>
            <w:tcW w:w="1350" w:type="dxa"/>
            <w:tcBorders>
              <w:top w:val="single" w:color="auto" w:sz="4" w:space="0"/>
              <w:left w:val="single" w:color="auto" w:sz="4" w:space="0"/>
              <w:bottom w:val="single" w:color="auto" w:sz="4" w:space="0"/>
              <w:right w:val="single" w:color="auto" w:sz="4" w:space="0"/>
            </w:tcBorders>
            <w:vAlign w:val="center"/>
          </w:tcPr>
          <w:p w14:paraId="137EAF96">
            <w:pPr>
              <w:pStyle w:val="64"/>
              <w:adjustRightInd w:val="0"/>
              <w:snapToGrid w:val="0"/>
              <w:rPr>
                <w:szCs w:val="22"/>
                <w:lang w:bidi="zh-CN"/>
                <w14:ligatures w14:val="none"/>
              </w:rPr>
            </w:pPr>
            <w:r>
              <w:rPr>
                <w:szCs w:val="22"/>
                <w:lang w:bidi="zh-CN"/>
                <w14:ligatures w14:val="none"/>
              </w:rPr>
              <w:t>/</w:t>
            </w:r>
          </w:p>
        </w:tc>
      </w:tr>
      <w:tr w14:paraId="144CE69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936" w:type="dxa"/>
            <w:vMerge w:val="continue"/>
            <w:tcBorders>
              <w:top w:val="single" w:color="auto" w:sz="4" w:space="0"/>
              <w:left w:val="single" w:color="auto" w:sz="4" w:space="0"/>
              <w:bottom w:val="single" w:color="auto" w:sz="4" w:space="0"/>
              <w:right w:val="single" w:color="auto" w:sz="4" w:space="0"/>
            </w:tcBorders>
            <w:vAlign w:val="center"/>
          </w:tcPr>
          <w:p w14:paraId="16013F64">
            <w:pPr>
              <w:pStyle w:val="64"/>
              <w:adjustRightInd w:val="0"/>
              <w:snapToGrid w:val="0"/>
              <w:rPr>
                <w:szCs w:val="22"/>
                <w14:ligatures w14:val="none"/>
              </w:rPr>
            </w:pPr>
          </w:p>
        </w:tc>
        <w:tc>
          <w:tcPr>
            <w:tcW w:w="6786" w:type="dxa"/>
            <w:gridSpan w:val="9"/>
            <w:tcBorders>
              <w:top w:val="single" w:color="auto" w:sz="4" w:space="0"/>
              <w:left w:val="single" w:color="auto" w:sz="4" w:space="0"/>
              <w:bottom w:val="single" w:color="auto" w:sz="4" w:space="0"/>
              <w:right w:val="single" w:color="auto" w:sz="4" w:space="0"/>
            </w:tcBorders>
            <w:vAlign w:val="center"/>
          </w:tcPr>
          <w:p w14:paraId="48E992CE">
            <w:pPr>
              <w:pStyle w:val="64"/>
              <w:adjustRightInd w:val="0"/>
              <w:snapToGrid w:val="0"/>
              <w:rPr>
                <w:szCs w:val="22"/>
                <w:lang w:bidi="zh-CN"/>
                <w14:ligatures w14:val="none"/>
              </w:rPr>
            </w:pPr>
            <w:r>
              <w:rPr>
                <w:szCs w:val="22"/>
                <w:lang w:bidi="zh-CN"/>
                <w14:ligatures w14:val="none"/>
              </w:rPr>
              <w:t>地下水环境敏感程度E值</w:t>
            </w:r>
          </w:p>
        </w:tc>
        <w:tc>
          <w:tcPr>
            <w:tcW w:w="1350" w:type="dxa"/>
            <w:tcBorders>
              <w:top w:val="single" w:color="auto" w:sz="4" w:space="0"/>
              <w:left w:val="single" w:color="auto" w:sz="4" w:space="0"/>
              <w:bottom w:val="single" w:color="auto" w:sz="4" w:space="0"/>
              <w:right w:val="single" w:color="auto" w:sz="4" w:space="0"/>
            </w:tcBorders>
            <w:vAlign w:val="center"/>
          </w:tcPr>
          <w:p w14:paraId="43B1BA82">
            <w:pPr>
              <w:pStyle w:val="64"/>
              <w:adjustRightInd w:val="0"/>
              <w:snapToGrid w:val="0"/>
              <w:rPr>
                <w:szCs w:val="22"/>
                <w:lang w:bidi="zh-CN"/>
                <w14:ligatures w14:val="none"/>
              </w:rPr>
            </w:pPr>
            <w:r>
              <w:rPr>
                <w:szCs w:val="22"/>
                <w:lang w:bidi="zh-CN"/>
                <w14:ligatures w14:val="none"/>
              </w:rPr>
              <w:t>E3</w:t>
            </w:r>
          </w:p>
        </w:tc>
      </w:tr>
    </w:tbl>
    <w:p w14:paraId="6538099F">
      <w:pPr>
        <w:rPr>
          <w:rFonts w:cs="Times New Roman"/>
          <w:spacing w:val="-3"/>
        </w:rPr>
      </w:pPr>
    </w:p>
    <w:p w14:paraId="31D60AE1">
      <w:pPr>
        <w:rPr>
          <w:rFonts w:cs="Times New Roman"/>
          <w:spacing w:val="-3"/>
        </w:rPr>
      </w:pPr>
    </w:p>
    <w:p w14:paraId="7B6C25B6">
      <w:pPr>
        <w:rPr>
          <w:rFonts w:cs="Times New Roman"/>
          <w:spacing w:val="-3"/>
        </w:rPr>
      </w:pPr>
    </w:p>
    <w:p w14:paraId="7EEFBE5C">
      <w:pPr>
        <w:rPr>
          <w:rFonts w:cs="Times New Roman"/>
          <w:spacing w:val="-3"/>
        </w:rPr>
      </w:pPr>
    </w:p>
    <w:p w14:paraId="4E66CA61">
      <w:pPr>
        <w:rPr>
          <w:rFonts w:cs="Times New Roman"/>
          <w:spacing w:val="-3"/>
        </w:rPr>
        <w:sectPr>
          <w:pgSz w:w="11906" w:h="16838"/>
          <w:pgMar w:top="1418" w:right="1418" w:bottom="1418" w:left="1418" w:header="851" w:footer="992" w:gutter="0"/>
          <w:cols w:space="425" w:num="1"/>
          <w:docGrid w:type="lines" w:linePitch="326" w:charSpace="0"/>
        </w:sectPr>
      </w:pPr>
    </w:p>
    <w:p w14:paraId="586EC7EC">
      <w:pPr>
        <w:spacing w:line="240" w:lineRule="auto"/>
        <w:jc w:val="center"/>
        <w:rPr>
          <w:rFonts w:cs="Times New Roman"/>
          <w:spacing w:val="-3"/>
        </w:rPr>
      </w:pPr>
      <w:r>
        <w:rPr>
          <w:rFonts w:cs="Times New Roman"/>
          <w:spacing w:val="-3"/>
        </w:rPr>
        <w:drawing>
          <wp:inline distT="0" distB="0" distL="0" distR="0">
            <wp:extent cx="6199505" cy="5327650"/>
            <wp:effectExtent l="0" t="0" r="0" b="6350"/>
            <wp:docPr id="340476568"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476568" name="图片 157"/>
                    <pic:cNvPicPr>
                      <a:picLocks noChangeAspect="1"/>
                    </pic:cNvPicPr>
                  </pic:nvPicPr>
                  <pic:blipFill>
                    <a:blip r:embed="rId55">
                      <a:extLst>
                        <a:ext uri="{28A0092B-C50C-407E-A947-70E740481C1C}">
                          <a14:useLocalDpi xmlns:a14="http://schemas.microsoft.com/office/drawing/2010/main" val="0"/>
                        </a:ext>
                      </a:extLst>
                    </a:blip>
                    <a:stretch>
                      <a:fillRect/>
                    </a:stretch>
                  </pic:blipFill>
                  <pic:spPr>
                    <a:xfrm>
                      <a:off x="0" y="0"/>
                      <a:ext cx="6199748" cy="5328000"/>
                    </a:xfrm>
                    <a:prstGeom prst="rect">
                      <a:avLst/>
                    </a:prstGeom>
                  </pic:spPr>
                </pic:pic>
              </a:graphicData>
            </a:graphic>
          </wp:inline>
        </w:drawing>
      </w:r>
    </w:p>
    <w:p w14:paraId="2CF89D06">
      <w:pPr>
        <w:pStyle w:val="28"/>
        <w:rPr>
          <w:rFonts w:hint="eastAsia"/>
        </w:rPr>
      </w:pPr>
      <w:r>
        <w:rPr>
          <w:rFonts w:hint="eastAsia"/>
        </w:rPr>
        <w:t>图6.8-2 项目环境风险敏感目标示意图</w:t>
      </w:r>
    </w:p>
    <w:p w14:paraId="58ACC56C">
      <w:pPr>
        <w:rPr>
          <w:rFonts w:cs="Times New Roman"/>
          <w:spacing w:val="-3"/>
        </w:rPr>
        <w:sectPr>
          <w:pgSz w:w="16838" w:h="11906" w:orient="landscape"/>
          <w:pgMar w:top="1418" w:right="1418" w:bottom="1418" w:left="1418" w:header="851" w:footer="992" w:gutter="0"/>
          <w:cols w:space="425" w:num="1"/>
          <w:docGrid w:type="lines" w:linePitch="326" w:charSpace="0"/>
        </w:sectPr>
      </w:pPr>
    </w:p>
    <w:p w14:paraId="771E9CB1">
      <w:pPr>
        <w:pStyle w:val="4"/>
        <w:rPr>
          <w:rFonts w:hint="eastAsia"/>
        </w:rPr>
      </w:pPr>
      <w:bookmarkStart w:id="125" w:name="_Toc221056438"/>
      <w:r>
        <w:rPr>
          <w:rFonts w:hint="eastAsia"/>
        </w:rPr>
        <w:t>6.8.3环境风险潜势初判</w:t>
      </w:r>
      <w:bookmarkEnd w:id="125"/>
    </w:p>
    <w:p w14:paraId="6C6E380C">
      <w:pPr>
        <w:pStyle w:val="16"/>
        <w:ind w:firstLine="480"/>
      </w:pPr>
      <w:r>
        <w:rPr>
          <w:rFonts w:hint="eastAsia"/>
        </w:rPr>
        <w:t>1、危险物质与工艺系统危险性(P)的分级</w:t>
      </w:r>
    </w:p>
    <w:p w14:paraId="5B69070A">
      <w:pPr>
        <w:pStyle w:val="16"/>
        <w:ind w:firstLine="480"/>
      </w:pPr>
      <w:r>
        <w:t>根据《建设项目环境风险评价技术导则》(HJ169-2018)，危险物质及工艺系统危害(P)应根据危险物质数量与临界量的比值(Q)和行业及生产工艺(M)共同确定。</w:t>
      </w:r>
    </w:p>
    <w:p w14:paraId="673FED03">
      <w:pPr>
        <w:pStyle w:val="16"/>
        <w:ind w:firstLine="480"/>
      </w:pPr>
      <w:r>
        <w:t>(1)危险物质数量及临界量比值(Q)</w:t>
      </w:r>
    </w:p>
    <w:p w14:paraId="1A7478E3">
      <w:pPr>
        <w:pStyle w:val="16"/>
        <w:ind w:firstLine="480"/>
      </w:pPr>
      <w:r>
        <w:t>根据《建设项目环境风险评价技术导则》(HJ169-2018)，当只涉及一种危险物质时，计算该物质的总量与其临界量比值，即为Q。</w:t>
      </w:r>
    </w:p>
    <w:p w14:paraId="014E6C6B">
      <w:pPr>
        <w:pStyle w:val="16"/>
        <w:ind w:firstLine="480"/>
      </w:pPr>
      <w:r>
        <w:t>当存在多种危险物质时，则按</w:t>
      </w:r>
      <w:r>
        <w:rPr>
          <w:rFonts w:hint="eastAsia"/>
        </w:rPr>
        <w:t>下式</w:t>
      </w:r>
      <w:r>
        <w:t>计算物质总量与其临界量比值(Q)：</w:t>
      </w:r>
    </w:p>
    <w:p w14:paraId="38A1F114">
      <w:pPr>
        <w:pStyle w:val="16"/>
        <w:ind w:firstLine="0" w:firstLineChars="0"/>
        <w:jc w:val="center"/>
      </w:pPr>
      <w:r>
        <w:t>Q=q</w:t>
      </w:r>
      <w:r>
        <w:rPr>
          <w:vertAlign w:val="subscript"/>
        </w:rPr>
        <w:t>1</w:t>
      </w:r>
      <w:r>
        <w:t>/Q</w:t>
      </w:r>
      <w:r>
        <w:rPr>
          <w:vertAlign w:val="subscript"/>
        </w:rPr>
        <w:t>1</w:t>
      </w:r>
      <w:r>
        <w:t>+q</w:t>
      </w:r>
      <w:r>
        <w:rPr>
          <w:vertAlign w:val="subscript"/>
        </w:rPr>
        <w:t>2</w:t>
      </w:r>
      <w:r>
        <w:t>/Q</w:t>
      </w:r>
      <w:r>
        <w:rPr>
          <w:vertAlign w:val="subscript"/>
        </w:rPr>
        <w:t>2</w:t>
      </w:r>
      <w:r>
        <w:t>+···+q</w:t>
      </w:r>
      <w:r>
        <w:rPr>
          <w:vertAlign w:val="subscript"/>
        </w:rPr>
        <w:t>n</w:t>
      </w:r>
      <w:r>
        <w:t>/Q</w:t>
      </w:r>
      <w:r>
        <w:rPr>
          <w:vertAlign w:val="subscript"/>
        </w:rPr>
        <w:t>n</w:t>
      </w:r>
    </w:p>
    <w:p w14:paraId="37AA6C8D">
      <w:pPr>
        <w:pStyle w:val="16"/>
        <w:ind w:firstLine="480"/>
      </w:pPr>
      <w:r>
        <w:t>式中：q</w:t>
      </w:r>
      <w:r>
        <w:rPr>
          <w:vertAlign w:val="subscript"/>
        </w:rPr>
        <w:t>1</w:t>
      </w:r>
      <w:r>
        <w:t>，q</w:t>
      </w:r>
      <w:r>
        <w:rPr>
          <w:vertAlign w:val="subscript"/>
        </w:rPr>
        <w:t>2</w:t>
      </w:r>
      <w:r>
        <w:t>…q</w:t>
      </w:r>
      <w:r>
        <w:rPr>
          <w:vertAlign w:val="subscript"/>
        </w:rPr>
        <w:t>n</w:t>
      </w:r>
      <w:r>
        <w:t>——每种危险物质的最大存在量，t；</w:t>
      </w:r>
    </w:p>
    <w:p w14:paraId="20132BD3">
      <w:pPr>
        <w:pStyle w:val="16"/>
        <w:ind w:firstLine="1200" w:firstLineChars="500"/>
      </w:pPr>
      <w:r>
        <w:t>Q</w:t>
      </w:r>
      <w:r>
        <w:rPr>
          <w:vertAlign w:val="subscript"/>
        </w:rPr>
        <w:t>1</w:t>
      </w:r>
      <w:r>
        <w:t>，Q</w:t>
      </w:r>
      <w:r>
        <w:rPr>
          <w:vertAlign w:val="subscript"/>
        </w:rPr>
        <w:t>2</w:t>
      </w:r>
      <w:r>
        <w:t>，…Q</w:t>
      </w:r>
      <w:r>
        <w:rPr>
          <w:vertAlign w:val="subscript"/>
        </w:rPr>
        <w:t>n</w:t>
      </w:r>
      <w:r>
        <w:t>——每种危险物质的临界量，t。</w:t>
      </w:r>
    </w:p>
    <w:p w14:paraId="1A8505E3">
      <w:pPr>
        <w:pStyle w:val="16"/>
        <w:ind w:firstLine="480"/>
      </w:pPr>
      <w:r>
        <w:t>当Q&lt;1时，该项目环境风险潜势为Ⅰ。</w:t>
      </w:r>
    </w:p>
    <w:p w14:paraId="7C3F8CD5">
      <w:pPr>
        <w:pStyle w:val="16"/>
        <w:ind w:firstLine="480"/>
      </w:pPr>
      <w:r>
        <w:t>当Q≥1时，将Q值划分为：(1)1≤Q&lt;10；(2)10≤Q&lt;100；(3)Q≥100。</w:t>
      </w:r>
    </w:p>
    <w:p w14:paraId="2D0AD080">
      <w:pPr>
        <w:pStyle w:val="16"/>
        <w:ind w:firstLine="480"/>
      </w:pPr>
      <w:r>
        <w:t>本项目判定结果见下表。</w:t>
      </w:r>
    </w:p>
    <w:p w14:paraId="12ED8190">
      <w:pPr>
        <w:pStyle w:val="28"/>
        <w:rPr>
          <w:rFonts w:hint="eastAsia"/>
        </w:rPr>
      </w:pPr>
      <w:r>
        <w:t>表</w:t>
      </w:r>
      <w:r>
        <w:rPr>
          <w:rFonts w:hint="eastAsia"/>
        </w:rPr>
        <w:t>6</w:t>
      </w:r>
      <w:r>
        <w:t>.</w:t>
      </w:r>
      <w:r>
        <w:rPr>
          <w:rFonts w:hint="eastAsia"/>
        </w:rPr>
        <w:t>8</w:t>
      </w:r>
      <w:r>
        <w:t>-</w:t>
      </w:r>
      <w:r>
        <w:rPr>
          <w:rFonts w:hint="eastAsia"/>
        </w:rPr>
        <w:t>6</w:t>
      </w:r>
      <w:r>
        <w:t xml:space="preserve">  项目Q值确定表</w:t>
      </w:r>
    </w:p>
    <w:tbl>
      <w:tblPr>
        <w:tblStyle w:val="36"/>
        <w:tblW w:w="5082"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426"/>
        <w:gridCol w:w="1309"/>
        <w:gridCol w:w="1143"/>
        <w:gridCol w:w="895"/>
        <w:gridCol w:w="838"/>
        <w:gridCol w:w="1156"/>
        <w:gridCol w:w="974"/>
        <w:gridCol w:w="794"/>
        <w:gridCol w:w="1674"/>
      </w:tblGrid>
      <w:tr w14:paraId="53FC4C7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231" w:type="pct"/>
            <w:tcBorders>
              <w:top w:val="single" w:color="auto" w:sz="4" w:space="0"/>
              <w:left w:val="single" w:color="auto" w:sz="4" w:space="0"/>
              <w:bottom w:val="single" w:color="auto" w:sz="4" w:space="0"/>
              <w:right w:val="single" w:color="auto" w:sz="4" w:space="0"/>
            </w:tcBorders>
            <w:vAlign w:val="center"/>
          </w:tcPr>
          <w:p w14:paraId="3C903A98">
            <w:pPr>
              <w:pStyle w:val="64"/>
            </w:pPr>
            <w:r>
              <w:t>序号</w:t>
            </w:r>
          </w:p>
        </w:tc>
        <w:tc>
          <w:tcPr>
            <w:tcW w:w="719" w:type="pct"/>
            <w:tcBorders>
              <w:top w:val="single" w:color="auto" w:sz="4" w:space="0"/>
              <w:left w:val="single" w:color="auto" w:sz="4" w:space="0"/>
              <w:bottom w:val="single" w:color="auto" w:sz="4" w:space="0"/>
              <w:right w:val="single" w:color="auto" w:sz="4" w:space="0"/>
            </w:tcBorders>
            <w:vAlign w:val="center"/>
          </w:tcPr>
          <w:p w14:paraId="0424A56D">
            <w:pPr>
              <w:pStyle w:val="64"/>
            </w:pPr>
            <w:r>
              <w:t>危险物质</w:t>
            </w:r>
          </w:p>
          <w:p w14:paraId="0CEAEFA9">
            <w:pPr>
              <w:pStyle w:val="64"/>
            </w:pPr>
            <w:r>
              <w:t>名称</w:t>
            </w:r>
          </w:p>
        </w:tc>
        <w:tc>
          <w:tcPr>
            <w:tcW w:w="629" w:type="pct"/>
            <w:tcBorders>
              <w:top w:val="single" w:color="auto" w:sz="4" w:space="0"/>
              <w:left w:val="single" w:color="auto" w:sz="4" w:space="0"/>
              <w:bottom w:val="single" w:color="auto" w:sz="4" w:space="0"/>
              <w:right w:val="single" w:color="auto" w:sz="4" w:space="0"/>
            </w:tcBorders>
            <w:vAlign w:val="center"/>
          </w:tcPr>
          <w:p w14:paraId="2BF8EE8D">
            <w:pPr>
              <w:pStyle w:val="64"/>
            </w:pPr>
            <w:r>
              <w:t>CAS号</w:t>
            </w:r>
          </w:p>
        </w:tc>
        <w:tc>
          <w:tcPr>
            <w:tcW w:w="494" w:type="pct"/>
            <w:vAlign w:val="center"/>
          </w:tcPr>
          <w:p w14:paraId="07E46DFE">
            <w:pPr>
              <w:pStyle w:val="64"/>
            </w:pPr>
            <w:r>
              <w:rPr>
                <w:rFonts w:hint="eastAsia"/>
              </w:rPr>
              <w:t>最大储存量</w:t>
            </w:r>
          </w:p>
        </w:tc>
        <w:tc>
          <w:tcPr>
            <w:tcW w:w="463" w:type="pct"/>
            <w:vAlign w:val="center"/>
          </w:tcPr>
          <w:p w14:paraId="615C69C9">
            <w:pPr>
              <w:pStyle w:val="64"/>
            </w:pPr>
            <w:r>
              <w:rPr>
                <w:rFonts w:hint="eastAsia"/>
              </w:rPr>
              <w:t>最大在线量</w:t>
            </w:r>
          </w:p>
        </w:tc>
        <w:tc>
          <w:tcPr>
            <w:tcW w:w="636" w:type="pct"/>
            <w:tcBorders>
              <w:top w:val="single" w:color="auto" w:sz="4" w:space="0"/>
              <w:left w:val="single" w:color="auto" w:sz="4" w:space="0"/>
              <w:bottom w:val="single" w:color="auto" w:sz="4" w:space="0"/>
              <w:right w:val="single" w:color="auto" w:sz="4" w:space="0"/>
            </w:tcBorders>
            <w:vAlign w:val="center"/>
          </w:tcPr>
          <w:p w14:paraId="31532CEC">
            <w:pPr>
              <w:pStyle w:val="64"/>
            </w:pPr>
            <w:r>
              <w:t>最大存在总量q</w:t>
            </w:r>
            <w:r>
              <w:rPr>
                <w:vertAlign w:val="subscript"/>
              </w:rPr>
              <w:t>n</w:t>
            </w:r>
            <w:r>
              <w:t>/t</w:t>
            </w:r>
          </w:p>
        </w:tc>
        <w:tc>
          <w:tcPr>
            <w:tcW w:w="537" w:type="pct"/>
            <w:tcBorders>
              <w:top w:val="single" w:color="auto" w:sz="4" w:space="0"/>
              <w:left w:val="single" w:color="auto" w:sz="4" w:space="0"/>
              <w:bottom w:val="single" w:color="auto" w:sz="4" w:space="0"/>
              <w:right w:val="single" w:color="auto" w:sz="4" w:space="0"/>
            </w:tcBorders>
            <w:vAlign w:val="center"/>
          </w:tcPr>
          <w:p w14:paraId="5EEF1899">
            <w:pPr>
              <w:pStyle w:val="64"/>
            </w:pPr>
            <w:r>
              <w:t>临界量Q</w:t>
            </w:r>
            <w:r>
              <w:rPr>
                <w:vertAlign w:val="subscript"/>
              </w:rPr>
              <w:t>n</w:t>
            </w:r>
            <w:r>
              <w:t>/t</w:t>
            </w:r>
          </w:p>
        </w:tc>
        <w:tc>
          <w:tcPr>
            <w:tcW w:w="374" w:type="pct"/>
            <w:tcBorders>
              <w:top w:val="single" w:color="auto" w:sz="4" w:space="0"/>
              <w:left w:val="single" w:color="auto" w:sz="4" w:space="0"/>
              <w:bottom w:val="single" w:color="auto" w:sz="4" w:space="0"/>
              <w:right w:val="single" w:color="auto" w:sz="4" w:space="0"/>
            </w:tcBorders>
            <w:vAlign w:val="center"/>
          </w:tcPr>
          <w:p w14:paraId="158F8EA2">
            <w:pPr>
              <w:pStyle w:val="64"/>
            </w:pPr>
            <w:r>
              <w:t>Q值</w:t>
            </w:r>
          </w:p>
        </w:tc>
        <w:tc>
          <w:tcPr>
            <w:tcW w:w="917" w:type="pct"/>
            <w:vAlign w:val="center"/>
          </w:tcPr>
          <w:p w14:paraId="3F5FA9A7">
            <w:pPr>
              <w:pStyle w:val="64"/>
            </w:pPr>
            <w:r>
              <w:rPr>
                <w:rFonts w:hint="eastAsia"/>
              </w:rPr>
              <w:t>备注</w:t>
            </w:r>
          </w:p>
        </w:tc>
      </w:tr>
      <w:tr w14:paraId="345458D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231" w:type="pct"/>
            <w:tcBorders>
              <w:top w:val="single" w:color="auto" w:sz="4" w:space="0"/>
              <w:left w:val="single" w:color="auto" w:sz="4" w:space="0"/>
              <w:bottom w:val="single" w:color="auto" w:sz="4" w:space="0"/>
              <w:right w:val="single" w:color="auto" w:sz="4" w:space="0"/>
            </w:tcBorders>
            <w:vAlign w:val="center"/>
          </w:tcPr>
          <w:p w14:paraId="110EB1E0">
            <w:pPr>
              <w:pStyle w:val="64"/>
            </w:pPr>
            <w:r>
              <w:t>1</w:t>
            </w:r>
          </w:p>
        </w:tc>
        <w:tc>
          <w:tcPr>
            <w:tcW w:w="719" w:type="pct"/>
            <w:tcBorders>
              <w:top w:val="single" w:color="auto" w:sz="4" w:space="0"/>
              <w:left w:val="single" w:color="auto" w:sz="4" w:space="0"/>
              <w:bottom w:val="single" w:color="auto" w:sz="4" w:space="0"/>
              <w:right w:val="single" w:color="auto" w:sz="4" w:space="0"/>
            </w:tcBorders>
            <w:vAlign w:val="center"/>
          </w:tcPr>
          <w:p w14:paraId="7BCA91C6">
            <w:pPr>
              <w:pStyle w:val="64"/>
            </w:pPr>
            <w:r>
              <w:rPr>
                <w:rFonts w:hint="eastAsia"/>
              </w:rPr>
              <w:t>异丁烯</w:t>
            </w:r>
          </w:p>
        </w:tc>
        <w:tc>
          <w:tcPr>
            <w:tcW w:w="629" w:type="pct"/>
            <w:tcBorders>
              <w:top w:val="single" w:color="auto" w:sz="4" w:space="0"/>
              <w:left w:val="single" w:color="auto" w:sz="4" w:space="0"/>
              <w:bottom w:val="single" w:color="auto" w:sz="4" w:space="0"/>
              <w:right w:val="single" w:color="auto" w:sz="4" w:space="0"/>
            </w:tcBorders>
            <w:vAlign w:val="center"/>
          </w:tcPr>
          <w:p w14:paraId="25474A00">
            <w:pPr>
              <w:pStyle w:val="64"/>
              <w:rPr>
                <w:rFonts w:eastAsia="Calibri"/>
              </w:rPr>
            </w:pPr>
            <w:r>
              <w:rPr>
                <w:rFonts w:hint="eastAsia"/>
              </w:rPr>
              <w:t>115</w:t>
            </w:r>
            <w:r>
              <w:t>-</w:t>
            </w:r>
            <w:r>
              <w:rPr>
                <w:rFonts w:hint="eastAsia"/>
              </w:rPr>
              <w:t>11</w:t>
            </w:r>
            <w:r>
              <w:t>-</w:t>
            </w:r>
            <w:r>
              <w:rPr>
                <w:rFonts w:hint="eastAsia"/>
              </w:rPr>
              <w:t>7</w:t>
            </w:r>
          </w:p>
        </w:tc>
        <w:tc>
          <w:tcPr>
            <w:tcW w:w="494" w:type="pct"/>
            <w:vAlign w:val="center"/>
          </w:tcPr>
          <w:p w14:paraId="3AEE9939">
            <w:pPr>
              <w:pStyle w:val="64"/>
              <w:rPr>
                <w:rFonts w:cs="Times New Roman"/>
                <w:szCs w:val="21"/>
              </w:rPr>
            </w:pPr>
            <w:r>
              <w:rPr>
                <w:rFonts w:hint="eastAsia" w:cs="Times New Roman"/>
                <w:szCs w:val="21"/>
              </w:rPr>
              <w:t>70.32</w:t>
            </w:r>
          </w:p>
        </w:tc>
        <w:tc>
          <w:tcPr>
            <w:tcW w:w="463" w:type="pct"/>
            <w:vAlign w:val="center"/>
          </w:tcPr>
          <w:p w14:paraId="6E78F486">
            <w:pPr>
              <w:pStyle w:val="64"/>
              <w:rPr>
                <w:rFonts w:cs="Times New Roman"/>
                <w:szCs w:val="21"/>
              </w:rPr>
            </w:pPr>
            <w:r>
              <w:rPr>
                <w:rFonts w:hint="eastAsia" w:cs="Times New Roman"/>
                <w:szCs w:val="21"/>
              </w:rPr>
              <w:t>2</w:t>
            </w:r>
          </w:p>
        </w:tc>
        <w:tc>
          <w:tcPr>
            <w:tcW w:w="636" w:type="pct"/>
            <w:tcBorders>
              <w:top w:val="single" w:color="auto" w:sz="4" w:space="0"/>
              <w:left w:val="single" w:color="auto" w:sz="4" w:space="0"/>
              <w:bottom w:val="single" w:color="auto" w:sz="4" w:space="0"/>
              <w:right w:val="single" w:color="auto" w:sz="4" w:space="0"/>
            </w:tcBorders>
            <w:vAlign w:val="center"/>
          </w:tcPr>
          <w:p w14:paraId="3149AA33">
            <w:pPr>
              <w:pStyle w:val="64"/>
              <w:rPr>
                <w:rFonts w:eastAsiaTheme="minorEastAsia"/>
              </w:rPr>
            </w:pPr>
            <w:r>
              <w:rPr>
                <w:rFonts w:hint="eastAsia" w:eastAsiaTheme="minorEastAsia"/>
              </w:rPr>
              <w:t>72.32</w:t>
            </w:r>
          </w:p>
        </w:tc>
        <w:tc>
          <w:tcPr>
            <w:tcW w:w="537" w:type="pct"/>
            <w:tcBorders>
              <w:top w:val="single" w:color="auto" w:sz="4" w:space="0"/>
              <w:left w:val="single" w:color="auto" w:sz="4" w:space="0"/>
              <w:bottom w:val="single" w:color="auto" w:sz="4" w:space="0"/>
              <w:right w:val="single" w:color="auto" w:sz="4" w:space="0"/>
            </w:tcBorders>
            <w:vAlign w:val="center"/>
          </w:tcPr>
          <w:p w14:paraId="72132132">
            <w:pPr>
              <w:pStyle w:val="64"/>
            </w:pPr>
            <w:r>
              <w:rPr>
                <w:rFonts w:cs="Times New Roman"/>
                <w:szCs w:val="21"/>
              </w:rPr>
              <w:t>10</w:t>
            </w:r>
          </w:p>
        </w:tc>
        <w:tc>
          <w:tcPr>
            <w:tcW w:w="374" w:type="pct"/>
            <w:tcBorders>
              <w:top w:val="single" w:color="auto" w:sz="4" w:space="0"/>
              <w:left w:val="single" w:color="auto" w:sz="4" w:space="0"/>
              <w:bottom w:val="single" w:color="auto" w:sz="4" w:space="0"/>
              <w:right w:val="single" w:color="auto" w:sz="4" w:space="0"/>
            </w:tcBorders>
            <w:vAlign w:val="center"/>
          </w:tcPr>
          <w:p w14:paraId="62ED5D9E">
            <w:pPr>
              <w:pStyle w:val="64"/>
              <w:rPr>
                <w:rFonts w:eastAsiaTheme="minorEastAsia"/>
              </w:rPr>
            </w:pPr>
            <w:r>
              <w:rPr>
                <w:rFonts w:hint="eastAsia" w:eastAsiaTheme="minorEastAsia"/>
              </w:rPr>
              <w:t>7.232</w:t>
            </w:r>
          </w:p>
        </w:tc>
        <w:tc>
          <w:tcPr>
            <w:tcW w:w="917" w:type="pct"/>
            <w:vAlign w:val="center"/>
          </w:tcPr>
          <w:p w14:paraId="472D6A50">
            <w:pPr>
              <w:pStyle w:val="64"/>
              <w:rPr>
                <w:rFonts w:cs="Times New Roman"/>
                <w:szCs w:val="21"/>
              </w:rPr>
            </w:pPr>
            <w:r>
              <w:rPr>
                <w:rFonts w:hint="eastAsia" w:cs="Times New Roman"/>
                <w:szCs w:val="21"/>
              </w:rPr>
              <w:t>/</w:t>
            </w:r>
          </w:p>
        </w:tc>
      </w:tr>
      <w:tr w14:paraId="2D3484F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231" w:type="pct"/>
            <w:tcBorders>
              <w:top w:val="single" w:color="auto" w:sz="4" w:space="0"/>
              <w:left w:val="single" w:color="auto" w:sz="4" w:space="0"/>
              <w:bottom w:val="single" w:color="auto" w:sz="4" w:space="0"/>
              <w:right w:val="single" w:color="auto" w:sz="4" w:space="0"/>
            </w:tcBorders>
            <w:vAlign w:val="center"/>
          </w:tcPr>
          <w:p w14:paraId="22E087B9">
            <w:pPr>
              <w:pStyle w:val="64"/>
            </w:pPr>
            <w:r>
              <w:t>2</w:t>
            </w:r>
          </w:p>
        </w:tc>
        <w:tc>
          <w:tcPr>
            <w:tcW w:w="719" w:type="pct"/>
            <w:tcBorders>
              <w:top w:val="single" w:color="auto" w:sz="4" w:space="0"/>
              <w:left w:val="single" w:color="auto" w:sz="4" w:space="0"/>
              <w:bottom w:val="single" w:color="auto" w:sz="4" w:space="0"/>
              <w:right w:val="single" w:color="auto" w:sz="4" w:space="0"/>
            </w:tcBorders>
            <w:vAlign w:val="center"/>
          </w:tcPr>
          <w:p w14:paraId="1AC37B5B">
            <w:pPr>
              <w:pStyle w:val="64"/>
            </w:pPr>
            <w:bookmarkStart w:id="126" w:name="_Toc48890982"/>
            <w:r>
              <w:rPr>
                <w:rFonts w:hint="eastAsia"/>
              </w:rPr>
              <w:t>浓硫酸</w:t>
            </w:r>
            <w:bookmarkEnd w:id="126"/>
          </w:p>
        </w:tc>
        <w:tc>
          <w:tcPr>
            <w:tcW w:w="629" w:type="pct"/>
            <w:tcBorders>
              <w:top w:val="single" w:color="auto" w:sz="4" w:space="0"/>
              <w:left w:val="single" w:color="auto" w:sz="4" w:space="0"/>
              <w:bottom w:val="single" w:color="auto" w:sz="4" w:space="0"/>
              <w:right w:val="single" w:color="auto" w:sz="4" w:space="0"/>
            </w:tcBorders>
            <w:vAlign w:val="center"/>
          </w:tcPr>
          <w:p w14:paraId="58601FE8">
            <w:pPr>
              <w:pStyle w:val="64"/>
              <w:rPr>
                <w:rFonts w:eastAsia="Calibri"/>
              </w:rPr>
            </w:pPr>
            <w:r>
              <w:rPr>
                <w:rFonts w:hint="eastAsia"/>
              </w:rPr>
              <w:t>7664</w:t>
            </w:r>
            <w:r>
              <w:t>-</w:t>
            </w:r>
            <w:r>
              <w:rPr>
                <w:rFonts w:hint="eastAsia"/>
              </w:rPr>
              <w:t>93</w:t>
            </w:r>
            <w:r>
              <w:t>-</w:t>
            </w:r>
            <w:r>
              <w:rPr>
                <w:rFonts w:hint="eastAsia"/>
              </w:rPr>
              <w:t>9</w:t>
            </w:r>
          </w:p>
        </w:tc>
        <w:tc>
          <w:tcPr>
            <w:tcW w:w="494" w:type="pct"/>
            <w:vAlign w:val="center"/>
          </w:tcPr>
          <w:p w14:paraId="7AB4FCEA">
            <w:pPr>
              <w:pStyle w:val="64"/>
              <w:rPr>
                <w:rFonts w:cs="Times New Roman"/>
                <w:szCs w:val="21"/>
              </w:rPr>
            </w:pPr>
            <w:r>
              <w:rPr>
                <w:rFonts w:hint="eastAsia" w:cs="Times New Roman"/>
                <w:szCs w:val="21"/>
              </w:rPr>
              <w:t>50</w:t>
            </w:r>
          </w:p>
        </w:tc>
        <w:tc>
          <w:tcPr>
            <w:tcW w:w="463" w:type="pct"/>
            <w:vAlign w:val="center"/>
          </w:tcPr>
          <w:p w14:paraId="0C57A3F5">
            <w:pPr>
              <w:pStyle w:val="64"/>
              <w:rPr>
                <w:rFonts w:cs="Times New Roman"/>
                <w:szCs w:val="21"/>
              </w:rPr>
            </w:pPr>
            <w:r>
              <w:rPr>
                <w:rFonts w:hint="eastAsia" w:cs="Times New Roman"/>
                <w:szCs w:val="21"/>
              </w:rPr>
              <w:t>0.06</w:t>
            </w:r>
          </w:p>
        </w:tc>
        <w:tc>
          <w:tcPr>
            <w:tcW w:w="636" w:type="pct"/>
            <w:tcBorders>
              <w:top w:val="single" w:color="auto" w:sz="4" w:space="0"/>
              <w:left w:val="single" w:color="auto" w:sz="4" w:space="0"/>
              <w:bottom w:val="single" w:color="auto" w:sz="4" w:space="0"/>
              <w:right w:val="single" w:color="auto" w:sz="4" w:space="0"/>
            </w:tcBorders>
            <w:vAlign w:val="center"/>
          </w:tcPr>
          <w:p w14:paraId="1939A6BA">
            <w:pPr>
              <w:pStyle w:val="64"/>
              <w:rPr>
                <w:rFonts w:eastAsiaTheme="minorEastAsia"/>
              </w:rPr>
            </w:pPr>
            <w:r>
              <w:rPr>
                <w:rFonts w:hint="eastAsia" w:eastAsiaTheme="minorEastAsia"/>
              </w:rPr>
              <w:t>50.06</w:t>
            </w:r>
          </w:p>
        </w:tc>
        <w:tc>
          <w:tcPr>
            <w:tcW w:w="537" w:type="pct"/>
            <w:tcBorders>
              <w:top w:val="single" w:color="auto" w:sz="4" w:space="0"/>
              <w:left w:val="single" w:color="auto" w:sz="4" w:space="0"/>
              <w:bottom w:val="single" w:color="auto" w:sz="4" w:space="0"/>
              <w:right w:val="single" w:color="auto" w:sz="4" w:space="0"/>
            </w:tcBorders>
            <w:vAlign w:val="center"/>
          </w:tcPr>
          <w:p w14:paraId="53BDF44D">
            <w:pPr>
              <w:pStyle w:val="64"/>
              <w:rPr>
                <w:rFonts w:eastAsia="Calibri"/>
              </w:rPr>
            </w:pPr>
            <w:r>
              <w:rPr>
                <w:rFonts w:cs="Times New Roman"/>
                <w:szCs w:val="21"/>
              </w:rPr>
              <w:t>10</w:t>
            </w:r>
          </w:p>
        </w:tc>
        <w:tc>
          <w:tcPr>
            <w:tcW w:w="374" w:type="pct"/>
            <w:tcBorders>
              <w:top w:val="single" w:color="auto" w:sz="4" w:space="0"/>
              <w:left w:val="single" w:color="auto" w:sz="4" w:space="0"/>
              <w:bottom w:val="single" w:color="auto" w:sz="4" w:space="0"/>
              <w:right w:val="single" w:color="auto" w:sz="4" w:space="0"/>
            </w:tcBorders>
            <w:vAlign w:val="center"/>
          </w:tcPr>
          <w:p w14:paraId="395219CC">
            <w:pPr>
              <w:pStyle w:val="64"/>
              <w:rPr>
                <w:rFonts w:eastAsiaTheme="minorEastAsia"/>
              </w:rPr>
            </w:pPr>
            <w:r>
              <w:rPr>
                <w:rFonts w:hint="eastAsia" w:eastAsiaTheme="minorEastAsia"/>
              </w:rPr>
              <w:t>5.006</w:t>
            </w:r>
          </w:p>
        </w:tc>
        <w:tc>
          <w:tcPr>
            <w:tcW w:w="917" w:type="pct"/>
            <w:vAlign w:val="center"/>
          </w:tcPr>
          <w:p w14:paraId="1DB46933">
            <w:pPr>
              <w:pStyle w:val="64"/>
              <w:rPr>
                <w:rFonts w:cs="Times New Roman"/>
                <w:szCs w:val="21"/>
              </w:rPr>
            </w:pPr>
            <w:r>
              <w:rPr>
                <w:rFonts w:hint="eastAsia" w:cs="Times New Roman"/>
                <w:szCs w:val="21"/>
              </w:rPr>
              <w:t>/</w:t>
            </w:r>
          </w:p>
        </w:tc>
      </w:tr>
      <w:tr w14:paraId="622BA49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231" w:type="pct"/>
            <w:tcBorders>
              <w:top w:val="single" w:color="auto" w:sz="4" w:space="0"/>
              <w:left w:val="single" w:color="auto" w:sz="4" w:space="0"/>
              <w:bottom w:val="single" w:color="auto" w:sz="4" w:space="0"/>
              <w:right w:val="single" w:color="auto" w:sz="4" w:space="0"/>
            </w:tcBorders>
            <w:vAlign w:val="center"/>
          </w:tcPr>
          <w:p w14:paraId="52DD1353">
            <w:pPr>
              <w:pStyle w:val="64"/>
            </w:pPr>
            <w:r>
              <w:t>3</w:t>
            </w:r>
          </w:p>
        </w:tc>
        <w:tc>
          <w:tcPr>
            <w:tcW w:w="719" w:type="pct"/>
            <w:tcBorders>
              <w:top w:val="single" w:color="auto" w:sz="4" w:space="0"/>
              <w:left w:val="single" w:color="auto" w:sz="4" w:space="0"/>
              <w:bottom w:val="single" w:color="auto" w:sz="4" w:space="0"/>
              <w:right w:val="single" w:color="auto" w:sz="4" w:space="0"/>
            </w:tcBorders>
            <w:vAlign w:val="center"/>
          </w:tcPr>
          <w:p w14:paraId="063B4813">
            <w:pPr>
              <w:pStyle w:val="64"/>
            </w:pPr>
            <w:r>
              <w:rPr>
                <w:rFonts w:hint="eastAsia"/>
              </w:rPr>
              <w:t>间甲酚、对甲酚</w:t>
            </w:r>
          </w:p>
        </w:tc>
        <w:tc>
          <w:tcPr>
            <w:tcW w:w="629" w:type="pct"/>
            <w:tcBorders>
              <w:top w:val="single" w:color="auto" w:sz="4" w:space="0"/>
              <w:left w:val="single" w:color="auto" w:sz="4" w:space="0"/>
              <w:bottom w:val="single" w:color="auto" w:sz="4" w:space="0"/>
              <w:right w:val="single" w:color="auto" w:sz="4" w:space="0"/>
            </w:tcBorders>
            <w:vAlign w:val="center"/>
          </w:tcPr>
          <w:p w14:paraId="2B48AA1D">
            <w:pPr>
              <w:pStyle w:val="64"/>
              <w:rPr>
                <w:rFonts w:eastAsiaTheme="minorEastAsia"/>
              </w:rPr>
            </w:pPr>
            <w:r>
              <w:rPr>
                <w:rFonts w:eastAsiaTheme="minorEastAsia"/>
              </w:rPr>
              <w:t>108-39-4</w:t>
            </w:r>
            <w:r>
              <w:rPr>
                <w:rFonts w:hint="eastAsia" w:eastAsiaTheme="minorEastAsia"/>
              </w:rPr>
              <w:t>、</w:t>
            </w:r>
            <w:r>
              <w:rPr>
                <w:rFonts w:eastAsiaTheme="minorEastAsia"/>
              </w:rPr>
              <w:t>106-44-5</w:t>
            </w:r>
          </w:p>
        </w:tc>
        <w:tc>
          <w:tcPr>
            <w:tcW w:w="494" w:type="pct"/>
            <w:vAlign w:val="center"/>
          </w:tcPr>
          <w:p w14:paraId="1DB2F0A1">
            <w:pPr>
              <w:pStyle w:val="64"/>
              <w:rPr>
                <w:rFonts w:cs="Times New Roman"/>
                <w:szCs w:val="21"/>
              </w:rPr>
            </w:pPr>
            <w:r>
              <w:rPr>
                <w:rFonts w:hint="eastAsia" w:cs="Times New Roman"/>
                <w:szCs w:val="21"/>
              </w:rPr>
              <w:t>4623</w:t>
            </w:r>
          </w:p>
        </w:tc>
        <w:tc>
          <w:tcPr>
            <w:tcW w:w="463" w:type="pct"/>
            <w:vAlign w:val="center"/>
          </w:tcPr>
          <w:p w14:paraId="74C61F03">
            <w:pPr>
              <w:pStyle w:val="64"/>
              <w:rPr>
                <w:rFonts w:cs="Times New Roman"/>
                <w:szCs w:val="21"/>
              </w:rPr>
            </w:pPr>
            <w:r>
              <w:rPr>
                <w:rFonts w:hint="eastAsia" w:cs="Times New Roman"/>
                <w:szCs w:val="21"/>
              </w:rPr>
              <w:t>5.25</w:t>
            </w:r>
          </w:p>
        </w:tc>
        <w:tc>
          <w:tcPr>
            <w:tcW w:w="636" w:type="pct"/>
            <w:tcBorders>
              <w:top w:val="single" w:color="auto" w:sz="4" w:space="0"/>
              <w:left w:val="single" w:color="auto" w:sz="4" w:space="0"/>
              <w:bottom w:val="single" w:color="auto" w:sz="4" w:space="0"/>
              <w:right w:val="single" w:color="auto" w:sz="4" w:space="0"/>
            </w:tcBorders>
            <w:vAlign w:val="center"/>
          </w:tcPr>
          <w:p w14:paraId="6FA09DB7">
            <w:pPr>
              <w:pStyle w:val="64"/>
              <w:rPr>
                <w:rFonts w:eastAsiaTheme="minorEastAsia"/>
              </w:rPr>
            </w:pPr>
            <w:r>
              <w:rPr>
                <w:rFonts w:hint="eastAsia" w:eastAsiaTheme="minorEastAsia"/>
              </w:rPr>
              <w:t>4628.25</w:t>
            </w:r>
          </w:p>
        </w:tc>
        <w:tc>
          <w:tcPr>
            <w:tcW w:w="537" w:type="pct"/>
            <w:tcBorders>
              <w:top w:val="single" w:color="auto" w:sz="4" w:space="0"/>
              <w:left w:val="single" w:color="auto" w:sz="4" w:space="0"/>
              <w:bottom w:val="single" w:color="auto" w:sz="4" w:space="0"/>
              <w:right w:val="single" w:color="auto" w:sz="4" w:space="0"/>
            </w:tcBorders>
            <w:vAlign w:val="center"/>
          </w:tcPr>
          <w:p w14:paraId="7FCF5768">
            <w:pPr>
              <w:pStyle w:val="64"/>
              <w:rPr>
                <w:rFonts w:eastAsia="Calibri"/>
              </w:rPr>
            </w:pPr>
            <w:r>
              <w:rPr>
                <w:rFonts w:cs="Times New Roman"/>
                <w:szCs w:val="21"/>
              </w:rPr>
              <w:t>50</w:t>
            </w:r>
          </w:p>
        </w:tc>
        <w:tc>
          <w:tcPr>
            <w:tcW w:w="374" w:type="pct"/>
            <w:tcBorders>
              <w:top w:val="single" w:color="auto" w:sz="4" w:space="0"/>
              <w:left w:val="single" w:color="auto" w:sz="4" w:space="0"/>
              <w:bottom w:val="single" w:color="auto" w:sz="4" w:space="0"/>
              <w:right w:val="single" w:color="auto" w:sz="4" w:space="0"/>
            </w:tcBorders>
            <w:vAlign w:val="center"/>
          </w:tcPr>
          <w:p w14:paraId="50594091">
            <w:pPr>
              <w:pStyle w:val="64"/>
              <w:rPr>
                <w:rFonts w:eastAsiaTheme="minorEastAsia"/>
              </w:rPr>
            </w:pPr>
            <w:r>
              <w:rPr>
                <w:rFonts w:hint="eastAsia" w:eastAsiaTheme="minorEastAsia"/>
              </w:rPr>
              <w:t>92.565</w:t>
            </w:r>
          </w:p>
        </w:tc>
        <w:tc>
          <w:tcPr>
            <w:tcW w:w="917" w:type="pct"/>
            <w:vAlign w:val="center"/>
          </w:tcPr>
          <w:p w14:paraId="0B0EEA66">
            <w:pPr>
              <w:pStyle w:val="64"/>
              <w:rPr>
                <w:rFonts w:cs="Times New Roman"/>
                <w:szCs w:val="21"/>
              </w:rPr>
            </w:pPr>
            <w:r>
              <w:rPr>
                <w:rFonts w:hint="eastAsia" w:cs="Times New Roman"/>
                <w:szCs w:val="21"/>
              </w:rPr>
              <w:t>健康危险急性</w:t>
            </w:r>
          </w:p>
          <w:p w14:paraId="5642F7DC">
            <w:pPr>
              <w:pStyle w:val="64"/>
              <w:rPr>
                <w:rFonts w:cs="Times New Roman"/>
                <w:szCs w:val="21"/>
              </w:rPr>
            </w:pPr>
            <w:r>
              <w:rPr>
                <w:rFonts w:hint="eastAsia" w:cs="Times New Roman"/>
                <w:szCs w:val="21"/>
              </w:rPr>
              <w:t>毒性物质类别3</w:t>
            </w:r>
          </w:p>
        </w:tc>
      </w:tr>
      <w:tr w14:paraId="1F3CF76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231" w:type="pct"/>
            <w:tcBorders>
              <w:top w:val="single" w:color="auto" w:sz="4" w:space="0"/>
              <w:left w:val="single" w:color="auto" w:sz="4" w:space="0"/>
              <w:bottom w:val="single" w:color="auto" w:sz="4" w:space="0"/>
              <w:right w:val="single" w:color="auto" w:sz="4" w:space="0"/>
            </w:tcBorders>
            <w:vAlign w:val="center"/>
          </w:tcPr>
          <w:p w14:paraId="3F55FD63">
            <w:pPr>
              <w:pStyle w:val="64"/>
            </w:pPr>
          </w:p>
        </w:tc>
        <w:tc>
          <w:tcPr>
            <w:tcW w:w="719" w:type="pct"/>
            <w:tcBorders>
              <w:top w:val="single" w:color="auto" w:sz="4" w:space="0"/>
              <w:left w:val="single" w:color="auto" w:sz="4" w:space="0"/>
              <w:bottom w:val="single" w:color="auto" w:sz="4" w:space="0"/>
              <w:right w:val="single" w:color="auto" w:sz="4" w:space="0"/>
            </w:tcBorders>
            <w:vAlign w:val="center"/>
          </w:tcPr>
          <w:p w14:paraId="60E69235">
            <w:pPr>
              <w:pStyle w:val="64"/>
            </w:pPr>
            <w:r>
              <w:rPr>
                <w:rFonts w:hint="eastAsia"/>
              </w:rPr>
              <w:t>叔丁醇</w:t>
            </w:r>
          </w:p>
        </w:tc>
        <w:tc>
          <w:tcPr>
            <w:tcW w:w="629" w:type="pct"/>
            <w:tcBorders>
              <w:top w:val="single" w:color="auto" w:sz="4" w:space="0"/>
              <w:left w:val="single" w:color="auto" w:sz="4" w:space="0"/>
              <w:bottom w:val="single" w:color="auto" w:sz="4" w:space="0"/>
              <w:right w:val="single" w:color="auto" w:sz="4" w:space="0"/>
            </w:tcBorders>
            <w:vAlign w:val="center"/>
          </w:tcPr>
          <w:p w14:paraId="0883F3E4">
            <w:pPr>
              <w:pStyle w:val="64"/>
            </w:pPr>
            <w:r>
              <w:rPr>
                <w:rFonts w:hint="eastAsia"/>
              </w:rPr>
              <w:t>75-65-0</w:t>
            </w:r>
          </w:p>
        </w:tc>
        <w:tc>
          <w:tcPr>
            <w:tcW w:w="494" w:type="pct"/>
            <w:vAlign w:val="center"/>
          </w:tcPr>
          <w:p w14:paraId="4930363D">
            <w:pPr>
              <w:pStyle w:val="64"/>
              <w:rPr>
                <w:rFonts w:cs="Times New Roman"/>
                <w:szCs w:val="21"/>
              </w:rPr>
            </w:pPr>
            <w:r>
              <w:rPr>
                <w:rFonts w:hint="eastAsia" w:cs="Times New Roman"/>
                <w:szCs w:val="21"/>
              </w:rPr>
              <w:t>38</w:t>
            </w:r>
          </w:p>
        </w:tc>
        <w:tc>
          <w:tcPr>
            <w:tcW w:w="463" w:type="pct"/>
            <w:vAlign w:val="center"/>
          </w:tcPr>
          <w:p w14:paraId="599D95C7">
            <w:pPr>
              <w:pStyle w:val="64"/>
              <w:rPr>
                <w:rFonts w:cs="Times New Roman"/>
                <w:szCs w:val="21"/>
              </w:rPr>
            </w:pPr>
            <w:r>
              <w:rPr>
                <w:rFonts w:hint="eastAsia" w:cs="Times New Roman"/>
                <w:szCs w:val="21"/>
              </w:rPr>
              <w:t>0.24</w:t>
            </w:r>
          </w:p>
        </w:tc>
        <w:tc>
          <w:tcPr>
            <w:tcW w:w="636" w:type="pct"/>
            <w:tcBorders>
              <w:top w:val="single" w:color="auto" w:sz="4" w:space="0"/>
              <w:left w:val="single" w:color="auto" w:sz="4" w:space="0"/>
              <w:bottom w:val="single" w:color="auto" w:sz="4" w:space="0"/>
              <w:right w:val="single" w:color="auto" w:sz="4" w:space="0"/>
            </w:tcBorders>
            <w:vAlign w:val="center"/>
          </w:tcPr>
          <w:p w14:paraId="0D87E869">
            <w:pPr>
              <w:pStyle w:val="64"/>
              <w:rPr>
                <w:rFonts w:cs="Times New Roman"/>
                <w:szCs w:val="21"/>
              </w:rPr>
            </w:pPr>
            <w:r>
              <w:rPr>
                <w:rFonts w:hint="eastAsia" w:cs="Times New Roman"/>
                <w:szCs w:val="21"/>
              </w:rPr>
              <w:t>38.24</w:t>
            </w:r>
          </w:p>
        </w:tc>
        <w:tc>
          <w:tcPr>
            <w:tcW w:w="537" w:type="pct"/>
            <w:tcBorders>
              <w:top w:val="single" w:color="auto" w:sz="4" w:space="0"/>
              <w:left w:val="single" w:color="auto" w:sz="4" w:space="0"/>
              <w:bottom w:val="single" w:color="auto" w:sz="4" w:space="0"/>
              <w:right w:val="single" w:color="auto" w:sz="4" w:space="0"/>
            </w:tcBorders>
            <w:vAlign w:val="center"/>
          </w:tcPr>
          <w:p w14:paraId="31EBB3F3">
            <w:pPr>
              <w:pStyle w:val="64"/>
              <w:rPr>
                <w:rFonts w:cs="Times New Roman"/>
                <w:szCs w:val="21"/>
              </w:rPr>
            </w:pPr>
            <w:r>
              <w:rPr>
                <w:rFonts w:hint="eastAsia" w:cs="Times New Roman"/>
                <w:szCs w:val="21"/>
              </w:rPr>
              <w:t>50</w:t>
            </w:r>
          </w:p>
        </w:tc>
        <w:tc>
          <w:tcPr>
            <w:tcW w:w="374" w:type="pct"/>
            <w:tcBorders>
              <w:top w:val="single" w:color="auto" w:sz="4" w:space="0"/>
              <w:left w:val="single" w:color="auto" w:sz="4" w:space="0"/>
              <w:bottom w:val="single" w:color="auto" w:sz="4" w:space="0"/>
              <w:right w:val="single" w:color="auto" w:sz="4" w:space="0"/>
            </w:tcBorders>
            <w:vAlign w:val="center"/>
          </w:tcPr>
          <w:p w14:paraId="3A6346C5">
            <w:pPr>
              <w:pStyle w:val="64"/>
              <w:rPr>
                <w:rFonts w:cs="Times New Roman"/>
                <w:szCs w:val="21"/>
              </w:rPr>
            </w:pPr>
            <w:r>
              <w:rPr>
                <w:rFonts w:hint="eastAsia" w:cs="Times New Roman"/>
                <w:szCs w:val="21"/>
              </w:rPr>
              <w:t>0.7648</w:t>
            </w:r>
          </w:p>
        </w:tc>
        <w:tc>
          <w:tcPr>
            <w:tcW w:w="917" w:type="pct"/>
            <w:vAlign w:val="center"/>
          </w:tcPr>
          <w:p w14:paraId="0D9ED713">
            <w:pPr>
              <w:pStyle w:val="64"/>
              <w:rPr>
                <w:rFonts w:cs="Times New Roman"/>
                <w:szCs w:val="21"/>
              </w:rPr>
            </w:pPr>
            <w:r>
              <w:rPr>
                <w:rFonts w:hint="eastAsia" w:cs="Times New Roman"/>
                <w:szCs w:val="21"/>
              </w:rPr>
              <w:t>健康危险急性</w:t>
            </w:r>
          </w:p>
          <w:p w14:paraId="21ADAFC6">
            <w:pPr>
              <w:pStyle w:val="64"/>
              <w:rPr>
                <w:rFonts w:cs="Times New Roman"/>
                <w:szCs w:val="21"/>
              </w:rPr>
            </w:pPr>
            <w:r>
              <w:rPr>
                <w:rFonts w:hint="eastAsia" w:cs="Times New Roman"/>
                <w:szCs w:val="21"/>
              </w:rPr>
              <w:t>毒性物质类别3</w:t>
            </w:r>
          </w:p>
        </w:tc>
      </w:tr>
      <w:tr w14:paraId="07FA747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231" w:type="pct"/>
            <w:tcBorders>
              <w:top w:val="single" w:color="auto" w:sz="4" w:space="0"/>
              <w:left w:val="single" w:color="auto" w:sz="4" w:space="0"/>
              <w:bottom w:val="single" w:color="auto" w:sz="4" w:space="0"/>
              <w:right w:val="single" w:color="auto" w:sz="4" w:space="0"/>
            </w:tcBorders>
            <w:vAlign w:val="center"/>
          </w:tcPr>
          <w:p w14:paraId="00ECE8CB">
            <w:pPr>
              <w:pStyle w:val="64"/>
            </w:pPr>
          </w:p>
        </w:tc>
        <w:tc>
          <w:tcPr>
            <w:tcW w:w="719" w:type="pct"/>
            <w:tcBorders>
              <w:top w:val="single" w:color="auto" w:sz="4" w:space="0"/>
              <w:left w:val="single" w:color="auto" w:sz="4" w:space="0"/>
              <w:bottom w:val="single" w:color="auto" w:sz="4" w:space="0"/>
              <w:right w:val="single" w:color="auto" w:sz="4" w:space="0"/>
            </w:tcBorders>
            <w:vAlign w:val="center"/>
          </w:tcPr>
          <w:p w14:paraId="1BAB5F35">
            <w:pPr>
              <w:pStyle w:val="64"/>
            </w:pPr>
            <w:r>
              <w:rPr>
                <w:rFonts w:hint="eastAsia"/>
              </w:rPr>
              <w:t>二聚异丁烯</w:t>
            </w:r>
          </w:p>
        </w:tc>
        <w:tc>
          <w:tcPr>
            <w:tcW w:w="629" w:type="pct"/>
            <w:tcBorders>
              <w:top w:val="single" w:color="auto" w:sz="4" w:space="0"/>
              <w:left w:val="single" w:color="auto" w:sz="4" w:space="0"/>
              <w:bottom w:val="single" w:color="auto" w:sz="4" w:space="0"/>
              <w:right w:val="single" w:color="auto" w:sz="4" w:space="0"/>
            </w:tcBorders>
            <w:vAlign w:val="center"/>
          </w:tcPr>
          <w:p w14:paraId="18703538">
            <w:pPr>
              <w:pStyle w:val="64"/>
            </w:pPr>
            <w:r>
              <w:t>25167-70-8</w:t>
            </w:r>
          </w:p>
        </w:tc>
        <w:tc>
          <w:tcPr>
            <w:tcW w:w="494" w:type="pct"/>
            <w:vAlign w:val="center"/>
          </w:tcPr>
          <w:p w14:paraId="23B676D5">
            <w:pPr>
              <w:pStyle w:val="64"/>
              <w:rPr>
                <w:rFonts w:cs="Times New Roman"/>
                <w:szCs w:val="21"/>
              </w:rPr>
            </w:pPr>
            <w:r>
              <w:rPr>
                <w:rFonts w:hint="eastAsia" w:cs="Times New Roman"/>
                <w:szCs w:val="21"/>
              </w:rPr>
              <w:t>34</w:t>
            </w:r>
          </w:p>
        </w:tc>
        <w:tc>
          <w:tcPr>
            <w:tcW w:w="463" w:type="pct"/>
            <w:vAlign w:val="center"/>
          </w:tcPr>
          <w:p w14:paraId="29F97E2B">
            <w:pPr>
              <w:pStyle w:val="64"/>
              <w:rPr>
                <w:rFonts w:cs="Times New Roman"/>
                <w:szCs w:val="21"/>
              </w:rPr>
            </w:pPr>
            <w:r>
              <w:rPr>
                <w:rFonts w:hint="eastAsia" w:cs="Times New Roman"/>
                <w:szCs w:val="21"/>
              </w:rPr>
              <w:t>0.4</w:t>
            </w:r>
          </w:p>
        </w:tc>
        <w:tc>
          <w:tcPr>
            <w:tcW w:w="636" w:type="pct"/>
            <w:tcBorders>
              <w:top w:val="single" w:color="auto" w:sz="4" w:space="0"/>
              <w:left w:val="single" w:color="auto" w:sz="4" w:space="0"/>
              <w:bottom w:val="single" w:color="auto" w:sz="4" w:space="0"/>
              <w:right w:val="single" w:color="auto" w:sz="4" w:space="0"/>
            </w:tcBorders>
            <w:vAlign w:val="center"/>
          </w:tcPr>
          <w:p w14:paraId="6369FCF7">
            <w:pPr>
              <w:pStyle w:val="64"/>
              <w:rPr>
                <w:rFonts w:cs="Times New Roman"/>
                <w:szCs w:val="21"/>
              </w:rPr>
            </w:pPr>
            <w:r>
              <w:rPr>
                <w:rFonts w:hint="eastAsia" w:cs="Times New Roman"/>
                <w:szCs w:val="21"/>
              </w:rPr>
              <w:t>34.4</w:t>
            </w:r>
          </w:p>
        </w:tc>
        <w:tc>
          <w:tcPr>
            <w:tcW w:w="537" w:type="pct"/>
            <w:tcBorders>
              <w:top w:val="single" w:color="auto" w:sz="4" w:space="0"/>
              <w:left w:val="single" w:color="auto" w:sz="4" w:space="0"/>
              <w:bottom w:val="single" w:color="auto" w:sz="4" w:space="0"/>
              <w:right w:val="single" w:color="auto" w:sz="4" w:space="0"/>
            </w:tcBorders>
            <w:vAlign w:val="center"/>
          </w:tcPr>
          <w:p w14:paraId="741A80E8">
            <w:pPr>
              <w:pStyle w:val="64"/>
              <w:rPr>
                <w:rFonts w:cs="Times New Roman"/>
                <w:szCs w:val="21"/>
              </w:rPr>
            </w:pPr>
            <w:r>
              <w:rPr>
                <w:rFonts w:hint="eastAsia" w:cs="Times New Roman"/>
                <w:szCs w:val="21"/>
              </w:rPr>
              <w:t>50</w:t>
            </w:r>
          </w:p>
        </w:tc>
        <w:tc>
          <w:tcPr>
            <w:tcW w:w="374" w:type="pct"/>
            <w:tcBorders>
              <w:top w:val="single" w:color="auto" w:sz="4" w:space="0"/>
              <w:left w:val="single" w:color="auto" w:sz="4" w:space="0"/>
              <w:bottom w:val="single" w:color="auto" w:sz="4" w:space="0"/>
              <w:right w:val="single" w:color="auto" w:sz="4" w:space="0"/>
            </w:tcBorders>
            <w:vAlign w:val="center"/>
          </w:tcPr>
          <w:p w14:paraId="37D03F77">
            <w:pPr>
              <w:pStyle w:val="64"/>
              <w:rPr>
                <w:rFonts w:cs="Times New Roman"/>
                <w:szCs w:val="21"/>
              </w:rPr>
            </w:pPr>
            <w:r>
              <w:rPr>
                <w:rFonts w:hint="eastAsia" w:cs="Times New Roman"/>
                <w:szCs w:val="21"/>
              </w:rPr>
              <w:t>0.688</w:t>
            </w:r>
          </w:p>
        </w:tc>
        <w:tc>
          <w:tcPr>
            <w:tcW w:w="917" w:type="pct"/>
            <w:vAlign w:val="center"/>
          </w:tcPr>
          <w:p w14:paraId="4B1F8362">
            <w:pPr>
              <w:pStyle w:val="64"/>
              <w:rPr>
                <w:rFonts w:cs="Times New Roman"/>
                <w:szCs w:val="21"/>
              </w:rPr>
            </w:pPr>
            <w:r>
              <w:rPr>
                <w:rFonts w:hint="eastAsia" w:cs="Times New Roman"/>
                <w:szCs w:val="21"/>
              </w:rPr>
              <w:t>健康危险急性</w:t>
            </w:r>
          </w:p>
          <w:p w14:paraId="13002790">
            <w:pPr>
              <w:pStyle w:val="64"/>
              <w:rPr>
                <w:rFonts w:cs="Times New Roman"/>
                <w:szCs w:val="21"/>
              </w:rPr>
            </w:pPr>
            <w:r>
              <w:rPr>
                <w:rFonts w:hint="eastAsia" w:cs="Times New Roman"/>
                <w:szCs w:val="21"/>
              </w:rPr>
              <w:t>毒性物质类别3</w:t>
            </w:r>
          </w:p>
        </w:tc>
      </w:tr>
      <w:tr w14:paraId="4BCAAF6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231" w:type="pct"/>
            <w:tcBorders>
              <w:top w:val="single" w:color="auto" w:sz="4" w:space="0"/>
              <w:left w:val="single" w:color="auto" w:sz="4" w:space="0"/>
              <w:bottom w:val="single" w:color="auto" w:sz="4" w:space="0"/>
              <w:right w:val="single" w:color="auto" w:sz="4" w:space="0"/>
            </w:tcBorders>
            <w:vAlign w:val="center"/>
          </w:tcPr>
          <w:p w14:paraId="2E51BE36">
            <w:pPr>
              <w:pStyle w:val="64"/>
            </w:pPr>
          </w:p>
        </w:tc>
        <w:tc>
          <w:tcPr>
            <w:tcW w:w="719" w:type="pct"/>
            <w:tcBorders>
              <w:top w:val="single" w:color="auto" w:sz="4" w:space="0"/>
              <w:left w:val="single" w:color="auto" w:sz="4" w:space="0"/>
              <w:bottom w:val="single" w:color="auto" w:sz="4" w:space="0"/>
              <w:right w:val="single" w:color="auto" w:sz="4" w:space="0"/>
            </w:tcBorders>
            <w:vAlign w:val="center"/>
          </w:tcPr>
          <w:p w14:paraId="10FAE913">
            <w:pPr>
              <w:pStyle w:val="64"/>
            </w:pPr>
            <w:r>
              <w:rPr>
                <w:rFonts w:hint="eastAsia"/>
              </w:rPr>
              <w:t>危险废物</w:t>
            </w:r>
          </w:p>
        </w:tc>
        <w:tc>
          <w:tcPr>
            <w:tcW w:w="629" w:type="pct"/>
            <w:tcBorders>
              <w:top w:val="single" w:color="auto" w:sz="4" w:space="0"/>
              <w:left w:val="single" w:color="auto" w:sz="4" w:space="0"/>
              <w:bottom w:val="single" w:color="auto" w:sz="4" w:space="0"/>
              <w:right w:val="single" w:color="auto" w:sz="4" w:space="0"/>
            </w:tcBorders>
            <w:vAlign w:val="center"/>
          </w:tcPr>
          <w:p w14:paraId="04CC2E03">
            <w:pPr>
              <w:pStyle w:val="64"/>
            </w:pPr>
            <w:r>
              <w:rPr>
                <w:rFonts w:hint="eastAsia"/>
              </w:rPr>
              <w:t>/</w:t>
            </w:r>
          </w:p>
        </w:tc>
        <w:tc>
          <w:tcPr>
            <w:tcW w:w="494" w:type="pct"/>
            <w:vAlign w:val="center"/>
          </w:tcPr>
          <w:p w14:paraId="280DCDBB">
            <w:pPr>
              <w:pStyle w:val="64"/>
              <w:rPr>
                <w:rFonts w:cs="Times New Roman"/>
                <w:szCs w:val="21"/>
              </w:rPr>
            </w:pPr>
            <w:r>
              <w:rPr>
                <w:rFonts w:hint="eastAsia" w:cs="Times New Roman"/>
                <w:szCs w:val="21"/>
              </w:rPr>
              <w:t>508.55</w:t>
            </w:r>
          </w:p>
        </w:tc>
        <w:tc>
          <w:tcPr>
            <w:tcW w:w="463" w:type="pct"/>
            <w:vAlign w:val="center"/>
          </w:tcPr>
          <w:p w14:paraId="349A51F5">
            <w:pPr>
              <w:pStyle w:val="64"/>
              <w:rPr>
                <w:rFonts w:cs="Times New Roman"/>
                <w:szCs w:val="21"/>
              </w:rPr>
            </w:pPr>
            <w:r>
              <w:rPr>
                <w:rFonts w:hint="eastAsia" w:cs="Times New Roman"/>
                <w:szCs w:val="21"/>
              </w:rPr>
              <w:t>/</w:t>
            </w:r>
          </w:p>
        </w:tc>
        <w:tc>
          <w:tcPr>
            <w:tcW w:w="636" w:type="pct"/>
            <w:tcBorders>
              <w:top w:val="single" w:color="auto" w:sz="4" w:space="0"/>
              <w:left w:val="single" w:color="auto" w:sz="4" w:space="0"/>
              <w:bottom w:val="single" w:color="auto" w:sz="4" w:space="0"/>
              <w:right w:val="single" w:color="auto" w:sz="4" w:space="0"/>
            </w:tcBorders>
            <w:vAlign w:val="center"/>
          </w:tcPr>
          <w:p w14:paraId="1F46E15F">
            <w:pPr>
              <w:pStyle w:val="64"/>
              <w:rPr>
                <w:rFonts w:cs="Times New Roman"/>
                <w:szCs w:val="21"/>
              </w:rPr>
            </w:pPr>
          </w:p>
        </w:tc>
        <w:tc>
          <w:tcPr>
            <w:tcW w:w="537" w:type="pct"/>
            <w:tcBorders>
              <w:top w:val="single" w:color="auto" w:sz="4" w:space="0"/>
              <w:left w:val="single" w:color="auto" w:sz="4" w:space="0"/>
              <w:bottom w:val="single" w:color="auto" w:sz="4" w:space="0"/>
              <w:right w:val="single" w:color="auto" w:sz="4" w:space="0"/>
            </w:tcBorders>
            <w:vAlign w:val="center"/>
          </w:tcPr>
          <w:p w14:paraId="7D40CA48">
            <w:pPr>
              <w:pStyle w:val="64"/>
              <w:rPr>
                <w:rFonts w:cs="Times New Roman"/>
                <w:szCs w:val="21"/>
              </w:rPr>
            </w:pPr>
            <w:r>
              <w:rPr>
                <w:rFonts w:hint="eastAsia" w:cs="Times New Roman"/>
                <w:szCs w:val="21"/>
              </w:rPr>
              <w:t>50</w:t>
            </w:r>
          </w:p>
        </w:tc>
        <w:tc>
          <w:tcPr>
            <w:tcW w:w="374" w:type="pct"/>
            <w:tcBorders>
              <w:top w:val="single" w:color="auto" w:sz="4" w:space="0"/>
              <w:left w:val="single" w:color="auto" w:sz="4" w:space="0"/>
              <w:bottom w:val="single" w:color="auto" w:sz="4" w:space="0"/>
              <w:right w:val="single" w:color="auto" w:sz="4" w:space="0"/>
            </w:tcBorders>
            <w:vAlign w:val="center"/>
          </w:tcPr>
          <w:p w14:paraId="399D2504">
            <w:pPr>
              <w:pStyle w:val="64"/>
              <w:rPr>
                <w:rFonts w:cs="Times New Roman"/>
                <w:szCs w:val="21"/>
              </w:rPr>
            </w:pPr>
            <w:r>
              <w:rPr>
                <w:rFonts w:hint="eastAsia" w:cs="Times New Roman"/>
                <w:szCs w:val="21"/>
              </w:rPr>
              <w:t>10.171</w:t>
            </w:r>
          </w:p>
        </w:tc>
        <w:tc>
          <w:tcPr>
            <w:tcW w:w="917" w:type="pct"/>
            <w:vAlign w:val="center"/>
          </w:tcPr>
          <w:p w14:paraId="5CA1E3D7">
            <w:pPr>
              <w:pStyle w:val="64"/>
              <w:rPr>
                <w:rFonts w:cs="Times New Roman"/>
                <w:szCs w:val="21"/>
              </w:rPr>
            </w:pPr>
            <w:r>
              <w:rPr>
                <w:rFonts w:hint="eastAsia" w:cs="Times New Roman"/>
                <w:szCs w:val="21"/>
              </w:rPr>
              <w:t>健康危险急性</w:t>
            </w:r>
          </w:p>
          <w:p w14:paraId="49AEA3B2">
            <w:pPr>
              <w:pStyle w:val="64"/>
              <w:rPr>
                <w:rFonts w:cs="Times New Roman"/>
                <w:szCs w:val="21"/>
              </w:rPr>
            </w:pPr>
            <w:r>
              <w:rPr>
                <w:rFonts w:hint="eastAsia" w:cs="Times New Roman"/>
                <w:szCs w:val="21"/>
              </w:rPr>
              <w:t>毒性物质类别3</w:t>
            </w:r>
          </w:p>
        </w:tc>
      </w:tr>
      <w:tr w14:paraId="5691FA7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231" w:type="pct"/>
            <w:tcBorders>
              <w:top w:val="single" w:color="auto" w:sz="4" w:space="0"/>
              <w:left w:val="single" w:color="auto" w:sz="4" w:space="0"/>
              <w:bottom w:val="single" w:color="auto" w:sz="4" w:space="0"/>
              <w:right w:val="single" w:color="auto" w:sz="4" w:space="0"/>
            </w:tcBorders>
            <w:vAlign w:val="center"/>
          </w:tcPr>
          <w:p w14:paraId="39B867D9">
            <w:pPr>
              <w:pStyle w:val="64"/>
            </w:pPr>
            <w:r>
              <w:rPr>
                <w:rFonts w:hint="eastAsia"/>
              </w:rPr>
              <w:t>5</w:t>
            </w:r>
          </w:p>
        </w:tc>
        <w:tc>
          <w:tcPr>
            <w:tcW w:w="719" w:type="pct"/>
            <w:tcBorders>
              <w:top w:val="single" w:color="auto" w:sz="4" w:space="0"/>
              <w:left w:val="single" w:color="auto" w:sz="4" w:space="0"/>
              <w:bottom w:val="single" w:color="auto" w:sz="4" w:space="0"/>
              <w:right w:val="single" w:color="auto" w:sz="4" w:space="0"/>
            </w:tcBorders>
            <w:vAlign w:val="center"/>
          </w:tcPr>
          <w:p w14:paraId="7274D0B6">
            <w:pPr>
              <w:pStyle w:val="64"/>
            </w:pPr>
            <w:r>
              <w:rPr>
                <w:rFonts w:hint="eastAsia"/>
              </w:rPr>
              <w:t>高浓废水(COD：mg/L)</w:t>
            </w:r>
          </w:p>
        </w:tc>
        <w:tc>
          <w:tcPr>
            <w:tcW w:w="629" w:type="pct"/>
            <w:tcBorders>
              <w:top w:val="single" w:color="auto" w:sz="4" w:space="0"/>
              <w:left w:val="single" w:color="auto" w:sz="4" w:space="0"/>
              <w:bottom w:val="single" w:color="auto" w:sz="4" w:space="0"/>
              <w:right w:val="single" w:color="auto" w:sz="4" w:space="0"/>
            </w:tcBorders>
            <w:vAlign w:val="center"/>
          </w:tcPr>
          <w:p w14:paraId="0677D101">
            <w:pPr>
              <w:pStyle w:val="64"/>
            </w:pPr>
            <w:r>
              <w:rPr>
                <w:rFonts w:hint="eastAsia"/>
              </w:rPr>
              <w:t>/</w:t>
            </w:r>
          </w:p>
        </w:tc>
        <w:tc>
          <w:tcPr>
            <w:tcW w:w="494" w:type="pct"/>
            <w:vAlign w:val="center"/>
          </w:tcPr>
          <w:p w14:paraId="3D99C2A5">
            <w:pPr>
              <w:pStyle w:val="64"/>
              <w:rPr>
                <w:rFonts w:cs="Times New Roman"/>
                <w:szCs w:val="21"/>
              </w:rPr>
            </w:pPr>
            <w:r>
              <w:rPr>
                <w:rFonts w:hint="eastAsia" w:cs="Times New Roman"/>
                <w:szCs w:val="21"/>
              </w:rPr>
              <w:t>5.79</w:t>
            </w:r>
          </w:p>
        </w:tc>
        <w:tc>
          <w:tcPr>
            <w:tcW w:w="463" w:type="pct"/>
            <w:vAlign w:val="center"/>
          </w:tcPr>
          <w:p w14:paraId="4ECCFF05">
            <w:pPr>
              <w:pStyle w:val="64"/>
              <w:rPr>
                <w:rFonts w:cs="Times New Roman"/>
                <w:szCs w:val="21"/>
              </w:rPr>
            </w:pPr>
            <w:r>
              <w:rPr>
                <w:rFonts w:hint="eastAsia" w:cs="Times New Roman"/>
                <w:szCs w:val="21"/>
              </w:rPr>
              <w:t>/</w:t>
            </w:r>
          </w:p>
        </w:tc>
        <w:tc>
          <w:tcPr>
            <w:tcW w:w="636" w:type="pct"/>
            <w:tcBorders>
              <w:top w:val="single" w:color="auto" w:sz="4" w:space="0"/>
              <w:left w:val="single" w:color="auto" w:sz="4" w:space="0"/>
              <w:bottom w:val="single" w:color="auto" w:sz="4" w:space="0"/>
              <w:right w:val="single" w:color="auto" w:sz="4" w:space="0"/>
            </w:tcBorders>
            <w:vAlign w:val="center"/>
          </w:tcPr>
          <w:p w14:paraId="29603CCF">
            <w:pPr>
              <w:pStyle w:val="64"/>
            </w:pPr>
            <w:r>
              <w:rPr>
                <w:rFonts w:hint="eastAsia"/>
              </w:rPr>
              <w:t>5.79</w:t>
            </w:r>
          </w:p>
        </w:tc>
        <w:tc>
          <w:tcPr>
            <w:tcW w:w="537" w:type="pct"/>
            <w:tcBorders>
              <w:top w:val="single" w:color="auto" w:sz="4" w:space="0"/>
              <w:left w:val="single" w:color="auto" w:sz="4" w:space="0"/>
              <w:bottom w:val="single" w:color="auto" w:sz="4" w:space="0"/>
              <w:right w:val="single" w:color="auto" w:sz="4" w:space="0"/>
            </w:tcBorders>
            <w:vAlign w:val="center"/>
          </w:tcPr>
          <w:p w14:paraId="6C098A71">
            <w:pPr>
              <w:pStyle w:val="64"/>
            </w:pPr>
            <w:r>
              <w:rPr>
                <w:rFonts w:cs="Times New Roman"/>
                <w:szCs w:val="21"/>
              </w:rPr>
              <w:t>10</w:t>
            </w:r>
          </w:p>
        </w:tc>
        <w:tc>
          <w:tcPr>
            <w:tcW w:w="374" w:type="pct"/>
            <w:tcBorders>
              <w:top w:val="single" w:color="auto" w:sz="4" w:space="0"/>
              <w:left w:val="single" w:color="auto" w:sz="4" w:space="0"/>
              <w:bottom w:val="single" w:color="auto" w:sz="4" w:space="0"/>
              <w:right w:val="single" w:color="auto" w:sz="4" w:space="0"/>
            </w:tcBorders>
            <w:vAlign w:val="center"/>
          </w:tcPr>
          <w:p w14:paraId="45110890">
            <w:pPr>
              <w:pStyle w:val="64"/>
            </w:pPr>
            <w:r>
              <w:rPr>
                <w:rFonts w:hint="eastAsia"/>
              </w:rPr>
              <w:t>0.579</w:t>
            </w:r>
          </w:p>
        </w:tc>
        <w:tc>
          <w:tcPr>
            <w:tcW w:w="917" w:type="pct"/>
            <w:vAlign w:val="center"/>
          </w:tcPr>
          <w:p w14:paraId="39824B5D">
            <w:pPr>
              <w:pStyle w:val="64"/>
              <w:rPr>
                <w:rFonts w:cs="Times New Roman"/>
                <w:szCs w:val="21"/>
              </w:rPr>
            </w:pPr>
            <w:r>
              <w:rPr>
                <w:rFonts w:hint="eastAsia" w:cs="Times New Roman"/>
                <w:szCs w:val="21"/>
              </w:rPr>
              <w:t>以1天废水产生量计</w:t>
            </w:r>
          </w:p>
        </w:tc>
      </w:tr>
      <w:tr w14:paraId="4A4D306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3709" w:type="pct"/>
            <w:gridSpan w:val="7"/>
            <w:tcBorders>
              <w:right w:val="single" w:color="auto" w:sz="4" w:space="0"/>
            </w:tcBorders>
          </w:tcPr>
          <w:p w14:paraId="39426C3D">
            <w:pPr>
              <w:pStyle w:val="64"/>
            </w:pPr>
            <w:r>
              <w:t>项目Q值Σ</w:t>
            </w:r>
          </w:p>
        </w:tc>
        <w:tc>
          <w:tcPr>
            <w:tcW w:w="1291" w:type="pct"/>
            <w:gridSpan w:val="2"/>
            <w:tcBorders>
              <w:top w:val="single" w:color="auto" w:sz="4" w:space="0"/>
              <w:left w:val="single" w:color="auto" w:sz="4" w:space="0"/>
              <w:bottom w:val="single" w:color="auto" w:sz="4" w:space="0"/>
            </w:tcBorders>
            <w:vAlign w:val="center"/>
          </w:tcPr>
          <w:p w14:paraId="443F452A">
            <w:pPr>
              <w:pStyle w:val="64"/>
            </w:pPr>
            <w:r>
              <w:rPr>
                <w:rFonts w:hint="eastAsia"/>
              </w:rPr>
              <w:t>117.0058</w:t>
            </w:r>
          </w:p>
        </w:tc>
      </w:tr>
      <w:tr w14:paraId="63E602A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3709" w:type="pct"/>
            <w:gridSpan w:val="7"/>
            <w:tcBorders>
              <w:right w:val="single" w:color="auto" w:sz="4" w:space="0"/>
            </w:tcBorders>
          </w:tcPr>
          <w:p w14:paraId="0E46B896">
            <w:pPr>
              <w:pStyle w:val="64"/>
            </w:pPr>
            <w:r>
              <w:t>Q值对应等级</w:t>
            </w:r>
          </w:p>
        </w:tc>
        <w:tc>
          <w:tcPr>
            <w:tcW w:w="1291" w:type="pct"/>
            <w:gridSpan w:val="2"/>
            <w:tcBorders>
              <w:top w:val="single" w:color="auto" w:sz="4" w:space="0"/>
              <w:left w:val="single" w:color="auto" w:sz="4" w:space="0"/>
              <w:bottom w:val="single" w:color="auto" w:sz="4" w:space="0"/>
            </w:tcBorders>
            <w:vAlign w:val="center"/>
          </w:tcPr>
          <w:p w14:paraId="4A240BD0">
            <w:pPr>
              <w:pStyle w:val="64"/>
              <w:rPr>
                <w:rFonts w:cs="Times New Roman"/>
                <w:sz w:val="24"/>
              </w:rPr>
            </w:pPr>
            <w:r>
              <w:rPr>
                <w:rFonts w:cs="Times New Roman"/>
                <w:sz w:val="24"/>
              </w:rPr>
              <w:t>Q≥100</w:t>
            </w:r>
          </w:p>
        </w:tc>
      </w:tr>
    </w:tbl>
    <w:p w14:paraId="0A019811">
      <w:pPr>
        <w:pStyle w:val="16"/>
        <w:ind w:firstLine="480"/>
      </w:pPr>
    </w:p>
    <w:p w14:paraId="7A338942">
      <w:pPr>
        <w:pStyle w:val="16"/>
        <w:ind w:firstLine="480"/>
      </w:pPr>
      <w:r>
        <w:t>(2)行业与生产工艺(M)</w:t>
      </w:r>
    </w:p>
    <w:p w14:paraId="262594F3">
      <w:pPr>
        <w:pStyle w:val="16"/>
        <w:ind w:firstLine="480"/>
      </w:pPr>
      <w:r>
        <w:t>分析本项目所属行业及生产工艺特点，按照下表评估生产工艺情况。具有多套工艺单元的项目，对每套生产工艺分别评分并求和。将M划分为(1)M＞20；(2)10＜M≤20；(3)5＜M≤10；(4)M=5，分别以M1、M2、M3和M4表示。</w:t>
      </w:r>
    </w:p>
    <w:p w14:paraId="0ACFFE61">
      <w:pPr>
        <w:pStyle w:val="28"/>
        <w:rPr>
          <w:rFonts w:hint="eastAsia"/>
        </w:rPr>
      </w:pPr>
      <w:r>
        <w:t>表</w:t>
      </w:r>
      <w:r>
        <w:rPr>
          <w:rFonts w:hint="eastAsia"/>
        </w:rPr>
        <w:t>6</w:t>
      </w:r>
      <w:r>
        <w:t>.</w:t>
      </w:r>
      <w:r>
        <w:rPr>
          <w:rFonts w:hint="eastAsia"/>
        </w:rPr>
        <w:t>8</w:t>
      </w:r>
      <w:r>
        <w:t>-</w:t>
      </w:r>
      <w:r>
        <w:rPr>
          <w:rFonts w:hint="eastAsia"/>
        </w:rPr>
        <w:t>7</w:t>
      </w:r>
      <w:r>
        <w:t xml:space="preserve">  行业及生产工艺M值确定表</w:t>
      </w:r>
    </w:p>
    <w:tbl>
      <w:tblPr>
        <w:tblStyle w:val="36"/>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1622"/>
        <w:gridCol w:w="6025"/>
        <w:gridCol w:w="1413"/>
      </w:tblGrid>
      <w:tr w14:paraId="2C81A33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895" w:type="pct"/>
            <w:tcBorders>
              <w:top w:val="single" w:color="000000" w:sz="4" w:space="0"/>
              <w:left w:val="single" w:color="000000" w:sz="4" w:space="0"/>
              <w:bottom w:val="single" w:color="000000" w:sz="4" w:space="0"/>
              <w:right w:val="single" w:color="000000" w:sz="4" w:space="0"/>
            </w:tcBorders>
            <w:vAlign w:val="center"/>
          </w:tcPr>
          <w:p w14:paraId="685E8961">
            <w:pPr>
              <w:pStyle w:val="64"/>
            </w:pPr>
            <w:r>
              <w:t>行业</w:t>
            </w:r>
          </w:p>
        </w:tc>
        <w:tc>
          <w:tcPr>
            <w:tcW w:w="3325" w:type="pct"/>
            <w:tcBorders>
              <w:top w:val="single" w:color="000000" w:sz="4" w:space="0"/>
              <w:left w:val="single" w:color="000000" w:sz="4" w:space="0"/>
              <w:bottom w:val="single" w:color="000000" w:sz="4" w:space="0"/>
              <w:right w:val="single" w:color="000000" w:sz="4" w:space="0"/>
            </w:tcBorders>
            <w:vAlign w:val="center"/>
          </w:tcPr>
          <w:p w14:paraId="0DC94CA5">
            <w:pPr>
              <w:pStyle w:val="64"/>
            </w:pPr>
            <w:r>
              <w:t>评估依据</w:t>
            </w:r>
          </w:p>
        </w:tc>
        <w:tc>
          <w:tcPr>
            <w:tcW w:w="780" w:type="pct"/>
            <w:tcBorders>
              <w:top w:val="single" w:color="000000" w:sz="4" w:space="0"/>
              <w:left w:val="single" w:color="000000" w:sz="4" w:space="0"/>
              <w:bottom w:val="single" w:color="000000" w:sz="4" w:space="0"/>
              <w:right w:val="single" w:color="000000" w:sz="4" w:space="0"/>
            </w:tcBorders>
            <w:vAlign w:val="center"/>
          </w:tcPr>
          <w:p w14:paraId="7E8E19D3">
            <w:pPr>
              <w:pStyle w:val="64"/>
            </w:pPr>
            <w:r>
              <w:t>分值</w:t>
            </w:r>
          </w:p>
        </w:tc>
      </w:tr>
      <w:tr w14:paraId="5A46CDC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895" w:type="pct"/>
            <w:vMerge w:val="restart"/>
            <w:tcBorders>
              <w:top w:val="single" w:color="000000" w:sz="4" w:space="0"/>
              <w:left w:val="single" w:color="000000" w:sz="4" w:space="0"/>
              <w:bottom w:val="single" w:color="000000" w:sz="4" w:space="0"/>
              <w:right w:val="single" w:color="000000" w:sz="4" w:space="0"/>
            </w:tcBorders>
            <w:vAlign w:val="center"/>
          </w:tcPr>
          <w:p w14:paraId="045F8705">
            <w:pPr>
              <w:pStyle w:val="64"/>
            </w:pPr>
            <w:r>
              <w:t>石化、化工、医药、轻工、化纤、有色冶炼等</w:t>
            </w:r>
          </w:p>
        </w:tc>
        <w:tc>
          <w:tcPr>
            <w:tcW w:w="3325" w:type="pct"/>
            <w:tcBorders>
              <w:top w:val="single" w:color="000000" w:sz="4" w:space="0"/>
              <w:left w:val="single" w:color="000000" w:sz="4" w:space="0"/>
              <w:bottom w:val="single" w:color="000000" w:sz="4" w:space="0"/>
              <w:right w:val="single" w:color="000000" w:sz="4" w:space="0"/>
            </w:tcBorders>
            <w:vAlign w:val="center"/>
          </w:tcPr>
          <w:p w14:paraId="5FCB7EF7">
            <w:pPr>
              <w:pStyle w:val="64"/>
            </w:pPr>
            <w:r>
              <w:t>涉及光气及光气化工艺、电解工艺(氯碱)、氯化工艺、硝化工艺、合成氨工艺、裂解(裂化)工艺、氟化工艺、加氢工艺、重氮化工艺、氧化工艺、过氧化工艺、胺基化工艺、磺化工艺、聚合工艺、烷基化工艺、新型煤化工工艺、电石生产工艺、偶氮化工艺</w:t>
            </w:r>
          </w:p>
        </w:tc>
        <w:tc>
          <w:tcPr>
            <w:tcW w:w="780" w:type="pct"/>
            <w:tcBorders>
              <w:top w:val="single" w:color="000000" w:sz="4" w:space="0"/>
              <w:left w:val="single" w:color="000000" w:sz="4" w:space="0"/>
              <w:bottom w:val="single" w:color="000000" w:sz="4" w:space="0"/>
              <w:right w:val="single" w:color="000000" w:sz="4" w:space="0"/>
            </w:tcBorders>
            <w:vAlign w:val="center"/>
          </w:tcPr>
          <w:p w14:paraId="1CD2B3C2">
            <w:pPr>
              <w:pStyle w:val="64"/>
            </w:pPr>
            <w:r>
              <w:t>10/套</w:t>
            </w:r>
          </w:p>
        </w:tc>
      </w:tr>
      <w:tr w14:paraId="12010EF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0" w:type="auto"/>
            <w:vMerge w:val="continue"/>
            <w:tcBorders>
              <w:top w:val="single" w:color="000000" w:sz="4" w:space="0"/>
              <w:left w:val="single" w:color="000000" w:sz="4" w:space="0"/>
              <w:bottom w:val="single" w:color="000000" w:sz="4" w:space="0"/>
              <w:right w:val="single" w:color="000000" w:sz="4" w:space="0"/>
            </w:tcBorders>
            <w:vAlign w:val="center"/>
          </w:tcPr>
          <w:p w14:paraId="69511CE3">
            <w:pPr>
              <w:pStyle w:val="64"/>
            </w:pPr>
          </w:p>
        </w:tc>
        <w:tc>
          <w:tcPr>
            <w:tcW w:w="3325" w:type="pct"/>
            <w:tcBorders>
              <w:top w:val="single" w:color="000000" w:sz="4" w:space="0"/>
              <w:left w:val="single" w:color="000000" w:sz="4" w:space="0"/>
              <w:bottom w:val="single" w:color="000000" w:sz="4" w:space="0"/>
              <w:right w:val="single" w:color="000000" w:sz="4" w:space="0"/>
            </w:tcBorders>
            <w:vAlign w:val="center"/>
          </w:tcPr>
          <w:p w14:paraId="67CE293F">
            <w:pPr>
              <w:pStyle w:val="64"/>
            </w:pPr>
            <w:r>
              <w:t>无机酸制酸工艺、焦化工艺</w:t>
            </w:r>
          </w:p>
        </w:tc>
        <w:tc>
          <w:tcPr>
            <w:tcW w:w="780" w:type="pct"/>
            <w:tcBorders>
              <w:top w:val="single" w:color="000000" w:sz="4" w:space="0"/>
              <w:left w:val="single" w:color="000000" w:sz="4" w:space="0"/>
              <w:bottom w:val="single" w:color="000000" w:sz="4" w:space="0"/>
              <w:right w:val="single" w:color="000000" w:sz="4" w:space="0"/>
            </w:tcBorders>
            <w:vAlign w:val="center"/>
          </w:tcPr>
          <w:p w14:paraId="6B114E98">
            <w:pPr>
              <w:pStyle w:val="64"/>
            </w:pPr>
            <w:r>
              <w:t>5/套</w:t>
            </w:r>
          </w:p>
        </w:tc>
      </w:tr>
      <w:tr w14:paraId="50EA0A0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0" w:type="auto"/>
            <w:vMerge w:val="continue"/>
            <w:tcBorders>
              <w:top w:val="single" w:color="000000" w:sz="4" w:space="0"/>
              <w:left w:val="single" w:color="000000" w:sz="4" w:space="0"/>
              <w:bottom w:val="single" w:color="000000" w:sz="4" w:space="0"/>
              <w:right w:val="single" w:color="000000" w:sz="4" w:space="0"/>
            </w:tcBorders>
            <w:vAlign w:val="center"/>
          </w:tcPr>
          <w:p w14:paraId="4DA7C304">
            <w:pPr>
              <w:pStyle w:val="64"/>
            </w:pPr>
          </w:p>
        </w:tc>
        <w:tc>
          <w:tcPr>
            <w:tcW w:w="3325" w:type="pct"/>
            <w:tcBorders>
              <w:top w:val="single" w:color="000000" w:sz="4" w:space="0"/>
              <w:left w:val="single" w:color="000000" w:sz="4" w:space="0"/>
              <w:bottom w:val="single" w:color="000000" w:sz="4" w:space="0"/>
              <w:right w:val="single" w:color="000000" w:sz="4" w:space="0"/>
            </w:tcBorders>
            <w:vAlign w:val="center"/>
          </w:tcPr>
          <w:p w14:paraId="37F14D84">
            <w:pPr>
              <w:pStyle w:val="64"/>
            </w:pPr>
            <w:r>
              <w:t>其他高温或高压，且涉及危险物质的工艺过程</w:t>
            </w:r>
            <w:r>
              <w:rPr>
                <w:vertAlign w:val="superscript"/>
              </w:rPr>
              <w:t>a</w:t>
            </w:r>
            <w:r>
              <w:t>、危险物质贮存罐区</w:t>
            </w:r>
          </w:p>
        </w:tc>
        <w:tc>
          <w:tcPr>
            <w:tcW w:w="780" w:type="pct"/>
            <w:tcBorders>
              <w:top w:val="single" w:color="000000" w:sz="4" w:space="0"/>
              <w:left w:val="single" w:color="000000" w:sz="4" w:space="0"/>
              <w:bottom w:val="single" w:color="000000" w:sz="4" w:space="0"/>
              <w:right w:val="single" w:color="000000" w:sz="4" w:space="0"/>
            </w:tcBorders>
            <w:vAlign w:val="center"/>
          </w:tcPr>
          <w:p w14:paraId="3F378B5B">
            <w:pPr>
              <w:pStyle w:val="64"/>
            </w:pPr>
            <w:r>
              <w:t>5/套(罐区)</w:t>
            </w:r>
          </w:p>
        </w:tc>
      </w:tr>
      <w:tr w14:paraId="3833804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895" w:type="pct"/>
            <w:tcBorders>
              <w:top w:val="single" w:color="000000" w:sz="4" w:space="0"/>
              <w:left w:val="single" w:color="000000" w:sz="4" w:space="0"/>
              <w:bottom w:val="single" w:color="000000" w:sz="4" w:space="0"/>
              <w:right w:val="single" w:color="000000" w:sz="4" w:space="0"/>
            </w:tcBorders>
            <w:vAlign w:val="center"/>
          </w:tcPr>
          <w:p w14:paraId="3D90BFC9">
            <w:pPr>
              <w:pStyle w:val="64"/>
            </w:pPr>
            <w:r>
              <w:t>管道、港口/码头等</w:t>
            </w:r>
          </w:p>
        </w:tc>
        <w:tc>
          <w:tcPr>
            <w:tcW w:w="3325" w:type="pct"/>
            <w:tcBorders>
              <w:top w:val="single" w:color="000000" w:sz="4" w:space="0"/>
              <w:left w:val="single" w:color="000000" w:sz="4" w:space="0"/>
              <w:bottom w:val="single" w:color="000000" w:sz="4" w:space="0"/>
              <w:right w:val="single" w:color="000000" w:sz="4" w:space="0"/>
            </w:tcBorders>
            <w:vAlign w:val="center"/>
          </w:tcPr>
          <w:p w14:paraId="751A4FCB">
            <w:pPr>
              <w:pStyle w:val="64"/>
            </w:pPr>
            <w:r>
              <w:t>涉及危险物质管道运输项目、港口/码头等</w:t>
            </w:r>
          </w:p>
        </w:tc>
        <w:tc>
          <w:tcPr>
            <w:tcW w:w="780" w:type="pct"/>
            <w:tcBorders>
              <w:top w:val="single" w:color="000000" w:sz="4" w:space="0"/>
              <w:left w:val="single" w:color="000000" w:sz="4" w:space="0"/>
              <w:bottom w:val="single" w:color="000000" w:sz="4" w:space="0"/>
              <w:right w:val="single" w:color="000000" w:sz="4" w:space="0"/>
            </w:tcBorders>
            <w:vAlign w:val="center"/>
          </w:tcPr>
          <w:p w14:paraId="0D740D6B">
            <w:pPr>
              <w:pStyle w:val="64"/>
            </w:pPr>
            <w:r>
              <w:t>10</w:t>
            </w:r>
          </w:p>
        </w:tc>
      </w:tr>
      <w:tr w14:paraId="2DE8BF3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895" w:type="pct"/>
            <w:tcBorders>
              <w:top w:val="single" w:color="000000" w:sz="4" w:space="0"/>
              <w:left w:val="single" w:color="000000" w:sz="4" w:space="0"/>
              <w:bottom w:val="single" w:color="000000" w:sz="4" w:space="0"/>
              <w:right w:val="single" w:color="000000" w:sz="4" w:space="0"/>
            </w:tcBorders>
            <w:vAlign w:val="center"/>
          </w:tcPr>
          <w:p w14:paraId="2ACD5620">
            <w:pPr>
              <w:pStyle w:val="64"/>
            </w:pPr>
            <w:r>
              <w:t>石油天然气</w:t>
            </w:r>
          </w:p>
        </w:tc>
        <w:tc>
          <w:tcPr>
            <w:tcW w:w="3325" w:type="pct"/>
            <w:tcBorders>
              <w:top w:val="single" w:color="000000" w:sz="4" w:space="0"/>
              <w:left w:val="single" w:color="000000" w:sz="4" w:space="0"/>
              <w:bottom w:val="single" w:color="000000" w:sz="4" w:space="0"/>
              <w:right w:val="single" w:color="000000" w:sz="4" w:space="0"/>
            </w:tcBorders>
            <w:vAlign w:val="center"/>
          </w:tcPr>
          <w:p w14:paraId="226DC8CB">
            <w:pPr>
              <w:pStyle w:val="64"/>
            </w:pPr>
            <w:r>
              <w:t>石油、天然气、页岩气开采(含净化)，气库(不含加气站的气库)，油库(不含加气站的油库)、油气管线</w:t>
            </w:r>
            <w:r>
              <w:rPr>
                <w:vertAlign w:val="superscript"/>
              </w:rPr>
              <w:t>b</w:t>
            </w:r>
            <w:r>
              <w:t>(不含城镇燃气管线)</w:t>
            </w:r>
          </w:p>
        </w:tc>
        <w:tc>
          <w:tcPr>
            <w:tcW w:w="780" w:type="pct"/>
            <w:tcBorders>
              <w:top w:val="single" w:color="000000" w:sz="4" w:space="0"/>
              <w:left w:val="single" w:color="000000" w:sz="4" w:space="0"/>
              <w:bottom w:val="single" w:color="000000" w:sz="4" w:space="0"/>
              <w:right w:val="single" w:color="000000" w:sz="4" w:space="0"/>
            </w:tcBorders>
            <w:vAlign w:val="center"/>
          </w:tcPr>
          <w:p w14:paraId="68BCCBF1">
            <w:pPr>
              <w:pStyle w:val="64"/>
            </w:pPr>
            <w:r>
              <w:t>10</w:t>
            </w:r>
          </w:p>
        </w:tc>
      </w:tr>
      <w:tr w14:paraId="2956B7E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895" w:type="pct"/>
            <w:tcBorders>
              <w:top w:val="single" w:color="000000" w:sz="4" w:space="0"/>
              <w:left w:val="single" w:color="000000" w:sz="4" w:space="0"/>
              <w:bottom w:val="single" w:color="000000" w:sz="4" w:space="0"/>
              <w:right w:val="single" w:color="000000" w:sz="4" w:space="0"/>
            </w:tcBorders>
            <w:vAlign w:val="center"/>
          </w:tcPr>
          <w:p w14:paraId="54FD1CBD">
            <w:pPr>
              <w:pStyle w:val="64"/>
            </w:pPr>
            <w:r>
              <w:t>其他</w:t>
            </w:r>
          </w:p>
        </w:tc>
        <w:tc>
          <w:tcPr>
            <w:tcW w:w="3325" w:type="pct"/>
            <w:tcBorders>
              <w:top w:val="single" w:color="000000" w:sz="4" w:space="0"/>
              <w:left w:val="single" w:color="000000" w:sz="4" w:space="0"/>
              <w:bottom w:val="single" w:color="000000" w:sz="4" w:space="0"/>
              <w:right w:val="single" w:color="000000" w:sz="4" w:space="0"/>
            </w:tcBorders>
            <w:vAlign w:val="center"/>
          </w:tcPr>
          <w:p w14:paraId="0D44647E">
            <w:pPr>
              <w:pStyle w:val="64"/>
            </w:pPr>
            <w:r>
              <w:t>涉及危险物质使用、贮存的项目</w:t>
            </w:r>
          </w:p>
        </w:tc>
        <w:tc>
          <w:tcPr>
            <w:tcW w:w="780" w:type="pct"/>
            <w:tcBorders>
              <w:top w:val="single" w:color="000000" w:sz="4" w:space="0"/>
              <w:left w:val="single" w:color="000000" w:sz="4" w:space="0"/>
              <w:bottom w:val="single" w:color="000000" w:sz="4" w:space="0"/>
              <w:right w:val="single" w:color="000000" w:sz="4" w:space="0"/>
            </w:tcBorders>
            <w:vAlign w:val="center"/>
          </w:tcPr>
          <w:p w14:paraId="13CFE37C">
            <w:pPr>
              <w:pStyle w:val="64"/>
            </w:pPr>
            <w:r>
              <w:t>5</w:t>
            </w:r>
          </w:p>
        </w:tc>
      </w:tr>
      <w:tr w14:paraId="3D89B49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000" w:type="pct"/>
            <w:gridSpan w:val="3"/>
            <w:tcBorders>
              <w:top w:val="single" w:color="000000" w:sz="4" w:space="0"/>
              <w:left w:val="single" w:color="000000" w:sz="4" w:space="0"/>
              <w:bottom w:val="single" w:color="000000" w:sz="4" w:space="0"/>
              <w:right w:val="single" w:color="000000" w:sz="4" w:space="0"/>
            </w:tcBorders>
            <w:vAlign w:val="center"/>
          </w:tcPr>
          <w:p w14:paraId="7ED9168A">
            <w:pPr>
              <w:pStyle w:val="64"/>
              <w:jc w:val="both"/>
            </w:pPr>
            <w:r>
              <w:t>a高温指工艺温度≥300℃，高压指压力容器的设计压力(P)≥10.0MPa；</w:t>
            </w:r>
          </w:p>
          <w:p w14:paraId="6942AA3C">
            <w:pPr>
              <w:pStyle w:val="64"/>
              <w:jc w:val="both"/>
            </w:pPr>
            <w:r>
              <w:t>b长输管道运输项目应按站场、管线分段进行评价。</w:t>
            </w:r>
          </w:p>
        </w:tc>
      </w:tr>
    </w:tbl>
    <w:p w14:paraId="66E2A554">
      <w:pPr>
        <w:spacing w:line="360" w:lineRule="auto"/>
        <w:ind w:firstLine="482"/>
      </w:pPr>
    </w:p>
    <w:p w14:paraId="1FED6D7F">
      <w:pPr>
        <w:spacing w:line="360" w:lineRule="auto"/>
        <w:ind w:firstLine="482"/>
      </w:pPr>
      <w:r>
        <w:t>根据项目工艺流程，项目涉及的工艺主要有</w:t>
      </w:r>
      <w:r>
        <w:rPr>
          <w:rFonts w:hint="eastAsia"/>
        </w:rPr>
        <w:t>烷基化工艺</w:t>
      </w:r>
      <w:r>
        <w:t>，因此本项目M值的确定如下表</w:t>
      </w:r>
      <w:r>
        <w:rPr>
          <w:rFonts w:hint="eastAsia"/>
        </w:rPr>
        <w:t>6</w:t>
      </w:r>
      <w:r>
        <w:t>.</w:t>
      </w:r>
      <w:r>
        <w:rPr>
          <w:rFonts w:hint="eastAsia"/>
        </w:rPr>
        <w:t>8</w:t>
      </w:r>
      <w:r>
        <w:t>-</w:t>
      </w:r>
      <w:r>
        <w:rPr>
          <w:rFonts w:hint="eastAsia"/>
        </w:rPr>
        <w:t>8</w:t>
      </w:r>
      <w:r>
        <w:t>。</w:t>
      </w:r>
    </w:p>
    <w:p w14:paraId="728E5CC7">
      <w:pPr>
        <w:pStyle w:val="28"/>
        <w:rPr>
          <w:rFonts w:hint="eastAsia"/>
        </w:rPr>
      </w:pPr>
      <w:r>
        <w:t>表</w:t>
      </w:r>
      <w:r>
        <w:rPr>
          <w:rFonts w:hint="eastAsia"/>
        </w:rPr>
        <w:t>6</w:t>
      </w:r>
      <w:r>
        <w:t>.</w:t>
      </w:r>
      <w:r>
        <w:rPr>
          <w:rFonts w:hint="eastAsia"/>
        </w:rPr>
        <w:t>8</w:t>
      </w:r>
      <w:r>
        <w:t>-</w:t>
      </w:r>
      <w:r>
        <w:rPr>
          <w:rFonts w:hint="eastAsia"/>
        </w:rPr>
        <w:t xml:space="preserve">8  </w:t>
      </w:r>
      <w:r>
        <w:t>本项目M值确定表</w:t>
      </w:r>
    </w:p>
    <w:tbl>
      <w:tblPr>
        <w:tblStyle w:val="36"/>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935"/>
        <w:gridCol w:w="2888"/>
        <w:gridCol w:w="1984"/>
        <w:gridCol w:w="1296"/>
        <w:gridCol w:w="1957"/>
      </w:tblGrid>
      <w:tr w14:paraId="03F2FC1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16" w:type="pct"/>
            <w:tcBorders>
              <w:top w:val="single" w:color="000000" w:sz="4" w:space="0"/>
              <w:left w:val="single" w:color="auto" w:sz="4" w:space="0"/>
              <w:bottom w:val="single" w:color="000000" w:sz="4" w:space="0"/>
              <w:right w:val="single" w:color="auto" w:sz="4" w:space="0"/>
            </w:tcBorders>
            <w:vAlign w:val="center"/>
          </w:tcPr>
          <w:p w14:paraId="5A8A2E9C">
            <w:pPr>
              <w:pStyle w:val="64"/>
            </w:pPr>
            <w:r>
              <w:t>序号</w:t>
            </w:r>
          </w:p>
        </w:tc>
        <w:tc>
          <w:tcPr>
            <w:tcW w:w="1594" w:type="pct"/>
            <w:tcBorders>
              <w:top w:val="single" w:color="000000" w:sz="4" w:space="0"/>
              <w:left w:val="single" w:color="auto" w:sz="4" w:space="0"/>
              <w:bottom w:val="single" w:color="000000" w:sz="4" w:space="0"/>
              <w:right w:val="single" w:color="auto" w:sz="4" w:space="0"/>
            </w:tcBorders>
            <w:vAlign w:val="center"/>
          </w:tcPr>
          <w:p w14:paraId="022AFB4E">
            <w:pPr>
              <w:pStyle w:val="64"/>
            </w:pPr>
            <w:r>
              <w:t>工艺单元名称</w:t>
            </w:r>
          </w:p>
        </w:tc>
        <w:tc>
          <w:tcPr>
            <w:tcW w:w="1095" w:type="pct"/>
            <w:tcBorders>
              <w:top w:val="single" w:color="000000" w:sz="4" w:space="0"/>
              <w:left w:val="single" w:color="auto" w:sz="4" w:space="0"/>
              <w:bottom w:val="single" w:color="000000" w:sz="4" w:space="0"/>
              <w:right w:val="single" w:color="auto" w:sz="4" w:space="0"/>
            </w:tcBorders>
            <w:vAlign w:val="center"/>
          </w:tcPr>
          <w:p w14:paraId="45F790A4">
            <w:pPr>
              <w:pStyle w:val="64"/>
            </w:pPr>
            <w:r>
              <w:t>生产工艺</w:t>
            </w:r>
          </w:p>
        </w:tc>
        <w:tc>
          <w:tcPr>
            <w:tcW w:w="715" w:type="pct"/>
            <w:tcBorders>
              <w:top w:val="single" w:color="000000" w:sz="4" w:space="0"/>
              <w:left w:val="single" w:color="auto" w:sz="4" w:space="0"/>
              <w:bottom w:val="single" w:color="000000" w:sz="4" w:space="0"/>
              <w:right w:val="single" w:color="000000" w:sz="4" w:space="0"/>
            </w:tcBorders>
            <w:vAlign w:val="center"/>
          </w:tcPr>
          <w:p w14:paraId="4574AAFD">
            <w:pPr>
              <w:pStyle w:val="64"/>
            </w:pPr>
            <w:r>
              <w:t>数量/套</w:t>
            </w:r>
          </w:p>
        </w:tc>
        <w:tc>
          <w:tcPr>
            <w:tcW w:w="1080" w:type="pct"/>
            <w:tcBorders>
              <w:top w:val="single" w:color="000000" w:sz="4" w:space="0"/>
              <w:left w:val="single" w:color="000000" w:sz="4" w:space="0"/>
              <w:bottom w:val="single" w:color="000000" w:sz="4" w:space="0"/>
              <w:right w:val="single" w:color="000000" w:sz="4" w:space="0"/>
            </w:tcBorders>
            <w:vAlign w:val="center"/>
          </w:tcPr>
          <w:p w14:paraId="27D07A5D">
            <w:pPr>
              <w:pStyle w:val="64"/>
            </w:pPr>
            <w:r>
              <w:t>M分值</w:t>
            </w:r>
          </w:p>
        </w:tc>
      </w:tr>
      <w:tr w14:paraId="0602B9D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16" w:type="pct"/>
            <w:tcBorders>
              <w:top w:val="single" w:color="000000" w:sz="4" w:space="0"/>
              <w:left w:val="single" w:color="auto" w:sz="4" w:space="0"/>
              <w:bottom w:val="single" w:color="000000" w:sz="4" w:space="0"/>
              <w:right w:val="single" w:color="auto" w:sz="4" w:space="0"/>
            </w:tcBorders>
            <w:vAlign w:val="center"/>
          </w:tcPr>
          <w:p w14:paraId="1BBD713F">
            <w:pPr>
              <w:pStyle w:val="64"/>
            </w:pPr>
            <w:r>
              <w:t>1</w:t>
            </w:r>
          </w:p>
        </w:tc>
        <w:tc>
          <w:tcPr>
            <w:tcW w:w="1594" w:type="pct"/>
            <w:tcBorders>
              <w:top w:val="single" w:color="000000" w:sz="4" w:space="0"/>
              <w:left w:val="single" w:color="auto" w:sz="4" w:space="0"/>
              <w:bottom w:val="single" w:color="000000" w:sz="4" w:space="0"/>
              <w:right w:val="single" w:color="auto" w:sz="4" w:space="0"/>
            </w:tcBorders>
            <w:vAlign w:val="center"/>
          </w:tcPr>
          <w:p w14:paraId="4DAE3987">
            <w:pPr>
              <w:pStyle w:val="64"/>
            </w:pPr>
            <w:r>
              <w:rPr>
                <w:rFonts w:hint="eastAsia"/>
              </w:rPr>
              <w:t>间对甲酚和异丁烯加成反应</w:t>
            </w:r>
          </w:p>
        </w:tc>
        <w:tc>
          <w:tcPr>
            <w:tcW w:w="1095" w:type="pct"/>
            <w:tcBorders>
              <w:top w:val="single" w:color="000000" w:sz="4" w:space="0"/>
              <w:left w:val="single" w:color="auto" w:sz="4" w:space="0"/>
              <w:bottom w:val="single" w:color="000000" w:sz="4" w:space="0"/>
              <w:right w:val="single" w:color="auto" w:sz="4" w:space="0"/>
            </w:tcBorders>
            <w:vAlign w:val="center"/>
          </w:tcPr>
          <w:p w14:paraId="2FE1E05D">
            <w:pPr>
              <w:pStyle w:val="64"/>
            </w:pPr>
            <w:r>
              <w:rPr>
                <w:rFonts w:hint="eastAsia"/>
              </w:rPr>
              <w:t>烷基化</w:t>
            </w:r>
          </w:p>
        </w:tc>
        <w:tc>
          <w:tcPr>
            <w:tcW w:w="715" w:type="pct"/>
            <w:tcBorders>
              <w:top w:val="single" w:color="000000" w:sz="4" w:space="0"/>
              <w:left w:val="single" w:color="auto" w:sz="4" w:space="0"/>
              <w:bottom w:val="single" w:color="000000" w:sz="4" w:space="0"/>
              <w:right w:val="single" w:color="000000" w:sz="4" w:space="0"/>
            </w:tcBorders>
            <w:vAlign w:val="center"/>
          </w:tcPr>
          <w:p w14:paraId="07690DFB">
            <w:pPr>
              <w:pStyle w:val="64"/>
            </w:pPr>
            <w:r>
              <w:t>1</w:t>
            </w:r>
          </w:p>
        </w:tc>
        <w:tc>
          <w:tcPr>
            <w:tcW w:w="1080" w:type="pct"/>
            <w:tcBorders>
              <w:top w:val="single" w:color="000000" w:sz="4" w:space="0"/>
              <w:left w:val="single" w:color="000000" w:sz="4" w:space="0"/>
              <w:bottom w:val="single" w:color="000000" w:sz="4" w:space="0"/>
              <w:right w:val="single" w:color="000000" w:sz="4" w:space="0"/>
            </w:tcBorders>
            <w:vAlign w:val="center"/>
          </w:tcPr>
          <w:p w14:paraId="644A0084">
            <w:pPr>
              <w:pStyle w:val="64"/>
            </w:pPr>
            <w:r>
              <w:t>10</w:t>
            </w:r>
          </w:p>
        </w:tc>
      </w:tr>
      <w:tr w14:paraId="7B4C208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16" w:type="pct"/>
            <w:tcBorders>
              <w:top w:val="single" w:color="000000" w:sz="4" w:space="0"/>
              <w:left w:val="single" w:color="auto" w:sz="4" w:space="0"/>
              <w:bottom w:val="single" w:color="000000" w:sz="4" w:space="0"/>
              <w:right w:val="single" w:color="auto" w:sz="4" w:space="0"/>
            </w:tcBorders>
            <w:vAlign w:val="center"/>
          </w:tcPr>
          <w:p w14:paraId="31A070E8">
            <w:pPr>
              <w:pStyle w:val="64"/>
            </w:pPr>
            <w:r>
              <w:rPr>
                <w:rFonts w:hint="eastAsia"/>
              </w:rPr>
              <w:t>2</w:t>
            </w:r>
          </w:p>
        </w:tc>
        <w:tc>
          <w:tcPr>
            <w:tcW w:w="1594" w:type="pct"/>
            <w:tcBorders>
              <w:top w:val="single" w:color="000000" w:sz="4" w:space="0"/>
              <w:left w:val="single" w:color="auto" w:sz="4" w:space="0"/>
              <w:bottom w:val="single" w:color="000000" w:sz="4" w:space="0"/>
              <w:right w:val="single" w:color="auto" w:sz="4" w:space="0"/>
            </w:tcBorders>
            <w:vAlign w:val="center"/>
          </w:tcPr>
          <w:p w14:paraId="73183B29">
            <w:pPr>
              <w:pStyle w:val="64"/>
            </w:pPr>
            <w:r>
              <w:t>原料罐区</w:t>
            </w:r>
            <w:r>
              <w:rPr>
                <w:rFonts w:hint="eastAsia"/>
              </w:rPr>
              <w:t>、中间罐区</w:t>
            </w:r>
          </w:p>
        </w:tc>
        <w:tc>
          <w:tcPr>
            <w:tcW w:w="1095" w:type="pct"/>
            <w:tcBorders>
              <w:top w:val="single" w:color="000000" w:sz="4" w:space="0"/>
              <w:left w:val="single" w:color="auto" w:sz="4" w:space="0"/>
              <w:bottom w:val="single" w:color="000000" w:sz="4" w:space="0"/>
              <w:right w:val="single" w:color="auto" w:sz="4" w:space="0"/>
            </w:tcBorders>
            <w:vAlign w:val="center"/>
          </w:tcPr>
          <w:p w14:paraId="03A28DA8">
            <w:pPr>
              <w:pStyle w:val="64"/>
            </w:pPr>
            <w:r>
              <w:t>危险物质贮存罐区</w:t>
            </w:r>
          </w:p>
        </w:tc>
        <w:tc>
          <w:tcPr>
            <w:tcW w:w="715" w:type="pct"/>
            <w:tcBorders>
              <w:top w:val="single" w:color="000000" w:sz="4" w:space="0"/>
              <w:left w:val="single" w:color="auto" w:sz="4" w:space="0"/>
              <w:bottom w:val="single" w:color="000000" w:sz="4" w:space="0"/>
              <w:right w:val="single" w:color="000000" w:sz="4" w:space="0"/>
            </w:tcBorders>
            <w:vAlign w:val="center"/>
          </w:tcPr>
          <w:p w14:paraId="0E211FF4">
            <w:pPr>
              <w:pStyle w:val="64"/>
            </w:pPr>
            <w:r>
              <w:rPr>
                <w:rFonts w:hint="eastAsia"/>
              </w:rPr>
              <w:t>2</w:t>
            </w:r>
          </w:p>
        </w:tc>
        <w:tc>
          <w:tcPr>
            <w:tcW w:w="1080" w:type="pct"/>
            <w:tcBorders>
              <w:top w:val="single" w:color="000000" w:sz="4" w:space="0"/>
              <w:left w:val="single" w:color="000000" w:sz="4" w:space="0"/>
              <w:bottom w:val="single" w:color="000000" w:sz="4" w:space="0"/>
              <w:right w:val="single" w:color="000000" w:sz="4" w:space="0"/>
            </w:tcBorders>
            <w:vAlign w:val="center"/>
          </w:tcPr>
          <w:p w14:paraId="27D396C7">
            <w:pPr>
              <w:pStyle w:val="64"/>
            </w:pPr>
            <w:r>
              <w:rPr>
                <w:rFonts w:hint="eastAsia"/>
              </w:rPr>
              <w:t>10</w:t>
            </w:r>
          </w:p>
        </w:tc>
      </w:tr>
      <w:tr w14:paraId="6B78440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920" w:type="pct"/>
            <w:gridSpan w:val="4"/>
            <w:tcBorders>
              <w:top w:val="single" w:color="000000" w:sz="4" w:space="0"/>
              <w:left w:val="single" w:color="auto" w:sz="4" w:space="0"/>
              <w:bottom w:val="single" w:color="000000" w:sz="4" w:space="0"/>
              <w:right w:val="single" w:color="000000" w:sz="4" w:space="0"/>
            </w:tcBorders>
            <w:vAlign w:val="center"/>
          </w:tcPr>
          <w:p w14:paraId="32893C94">
            <w:pPr>
              <w:pStyle w:val="64"/>
            </w:pPr>
            <w:r>
              <w:t>项目M值</w:t>
            </w:r>
          </w:p>
        </w:tc>
        <w:tc>
          <w:tcPr>
            <w:tcW w:w="1080" w:type="pct"/>
            <w:tcBorders>
              <w:top w:val="single" w:color="000000" w:sz="4" w:space="0"/>
              <w:left w:val="single" w:color="000000" w:sz="4" w:space="0"/>
              <w:bottom w:val="single" w:color="000000" w:sz="4" w:space="0"/>
              <w:right w:val="single" w:color="000000" w:sz="4" w:space="0"/>
            </w:tcBorders>
            <w:vAlign w:val="center"/>
          </w:tcPr>
          <w:p w14:paraId="55E5C9B7">
            <w:pPr>
              <w:pStyle w:val="64"/>
            </w:pPr>
            <w:r>
              <w:rPr>
                <w:rFonts w:hint="eastAsia"/>
              </w:rPr>
              <w:t>20</w:t>
            </w:r>
          </w:p>
        </w:tc>
      </w:tr>
      <w:tr w14:paraId="170D407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920" w:type="pct"/>
            <w:gridSpan w:val="4"/>
            <w:tcBorders>
              <w:top w:val="single" w:color="000000" w:sz="4" w:space="0"/>
              <w:left w:val="single" w:color="auto" w:sz="4" w:space="0"/>
              <w:bottom w:val="single" w:color="000000" w:sz="4" w:space="0"/>
              <w:right w:val="single" w:color="000000" w:sz="4" w:space="0"/>
            </w:tcBorders>
            <w:vAlign w:val="center"/>
          </w:tcPr>
          <w:p w14:paraId="7FD78700">
            <w:pPr>
              <w:pStyle w:val="64"/>
            </w:pPr>
            <w:r>
              <w:t>本项目行业及生产工艺M值对应等级</w:t>
            </w:r>
          </w:p>
        </w:tc>
        <w:tc>
          <w:tcPr>
            <w:tcW w:w="1080" w:type="pct"/>
            <w:tcBorders>
              <w:top w:val="single" w:color="000000" w:sz="4" w:space="0"/>
              <w:left w:val="single" w:color="000000" w:sz="4" w:space="0"/>
              <w:bottom w:val="single" w:color="000000" w:sz="4" w:space="0"/>
              <w:right w:val="single" w:color="000000" w:sz="4" w:space="0"/>
            </w:tcBorders>
            <w:vAlign w:val="center"/>
          </w:tcPr>
          <w:p w14:paraId="0A631AF1">
            <w:pPr>
              <w:pStyle w:val="64"/>
            </w:pPr>
            <w:r>
              <w:t>M</w:t>
            </w:r>
            <w:r>
              <w:rPr>
                <w:rFonts w:hint="eastAsia"/>
              </w:rPr>
              <w:t>2</w:t>
            </w:r>
          </w:p>
        </w:tc>
      </w:tr>
    </w:tbl>
    <w:p w14:paraId="726F799C">
      <w:pPr>
        <w:pStyle w:val="16"/>
        <w:ind w:firstLine="480"/>
      </w:pPr>
    </w:p>
    <w:p w14:paraId="39994817">
      <w:pPr>
        <w:pStyle w:val="16"/>
        <w:ind w:firstLine="480"/>
      </w:pPr>
      <w:r>
        <w:t>(3)危险物质及工艺系统危险性(P)分级</w:t>
      </w:r>
    </w:p>
    <w:p w14:paraId="486F5BEB">
      <w:pPr>
        <w:pStyle w:val="16"/>
        <w:ind w:firstLine="480"/>
      </w:pPr>
      <w:r>
        <w:t>根据危险物质数量与临界量比值(Q)和行业及生产工艺(M)，确定本项目危险物质及工艺系数危险性等级为(P</w:t>
      </w:r>
      <w:r>
        <w:rPr>
          <w:rFonts w:hint="eastAsia"/>
        </w:rPr>
        <w:t>1)。</w:t>
      </w:r>
    </w:p>
    <w:p w14:paraId="73261DBC">
      <w:pPr>
        <w:pStyle w:val="16"/>
        <w:ind w:firstLine="480"/>
      </w:pPr>
    </w:p>
    <w:p w14:paraId="184FAD8F">
      <w:pPr>
        <w:pStyle w:val="28"/>
        <w:rPr>
          <w:rFonts w:hint="eastAsia"/>
        </w:rPr>
      </w:pPr>
      <w:r>
        <w:t>表</w:t>
      </w:r>
      <w:r>
        <w:rPr>
          <w:rFonts w:hint="eastAsia"/>
        </w:rPr>
        <w:t>6</w:t>
      </w:r>
      <w:r>
        <w:t>.</w:t>
      </w:r>
      <w:r>
        <w:rPr>
          <w:rFonts w:hint="eastAsia"/>
        </w:rPr>
        <w:t>8</w:t>
      </w:r>
      <w:r>
        <w:t>-</w:t>
      </w:r>
      <w:r>
        <w:rPr>
          <w:rFonts w:hint="eastAsia"/>
        </w:rPr>
        <w:t>9</w:t>
      </w:r>
      <w:r>
        <w:t xml:space="preserve">  危险物质及工艺系数危险等级判断(P)</w:t>
      </w:r>
    </w:p>
    <w:tbl>
      <w:tblPr>
        <w:tblStyle w:val="36"/>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2374"/>
        <w:gridCol w:w="1656"/>
        <w:gridCol w:w="1656"/>
        <w:gridCol w:w="1656"/>
        <w:gridCol w:w="1718"/>
      </w:tblGrid>
      <w:tr w14:paraId="3EB4FB7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310" w:type="pct"/>
            <w:vMerge w:val="restart"/>
            <w:tcBorders>
              <w:top w:val="single" w:color="000000" w:sz="4" w:space="0"/>
              <w:left w:val="single" w:color="000000" w:sz="4" w:space="0"/>
              <w:bottom w:val="single" w:color="000000" w:sz="4" w:space="0"/>
              <w:right w:val="single" w:color="000000" w:sz="4" w:space="0"/>
            </w:tcBorders>
            <w:vAlign w:val="center"/>
          </w:tcPr>
          <w:p w14:paraId="43C20EF5">
            <w:pPr>
              <w:pStyle w:val="64"/>
            </w:pPr>
            <w:r>
              <w:t>危险物质数量与临界量比值(Q)</w:t>
            </w:r>
          </w:p>
        </w:tc>
        <w:tc>
          <w:tcPr>
            <w:tcW w:w="3690" w:type="pct"/>
            <w:gridSpan w:val="4"/>
            <w:tcBorders>
              <w:top w:val="single" w:color="000000" w:sz="4" w:space="0"/>
              <w:left w:val="single" w:color="000000" w:sz="4" w:space="0"/>
              <w:bottom w:val="single" w:color="000000" w:sz="4" w:space="0"/>
              <w:right w:val="single" w:color="000000" w:sz="4" w:space="0"/>
            </w:tcBorders>
            <w:vAlign w:val="center"/>
          </w:tcPr>
          <w:p w14:paraId="06C495D7">
            <w:pPr>
              <w:pStyle w:val="64"/>
            </w:pPr>
            <w:r>
              <w:t>行业及生产工艺(M)</w:t>
            </w:r>
          </w:p>
        </w:tc>
      </w:tr>
      <w:tr w14:paraId="0CAB0F7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310" w:type="pct"/>
            <w:vMerge w:val="continue"/>
            <w:tcBorders>
              <w:top w:val="single" w:color="000000" w:sz="4" w:space="0"/>
              <w:left w:val="single" w:color="000000" w:sz="4" w:space="0"/>
              <w:bottom w:val="single" w:color="000000" w:sz="4" w:space="0"/>
              <w:right w:val="single" w:color="000000" w:sz="4" w:space="0"/>
            </w:tcBorders>
            <w:vAlign w:val="center"/>
          </w:tcPr>
          <w:p w14:paraId="40211F4A">
            <w:pPr>
              <w:pStyle w:val="64"/>
            </w:pPr>
          </w:p>
        </w:tc>
        <w:tc>
          <w:tcPr>
            <w:tcW w:w="914" w:type="pct"/>
            <w:tcBorders>
              <w:top w:val="single" w:color="000000" w:sz="4" w:space="0"/>
              <w:left w:val="single" w:color="000000" w:sz="4" w:space="0"/>
              <w:bottom w:val="single" w:color="000000" w:sz="4" w:space="0"/>
              <w:right w:val="single" w:color="000000" w:sz="4" w:space="0"/>
            </w:tcBorders>
            <w:vAlign w:val="center"/>
          </w:tcPr>
          <w:p w14:paraId="51BA1FCA">
            <w:pPr>
              <w:pStyle w:val="64"/>
            </w:pPr>
            <w:r>
              <w:t>M1</w:t>
            </w:r>
          </w:p>
        </w:tc>
        <w:tc>
          <w:tcPr>
            <w:tcW w:w="914" w:type="pct"/>
            <w:tcBorders>
              <w:top w:val="single" w:color="000000" w:sz="4" w:space="0"/>
              <w:left w:val="single" w:color="000000" w:sz="4" w:space="0"/>
              <w:bottom w:val="single" w:color="000000" w:sz="4" w:space="0"/>
              <w:right w:val="single" w:color="000000" w:sz="4" w:space="0"/>
            </w:tcBorders>
            <w:vAlign w:val="center"/>
          </w:tcPr>
          <w:p w14:paraId="6C627447">
            <w:pPr>
              <w:pStyle w:val="64"/>
            </w:pPr>
            <w:r>
              <w:t>M2</w:t>
            </w:r>
          </w:p>
        </w:tc>
        <w:tc>
          <w:tcPr>
            <w:tcW w:w="914" w:type="pct"/>
            <w:tcBorders>
              <w:top w:val="single" w:color="000000" w:sz="4" w:space="0"/>
              <w:left w:val="single" w:color="000000" w:sz="4" w:space="0"/>
              <w:bottom w:val="single" w:color="000000" w:sz="4" w:space="0"/>
              <w:right w:val="single" w:color="000000" w:sz="4" w:space="0"/>
            </w:tcBorders>
            <w:vAlign w:val="center"/>
          </w:tcPr>
          <w:p w14:paraId="1813B737">
            <w:pPr>
              <w:pStyle w:val="64"/>
            </w:pPr>
            <w:r>
              <w:t>M3</w:t>
            </w:r>
          </w:p>
        </w:tc>
        <w:tc>
          <w:tcPr>
            <w:tcW w:w="947" w:type="pct"/>
            <w:tcBorders>
              <w:top w:val="single" w:color="000000" w:sz="4" w:space="0"/>
              <w:left w:val="single" w:color="000000" w:sz="4" w:space="0"/>
              <w:bottom w:val="single" w:color="000000" w:sz="4" w:space="0"/>
              <w:right w:val="single" w:color="000000" w:sz="4" w:space="0"/>
            </w:tcBorders>
            <w:vAlign w:val="center"/>
          </w:tcPr>
          <w:p w14:paraId="4768705A">
            <w:pPr>
              <w:pStyle w:val="64"/>
            </w:pPr>
            <w:r>
              <w:t>M4</w:t>
            </w:r>
          </w:p>
        </w:tc>
      </w:tr>
      <w:tr w14:paraId="25A84E0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310" w:type="pct"/>
            <w:tcBorders>
              <w:top w:val="single" w:color="000000" w:sz="4" w:space="0"/>
              <w:left w:val="single" w:color="000000" w:sz="4" w:space="0"/>
              <w:bottom w:val="single" w:color="000000" w:sz="4" w:space="0"/>
              <w:right w:val="single" w:color="000000" w:sz="4" w:space="0"/>
            </w:tcBorders>
            <w:vAlign w:val="center"/>
          </w:tcPr>
          <w:p w14:paraId="197C980E">
            <w:pPr>
              <w:pStyle w:val="64"/>
            </w:pPr>
            <w:r>
              <w:t>Q≥100</w:t>
            </w:r>
          </w:p>
        </w:tc>
        <w:tc>
          <w:tcPr>
            <w:tcW w:w="914" w:type="pct"/>
            <w:tcBorders>
              <w:top w:val="single" w:color="000000" w:sz="4" w:space="0"/>
              <w:left w:val="single" w:color="000000" w:sz="4" w:space="0"/>
              <w:bottom w:val="single" w:color="000000" w:sz="4" w:space="0"/>
              <w:right w:val="single" w:color="000000" w:sz="4" w:space="0"/>
            </w:tcBorders>
            <w:vAlign w:val="center"/>
          </w:tcPr>
          <w:p w14:paraId="5BE20C6E">
            <w:pPr>
              <w:pStyle w:val="64"/>
            </w:pPr>
            <w:r>
              <w:t>P1</w:t>
            </w:r>
          </w:p>
        </w:tc>
        <w:tc>
          <w:tcPr>
            <w:tcW w:w="914" w:type="pct"/>
            <w:tcBorders>
              <w:top w:val="single" w:color="000000" w:sz="4" w:space="0"/>
              <w:left w:val="single" w:color="000000" w:sz="4" w:space="0"/>
              <w:bottom w:val="single" w:color="000000" w:sz="4" w:space="0"/>
              <w:right w:val="single" w:color="000000" w:sz="4" w:space="0"/>
            </w:tcBorders>
            <w:shd w:val="clear" w:color="auto" w:fill="D8D8D8" w:themeFill="background1" w:themeFillShade="D9"/>
            <w:vAlign w:val="center"/>
          </w:tcPr>
          <w:p w14:paraId="0A03AC69">
            <w:pPr>
              <w:pStyle w:val="64"/>
            </w:pPr>
            <w:r>
              <w:t>P1</w:t>
            </w:r>
          </w:p>
        </w:tc>
        <w:tc>
          <w:tcPr>
            <w:tcW w:w="914" w:type="pct"/>
            <w:tcBorders>
              <w:top w:val="single" w:color="000000" w:sz="4" w:space="0"/>
              <w:left w:val="single" w:color="000000" w:sz="4" w:space="0"/>
              <w:bottom w:val="single" w:color="000000" w:sz="4" w:space="0"/>
              <w:right w:val="single" w:color="000000" w:sz="4" w:space="0"/>
            </w:tcBorders>
            <w:vAlign w:val="center"/>
          </w:tcPr>
          <w:p w14:paraId="49F9E075">
            <w:pPr>
              <w:pStyle w:val="64"/>
            </w:pPr>
            <w:r>
              <w:t>P2</w:t>
            </w:r>
          </w:p>
        </w:tc>
        <w:tc>
          <w:tcPr>
            <w:tcW w:w="947" w:type="pct"/>
            <w:tcBorders>
              <w:top w:val="single" w:color="000000" w:sz="4" w:space="0"/>
              <w:left w:val="single" w:color="000000" w:sz="4" w:space="0"/>
              <w:bottom w:val="single" w:color="000000" w:sz="4" w:space="0"/>
              <w:right w:val="single" w:color="000000" w:sz="4" w:space="0"/>
            </w:tcBorders>
            <w:vAlign w:val="center"/>
          </w:tcPr>
          <w:p w14:paraId="1224B7B5">
            <w:pPr>
              <w:pStyle w:val="64"/>
            </w:pPr>
            <w:r>
              <w:t>P3</w:t>
            </w:r>
          </w:p>
        </w:tc>
      </w:tr>
      <w:tr w14:paraId="503B5B9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310" w:type="pct"/>
            <w:tcBorders>
              <w:top w:val="single" w:color="000000" w:sz="4" w:space="0"/>
              <w:left w:val="single" w:color="000000" w:sz="4" w:space="0"/>
              <w:bottom w:val="single" w:color="000000" w:sz="4" w:space="0"/>
              <w:right w:val="single" w:color="000000" w:sz="4" w:space="0"/>
            </w:tcBorders>
            <w:vAlign w:val="center"/>
          </w:tcPr>
          <w:p w14:paraId="44C55F7E">
            <w:pPr>
              <w:pStyle w:val="64"/>
            </w:pPr>
            <w:r>
              <w:t>10≤Q&lt;100</w:t>
            </w:r>
          </w:p>
        </w:tc>
        <w:tc>
          <w:tcPr>
            <w:tcW w:w="914" w:type="pct"/>
            <w:tcBorders>
              <w:top w:val="single" w:color="000000" w:sz="4" w:space="0"/>
              <w:left w:val="single" w:color="000000" w:sz="4" w:space="0"/>
              <w:bottom w:val="single" w:color="000000" w:sz="4" w:space="0"/>
              <w:right w:val="single" w:color="000000" w:sz="4" w:space="0"/>
            </w:tcBorders>
            <w:vAlign w:val="center"/>
          </w:tcPr>
          <w:p w14:paraId="62ED4A86">
            <w:pPr>
              <w:pStyle w:val="64"/>
            </w:pPr>
            <w:r>
              <w:t>P1</w:t>
            </w:r>
          </w:p>
        </w:tc>
        <w:tc>
          <w:tcPr>
            <w:tcW w:w="914" w:type="pct"/>
            <w:tcBorders>
              <w:top w:val="single" w:color="000000" w:sz="4" w:space="0"/>
              <w:left w:val="single" w:color="000000" w:sz="4" w:space="0"/>
              <w:bottom w:val="single" w:color="000000" w:sz="4" w:space="0"/>
              <w:right w:val="single" w:color="000000" w:sz="4" w:space="0"/>
            </w:tcBorders>
            <w:vAlign w:val="center"/>
          </w:tcPr>
          <w:p w14:paraId="4450EA25">
            <w:pPr>
              <w:pStyle w:val="64"/>
              <w:rPr>
                <w:bCs/>
              </w:rPr>
            </w:pPr>
            <w:r>
              <w:rPr>
                <w:bCs/>
              </w:rPr>
              <w:t>P2</w:t>
            </w:r>
          </w:p>
        </w:tc>
        <w:tc>
          <w:tcPr>
            <w:tcW w:w="914" w:type="pct"/>
            <w:tcBorders>
              <w:top w:val="single" w:color="000000" w:sz="4" w:space="0"/>
              <w:left w:val="single" w:color="000000" w:sz="4" w:space="0"/>
              <w:bottom w:val="single" w:color="000000" w:sz="4" w:space="0"/>
              <w:right w:val="single" w:color="000000" w:sz="4" w:space="0"/>
            </w:tcBorders>
            <w:vAlign w:val="center"/>
          </w:tcPr>
          <w:p w14:paraId="6F3363C2">
            <w:pPr>
              <w:pStyle w:val="64"/>
            </w:pPr>
            <w:r>
              <w:t>P3</w:t>
            </w:r>
          </w:p>
        </w:tc>
        <w:tc>
          <w:tcPr>
            <w:tcW w:w="947" w:type="pct"/>
            <w:tcBorders>
              <w:top w:val="single" w:color="000000" w:sz="4" w:space="0"/>
              <w:left w:val="single" w:color="000000" w:sz="4" w:space="0"/>
              <w:bottom w:val="single" w:color="000000" w:sz="4" w:space="0"/>
              <w:right w:val="single" w:color="000000" w:sz="4" w:space="0"/>
            </w:tcBorders>
            <w:vAlign w:val="center"/>
          </w:tcPr>
          <w:p w14:paraId="2186ECE9">
            <w:pPr>
              <w:pStyle w:val="64"/>
            </w:pPr>
            <w:r>
              <w:t>P4</w:t>
            </w:r>
          </w:p>
        </w:tc>
      </w:tr>
      <w:tr w14:paraId="5E92085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310" w:type="pct"/>
            <w:tcBorders>
              <w:top w:val="single" w:color="000000" w:sz="4" w:space="0"/>
              <w:left w:val="single" w:color="000000" w:sz="4" w:space="0"/>
              <w:bottom w:val="single" w:color="000000" w:sz="4" w:space="0"/>
              <w:right w:val="single" w:color="000000" w:sz="4" w:space="0"/>
            </w:tcBorders>
            <w:vAlign w:val="center"/>
          </w:tcPr>
          <w:p w14:paraId="1036A65A">
            <w:pPr>
              <w:pStyle w:val="64"/>
            </w:pPr>
            <w:r>
              <w:t>1≤Q&lt;10</w:t>
            </w:r>
          </w:p>
        </w:tc>
        <w:tc>
          <w:tcPr>
            <w:tcW w:w="914" w:type="pct"/>
            <w:tcBorders>
              <w:top w:val="single" w:color="000000" w:sz="4" w:space="0"/>
              <w:left w:val="single" w:color="000000" w:sz="4" w:space="0"/>
              <w:bottom w:val="single" w:color="000000" w:sz="4" w:space="0"/>
              <w:right w:val="single" w:color="000000" w:sz="4" w:space="0"/>
            </w:tcBorders>
            <w:vAlign w:val="center"/>
          </w:tcPr>
          <w:p w14:paraId="1B987808">
            <w:pPr>
              <w:pStyle w:val="64"/>
            </w:pPr>
            <w:r>
              <w:t>P2</w:t>
            </w:r>
          </w:p>
        </w:tc>
        <w:tc>
          <w:tcPr>
            <w:tcW w:w="914" w:type="pct"/>
            <w:tcBorders>
              <w:top w:val="single" w:color="000000" w:sz="4" w:space="0"/>
              <w:left w:val="single" w:color="000000" w:sz="4" w:space="0"/>
              <w:bottom w:val="single" w:color="000000" w:sz="4" w:space="0"/>
              <w:right w:val="single" w:color="000000" w:sz="4" w:space="0"/>
            </w:tcBorders>
            <w:vAlign w:val="center"/>
          </w:tcPr>
          <w:p w14:paraId="43417A43">
            <w:pPr>
              <w:pStyle w:val="64"/>
            </w:pPr>
            <w:r>
              <w:t>P3</w:t>
            </w:r>
          </w:p>
        </w:tc>
        <w:tc>
          <w:tcPr>
            <w:tcW w:w="914" w:type="pct"/>
            <w:tcBorders>
              <w:top w:val="single" w:color="000000" w:sz="4" w:space="0"/>
              <w:left w:val="single" w:color="000000" w:sz="4" w:space="0"/>
              <w:bottom w:val="single" w:color="000000" w:sz="4" w:space="0"/>
              <w:right w:val="single" w:color="000000" w:sz="4" w:space="0"/>
            </w:tcBorders>
            <w:vAlign w:val="center"/>
          </w:tcPr>
          <w:p w14:paraId="41FC2E63">
            <w:pPr>
              <w:pStyle w:val="64"/>
            </w:pPr>
            <w:r>
              <w:t>P4</w:t>
            </w:r>
          </w:p>
        </w:tc>
        <w:tc>
          <w:tcPr>
            <w:tcW w:w="947" w:type="pct"/>
            <w:tcBorders>
              <w:top w:val="single" w:color="000000" w:sz="4" w:space="0"/>
              <w:left w:val="single" w:color="000000" w:sz="4" w:space="0"/>
              <w:bottom w:val="single" w:color="000000" w:sz="4" w:space="0"/>
              <w:right w:val="single" w:color="000000" w:sz="4" w:space="0"/>
            </w:tcBorders>
            <w:vAlign w:val="center"/>
          </w:tcPr>
          <w:p w14:paraId="028C61D6">
            <w:pPr>
              <w:pStyle w:val="64"/>
            </w:pPr>
            <w:r>
              <w:t>P4</w:t>
            </w:r>
          </w:p>
        </w:tc>
      </w:tr>
    </w:tbl>
    <w:p w14:paraId="2357A56A"/>
    <w:p w14:paraId="7471A4E1">
      <w:pPr>
        <w:pStyle w:val="16"/>
        <w:ind w:firstLine="480"/>
      </w:pPr>
      <w:r>
        <w:rPr>
          <w:rFonts w:hint="eastAsia"/>
        </w:rPr>
        <w:t>2、</w:t>
      </w:r>
      <w:r>
        <w:t>环境敏感程度(E)的分级</w:t>
      </w:r>
    </w:p>
    <w:p w14:paraId="46CF2F9E">
      <w:pPr>
        <w:ind w:firstLine="480" w:firstLineChars="200"/>
      </w:pPr>
      <w:r>
        <w:t>(1)大气环境</w:t>
      </w:r>
    </w:p>
    <w:p w14:paraId="15629F30">
      <w:pPr>
        <w:pStyle w:val="16"/>
        <w:ind w:firstLine="480"/>
      </w:pPr>
      <w:r>
        <w:rPr>
          <w:rFonts w:hint="eastAsia"/>
        </w:rPr>
        <w:t>根据项目周围环境特征，周边5km范围内主要敏感点包括总人口约21708人，总人口人数大于1万人，小于5万人；本项目位于安徽蚌埠淮上经济开发区内，周围500m范围内没有敏感居民点，根据《建设项目环境风险评价技术导则》(HJ169-2018)附录D表D.1，判定本项目大气环境敏感程度为E2。</w:t>
      </w:r>
    </w:p>
    <w:p w14:paraId="03819F4D">
      <w:pPr>
        <w:pStyle w:val="28"/>
        <w:rPr>
          <w:rFonts w:hint="eastAsia"/>
        </w:rPr>
      </w:pPr>
      <w:r>
        <w:t>表</w:t>
      </w:r>
      <w:r>
        <w:rPr>
          <w:rFonts w:hint="eastAsia"/>
        </w:rPr>
        <w:t>6</w:t>
      </w:r>
      <w:r>
        <w:t>.</w:t>
      </w:r>
      <w:r>
        <w:rPr>
          <w:rFonts w:hint="eastAsia"/>
        </w:rPr>
        <w:t>8</w:t>
      </w:r>
      <w:r>
        <w:t>-</w:t>
      </w:r>
      <w:r>
        <w:rPr>
          <w:rFonts w:hint="eastAsia"/>
        </w:rPr>
        <w:t>10</w:t>
      </w:r>
      <w:r>
        <w:t xml:space="preserve">  大气敏感程度分级</w:t>
      </w:r>
    </w:p>
    <w:tbl>
      <w:tblPr>
        <w:tblStyle w:val="36"/>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846"/>
        <w:gridCol w:w="6451"/>
        <w:gridCol w:w="1763"/>
      </w:tblGrid>
      <w:tr w14:paraId="0FBCCB4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67" w:type="pct"/>
            <w:tcBorders>
              <w:top w:val="single" w:color="000000" w:sz="4" w:space="0"/>
              <w:left w:val="single" w:color="000000" w:sz="4" w:space="0"/>
              <w:bottom w:val="single" w:color="000000" w:sz="4" w:space="0"/>
              <w:right w:val="single" w:color="000000" w:sz="4" w:space="0"/>
            </w:tcBorders>
            <w:vAlign w:val="center"/>
          </w:tcPr>
          <w:p w14:paraId="1EC8FC8E">
            <w:pPr>
              <w:pStyle w:val="64"/>
            </w:pPr>
            <w:r>
              <w:t>分级</w:t>
            </w:r>
          </w:p>
        </w:tc>
        <w:tc>
          <w:tcPr>
            <w:tcW w:w="3560" w:type="pct"/>
            <w:tcBorders>
              <w:top w:val="single" w:color="000000" w:sz="4" w:space="0"/>
              <w:left w:val="single" w:color="000000" w:sz="4" w:space="0"/>
              <w:bottom w:val="single" w:color="000000" w:sz="4" w:space="0"/>
              <w:right w:val="single" w:color="000000" w:sz="4" w:space="0"/>
            </w:tcBorders>
            <w:vAlign w:val="center"/>
          </w:tcPr>
          <w:p w14:paraId="1F8D942D">
            <w:pPr>
              <w:pStyle w:val="64"/>
            </w:pPr>
            <w:r>
              <w:t>大气环境敏感性</w:t>
            </w:r>
          </w:p>
        </w:tc>
        <w:tc>
          <w:tcPr>
            <w:tcW w:w="973" w:type="pct"/>
            <w:tcBorders>
              <w:top w:val="single" w:color="000000" w:sz="4" w:space="0"/>
              <w:left w:val="single" w:color="000000" w:sz="4" w:space="0"/>
              <w:bottom w:val="single" w:color="000000" w:sz="4" w:space="0"/>
              <w:right w:val="single" w:color="000000" w:sz="4" w:space="0"/>
            </w:tcBorders>
            <w:vAlign w:val="center"/>
          </w:tcPr>
          <w:p w14:paraId="157A4BDB">
            <w:pPr>
              <w:pStyle w:val="64"/>
            </w:pPr>
            <w:r>
              <w:t>本项目</w:t>
            </w:r>
          </w:p>
        </w:tc>
      </w:tr>
      <w:tr w14:paraId="4CE193D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67" w:type="pct"/>
            <w:tcBorders>
              <w:top w:val="single" w:color="000000" w:sz="4" w:space="0"/>
              <w:left w:val="single" w:color="000000" w:sz="4" w:space="0"/>
              <w:bottom w:val="single" w:color="000000" w:sz="4" w:space="0"/>
              <w:right w:val="single" w:color="000000" w:sz="4" w:space="0"/>
            </w:tcBorders>
            <w:vAlign w:val="center"/>
          </w:tcPr>
          <w:p w14:paraId="58D03265">
            <w:pPr>
              <w:pStyle w:val="64"/>
            </w:pPr>
            <w:r>
              <w:t>E1</w:t>
            </w:r>
          </w:p>
        </w:tc>
        <w:tc>
          <w:tcPr>
            <w:tcW w:w="3560" w:type="pct"/>
            <w:tcBorders>
              <w:top w:val="single" w:color="000000" w:sz="4" w:space="0"/>
              <w:left w:val="single" w:color="000000" w:sz="4" w:space="0"/>
              <w:bottom w:val="single" w:color="000000" w:sz="4" w:space="0"/>
              <w:right w:val="single" w:color="000000" w:sz="4" w:space="0"/>
            </w:tcBorders>
            <w:vAlign w:val="center"/>
          </w:tcPr>
          <w:p w14:paraId="462A3C56">
            <w:pPr>
              <w:pStyle w:val="64"/>
              <w:jc w:val="both"/>
            </w:pPr>
            <w:r>
              <w:t>周边5km范围内居住区、医疗卫生、文化教育、科研、行政办公等机构人口总数大于5万人，或其他需要特殊保护区域；或周边500m范围内人口总数大于1000人；油气、化学品输送管道管段200m范围内，每千米段人口数大于200人</w:t>
            </w:r>
          </w:p>
        </w:tc>
        <w:tc>
          <w:tcPr>
            <w:tcW w:w="973" w:type="pct"/>
            <w:vMerge w:val="restart"/>
            <w:tcBorders>
              <w:top w:val="single" w:color="000000" w:sz="4" w:space="0"/>
              <w:left w:val="single" w:color="000000" w:sz="4" w:space="0"/>
              <w:right w:val="single" w:color="000000" w:sz="4" w:space="0"/>
            </w:tcBorders>
            <w:vAlign w:val="center"/>
          </w:tcPr>
          <w:p w14:paraId="5D597B71">
            <w:pPr>
              <w:pStyle w:val="64"/>
              <w:jc w:val="both"/>
            </w:pPr>
            <w:r>
              <w:t>项目5km范围内居民约</w:t>
            </w:r>
            <w:r>
              <w:rPr>
                <w:rFonts w:hint="eastAsia"/>
              </w:rPr>
              <w:t>21708</w:t>
            </w:r>
            <w:r>
              <w:t>人，总人口人数大于1万人，小于5万人；</w:t>
            </w:r>
            <w:r>
              <w:rPr>
                <w:rFonts w:hint="eastAsia"/>
              </w:rPr>
              <w:t>周围500m范围内人口数约826人，人口总数大于500人，小于1000人</w:t>
            </w:r>
          </w:p>
        </w:tc>
      </w:tr>
      <w:tr w14:paraId="127DB87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67" w:type="pct"/>
            <w:tcBorders>
              <w:top w:val="single" w:color="000000" w:sz="4" w:space="0"/>
              <w:left w:val="single" w:color="000000" w:sz="4" w:space="0"/>
              <w:bottom w:val="single" w:color="000000" w:sz="4" w:space="0"/>
              <w:right w:val="single" w:color="000000" w:sz="4" w:space="0"/>
            </w:tcBorders>
            <w:shd w:val="clear" w:color="auto" w:fill="D8D8D8" w:themeFill="background1" w:themeFillShade="D9"/>
            <w:vAlign w:val="center"/>
          </w:tcPr>
          <w:p w14:paraId="04F16744">
            <w:pPr>
              <w:pStyle w:val="64"/>
              <w:rPr>
                <w:bCs/>
              </w:rPr>
            </w:pPr>
            <w:r>
              <w:rPr>
                <w:bCs/>
              </w:rPr>
              <w:t>E2</w:t>
            </w:r>
          </w:p>
        </w:tc>
        <w:tc>
          <w:tcPr>
            <w:tcW w:w="3560" w:type="pct"/>
            <w:tcBorders>
              <w:top w:val="single" w:color="000000" w:sz="4" w:space="0"/>
              <w:left w:val="single" w:color="000000" w:sz="4" w:space="0"/>
              <w:bottom w:val="single" w:color="000000" w:sz="4" w:space="0"/>
              <w:right w:val="single" w:color="000000" w:sz="4" w:space="0"/>
            </w:tcBorders>
            <w:vAlign w:val="center"/>
          </w:tcPr>
          <w:p w14:paraId="3C134C1B">
            <w:pPr>
              <w:pStyle w:val="64"/>
              <w:jc w:val="both"/>
            </w:pPr>
            <w:r>
              <w:t>周边5km范围内居住区、医疗卫生、文化教育、科研、行政办公等机构人口总数大于1万人，小于5万人；或周边500m范围内人口总数大于500人，小于1000人；油气、化学品输送管道管段200m范围内，每千米段人口数大于100人，小于200人</w:t>
            </w:r>
          </w:p>
        </w:tc>
        <w:tc>
          <w:tcPr>
            <w:tcW w:w="973" w:type="pct"/>
            <w:vMerge w:val="continue"/>
            <w:tcBorders>
              <w:left w:val="single" w:color="000000" w:sz="4" w:space="0"/>
              <w:right w:val="single" w:color="000000" w:sz="4" w:space="0"/>
            </w:tcBorders>
            <w:vAlign w:val="center"/>
          </w:tcPr>
          <w:p w14:paraId="4B5B8EAF">
            <w:pPr>
              <w:jc w:val="center"/>
              <w:rPr>
                <w:szCs w:val="21"/>
              </w:rPr>
            </w:pPr>
          </w:p>
        </w:tc>
      </w:tr>
      <w:tr w14:paraId="4EA41D2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67" w:type="pct"/>
            <w:tcBorders>
              <w:top w:val="single" w:color="000000" w:sz="4" w:space="0"/>
              <w:left w:val="single" w:color="000000" w:sz="4" w:space="0"/>
              <w:bottom w:val="single" w:color="000000" w:sz="4" w:space="0"/>
              <w:right w:val="single" w:color="000000" w:sz="4" w:space="0"/>
            </w:tcBorders>
            <w:vAlign w:val="center"/>
          </w:tcPr>
          <w:p w14:paraId="7C1ADF2F">
            <w:pPr>
              <w:pStyle w:val="64"/>
            </w:pPr>
            <w:r>
              <w:t>E3</w:t>
            </w:r>
          </w:p>
        </w:tc>
        <w:tc>
          <w:tcPr>
            <w:tcW w:w="3560" w:type="pct"/>
            <w:tcBorders>
              <w:top w:val="single" w:color="000000" w:sz="4" w:space="0"/>
              <w:left w:val="single" w:color="000000" w:sz="4" w:space="0"/>
              <w:bottom w:val="single" w:color="000000" w:sz="4" w:space="0"/>
              <w:right w:val="single" w:color="000000" w:sz="4" w:space="0"/>
            </w:tcBorders>
            <w:vAlign w:val="center"/>
          </w:tcPr>
          <w:p w14:paraId="2DF0F720">
            <w:pPr>
              <w:pStyle w:val="64"/>
              <w:jc w:val="both"/>
            </w:pPr>
            <w:r>
              <w:t>周边5km范围内居住区、医疗卫生、文化教育、科研、行政办公等机构人口总数小于1万人；或周边500m范围内人口总数小于500人；油气、化学品输送管道管段200m范围内，每千米段人口数小于100人</w:t>
            </w:r>
          </w:p>
        </w:tc>
        <w:tc>
          <w:tcPr>
            <w:tcW w:w="973" w:type="pct"/>
            <w:vMerge w:val="continue"/>
            <w:tcBorders>
              <w:left w:val="single" w:color="000000" w:sz="4" w:space="0"/>
              <w:bottom w:val="single" w:color="000000" w:sz="4" w:space="0"/>
              <w:right w:val="single" w:color="000000" w:sz="4" w:space="0"/>
            </w:tcBorders>
            <w:vAlign w:val="center"/>
          </w:tcPr>
          <w:p w14:paraId="10455394">
            <w:pPr>
              <w:jc w:val="center"/>
              <w:rPr>
                <w:szCs w:val="21"/>
              </w:rPr>
            </w:pPr>
          </w:p>
        </w:tc>
      </w:tr>
    </w:tbl>
    <w:p w14:paraId="08FF001E">
      <w:pPr>
        <w:pStyle w:val="16"/>
        <w:ind w:firstLine="480"/>
      </w:pPr>
    </w:p>
    <w:p w14:paraId="39B4330D">
      <w:pPr>
        <w:pStyle w:val="16"/>
        <w:ind w:firstLine="480"/>
      </w:pPr>
      <w:r>
        <w:t>(2)地表水环境</w:t>
      </w:r>
    </w:p>
    <w:p w14:paraId="51173D62">
      <w:pPr>
        <w:pStyle w:val="16"/>
        <w:ind w:firstLine="480"/>
      </w:pPr>
      <w:r>
        <w:rPr>
          <w:rFonts w:hint="eastAsia"/>
        </w:rPr>
        <w:t>根据调查，项目产生的废水经厂区污水处理设施处理达标后排入沫河口污水处理厂处理，处理达标后排入淮河，淮河水环境功能为III类，向东24h流经范围不会超出安徽界，根据《建设项目环境风险评价技术导则》(HJ169-2018)附录D表D.3，判定本项目地表水功能敏感程度为F2。</w:t>
      </w:r>
    </w:p>
    <w:p w14:paraId="039AB345">
      <w:pPr>
        <w:pStyle w:val="16"/>
        <w:ind w:firstLine="480"/>
        <w:rPr>
          <w:kern w:val="0"/>
        </w:rPr>
      </w:pPr>
    </w:p>
    <w:p w14:paraId="60DC094C">
      <w:pPr>
        <w:pStyle w:val="28"/>
        <w:rPr>
          <w:rFonts w:hint="eastAsia"/>
        </w:rPr>
      </w:pPr>
      <w:r>
        <w:t>表</w:t>
      </w:r>
      <w:r>
        <w:rPr>
          <w:rFonts w:hint="eastAsia"/>
        </w:rPr>
        <w:t>6</w:t>
      </w:r>
      <w:r>
        <w:t>.</w:t>
      </w:r>
      <w:r>
        <w:rPr>
          <w:rFonts w:hint="eastAsia"/>
        </w:rPr>
        <w:t>8</w:t>
      </w:r>
      <w:r>
        <w:t>-</w:t>
      </w:r>
      <w:r>
        <w:rPr>
          <w:rFonts w:hint="eastAsia"/>
        </w:rPr>
        <w:t>11</w:t>
      </w:r>
      <w:r>
        <w:t xml:space="preserve">  地表水功能敏感性分区</w:t>
      </w:r>
    </w:p>
    <w:tbl>
      <w:tblPr>
        <w:tblStyle w:val="36"/>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1489"/>
        <w:gridCol w:w="6018"/>
        <w:gridCol w:w="1553"/>
      </w:tblGrid>
      <w:tr w14:paraId="64D3E37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822" w:type="pct"/>
            <w:tcBorders>
              <w:top w:val="single" w:color="000000" w:sz="4" w:space="0"/>
              <w:left w:val="single" w:color="000000" w:sz="4" w:space="0"/>
              <w:bottom w:val="single" w:color="000000" w:sz="4" w:space="0"/>
              <w:right w:val="single" w:color="000000" w:sz="4" w:space="0"/>
            </w:tcBorders>
            <w:vAlign w:val="center"/>
          </w:tcPr>
          <w:p w14:paraId="745DA164">
            <w:pPr>
              <w:pStyle w:val="64"/>
            </w:pPr>
            <w:r>
              <w:t>分级</w:t>
            </w:r>
          </w:p>
        </w:tc>
        <w:tc>
          <w:tcPr>
            <w:tcW w:w="3321" w:type="pct"/>
            <w:tcBorders>
              <w:top w:val="single" w:color="000000" w:sz="4" w:space="0"/>
              <w:left w:val="single" w:color="000000" w:sz="4" w:space="0"/>
              <w:bottom w:val="single" w:color="000000" w:sz="4" w:space="0"/>
              <w:right w:val="single" w:color="000000" w:sz="4" w:space="0"/>
            </w:tcBorders>
            <w:vAlign w:val="center"/>
          </w:tcPr>
          <w:p w14:paraId="4705720A">
            <w:pPr>
              <w:pStyle w:val="64"/>
            </w:pPr>
            <w:r>
              <w:t>地表水环境敏感特征</w:t>
            </w:r>
          </w:p>
        </w:tc>
        <w:tc>
          <w:tcPr>
            <w:tcW w:w="857" w:type="pct"/>
            <w:tcBorders>
              <w:top w:val="single" w:color="000000" w:sz="4" w:space="0"/>
              <w:left w:val="single" w:color="000000" w:sz="4" w:space="0"/>
              <w:bottom w:val="single" w:color="000000" w:sz="4" w:space="0"/>
              <w:right w:val="single" w:color="000000" w:sz="4" w:space="0"/>
            </w:tcBorders>
            <w:vAlign w:val="center"/>
          </w:tcPr>
          <w:p w14:paraId="36F4B516">
            <w:pPr>
              <w:pStyle w:val="64"/>
            </w:pPr>
            <w:r>
              <w:t>本项目</w:t>
            </w:r>
          </w:p>
        </w:tc>
      </w:tr>
      <w:tr w14:paraId="460D9A1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822" w:type="pct"/>
            <w:tcBorders>
              <w:top w:val="single" w:color="000000" w:sz="4" w:space="0"/>
              <w:left w:val="single" w:color="000000" w:sz="4" w:space="0"/>
              <w:bottom w:val="single" w:color="000000" w:sz="4" w:space="0"/>
              <w:right w:val="single" w:color="000000" w:sz="4" w:space="0"/>
            </w:tcBorders>
            <w:vAlign w:val="center"/>
          </w:tcPr>
          <w:p w14:paraId="2FC9F0DF">
            <w:pPr>
              <w:pStyle w:val="64"/>
            </w:pPr>
            <w:r>
              <w:t>敏感F1</w:t>
            </w:r>
          </w:p>
        </w:tc>
        <w:tc>
          <w:tcPr>
            <w:tcW w:w="3321" w:type="pct"/>
            <w:tcBorders>
              <w:top w:val="single" w:color="000000" w:sz="4" w:space="0"/>
              <w:left w:val="single" w:color="000000" w:sz="4" w:space="0"/>
              <w:bottom w:val="single" w:color="000000" w:sz="4" w:space="0"/>
              <w:right w:val="single" w:color="000000" w:sz="4" w:space="0"/>
            </w:tcBorders>
            <w:vAlign w:val="center"/>
          </w:tcPr>
          <w:p w14:paraId="712A6E08">
            <w:pPr>
              <w:pStyle w:val="64"/>
              <w:jc w:val="both"/>
            </w:pPr>
            <w:r>
              <w:t>排放点进入地表水水域环境功能为Ⅱ类及以上，或海水水质分类第一类；或以发生事故时，危险物质泄漏到水体的排放点算起，排放进入受纳河流最大流速时，24h流经范围内涉跨国界的</w:t>
            </w:r>
          </w:p>
        </w:tc>
        <w:tc>
          <w:tcPr>
            <w:tcW w:w="857" w:type="pct"/>
            <w:vMerge w:val="restart"/>
            <w:tcBorders>
              <w:top w:val="single" w:color="000000" w:sz="4" w:space="0"/>
              <w:left w:val="single" w:color="000000" w:sz="4" w:space="0"/>
              <w:right w:val="single" w:color="000000" w:sz="4" w:space="0"/>
            </w:tcBorders>
            <w:vAlign w:val="center"/>
          </w:tcPr>
          <w:p w14:paraId="03CC0CA4">
            <w:pPr>
              <w:pStyle w:val="64"/>
              <w:jc w:val="both"/>
            </w:pPr>
            <w:r>
              <w:t>蚌埠淮河段水体环境功能为Ⅲ类，24h内流经范围不会跨省</w:t>
            </w:r>
          </w:p>
        </w:tc>
      </w:tr>
      <w:tr w14:paraId="6B6C1AD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822" w:type="pct"/>
            <w:tcBorders>
              <w:top w:val="single" w:color="000000" w:sz="4" w:space="0"/>
              <w:left w:val="single" w:color="000000" w:sz="4" w:space="0"/>
              <w:bottom w:val="single" w:color="000000" w:sz="4" w:space="0"/>
              <w:right w:val="single" w:color="000000" w:sz="4" w:space="0"/>
            </w:tcBorders>
            <w:shd w:val="clear" w:color="auto" w:fill="D8D8D8" w:themeFill="background1" w:themeFillShade="D9"/>
            <w:vAlign w:val="center"/>
          </w:tcPr>
          <w:p w14:paraId="12DC3148">
            <w:pPr>
              <w:pStyle w:val="64"/>
              <w:rPr>
                <w:bCs/>
              </w:rPr>
            </w:pPr>
            <w:r>
              <w:rPr>
                <w:bCs/>
              </w:rPr>
              <w:t>较敏感F2</w:t>
            </w:r>
          </w:p>
        </w:tc>
        <w:tc>
          <w:tcPr>
            <w:tcW w:w="3321" w:type="pct"/>
            <w:tcBorders>
              <w:top w:val="single" w:color="000000" w:sz="4" w:space="0"/>
              <w:left w:val="single" w:color="000000" w:sz="4" w:space="0"/>
              <w:bottom w:val="single" w:color="000000" w:sz="4" w:space="0"/>
              <w:right w:val="single" w:color="000000" w:sz="4" w:space="0"/>
            </w:tcBorders>
            <w:vAlign w:val="center"/>
          </w:tcPr>
          <w:p w14:paraId="245B45FD">
            <w:pPr>
              <w:pStyle w:val="64"/>
              <w:jc w:val="both"/>
            </w:pPr>
            <w:r>
              <w:t>排放点进入地表水水域环境功能为Ⅲ类及以上，或海水水质分类第二类；或以发生事故时，危险物质泄漏到水体的排放点算起，排放进入受纳河流最大流速时，24h流经范围内涉跨省界的</w:t>
            </w:r>
          </w:p>
        </w:tc>
        <w:tc>
          <w:tcPr>
            <w:tcW w:w="857" w:type="pct"/>
            <w:vMerge w:val="continue"/>
            <w:tcBorders>
              <w:left w:val="single" w:color="000000" w:sz="4" w:space="0"/>
              <w:right w:val="single" w:color="000000" w:sz="4" w:space="0"/>
            </w:tcBorders>
            <w:vAlign w:val="center"/>
          </w:tcPr>
          <w:p w14:paraId="5C98C28A">
            <w:pPr>
              <w:jc w:val="center"/>
              <w:rPr>
                <w:szCs w:val="21"/>
              </w:rPr>
            </w:pPr>
          </w:p>
        </w:tc>
      </w:tr>
      <w:tr w14:paraId="51113C4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822" w:type="pct"/>
            <w:tcBorders>
              <w:top w:val="single" w:color="000000" w:sz="4" w:space="0"/>
              <w:left w:val="single" w:color="000000" w:sz="4" w:space="0"/>
              <w:bottom w:val="single" w:color="000000" w:sz="4" w:space="0"/>
              <w:right w:val="single" w:color="000000" w:sz="4" w:space="0"/>
            </w:tcBorders>
            <w:vAlign w:val="center"/>
          </w:tcPr>
          <w:p w14:paraId="2D4ED432">
            <w:pPr>
              <w:pStyle w:val="64"/>
            </w:pPr>
            <w:r>
              <w:t>低敏感F3</w:t>
            </w:r>
          </w:p>
        </w:tc>
        <w:tc>
          <w:tcPr>
            <w:tcW w:w="3321" w:type="pct"/>
            <w:tcBorders>
              <w:top w:val="single" w:color="000000" w:sz="4" w:space="0"/>
              <w:left w:val="single" w:color="000000" w:sz="4" w:space="0"/>
              <w:bottom w:val="single" w:color="000000" w:sz="4" w:space="0"/>
              <w:right w:val="single" w:color="000000" w:sz="4" w:space="0"/>
            </w:tcBorders>
            <w:vAlign w:val="center"/>
          </w:tcPr>
          <w:p w14:paraId="442F423A">
            <w:pPr>
              <w:pStyle w:val="64"/>
            </w:pPr>
            <w:r>
              <w:t>上述地区之外的其他地区</w:t>
            </w:r>
          </w:p>
        </w:tc>
        <w:tc>
          <w:tcPr>
            <w:tcW w:w="857" w:type="pct"/>
            <w:vMerge w:val="continue"/>
            <w:tcBorders>
              <w:left w:val="single" w:color="000000" w:sz="4" w:space="0"/>
              <w:bottom w:val="single" w:color="000000" w:sz="4" w:space="0"/>
              <w:right w:val="single" w:color="000000" w:sz="4" w:space="0"/>
            </w:tcBorders>
            <w:vAlign w:val="center"/>
          </w:tcPr>
          <w:p w14:paraId="640C9085">
            <w:pPr>
              <w:jc w:val="center"/>
              <w:rPr>
                <w:szCs w:val="21"/>
              </w:rPr>
            </w:pPr>
          </w:p>
        </w:tc>
      </w:tr>
    </w:tbl>
    <w:p w14:paraId="1D4209DF">
      <w:pPr>
        <w:pStyle w:val="16"/>
        <w:ind w:firstLine="480"/>
      </w:pPr>
      <w:r>
        <w:t>根据调查，园区下游存在一个饮用水源取水口--凤阳县经开区二水厂取水口(117°35′52.33″、32°55′7.65″)，项目发生事故时，危险物质泄露到周边水体沫冲引河排放点(117°35′23″、32°58′41″)下游10km范围内未涉及上述取水口，且沫冲引河汇入淮河的排放点(117°41′26″、32°58′45″)位于取水口下游。因此项目环境风险地表水环境敏感目标分级为S3。</w:t>
      </w:r>
    </w:p>
    <w:p w14:paraId="09816B95">
      <w:pPr>
        <w:pStyle w:val="28"/>
        <w:rPr>
          <w:rFonts w:hint="eastAsia"/>
        </w:rPr>
      </w:pPr>
      <w:r>
        <w:t>表</w:t>
      </w:r>
      <w:r>
        <w:rPr>
          <w:rFonts w:hint="eastAsia"/>
        </w:rPr>
        <w:t>6</w:t>
      </w:r>
      <w:r>
        <w:t>.</w:t>
      </w:r>
      <w:r>
        <w:rPr>
          <w:rFonts w:hint="eastAsia"/>
        </w:rPr>
        <w:t>8</w:t>
      </w:r>
      <w:r>
        <w:t>-</w:t>
      </w:r>
      <w:r>
        <w:rPr>
          <w:rFonts w:hint="eastAsia"/>
        </w:rPr>
        <w:t>12</w:t>
      </w:r>
      <w:r>
        <w:t xml:space="preserve">  地表水环境敏感目标分级</w:t>
      </w:r>
    </w:p>
    <w:tbl>
      <w:tblPr>
        <w:tblStyle w:val="36"/>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1212"/>
        <w:gridCol w:w="6915"/>
        <w:gridCol w:w="933"/>
      </w:tblGrid>
      <w:tr w14:paraId="23F8AE9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669" w:type="pct"/>
            <w:tcBorders>
              <w:top w:val="single" w:color="000000" w:sz="4" w:space="0"/>
              <w:left w:val="single" w:color="000000" w:sz="4" w:space="0"/>
              <w:bottom w:val="single" w:color="000000" w:sz="4" w:space="0"/>
              <w:right w:val="single" w:color="000000" w:sz="4" w:space="0"/>
            </w:tcBorders>
            <w:vAlign w:val="center"/>
          </w:tcPr>
          <w:p w14:paraId="4508F61D">
            <w:pPr>
              <w:pStyle w:val="64"/>
            </w:pPr>
            <w:r>
              <w:t>分级</w:t>
            </w:r>
          </w:p>
        </w:tc>
        <w:tc>
          <w:tcPr>
            <w:tcW w:w="3816" w:type="pct"/>
            <w:tcBorders>
              <w:top w:val="single" w:color="000000" w:sz="4" w:space="0"/>
              <w:left w:val="single" w:color="000000" w:sz="4" w:space="0"/>
              <w:bottom w:val="single" w:color="000000" w:sz="4" w:space="0"/>
              <w:right w:val="single" w:color="000000" w:sz="4" w:space="0"/>
            </w:tcBorders>
            <w:vAlign w:val="center"/>
          </w:tcPr>
          <w:p w14:paraId="03D69F37">
            <w:pPr>
              <w:pStyle w:val="64"/>
            </w:pPr>
            <w:r>
              <w:t>环境敏感目标</w:t>
            </w:r>
          </w:p>
        </w:tc>
        <w:tc>
          <w:tcPr>
            <w:tcW w:w="515" w:type="pct"/>
            <w:tcBorders>
              <w:top w:val="single" w:color="000000" w:sz="4" w:space="0"/>
              <w:left w:val="single" w:color="000000" w:sz="4" w:space="0"/>
              <w:bottom w:val="single" w:color="000000" w:sz="4" w:space="0"/>
              <w:right w:val="single" w:color="000000" w:sz="4" w:space="0"/>
            </w:tcBorders>
            <w:vAlign w:val="center"/>
          </w:tcPr>
          <w:p w14:paraId="5BA6AAF0">
            <w:pPr>
              <w:pStyle w:val="64"/>
            </w:pPr>
            <w:r>
              <w:t>本项目</w:t>
            </w:r>
          </w:p>
        </w:tc>
      </w:tr>
      <w:tr w14:paraId="1501C03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669" w:type="pct"/>
            <w:tcBorders>
              <w:top w:val="single" w:color="000000" w:sz="4" w:space="0"/>
              <w:left w:val="single" w:color="000000" w:sz="4" w:space="0"/>
              <w:bottom w:val="single" w:color="000000" w:sz="4" w:space="0"/>
              <w:right w:val="single" w:color="000000" w:sz="4" w:space="0"/>
            </w:tcBorders>
            <w:vAlign w:val="center"/>
          </w:tcPr>
          <w:p w14:paraId="164F15A0">
            <w:pPr>
              <w:pStyle w:val="64"/>
            </w:pPr>
            <w:r>
              <w:t>S1</w:t>
            </w:r>
          </w:p>
        </w:tc>
        <w:tc>
          <w:tcPr>
            <w:tcW w:w="3816" w:type="pct"/>
            <w:tcBorders>
              <w:top w:val="single" w:color="000000" w:sz="4" w:space="0"/>
              <w:left w:val="single" w:color="000000" w:sz="4" w:space="0"/>
              <w:bottom w:val="single" w:color="000000" w:sz="4" w:space="0"/>
              <w:right w:val="single" w:color="000000" w:sz="4" w:space="0"/>
            </w:tcBorders>
            <w:vAlign w:val="center"/>
          </w:tcPr>
          <w:p w14:paraId="72FD6022">
            <w:pPr>
              <w:pStyle w:val="64"/>
              <w:jc w:val="both"/>
            </w:pPr>
            <w:r>
              <w:t>发生事故时，危险物质泄漏到内陆水体的排放点下游(顺水流向)10km范围内，近岸海域一个潮周期水质点可能达到的最大水平距离的两倍范围内，如有下一类或多类环境风险受体：集中式地表水饮用水水源保护区(包括一级保护区、二级保护区及准保护区)；农村或分散式饮用水水源保护区；自然保护区；重要湿地；珍稀濒危野生动植物天然集中分布区；重要水生生物的自然产卵场及索饵场、越冬场和洄游通道；世界文化和自然遗产地；红树林、珊瑚礁等滨海湿地生态系统；珍稀、濒危海洋生物的天然集中分布区；海洋特别保护区；海水自然保护区；盐场保护区；海水浴场；海洋自然历史遗迹；风景名胜区；或其他特殊重要保护区域</w:t>
            </w:r>
          </w:p>
        </w:tc>
        <w:tc>
          <w:tcPr>
            <w:tcW w:w="515" w:type="pct"/>
            <w:vMerge w:val="restart"/>
            <w:tcBorders>
              <w:top w:val="single" w:color="000000" w:sz="4" w:space="0"/>
              <w:left w:val="single" w:color="000000" w:sz="4" w:space="0"/>
              <w:right w:val="single" w:color="000000" w:sz="4" w:space="0"/>
            </w:tcBorders>
            <w:vAlign w:val="center"/>
          </w:tcPr>
          <w:p w14:paraId="7D5DDD5A">
            <w:pPr>
              <w:pStyle w:val="64"/>
              <w:jc w:val="both"/>
            </w:pPr>
            <w:r>
              <w:t>下游10km范围内无特别敏感目标分布</w:t>
            </w:r>
          </w:p>
        </w:tc>
      </w:tr>
      <w:tr w14:paraId="48B8895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669" w:type="pct"/>
            <w:tcBorders>
              <w:top w:val="single" w:color="000000" w:sz="4" w:space="0"/>
              <w:left w:val="single" w:color="000000" w:sz="4" w:space="0"/>
              <w:bottom w:val="single" w:color="000000" w:sz="4" w:space="0"/>
              <w:right w:val="single" w:color="000000" w:sz="4" w:space="0"/>
            </w:tcBorders>
            <w:vAlign w:val="center"/>
          </w:tcPr>
          <w:p w14:paraId="7F376420">
            <w:pPr>
              <w:pStyle w:val="64"/>
            </w:pPr>
            <w:r>
              <w:t>S2</w:t>
            </w:r>
          </w:p>
        </w:tc>
        <w:tc>
          <w:tcPr>
            <w:tcW w:w="3816" w:type="pct"/>
            <w:tcBorders>
              <w:top w:val="single" w:color="000000" w:sz="4" w:space="0"/>
              <w:left w:val="single" w:color="000000" w:sz="4" w:space="0"/>
              <w:bottom w:val="single" w:color="000000" w:sz="4" w:space="0"/>
              <w:right w:val="single" w:color="000000" w:sz="4" w:space="0"/>
            </w:tcBorders>
            <w:vAlign w:val="center"/>
          </w:tcPr>
          <w:p w14:paraId="0B092CA5">
            <w:pPr>
              <w:pStyle w:val="64"/>
              <w:jc w:val="both"/>
            </w:pPr>
            <w:r>
              <w:t>发生事故时，危险物质泄漏到内陆水体的排放点下游(顺水流向)10km范围内，近岸海域一个潮周期水质点可能达到的最大水平距离的两倍范围内，如有下一类或多类环境风险受体：水产养殖区；天然渔场；森林公园；地质公园；海滨风景游览区；具有重要经济价值的海洋生物生存区域</w:t>
            </w:r>
          </w:p>
        </w:tc>
        <w:tc>
          <w:tcPr>
            <w:tcW w:w="515" w:type="pct"/>
            <w:vMerge w:val="continue"/>
            <w:tcBorders>
              <w:left w:val="single" w:color="000000" w:sz="4" w:space="0"/>
              <w:right w:val="single" w:color="000000" w:sz="4" w:space="0"/>
            </w:tcBorders>
            <w:vAlign w:val="center"/>
          </w:tcPr>
          <w:p w14:paraId="7A0263B8">
            <w:pPr>
              <w:jc w:val="center"/>
              <w:rPr>
                <w:szCs w:val="21"/>
              </w:rPr>
            </w:pPr>
          </w:p>
        </w:tc>
      </w:tr>
      <w:tr w14:paraId="70F8E49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669" w:type="pct"/>
            <w:tcBorders>
              <w:top w:val="single" w:color="000000" w:sz="4" w:space="0"/>
              <w:left w:val="single" w:color="000000" w:sz="4" w:space="0"/>
              <w:bottom w:val="single" w:color="000000" w:sz="4" w:space="0"/>
              <w:right w:val="single" w:color="000000" w:sz="4" w:space="0"/>
            </w:tcBorders>
            <w:shd w:val="clear" w:color="auto" w:fill="D8D8D8" w:themeFill="background1" w:themeFillShade="D9"/>
            <w:vAlign w:val="center"/>
          </w:tcPr>
          <w:p w14:paraId="6A7AE158">
            <w:pPr>
              <w:pStyle w:val="64"/>
              <w:rPr>
                <w:bCs/>
              </w:rPr>
            </w:pPr>
            <w:r>
              <w:rPr>
                <w:bCs/>
              </w:rPr>
              <w:t>S3</w:t>
            </w:r>
          </w:p>
        </w:tc>
        <w:tc>
          <w:tcPr>
            <w:tcW w:w="3816" w:type="pct"/>
            <w:tcBorders>
              <w:top w:val="single" w:color="000000" w:sz="4" w:space="0"/>
              <w:left w:val="single" w:color="000000" w:sz="4" w:space="0"/>
              <w:bottom w:val="single" w:color="000000" w:sz="4" w:space="0"/>
              <w:right w:val="single" w:color="000000" w:sz="4" w:space="0"/>
            </w:tcBorders>
            <w:vAlign w:val="center"/>
          </w:tcPr>
          <w:p w14:paraId="0723D306">
            <w:pPr>
              <w:pStyle w:val="64"/>
              <w:jc w:val="both"/>
            </w:pPr>
            <w:r>
              <w:t>排放点下游(顺水流向)10km范围内，近岸海域一个潮周期水质点可能达到的最大水平距离的两倍范围内无上述类型1和类型2包括的敏感保护目标</w:t>
            </w:r>
          </w:p>
        </w:tc>
        <w:tc>
          <w:tcPr>
            <w:tcW w:w="515" w:type="pct"/>
            <w:vMerge w:val="continue"/>
            <w:tcBorders>
              <w:left w:val="single" w:color="000000" w:sz="4" w:space="0"/>
              <w:bottom w:val="single" w:color="000000" w:sz="4" w:space="0"/>
              <w:right w:val="single" w:color="000000" w:sz="4" w:space="0"/>
            </w:tcBorders>
            <w:vAlign w:val="center"/>
          </w:tcPr>
          <w:p w14:paraId="04634FCB">
            <w:pPr>
              <w:jc w:val="center"/>
              <w:rPr>
                <w:szCs w:val="21"/>
              </w:rPr>
            </w:pPr>
          </w:p>
        </w:tc>
      </w:tr>
    </w:tbl>
    <w:p w14:paraId="1765E6B2">
      <w:pPr>
        <w:pStyle w:val="16"/>
        <w:ind w:firstLine="480"/>
      </w:pPr>
    </w:p>
    <w:p w14:paraId="3B5007EA">
      <w:pPr>
        <w:pStyle w:val="16"/>
        <w:ind w:firstLine="480"/>
      </w:pPr>
      <w:r>
        <w:t>根据《建设项目环境风险评价技术导则》(HJ169-2018)附录D表D.1，判定本项目地表水环境敏感程度为E2。</w:t>
      </w:r>
    </w:p>
    <w:p w14:paraId="084C8044">
      <w:pPr>
        <w:pStyle w:val="16"/>
        <w:ind w:firstLine="480"/>
      </w:pPr>
    </w:p>
    <w:p w14:paraId="79E16586">
      <w:pPr>
        <w:pStyle w:val="16"/>
        <w:ind w:firstLine="480"/>
      </w:pPr>
    </w:p>
    <w:p w14:paraId="5700C80E">
      <w:pPr>
        <w:pStyle w:val="28"/>
        <w:rPr>
          <w:rFonts w:hint="eastAsia"/>
        </w:rPr>
      </w:pPr>
      <w:r>
        <w:t>表</w:t>
      </w:r>
      <w:r>
        <w:rPr>
          <w:rFonts w:hint="eastAsia"/>
        </w:rPr>
        <w:t>6</w:t>
      </w:r>
      <w:r>
        <w:t>.</w:t>
      </w:r>
      <w:r>
        <w:rPr>
          <w:rFonts w:hint="eastAsia"/>
        </w:rPr>
        <w:t>8</w:t>
      </w:r>
      <w:r>
        <w:t>-</w:t>
      </w:r>
      <w:r>
        <w:rPr>
          <w:rFonts w:hint="eastAsia"/>
        </w:rPr>
        <w:t>13</w:t>
      </w:r>
      <w:r>
        <w:t xml:space="preserve">  地表水环境敏感程度分级</w:t>
      </w:r>
    </w:p>
    <w:tbl>
      <w:tblPr>
        <w:tblStyle w:val="36"/>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2932"/>
        <w:gridCol w:w="2042"/>
        <w:gridCol w:w="2042"/>
        <w:gridCol w:w="2044"/>
      </w:tblGrid>
      <w:tr w14:paraId="34B4BEE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618" w:type="pct"/>
            <w:vMerge w:val="restart"/>
            <w:tcBorders>
              <w:top w:val="single" w:color="000000" w:sz="4" w:space="0"/>
              <w:left w:val="single" w:color="000000" w:sz="4" w:space="0"/>
              <w:bottom w:val="single" w:color="000000" w:sz="4" w:space="0"/>
              <w:right w:val="single" w:color="000000" w:sz="4" w:space="0"/>
            </w:tcBorders>
            <w:vAlign w:val="center"/>
          </w:tcPr>
          <w:p w14:paraId="54079D06">
            <w:pPr>
              <w:pStyle w:val="64"/>
            </w:pPr>
            <w:r>
              <w:t>环境敏感目标</w:t>
            </w:r>
          </w:p>
        </w:tc>
        <w:tc>
          <w:tcPr>
            <w:tcW w:w="3382" w:type="pct"/>
            <w:gridSpan w:val="3"/>
            <w:tcBorders>
              <w:top w:val="single" w:color="000000" w:sz="4" w:space="0"/>
              <w:left w:val="single" w:color="000000" w:sz="4" w:space="0"/>
              <w:bottom w:val="single" w:color="000000" w:sz="4" w:space="0"/>
              <w:right w:val="single" w:color="auto" w:sz="4" w:space="0"/>
            </w:tcBorders>
            <w:vAlign w:val="center"/>
          </w:tcPr>
          <w:p w14:paraId="431FC426">
            <w:pPr>
              <w:pStyle w:val="64"/>
            </w:pPr>
            <w:r>
              <w:t>地表水功能敏感性</w:t>
            </w:r>
          </w:p>
        </w:tc>
      </w:tr>
      <w:tr w14:paraId="3895EFB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618" w:type="pct"/>
            <w:vMerge w:val="continue"/>
            <w:tcBorders>
              <w:top w:val="single" w:color="000000" w:sz="4" w:space="0"/>
              <w:left w:val="single" w:color="000000" w:sz="4" w:space="0"/>
              <w:bottom w:val="single" w:color="000000" w:sz="4" w:space="0"/>
              <w:right w:val="single" w:color="000000" w:sz="4" w:space="0"/>
            </w:tcBorders>
            <w:vAlign w:val="center"/>
          </w:tcPr>
          <w:p w14:paraId="150C2FE9">
            <w:pPr>
              <w:pStyle w:val="64"/>
            </w:pPr>
          </w:p>
        </w:tc>
        <w:tc>
          <w:tcPr>
            <w:tcW w:w="1127" w:type="pct"/>
            <w:tcBorders>
              <w:top w:val="single" w:color="000000" w:sz="4" w:space="0"/>
              <w:left w:val="single" w:color="000000" w:sz="4" w:space="0"/>
              <w:bottom w:val="single" w:color="000000" w:sz="4" w:space="0"/>
              <w:right w:val="single" w:color="000000" w:sz="4" w:space="0"/>
            </w:tcBorders>
            <w:vAlign w:val="center"/>
          </w:tcPr>
          <w:p w14:paraId="0F96B385">
            <w:pPr>
              <w:pStyle w:val="64"/>
            </w:pPr>
            <w:r>
              <w:t>F1</w:t>
            </w:r>
          </w:p>
        </w:tc>
        <w:tc>
          <w:tcPr>
            <w:tcW w:w="1127" w:type="pct"/>
            <w:tcBorders>
              <w:top w:val="single" w:color="000000" w:sz="4" w:space="0"/>
              <w:left w:val="single" w:color="000000" w:sz="4" w:space="0"/>
              <w:bottom w:val="single" w:color="000000" w:sz="4" w:space="0"/>
              <w:right w:val="single" w:color="000000" w:sz="4" w:space="0"/>
            </w:tcBorders>
            <w:vAlign w:val="center"/>
          </w:tcPr>
          <w:p w14:paraId="2371BFCC">
            <w:pPr>
              <w:pStyle w:val="64"/>
            </w:pPr>
            <w:r>
              <w:t>F2</w:t>
            </w:r>
          </w:p>
        </w:tc>
        <w:tc>
          <w:tcPr>
            <w:tcW w:w="1128" w:type="pct"/>
            <w:tcBorders>
              <w:top w:val="single" w:color="000000" w:sz="4" w:space="0"/>
              <w:left w:val="single" w:color="000000" w:sz="4" w:space="0"/>
              <w:bottom w:val="single" w:color="000000" w:sz="4" w:space="0"/>
              <w:right w:val="single" w:color="auto" w:sz="4" w:space="0"/>
            </w:tcBorders>
            <w:vAlign w:val="center"/>
          </w:tcPr>
          <w:p w14:paraId="5DD7BDB7">
            <w:pPr>
              <w:pStyle w:val="64"/>
            </w:pPr>
            <w:r>
              <w:t>F3</w:t>
            </w:r>
          </w:p>
        </w:tc>
      </w:tr>
      <w:tr w14:paraId="1E32DE3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618" w:type="pct"/>
            <w:tcBorders>
              <w:top w:val="single" w:color="000000" w:sz="4" w:space="0"/>
              <w:left w:val="single" w:color="000000" w:sz="4" w:space="0"/>
              <w:bottom w:val="single" w:color="000000" w:sz="4" w:space="0"/>
              <w:right w:val="single" w:color="000000" w:sz="4" w:space="0"/>
            </w:tcBorders>
            <w:vAlign w:val="center"/>
          </w:tcPr>
          <w:p w14:paraId="6B194DD0">
            <w:pPr>
              <w:pStyle w:val="64"/>
            </w:pPr>
            <w:r>
              <w:t>S1</w:t>
            </w:r>
          </w:p>
        </w:tc>
        <w:tc>
          <w:tcPr>
            <w:tcW w:w="1127" w:type="pct"/>
            <w:tcBorders>
              <w:top w:val="single" w:color="000000" w:sz="4" w:space="0"/>
              <w:left w:val="single" w:color="000000" w:sz="4" w:space="0"/>
              <w:bottom w:val="single" w:color="000000" w:sz="4" w:space="0"/>
              <w:right w:val="single" w:color="000000" w:sz="4" w:space="0"/>
            </w:tcBorders>
            <w:vAlign w:val="center"/>
          </w:tcPr>
          <w:p w14:paraId="44CB0FB6">
            <w:pPr>
              <w:pStyle w:val="64"/>
            </w:pPr>
            <w:r>
              <w:t>E1</w:t>
            </w:r>
          </w:p>
        </w:tc>
        <w:tc>
          <w:tcPr>
            <w:tcW w:w="1127" w:type="pct"/>
            <w:tcBorders>
              <w:top w:val="single" w:color="000000" w:sz="4" w:space="0"/>
              <w:left w:val="single" w:color="000000" w:sz="4" w:space="0"/>
              <w:bottom w:val="single" w:color="000000" w:sz="4" w:space="0"/>
              <w:right w:val="single" w:color="000000" w:sz="4" w:space="0"/>
            </w:tcBorders>
            <w:vAlign w:val="center"/>
          </w:tcPr>
          <w:p w14:paraId="3D26895E">
            <w:pPr>
              <w:pStyle w:val="64"/>
            </w:pPr>
            <w:r>
              <w:t>E1</w:t>
            </w:r>
          </w:p>
        </w:tc>
        <w:tc>
          <w:tcPr>
            <w:tcW w:w="1128" w:type="pct"/>
            <w:tcBorders>
              <w:top w:val="single" w:color="000000" w:sz="4" w:space="0"/>
              <w:left w:val="single" w:color="000000" w:sz="4" w:space="0"/>
              <w:bottom w:val="single" w:color="000000" w:sz="4" w:space="0"/>
              <w:right w:val="single" w:color="auto" w:sz="4" w:space="0"/>
            </w:tcBorders>
            <w:vAlign w:val="center"/>
          </w:tcPr>
          <w:p w14:paraId="0A70A33C">
            <w:pPr>
              <w:pStyle w:val="64"/>
            </w:pPr>
            <w:r>
              <w:t>E2</w:t>
            </w:r>
          </w:p>
        </w:tc>
      </w:tr>
      <w:tr w14:paraId="751D605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618" w:type="pct"/>
            <w:tcBorders>
              <w:top w:val="single" w:color="000000" w:sz="4" w:space="0"/>
              <w:left w:val="single" w:color="000000" w:sz="4" w:space="0"/>
              <w:bottom w:val="single" w:color="000000" w:sz="4" w:space="0"/>
              <w:right w:val="single" w:color="000000" w:sz="4" w:space="0"/>
            </w:tcBorders>
            <w:vAlign w:val="center"/>
          </w:tcPr>
          <w:p w14:paraId="2084686F">
            <w:pPr>
              <w:pStyle w:val="64"/>
            </w:pPr>
            <w:r>
              <w:t>S2</w:t>
            </w:r>
          </w:p>
        </w:tc>
        <w:tc>
          <w:tcPr>
            <w:tcW w:w="1127" w:type="pct"/>
            <w:tcBorders>
              <w:top w:val="single" w:color="000000" w:sz="4" w:space="0"/>
              <w:left w:val="single" w:color="000000" w:sz="4" w:space="0"/>
              <w:bottom w:val="single" w:color="000000" w:sz="4" w:space="0"/>
              <w:right w:val="single" w:color="000000" w:sz="4" w:space="0"/>
            </w:tcBorders>
            <w:vAlign w:val="center"/>
          </w:tcPr>
          <w:p w14:paraId="12A72C7D">
            <w:pPr>
              <w:pStyle w:val="64"/>
            </w:pPr>
            <w:r>
              <w:t>E1</w:t>
            </w:r>
          </w:p>
        </w:tc>
        <w:tc>
          <w:tcPr>
            <w:tcW w:w="1127" w:type="pct"/>
            <w:tcBorders>
              <w:top w:val="single" w:color="000000" w:sz="4" w:space="0"/>
              <w:left w:val="single" w:color="000000" w:sz="4" w:space="0"/>
              <w:bottom w:val="single" w:color="000000" w:sz="4" w:space="0"/>
              <w:right w:val="single" w:color="000000" w:sz="4" w:space="0"/>
            </w:tcBorders>
            <w:vAlign w:val="center"/>
          </w:tcPr>
          <w:p w14:paraId="326279CC">
            <w:pPr>
              <w:pStyle w:val="64"/>
            </w:pPr>
            <w:r>
              <w:t>E2</w:t>
            </w:r>
          </w:p>
        </w:tc>
        <w:tc>
          <w:tcPr>
            <w:tcW w:w="1128" w:type="pct"/>
            <w:tcBorders>
              <w:top w:val="single" w:color="000000" w:sz="4" w:space="0"/>
              <w:left w:val="single" w:color="000000" w:sz="4" w:space="0"/>
              <w:bottom w:val="single" w:color="000000" w:sz="4" w:space="0"/>
              <w:right w:val="single" w:color="000000" w:sz="4" w:space="0"/>
            </w:tcBorders>
            <w:vAlign w:val="center"/>
          </w:tcPr>
          <w:p w14:paraId="06E75E68">
            <w:pPr>
              <w:pStyle w:val="64"/>
            </w:pPr>
            <w:r>
              <w:t>E3</w:t>
            </w:r>
          </w:p>
        </w:tc>
      </w:tr>
      <w:tr w14:paraId="076D333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618" w:type="pct"/>
            <w:tcBorders>
              <w:top w:val="single" w:color="000000" w:sz="4" w:space="0"/>
              <w:left w:val="single" w:color="000000" w:sz="4" w:space="0"/>
              <w:bottom w:val="single" w:color="000000" w:sz="4" w:space="0"/>
              <w:right w:val="single" w:color="000000" w:sz="4" w:space="0"/>
            </w:tcBorders>
            <w:vAlign w:val="center"/>
          </w:tcPr>
          <w:p w14:paraId="03060263">
            <w:pPr>
              <w:pStyle w:val="64"/>
            </w:pPr>
            <w:r>
              <w:t>S3</w:t>
            </w:r>
          </w:p>
        </w:tc>
        <w:tc>
          <w:tcPr>
            <w:tcW w:w="1127" w:type="pct"/>
            <w:tcBorders>
              <w:top w:val="single" w:color="000000" w:sz="4" w:space="0"/>
              <w:left w:val="single" w:color="000000" w:sz="4" w:space="0"/>
              <w:bottom w:val="single" w:color="000000" w:sz="4" w:space="0"/>
              <w:right w:val="single" w:color="000000" w:sz="4" w:space="0"/>
            </w:tcBorders>
            <w:vAlign w:val="center"/>
          </w:tcPr>
          <w:p w14:paraId="18965188">
            <w:pPr>
              <w:pStyle w:val="64"/>
            </w:pPr>
            <w:r>
              <w:t>E1</w:t>
            </w:r>
          </w:p>
        </w:tc>
        <w:tc>
          <w:tcPr>
            <w:tcW w:w="1127" w:type="pct"/>
            <w:tcBorders>
              <w:top w:val="single" w:color="000000" w:sz="4" w:space="0"/>
              <w:left w:val="single" w:color="000000" w:sz="4" w:space="0"/>
              <w:bottom w:val="single" w:color="000000" w:sz="4" w:space="0"/>
              <w:right w:val="single" w:color="000000" w:sz="4" w:space="0"/>
            </w:tcBorders>
            <w:shd w:val="clear" w:color="auto" w:fill="D8D8D8" w:themeFill="background1" w:themeFillShade="D9"/>
            <w:vAlign w:val="center"/>
          </w:tcPr>
          <w:p w14:paraId="59C27F69">
            <w:pPr>
              <w:pStyle w:val="64"/>
            </w:pPr>
            <w:r>
              <w:t>E2</w:t>
            </w:r>
          </w:p>
        </w:tc>
        <w:tc>
          <w:tcPr>
            <w:tcW w:w="1128" w:type="pct"/>
            <w:tcBorders>
              <w:top w:val="single" w:color="000000" w:sz="4" w:space="0"/>
              <w:left w:val="single" w:color="000000" w:sz="4" w:space="0"/>
              <w:bottom w:val="single" w:color="000000" w:sz="4" w:space="0"/>
              <w:right w:val="single" w:color="000000" w:sz="4" w:space="0"/>
            </w:tcBorders>
            <w:vAlign w:val="center"/>
          </w:tcPr>
          <w:p w14:paraId="159EC80C">
            <w:pPr>
              <w:pStyle w:val="64"/>
            </w:pPr>
            <w:r>
              <w:t>E3</w:t>
            </w:r>
          </w:p>
        </w:tc>
      </w:tr>
    </w:tbl>
    <w:p w14:paraId="0352FAC3">
      <w:pPr>
        <w:pStyle w:val="16"/>
        <w:ind w:firstLine="480"/>
      </w:pPr>
    </w:p>
    <w:p w14:paraId="216AB148">
      <w:pPr>
        <w:pStyle w:val="16"/>
        <w:ind w:firstLine="480"/>
      </w:pPr>
      <w:r>
        <w:t>(3)地下水环境</w:t>
      </w:r>
    </w:p>
    <w:p w14:paraId="151FD19B">
      <w:pPr>
        <w:pStyle w:val="16"/>
        <w:ind w:firstLine="480"/>
        <w:rPr>
          <w:kern w:val="0"/>
        </w:rPr>
      </w:pPr>
      <w:r>
        <w:t>本评价引用《蚌埠精细化工高新技术产业基地扩区规划环境影响报告书》，建设项目位于第四系上更新统和全新统层粉质粘土、粉土，揭露层厚大于30.0m，场区包气带岩(土)层单层厚度Mb≥1.0m，且分布连续、稳定，根据场地内的渗水试验结果，该层渗透系数垂向渗透系数为2.50×10</w:t>
      </w:r>
      <w:r>
        <w:rPr>
          <w:vertAlign w:val="superscript"/>
        </w:rPr>
        <w:t>-5</w:t>
      </w:r>
      <w:r>
        <w:t>~3.33×10</w:t>
      </w:r>
      <w:r>
        <w:rPr>
          <w:vertAlign w:val="superscript"/>
        </w:rPr>
        <w:t>-5</w:t>
      </w:r>
      <w:r>
        <w:t>cm/s，即渗透系数1.0×10</w:t>
      </w:r>
      <w:r>
        <w:rPr>
          <w:vertAlign w:val="superscript"/>
        </w:rPr>
        <w:t>-6</w:t>
      </w:r>
      <w:r>
        <w:t>cm/s&lt;渗透系数≤1.0×10</w:t>
      </w:r>
      <w:r>
        <w:rPr>
          <w:vertAlign w:val="superscript"/>
        </w:rPr>
        <w:t>-4</w:t>
      </w:r>
      <w:r>
        <w:t>cm/s。</w:t>
      </w:r>
      <w:r>
        <w:rPr>
          <w:kern w:val="0"/>
        </w:rPr>
        <w:t>根据《建设项目环境影响评价导则》(HJ169-2018)附录D表D.7，判定本项目地下水包气带防污性能分级为D2。</w:t>
      </w:r>
    </w:p>
    <w:p w14:paraId="00B8E581">
      <w:pPr>
        <w:pStyle w:val="16"/>
        <w:ind w:firstLine="480"/>
        <w:rPr>
          <w:kern w:val="0"/>
        </w:rPr>
      </w:pPr>
      <w:r>
        <w:rPr>
          <w:rFonts w:hint="eastAsia"/>
          <w:kern w:val="0"/>
        </w:rPr>
        <w:t>本项目评价范围内居民点、学校等敏感点均由蚌埠市市政供水，不再使用民井采用饮用水，对照《安徽省地下水污染防治重点区域划定方案》(皖环发〔2023〕70号)，项目所在区域属于一级管控区，不涉及地下水型饮用水水源一级保护区、二级保护区、准保护区、补给区，以及矿泉水、名泉等特殊地下水资源保护区域。对照《建设项目环境风险评价技术导则》(HJ169-2018)附录D表D.6，判定本项目地下水功能敏感性分区为G3。</w:t>
      </w:r>
    </w:p>
    <w:p w14:paraId="50493032">
      <w:pPr>
        <w:pStyle w:val="16"/>
        <w:ind w:firstLine="480"/>
        <w:rPr>
          <w:kern w:val="0"/>
        </w:rPr>
      </w:pPr>
      <w:r>
        <w:rPr>
          <w:rFonts w:hint="eastAsia"/>
          <w:kern w:val="0"/>
        </w:rPr>
        <w:t>综上分析，根据《建设项目环境风险评价技术导则》(HJ169-2018)附录D表D.5，判定本项目地下水环境敏感程度分级为E3。</w:t>
      </w:r>
    </w:p>
    <w:p w14:paraId="22CAE00F">
      <w:pPr>
        <w:pStyle w:val="28"/>
        <w:rPr>
          <w:rFonts w:hint="eastAsia"/>
        </w:rPr>
      </w:pPr>
      <w:r>
        <w:t>表</w:t>
      </w:r>
      <w:r>
        <w:rPr>
          <w:rFonts w:hint="eastAsia"/>
        </w:rPr>
        <w:t>6</w:t>
      </w:r>
      <w:r>
        <w:t>.</w:t>
      </w:r>
      <w:r>
        <w:rPr>
          <w:rFonts w:hint="eastAsia"/>
        </w:rPr>
        <w:t>8</w:t>
      </w:r>
      <w:r>
        <w:t>-</w:t>
      </w:r>
      <w:r>
        <w:rPr>
          <w:rFonts w:hint="eastAsia"/>
        </w:rPr>
        <w:t>14</w:t>
      </w:r>
      <w:r>
        <w:t xml:space="preserve">  地下水环境敏感程度分级</w:t>
      </w:r>
    </w:p>
    <w:tbl>
      <w:tblPr>
        <w:tblStyle w:val="36"/>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2932"/>
        <w:gridCol w:w="2042"/>
        <w:gridCol w:w="2042"/>
        <w:gridCol w:w="2044"/>
      </w:tblGrid>
      <w:tr w14:paraId="5FFCC5F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618" w:type="pct"/>
            <w:vMerge w:val="restart"/>
            <w:tcBorders>
              <w:top w:val="single" w:color="000000" w:sz="4" w:space="0"/>
              <w:left w:val="single" w:color="000000" w:sz="4" w:space="0"/>
              <w:bottom w:val="single" w:color="000000" w:sz="4" w:space="0"/>
              <w:right w:val="single" w:color="000000" w:sz="4" w:space="0"/>
            </w:tcBorders>
            <w:vAlign w:val="center"/>
          </w:tcPr>
          <w:p w14:paraId="5C0261FC">
            <w:pPr>
              <w:pStyle w:val="64"/>
            </w:pPr>
            <w:r>
              <w:t>包气带防污性能</w:t>
            </w:r>
          </w:p>
        </w:tc>
        <w:tc>
          <w:tcPr>
            <w:tcW w:w="3382" w:type="pct"/>
            <w:gridSpan w:val="3"/>
            <w:tcBorders>
              <w:top w:val="single" w:color="000000" w:sz="4" w:space="0"/>
              <w:left w:val="single" w:color="000000" w:sz="4" w:space="0"/>
              <w:bottom w:val="single" w:color="000000" w:sz="4" w:space="0"/>
              <w:right w:val="single" w:color="auto" w:sz="4" w:space="0"/>
            </w:tcBorders>
            <w:vAlign w:val="center"/>
          </w:tcPr>
          <w:p w14:paraId="6275E5C6">
            <w:pPr>
              <w:pStyle w:val="64"/>
            </w:pPr>
            <w:r>
              <w:t>地下水功能敏感性</w:t>
            </w:r>
          </w:p>
        </w:tc>
      </w:tr>
      <w:tr w14:paraId="7889C34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618" w:type="pct"/>
            <w:vMerge w:val="continue"/>
            <w:tcBorders>
              <w:top w:val="single" w:color="000000" w:sz="4" w:space="0"/>
              <w:left w:val="single" w:color="000000" w:sz="4" w:space="0"/>
              <w:bottom w:val="single" w:color="000000" w:sz="4" w:space="0"/>
              <w:right w:val="single" w:color="000000" w:sz="4" w:space="0"/>
            </w:tcBorders>
            <w:vAlign w:val="center"/>
          </w:tcPr>
          <w:p w14:paraId="7F43FAFB">
            <w:pPr>
              <w:pStyle w:val="64"/>
            </w:pPr>
          </w:p>
        </w:tc>
        <w:tc>
          <w:tcPr>
            <w:tcW w:w="1127" w:type="pct"/>
            <w:tcBorders>
              <w:top w:val="single" w:color="000000" w:sz="4" w:space="0"/>
              <w:left w:val="single" w:color="000000" w:sz="4" w:space="0"/>
              <w:bottom w:val="single" w:color="000000" w:sz="4" w:space="0"/>
              <w:right w:val="single" w:color="000000" w:sz="4" w:space="0"/>
            </w:tcBorders>
            <w:vAlign w:val="center"/>
          </w:tcPr>
          <w:p w14:paraId="6E00765A">
            <w:pPr>
              <w:pStyle w:val="64"/>
            </w:pPr>
            <w:r>
              <w:t>G1</w:t>
            </w:r>
          </w:p>
        </w:tc>
        <w:tc>
          <w:tcPr>
            <w:tcW w:w="1127" w:type="pct"/>
            <w:tcBorders>
              <w:top w:val="single" w:color="000000" w:sz="4" w:space="0"/>
              <w:left w:val="single" w:color="000000" w:sz="4" w:space="0"/>
              <w:bottom w:val="single" w:color="000000" w:sz="4" w:space="0"/>
              <w:right w:val="single" w:color="000000" w:sz="4" w:space="0"/>
            </w:tcBorders>
            <w:vAlign w:val="center"/>
          </w:tcPr>
          <w:p w14:paraId="22C94E9D">
            <w:pPr>
              <w:pStyle w:val="64"/>
            </w:pPr>
            <w:r>
              <w:t>G2</w:t>
            </w:r>
          </w:p>
        </w:tc>
        <w:tc>
          <w:tcPr>
            <w:tcW w:w="1128" w:type="pct"/>
            <w:tcBorders>
              <w:top w:val="single" w:color="000000" w:sz="4" w:space="0"/>
              <w:left w:val="single" w:color="000000" w:sz="4" w:space="0"/>
              <w:bottom w:val="single" w:color="000000" w:sz="4" w:space="0"/>
              <w:right w:val="single" w:color="auto" w:sz="4" w:space="0"/>
            </w:tcBorders>
            <w:vAlign w:val="center"/>
          </w:tcPr>
          <w:p w14:paraId="1FD99083">
            <w:pPr>
              <w:pStyle w:val="64"/>
            </w:pPr>
            <w:r>
              <w:t>G3</w:t>
            </w:r>
          </w:p>
        </w:tc>
      </w:tr>
      <w:tr w14:paraId="08D7E53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618" w:type="pct"/>
            <w:tcBorders>
              <w:top w:val="single" w:color="000000" w:sz="4" w:space="0"/>
              <w:left w:val="single" w:color="000000" w:sz="4" w:space="0"/>
              <w:bottom w:val="single" w:color="000000" w:sz="4" w:space="0"/>
              <w:right w:val="single" w:color="000000" w:sz="4" w:space="0"/>
            </w:tcBorders>
            <w:vAlign w:val="center"/>
          </w:tcPr>
          <w:p w14:paraId="5814BABA">
            <w:pPr>
              <w:pStyle w:val="64"/>
            </w:pPr>
            <w:r>
              <w:t>D1</w:t>
            </w:r>
          </w:p>
        </w:tc>
        <w:tc>
          <w:tcPr>
            <w:tcW w:w="1127" w:type="pct"/>
            <w:tcBorders>
              <w:top w:val="single" w:color="000000" w:sz="4" w:space="0"/>
              <w:left w:val="single" w:color="000000" w:sz="4" w:space="0"/>
              <w:bottom w:val="single" w:color="000000" w:sz="4" w:space="0"/>
              <w:right w:val="single" w:color="000000" w:sz="4" w:space="0"/>
            </w:tcBorders>
            <w:vAlign w:val="center"/>
          </w:tcPr>
          <w:p w14:paraId="2E4C663C">
            <w:pPr>
              <w:pStyle w:val="64"/>
            </w:pPr>
            <w:r>
              <w:t>E1</w:t>
            </w:r>
          </w:p>
        </w:tc>
        <w:tc>
          <w:tcPr>
            <w:tcW w:w="1127" w:type="pct"/>
            <w:tcBorders>
              <w:top w:val="single" w:color="000000" w:sz="4" w:space="0"/>
              <w:left w:val="single" w:color="000000" w:sz="4" w:space="0"/>
              <w:bottom w:val="single" w:color="000000" w:sz="4" w:space="0"/>
              <w:right w:val="single" w:color="000000" w:sz="4" w:space="0"/>
            </w:tcBorders>
            <w:vAlign w:val="center"/>
          </w:tcPr>
          <w:p w14:paraId="43FADE85">
            <w:pPr>
              <w:pStyle w:val="64"/>
            </w:pPr>
            <w:r>
              <w:t>E1</w:t>
            </w:r>
          </w:p>
        </w:tc>
        <w:tc>
          <w:tcPr>
            <w:tcW w:w="1128" w:type="pct"/>
            <w:tcBorders>
              <w:top w:val="single" w:color="000000" w:sz="4" w:space="0"/>
              <w:left w:val="single" w:color="000000" w:sz="4" w:space="0"/>
              <w:bottom w:val="single" w:color="000000" w:sz="4" w:space="0"/>
              <w:right w:val="single" w:color="auto" w:sz="4" w:space="0"/>
            </w:tcBorders>
            <w:vAlign w:val="center"/>
          </w:tcPr>
          <w:p w14:paraId="0A375C2D">
            <w:pPr>
              <w:pStyle w:val="64"/>
            </w:pPr>
            <w:r>
              <w:t>E2</w:t>
            </w:r>
          </w:p>
        </w:tc>
      </w:tr>
      <w:tr w14:paraId="6C11251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618" w:type="pct"/>
            <w:tcBorders>
              <w:top w:val="single" w:color="000000" w:sz="4" w:space="0"/>
              <w:left w:val="single" w:color="000000" w:sz="4" w:space="0"/>
              <w:bottom w:val="single" w:color="000000" w:sz="4" w:space="0"/>
              <w:right w:val="single" w:color="000000" w:sz="4" w:space="0"/>
            </w:tcBorders>
            <w:vAlign w:val="center"/>
          </w:tcPr>
          <w:p w14:paraId="5D824C85">
            <w:pPr>
              <w:pStyle w:val="64"/>
            </w:pPr>
            <w:r>
              <w:t>D2</w:t>
            </w:r>
          </w:p>
        </w:tc>
        <w:tc>
          <w:tcPr>
            <w:tcW w:w="1127" w:type="pct"/>
            <w:tcBorders>
              <w:top w:val="single" w:color="000000" w:sz="4" w:space="0"/>
              <w:left w:val="single" w:color="000000" w:sz="4" w:space="0"/>
              <w:bottom w:val="single" w:color="000000" w:sz="4" w:space="0"/>
              <w:right w:val="single" w:color="000000" w:sz="4" w:space="0"/>
            </w:tcBorders>
            <w:vAlign w:val="center"/>
          </w:tcPr>
          <w:p w14:paraId="6ABE71B7">
            <w:pPr>
              <w:pStyle w:val="64"/>
            </w:pPr>
            <w:r>
              <w:t>E1</w:t>
            </w:r>
          </w:p>
        </w:tc>
        <w:tc>
          <w:tcPr>
            <w:tcW w:w="1127" w:type="pct"/>
            <w:tcBorders>
              <w:top w:val="single" w:color="000000" w:sz="4" w:space="0"/>
              <w:left w:val="single" w:color="000000" w:sz="4" w:space="0"/>
              <w:bottom w:val="single" w:color="000000" w:sz="4" w:space="0"/>
              <w:right w:val="single" w:color="000000" w:sz="4" w:space="0"/>
            </w:tcBorders>
            <w:vAlign w:val="center"/>
          </w:tcPr>
          <w:p w14:paraId="271D6CCC">
            <w:pPr>
              <w:pStyle w:val="64"/>
            </w:pPr>
            <w:r>
              <w:t>E2</w:t>
            </w:r>
          </w:p>
        </w:tc>
        <w:tc>
          <w:tcPr>
            <w:tcW w:w="1128" w:type="pct"/>
            <w:tcBorders>
              <w:top w:val="single" w:color="000000" w:sz="4" w:space="0"/>
              <w:left w:val="single" w:color="000000" w:sz="4" w:space="0"/>
              <w:bottom w:val="single" w:color="000000" w:sz="4" w:space="0"/>
              <w:right w:val="single" w:color="000000" w:sz="4" w:space="0"/>
            </w:tcBorders>
            <w:shd w:val="clear" w:color="auto" w:fill="D8D8D8" w:themeFill="background1" w:themeFillShade="D9"/>
            <w:vAlign w:val="center"/>
          </w:tcPr>
          <w:p w14:paraId="2EE3967E">
            <w:pPr>
              <w:pStyle w:val="64"/>
              <w:rPr>
                <w:bCs/>
              </w:rPr>
            </w:pPr>
            <w:r>
              <w:rPr>
                <w:bCs/>
              </w:rPr>
              <w:t>E3</w:t>
            </w:r>
          </w:p>
        </w:tc>
      </w:tr>
      <w:tr w14:paraId="17E5BAB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618" w:type="pct"/>
            <w:tcBorders>
              <w:top w:val="single" w:color="000000" w:sz="4" w:space="0"/>
              <w:left w:val="single" w:color="000000" w:sz="4" w:space="0"/>
              <w:bottom w:val="single" w:color="000000" w:sz="4" w:space="0"/>
              <w:right w:val="single" w:color="000000" w:sz="4" w:space="0"/>
            </w:tcBorders>
            <w:vAlign w:val="center"/>
          </w:tcPr>
          <w:p w14:paraId="68C87124">
            <w:pPr>
              <w:pStyle w:val="64"/>
            </w:pPr>
            <w:r>
              <w:t>D3</w:t>
            </w:r>
          </w:p>
        </w:tc>
        <w:tc>
          <w:tcPr>
            <w:tcW w:w="1127" w:type="pct"/>
            <w:tcBorders>
              <w:top w:val="single" w:color="000000" w:sz="4" w:space="0"/>
              <w:left w:val="single" w:color="000000" w:sz="4" w:space="0"/>
              <w:bottom w:val="single" w:color="000000" w:sz="4" w:space="0"/>
              <w:right w:val="single" w:color="000000" w:sz="4" w:space="0"/>
            </w:tcBorders>
            <w:vAlign w:val="center"/>
          </w:tcPr>
          <w:p w14:paraId="6CA95C19">
            <w:pPr>
              <w:pStyle w:val="64"/>
            </w:pPr>
            <w:r>
              <w:t>E2</w:t>
            </w:r>
          </w:p>
        </w:tc>
        <w:tc>
          <w:tcPr>
            <w:tcW w:w="1127" w:type="pct"/>
            <w:tcBorders>
              <w:top w:val="single" w:color="000000" w:sz="4" w:space="0"/>
              <w:left w:val="single" w:color="000000" w:sz="4" w:space="0"/>
              <w:bottom w:val="single" w:color="000000" w:sz="4" w:space="0"/>
              <w:right w:val="single" w:color="000000" w:sz="4" w:space="0"/>
            </w:tcBorders>
            <w:vAlign w:val="center"/>
          </w:tcPr>
          <w:p w14:paraId="383F2C1C">
            <w:pPr>
              <w:pStyle w:val="64"/>
            </w:pPr>
            <w:r>
              <w:t>E3</w:t>
            </w:r>
          </w:p>
        </w:tc>
        <w:tc>
          <w:tcPr>
            <w:tcW w:w="1128" w:type="pct"/>
            <w:tcBorders>
              <w:top w:val="single" w:color="000000" w:sz="4" w:space="0"/>
              <w:left w:val="single" w:color="000000" w:sz="4" w:space="0"/>
              <w:bottom w:val="single" w:color="000000" w:sz="4" w:space="0"/>
              <w:right w:val="single" w:color="000000" w:sz="4" w:space="0"/>
            </w:tcBorders>
            <w:vAlign w:val="center"/>
          </w:tcPr>
          <w:p w14:paraId="6A8BFFEB">
            <w:pPr>
              <w:pStyle w:val="64"/>
            </w:pPr>
            <w:r>
              <w:t>E3</w:t>
            </w:r>
          </w:p>
        </w:tc>
      </w:tr>
    </w:tbl>
    <w:p w14:paraId="63396209">
      <w:pPr>
        <w:pStyle w:val="16"/>
        <w:ind w:firstLine="480"/>
        <w:rPr>
          <w:rFonts w:eastAsia="黑体"/>
          <w:bCs/>
          <w:szCs w:val="32"/>
        </w:rPr>
      </w:pPr>
      <w:r>
        <w:rPr>
          <w:rFonts w:hint="eastAsia" w:eastAsia="黑体"/>
          <w:bCs/>
          <w:szCs w:val="32"/>
        </w:rPr>
        <w:t>3、</w:t>
      </w:r>
      <w:r>
        <w:rPr>
          <w:rFonts w:eastAsia="黑体"/>
          <w:bCs/>
          <w:szCs w:val="32"/>
        </w:rPr>
        <w:t>环境风险潜势划分</w:t>
      </w:r>
    </w:p>
    <w:p w14:paraId="2B72E5C3">
      <w:pPr>
        <w:pStyle w:val="16"/>
        <w:ind w:firstLine="480"/>
        <w:rPr>
          <w:kern w:val="0"/>
        </w:rPr>
      </w:pPr>
      <w:r>
        <w:rPr>
          <w:kern w:val="0"/>
        </w:rPr>
        <w:t>根据《建设项目环境风险评价技术导则》(HJ169-2018)，本项目大气环境风险潜势为Ⅲ，地表水环境风险潜势为Ⅲ，地下水环境风险潜势为Ⅲ。环境风险潜势初判如下表6.2-10。</w:t>
      </w:r>
    </w:p>
    <w:p w14:paraId="71E5324B">
      <w:pPr>
        <w:pStyle w:val="28"/>
        <w:rPr>
          <w:rFonts w:hint="eastAsia"/>
        </w:rPr>
      </w:pPr>
      <w:r>
        <w:t>表</w:t>
      </w:r>
      <w:r>
        <w:rPr>
          <w:rFonts w:hint="eastAsia"/>
        </w:rPr>
        <w:t>6</w:t>
      </w:r>
      <w:r>
        <w:t>.</w:t>
      </w:r>
      <w:r>
        <w:rPr>
          <w:rFonts w:hint="eastAsia"/>
        </w:rPr>
        <w:t>8</w:t>
      </w:r>
      <w:r>
        <w:t>-1</w:t>
      </w:r>
      <w:r>
        <w:rPr>
          <w:rFonts w:hint="eastAsia"/>
        </w:rPr>
        <w:t xml:space="preserve">5 </w:t>
      </w:r>
      <w:r>
        <w:t xml:space="preserve"> 建设项目环境风险潜势划分</w:t>
      </w:r>
    </w:p>
    <w:tbl>
      <w:tblPr>
        <w:tblStyle w:val="3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7"/>
        <w:gridCol w:w="2408"/>
        <w:gridCol w:w="1422"/>
        <w:gridCol w:w="1513"/>
        <w:gridCol w:w="1511"/>
        <w:gridCol w:w="1499"/>
      </w:tblGrid>
      <w:tr w14:paraId="524543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trPr>
        <w:tc>
          <w:tcPr>
            <w:tcW w:w="390" w:type="pct"/>
            <w:vMerge w:val="restart"/>
            <w:tcBorders>
              <w:top w:val="single" w:color="auto" w:sz="4" w:space="0"/>
              <w:left w:val="single" w:color="auto" w:sz="4" w:space="0"/>
              <w:right w:val="single" w:color="auto" w:sz="4" w:space="0"/>
            </w:tcBorders>
            <w:vAlign w:val="center"/>
          </w:tcPr>
          <w:p w14:paraId="00C759E4">
            <w:pPr>
              <w:pStyle w:val="64"/>
            </w:pPr>
            <w:r>
              <w:t>类别</w:t>
            </w:r>
          </w:p>
        </w:tc>
        <w:tc>
          <w:tcPr>
            <w:tcW w:w="1329" w:type="pct"/>
            <w:vMerge w:val="restart"/>
            <w:tcBorders>
              <w:top w:val="single" w:color="auto" w:sz="4" w:space="0"/>
              <w:left w:val="single" w:color="auto" w:sz="4" w:space="0"/>
              <w:bottom w:val="single" w:color="auto" w:sz="4" w:space="0"/>
              <w:right w:val="single" w:color="auto" w:sz="4" w:space="0"/>
            </w:tcBorders>
            <w:vAlign w:val="center"/>
          </w:tcPr>
          <w:p w14:paraId="7AD03001">
            <w:pPr>
              <w:pStyle w:val="64"/>
            </w:pPr>
            <w:r>
              <w:t>环境敏感程度(E)</w:t>
            </w:r>
          </w:p>
        </w:tc>
        <w:tc>
          <w:tcPr>
            <w:tcW w:w="3281" w:type="pct"/>
            <w:gridSpan w:val="4"/>
            <w:tcBorders>
              <w:top w:val="single" w:color="auto" w:sz="4" w:space="0"/>
              <w:left w:val="single" w:color="auto" w:sz="4" w:space="0"/>
              <w:bottom w:val="single" w:color="auto" w:sz="4" w:space="0"/>
              <w:right w:val="single" w:color="auto" w:sz="4" w:space="0"/>
            </w:tcBorders>
            <w:vAlign w:val="center"/>
          </w:tcPr>
          <w:p w14:paraId="1FCE8EB4">
            <w:pPr>
              <w:pStyle w:val="64"/>
            </w:pPr>
            <w:r>
              <w:t>危险物质及工艺系统危险性(P)</w:t>
            </w:r>
          </w:p>
        </w:tc>
      </w:tr>
      <w:tr w14:paraId="4EC452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trPr>
        <w:tc>
          <w:tcPr>
            <w:tcW w:w="390" w:type="pct"/>
            <w:vMerge w:val="continue"/>
            <w:tcBorders>
              <w:left w:val="single" w:color="auto" w:sz="4" w:space="0"/>
              <w:bottom w:val="single" w:color="auto" w:sz="4" w:space="0"/>
              <w:right w:val="single" w:color="auto" w:sz="4" w:space="0"/>
            </w:tcBorders>
            <w:vAlign w:val="center"/>
          </w:tcPr>
          <w:p w14:paraId="463A0F49">
            <w:pPr>
              <w:pStyle w:val="64"/>
            </w:pPr>
          </w:p>
        </w:tc>
        <w:tc>
          <w:tcPr>
            <w:tcW w:w="1329" w:type="pct"/>
            <w:vMerge w:val="continue"/>
            <w:tcBorders>
              <w:top w:val="single" w:color="auto" w:sz="4" w:space="0"/>
              <w:left w:val="single" w:color="auto" w:sz="4" w:space="0"/>
              <w:bottom w:val="single" w:color="auto" w:sz="4" w:space="0"/>
              <w:right w:val="single" w:color="auto" w:sz="4" w:space="0"/>
            </w:tcBorders>
            <w:vAlign w:val="center"/>
          </w:tcPr>
          <w:p w14:paraId="3C69424E">
            <w:pPr>
              <w:pStyle w:val="64"/>
            </w:pPr>
          </w:p>
        </w:tc>
        <w:tc>
          <w:tcPr>
            <w:tcW w:w="785" w:type="pct"/>
            <w:tcBorders>
              <w:top w:val="single" w:color="auto" w:sz="4" w:space="0"/>
              <w:left w:val="single" w:color="auto" w:sz="4" w:space="0"/>
              <w:bottom w:val="single" w:color="auto" w:sz="4" w:space="0"/>
              <w:right w:val="single" w:color="auto" w:sz="4" w:space="0"/>
            </w:tcBorders>
            <w:vAlign w:val="center"/>
          </w:tcPr>
          <w:p w14:paraId="2D217B8F">
            <w:pPr>
              <w:pStyle w:val="64"/>
            </w:pPr>
            <w:r>
              <w:t>极高危害P1</w:t>
            </w:r>
          </w:p>
        </w:tc>
        <w:tc>
          <w:tcPr>
            <w:tcW w:w="835" w:type="pct"/>
            <w:tcBorders>
              <w:top w:val="single" w:color="auto" w:sz="4" w:space="0"/>
              <w:left w:val="single" w:color="auto" w:sz="4" w:space="0"/>
              <w:bottom w:val="single" w:color="auto" w:sz="4" w:space="0"/>
              <w:right w:val="single" w:color="auto" w:sz="4" w:space="0"/>
            </w:tcBorders>
            <w:vAlign w:val="center"/>
          </w:tcPr>
          <w:p w14:paraId="788DF2E4">
            <w:pPr>
              <w:pStyle w:val="64"/>
            </w:pPr>
            <w:r>
              <w:t>高度危害P2</w:t>
            </w:r>
          </w:p>
        </w:tc>
        <w:tc>
          <w:tcPr>
            <w:tcW w:w="834" w:type="pct"/>
            <w:tcBorders>
              <w:top w:val="single" w:color="auto" w:sz="4" w:space="0"/>
              <w:left w:val="single" w:color="auto" w:sz="4" w:space="0"/>
              <w:bottom w:val="single" w:color="auto" w:sz="4" w:space="0"/>
              <w:right w:val="single" w:color="auto" w:sz="4" w:space="0"/>
            </w:tcBorders>
            <w:vAlign w:val="center"/>
          </w:tcPr>
          <w:p w14:paraId="78ABFBC7">
            <w:pPr>
              <w:pStyle w:val="64"/>
            </w:pPr>
            <w:r>
              <w:t>中度危害P3</w:t>
            </w:r>
          </w:p>
        </w:tc>
        <w:tc>
          <w:tcPr>
            <w:tcW w:w="828" w:type="pct"/>
            <w:tcBorders>
              <w:top w:val="single" w:color="auto" w:sz="4" w:space="0"/>
              <w:left w:val="single" w:color="auto" w:sz="4" w:space="0"/>
              <w:bottom w:val="single" w:color="auto" w:sz="4" w:space="0"/>
              <w:right w:val="single" w:color="auto" w:sz="4" w:space="0"/>
            </w:tcBorders>
            <w:vAlign w:val="center"/>
          </w:tcPr>
          <w:p w14:paraId="78E6F14F">
            <w:pPr>
              <w:pStyle w:val="64"/>
            </w:pPr>
            <w:r>
              <w:t>轻度危害P4</w:t>
            </w:r>
          </w:p>
        </w:tc>
      </w:tr>
      <w:tr w14:paraId="54DB19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0" w:type="pct"/>
            <w:vMerge w:val="restart"/>
            <w:tcBorders>
              <w:top w:val="single" w:color="auto" w:sz="4" w:space="0"/>
              <w:left w:val="single" w:color="auto" w:sz="4" w:space="0"/>
              <w:right w:val="single" w:color="auto" w:sz="4" w:space="0"/>
            </w:tcBorders>
            <w:vAlign w:val="center"/>
          </w:tcPr>
          <w:p w14:paraId="5CAA0426">
            <w:pPr>
              <w:pStyle w:val="64"/>
            </w:pPr>
            <w:r>
              <w:t>环境空气</w:t>
            </w:r>
          </w:p>
        </w:tc>
        <w:tc>
          <w:tcPr>
            <w:tcW w:w="1329" w:type="pct"/>
            <w:tcBorders>
              <w:top w:val="single" w:color="auto" w:sz="4" w:space="0"/>
              <w:left w:val="single" w:color="auto" w:sz="4" w:space="0"/>
              <w:bottom w:val="single" w:color="auto" w:sz="4" w:space="0"/>
              <w:right w:val="single" w:color="auto" w:sz="4" w:space="0"/>
            </w:tcBorders>
            <w:vAlign w:val="center"/>
          </w:tcPr>
          <w:p w14:paraId="016E190C">
            <w:pPr>
              <w:pStyle w:val="64"/>
            </w:pPr>
            <w:r>
              <w:t>环境高度敏感区(E1)</w:t>
            </w:r>
          </w:p>
        </w:tc>
        <w:tc>
          <w:tcPr>
            <w:tcW w:w="785" w:type="pct"/>
            <w:tcBorders>
              <w:top w:val="single" w:color="auto" w:sz="4" w:space="0"/>
              <w:left w:val="single" w:color="auto" w:sz="4" w:space="0"/>
              <w:bottom w:val="single" w:color="auto" w:sz="4" w:space="0"/>
              <w:right w:val="single" w:color="auto" w:sz="4" w:space="0"/>
            </w:tcBorders>
            <w:vAlign w:val="center"/>
          </w:tcPr>
          <w:p w14:paraId="77C3A2C5">
            <w:pPr>
              <w:pStyle w:val="64"/>
            </w:pPr>
            <w:r>
              <w:t>IV</w:t>
            </w:r>
            <w:r>
              <w:rPr>
                <w:vertAlign w:val="superscript"/>
              </w:rPr>
              <w:t>+</w:t>
            </w:r>
          </w:p>
        </w:tc>
        <w:tc>
          <w:tcPr>
            <w:tcW w:w="835" w:type="pct"/>
            <w:tcBorders>
              <w:top w:val="single" w:color="auto" w:sz="4" w:space="0"/>
              <w:left w:val="single" w:color="auto" w:sz="4" w:space="0"/>
              <w:bottom w:val="single" w:color="auto" w:sz="4" w:space="0"/>
              <w:right w:val="single" w:color="auto" w:sz="4" w:space="0"/>
            </w:tcBorders>
            <w:vAlign w:val="center"/>
          </w:tcPr>
          <w:p w14:paraId="27484F5D">
            <w:pPr>
              <w:pStyle w:val="64"/>
            </w:pPr>
            <w:r>
              <w:t>IV</w:t>
            </w:r>
          </w:p>
        </w:tc>
        <w:tc>
          <w:tcPr>
            <w:tcW w:w="834" w:type="pct"/>
            <w:tcBorders>
              <w:top w:val="single" w:color="auto" w:sz="4" w:space="0"/>
              <w:left w:val="single" w:color="auto" w:sz="4" w:space="0"/>
              <w:bottom w:val="single" w:color="auto" w:sz="4" w:space="0"/>
              <w:right w:val="single" w:color="auto" w:sz="4" w:space="0"/>
            </w:tcBorders>
            <w:vAlign w:val="center"/>
          </w:tcPr>
          <w:p w14:paraId="1C19621A">
            <w:pPr>
              <w:pStyle w:val="64"/>
            </w:pPr>
            <w:r>
              <w:t>III</w:t>
            </w:r>
          </w:p>
        </w:tc>
        <w:tc>
          <w:tcPr>
            <w:tcW w:w="828" w:type="pct"/>
            <w:tcBorders>
              <w:top w:val="single" w:color="auto" w:sz="4" w:space="0"/>
              <w:left w:val="single" w:color="auto" w:sz="4" w:space="0"/>
              <w:bottom w:val="single" w:color="auto" w:sz="4" w:space="0"/>
              <w:right w:val="single" w:color="auto" w:sz="4" w:space="0"/>
            </w:tcBorders>
            <w:vAlign w:val="center"/>
          </w:tcPr>
          <w:p w14:paraId="14D54595">
            <w:pPr>
              <w:pStyle w:val="64"/>
            </w:pPr>
            <w:r>
              <w:t>III</w:t>
            </w:r>
          </w:p>
        </w:tc>
      </w:tr>
      <w:tr w14:paraId="6C1F45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0" w:type="pct"/>
            <w:vMerge w:val="continue"/>
            <w:tcBorders>
              <w:left w:val="single" w:color="auto" w:sz="4" w:space="0"/>
              <w:right w:val="single" w:color="auto" w:sz="4" w:space="0"/>
            </w:tcBorders>
            <w:vAlign w:val="center"/>
          </w:tcPr>
          <w:p w14:paraId="7462C2F1">
            <w:pPr>
              <w:pStyle w:val="64"/>
            </w:pPr>
          </w:p>
        </w:tc>
        <w:tc>
          <w:tcPr>
            <w:tcW w:w="1329" w:type="pct"/>
            <w:tcBorders>
              <w:top w:val="single" w:color="auto" w:sz="4" w:space="0"/>
              <w:left w:val="single" w:color="auto" w:sz="4" w:space="0"/>
              <w:bottom w:val="single" w:color="auto" w:sz="4" w:space="0"/>
              <w:right w:val="single" w:color="auto" w:sz="4" w:space="0"/>
            </w:tcBorders>
            <w:vAlign w:val="center"/>
          </w:tcPr>
          <w:p w14:paraId="0BDD9CB4">
            <w:pPr>
              <w:pStyle w:val="64"/>
            </w:pPr>
            <w:r>
              <w:t>环境中度敏感区(E2)</w:t>
            </w:r>
          </w:p>
        </w:tc>
        <w:tc>
          <w:tcPr>
            <w:tcW w:w="785" w:type="pct"/>
            <w:tcBorders>
              <w:top w:val="single" w:color="auto" w:sz="4" w:space="0"/>
              <w:left w:val="single" w:color="auto" w:sz="4" w:space="0"/>
              <w:bottom w:val="single" w:color="auto" w:sz="4" w:space="0"/>
              <w:right w:val="single" w:color="auto" w:sz="4" w:space="0"/>
            </w:tcBorders>
            <w:shd w:val="clear" w:color="auto" w:fill="D8D8D8" w:themeFill="background1" w:themeFillShade="D9"/>
            <w:vAlign w:val="center"/>
          </w:tcPr>
          <w:p w14:paraId="4FD15053">
            <w:pPr>
              <w:pStyle w:val="64"/>
            </w:pPr>
            <w:r>
              <w:t>IV</w:t>
            </w:r>
          </w:p>
        </w:tc>
        <w:tc>
          <w:tcPr>
            <w:tcW w:w="835" w:type="pct"/>
            <w:tcBorders>
              <w:top w:val="single" w:color="auto" w:sz="4" w:space="0"/>
              <w:left w:val="single" w:color="auto" w:sz="4" w:space="0"/>
              <w:bottom w:val="single" w:color="auto" w:sz="4" w:space="0"/>
              <w:right w:val="single" w:color="auto" w:sz="4" w:space="0"/>
            </w:tcBorders>
            <w:vAlign w:val="center"/>
          </w:tcPr>
          <w:p w14:paraId="2C035D11">
            <w:pPr>
              <w:pStyle w:val="64"/>
            </w:pPr>
            <w:r>
              <w:t>III</w:t>
            </w:r>
          </w:p>
        </w:tc>
        <w:tc>
          <w:tcPr>
            <w:tcW w:w="834" w:type="pct"/>
            <w:tcBorders>
              <w:top w:val="single" w:color="auto" w:sz="4" w:space="0"/>
              <w:left w:val="single" w:color="auto" w:sz="4" w:space="0"/>
              <w:bottom w:val="single" w:color="auto" w:sz="4" w:space="0"/>
              <w:right w:val="single" w:color="auto" w:sz="4" w:space="0"/>
            </w:tcBorders>
            <w:vAlign w:val="center"/>
          </w:tcPr>
          <w:p w14:paraId="181611A5">
            <w:pPr>
              <w:pStyle w:val="64"/>
            </w:pPr>
            <w:r>
              <w:t>III</w:t>
            </w:r>
          </w:p>
        </w:tc>
        <w:tc>
          <w:tcPr>
            <w:tcW w:w="828" w:type="pct"/>
            <w:tcBorders>
              <w:top w:val="single" w:color="auto" w:sz="4" w:space="0"/>
              <w:left w:val="single" w:color="auto" w:sz="4" w:space="0"/>
              <w:bottom w:val="single" w:color="auto" w:sz="4" w:space="0"/>
              <w:right w:val="single" w:color="auto" w:sz="4" w:space="0"/>
            </w:tcBorders>
            <w:vAlign w:val="center"/>
          </w:tcPr>
          <w:p w14:paraId="21AFB0D3">
            <w:pPr>
              <w:pStyle w:val="64"/>
            </w:pPr>
            <w:r>
              <w:t>II</w:t>
            </w:r>
          </w:p>
        </w:tc>
      </w:tr>
      <w:tr w14:paraId="60788F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0" w:type="pct"/>
            <w:vMerge w:val="continue"/>
            <w:tcBorders>
              <w:left w:val="single" w:color="auto" w:sz="4" w:space="0"/>
              <w:right w:val="single" w:color="auto" w:sz="4" w:space="0"/>
            </w:tcBorders>
            <w:vAlign w:val="center"/>
          </w:tcPr>
          <w:p w14:paraId="06C87733">
            <w:pPr>
              <w:pStyle w:val="64"/>
            </w:pPr>
          </w:p>
        </w:tc>
        <w:tc>
          <w:tcPr>
            <w:tcW w:w="1329" w:type="pct"/>
            <w:tcBorders>
              <w:top w:val="single" w:color="auto" w:sz="4" w:space="0"/>
              <w:left w:val="single" w:color="auto" w:sz="4" w:space="0"/>
              <w:bottom w:val="single" w:color="auto" w:sz="4" w:space="0"/>
              <w:right w:val="single" w:color="auto" w:sz="4" w:space="0"/>
            </w:tcBorders>
            <w:vAlign w:val="center"/>
          </w:tcPr>
          <w:p w14:paraId="53918451">
            <w:pPr>
              <w:pStyle w:val="64"/>
            </w:pPr>
            <w:r>
              <w:t>环境低度敏感区(E3)</w:t>
            </w:r>
          </w:p>
        </w:tc>
        <w:tc>
          <w:tcPr>
            <w:tcW w:w="785" w:type="pct"/>
            <w:tcBorders>
              <w:top w:val="single" w:color="auto" w:sz="4" w:space="0"/>
              <w:left w:val="single" w:color="auto" w:sz="4" w:space="0"/>
              <w:bottom w:val="single" w:color="auto" w:sz="4" w:space="0"/>
              <w:right w:val="single" w:color="auto" w:sz="4" w:space="0"/>
            </w:tcBorders>
            <w:vAlign w:val="center"/>
          </w:tcPr>
          <w:p w14:paraId="108DF863">
            <w:pPr>
              <w:pStyle w:val="64"/>
            </w:pPr>
            <w:r>
              <w:t>III</w:t>
            </w:r>
          </w:p>
        </w:tc>
        <w:tc>
          <w:tcPr>
            <w:tcW w:w="835" w:type="pct"/>
            <w:tcBorders>
              <w:top w:val="single" w:color="auto" w:sz="4" w:space="0"/>
              <w:left w:val="single" w:color="auto" w:sz="4" w:space="0"/>
              <w:bottom w:val="single" w:color="auto" w:sz="4" w:space="0"/>
              <w:right w:val="single" w:color="auto" w:sz="4" w:space="0"/>
            </w:tcBorders>
            <w:vAlign w:val="center"/>
          </w:tcPr>
          <w:p w14:paraId="317EA317">
            <w:pPr>
              <w:pStyle w:val="64"/>
            </w:pPr>
            <w:r>
              <w:t>III</w:t>
            </w:r>
          </w:p>
        </w:tc>
        <w:tc>
          <w:tcPr>
            <w:tcW w:w="834" w:type="pct"/>
            <w:tcBorders>
              <w:top w:val="single" w:color="auto" w:sz="4" w:space="0"/>
              <w:left w:val="single" w:color="auto" w:sz="4" w:space="0"/>
              <w:bottom w:val="single" w:color="auto" w:sz="4" w:space="0"/>
              <w:right w:val="single" w:color="auto" w:sz="4" w:space="0"/>
            </w:tcBorders>
            <w:vAlign w:val="center"/>
          </w:tcPr>
          <w:p w14:paraId="62437AE0">
            <w:pPr>
              <w:pStyle w:val="64"/>
            </w:pPr>
            <w:r>
              <w:t>II</w:t>
            </w:r>
          </w:p>
        </w:tc>
        <w:tc>
          <w:tcPr>
            <w:tcW w:w="828" w:type="pct"/>
            <w:tcBorders>
              <w:top w:val="single" w:color="auto" w:sz="4" w:space="0"/>
              <w:left w:val="single" w:color="auto" w:sz="4" w:space="0"/>
              <w:bottom w:val="single" w:color="auto" w:sz="4" w:space="0"/>
              <w:right w:val="single" w:color="auto" w:sz="4" w:space="0"/>
            </w:tcBorders>
            <w:vAlign w:val="center"/>
          </w:tcPr>
          <w:p w14:paraId="51CDD531">
            <w:pPr>
              <w:pStyle w:val="64"/>
            </w:pPr>
            <w:r>
              <w:t>I</w:t>
            </w:r>
          </w:p>
        </w:tc>
      </w:tr>
      <w:tr w14:paraId="5D536B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0" w:type="pct"/>
            <w:vMerge w:val="restart"/>
            <w:tcBorders>
              <w:left w:val="single" w:color="auto" w:sz="4" w:space="0"/>
              <w:right w:val="single" w:color="auto" w:sz="4" w:space="0"/>
            </w:tcBorders>
            <w:vAlign w:val="center"/>
          </w:tcPr>
          <w:p w14:paraId="0C1D1513">
            <w:pPr>
              <w:pStyle w:val="64"/>
            </w:pPr>
            <w:r>
              <w:t>地表水</w:t>
            </w:r>
          </w:p>
        </w:tc>
        <w:tc>
          <w:tcPr>
            <w:tcW w:w="1329" w:type="pct"/>
            <w:tcBorders>
              <w:top w:val="single" w:color="auto" w:sz="4" w:space="0"/>
              <w:left w:val="single" w:color="auto" w:sz="4" w:space="0"/>
              <w:bottom w:val="single" w:color="auto" w:sz="4" w:space="0"/>
              <w:right w:val="single" w:color="auto" w:sz="4" w:space="0"/>
            </w:tcBorders>
            <w:vAlign w:val="center"/>
          </w:tcPr>
          <w:p w14:paraId="52BE268F">
            <w:pPr>
              <w:pStyle w:val="64"/>
            </w:pPr>
            <w:r>
              <w:t>环境高度敏感区(E1)</w:t>
            </w:r>
          </w:p>
        </w:tc>
        <w:tc>
          <w:tcPr>
            <w:tcW w:w="785" w:type="pct"/>
            <w:tcBorders>
              <w:top w:val="single" w:color="auto" w:sz="4" w:space="0"/>
              <w:left w:val="single" w:color="auto" w:sz="4" w:space="0"/>
              <w:bottom w:val="single" w:color="auto" w:sz="4" w:space="0"/>
              <w:right w:val="single" w:color="auto" w:sz="4" w:space="0"/>
            </w:tcBorders>
            <w:vAlign w:val="center"/>
          </w:tcPr>
          <w:p w14:paraId="63DA1FAD">
            <w:pPr>
              <w:pStyle w:val="64"/>
            </w:pPr>
            <w:r>
              <w:t>IV</w:t>
            </w:r>
            <w:r>
              <w:rPr>
                <w:vertAlign w:val="superscript"/>
              </w:rPr>
              <w:t>+</w:t>
            </w:r>
          </w:p>
        </w:tc>
        <w:tc>
          <w:tcPr>
            <w:tcW w:w="835" w:type="pct"/>
            <w:tcBorders>
              <w:top w:val="single" w:color="auto" w:sz="4" w:space="0"/>
              <w:left w:val="single" w:color="auto" w:sz="4" w:space="0"/>
              <w:bottom w:val="single" w:color="auto" w:sz="4" w:space="0"/>
              <w:right w:val="single" w:color="auto" w:sz="4" w:space="0"/>
            </w:tcBorders>
            <w:vAlign w:val="center"/>
          </w:tcPr>
          <w:p w14:paraId="41FE26FC">
            <w:pPr>
              <w:pStyle w:val="64"/>
            </w:pPr>
            <w:r>
              <w:t>IV</w:t>
            </w:r>
          </w:p>
        </w:tc>
        <w:tc>
          <w:tcPr>
            <w:tcW w:w="834" w:type="pct"/>
            <w:tcBorders>
              <w:top w:val="single" w:color="auto" w:sz="4" w:space="0"/>
              <w:left w:val="single" w:color="auto" w:sz="4" w:space="0"/>
              <w:bottom w:val="single" w:color="auto" w:sz="4" w:space="0"/>
              <w:right w:val="single" w:color="auto" w:sz="4" w:space="0"/>
            </w:tcBorders>
            <w:vAlign w:val="center"/>
          </w:tcPr>
          <w:p w14:paraId="4E2A640B">
            <w:pPr>
              <w:pStyle w:val="64"/>
            </w:pPr>
            <w:r>
              <w:t>III</w:t>
            </w:r>
          </w:p>
        </w:tc>
        <w:tc>
          <w:tcPr>
            <w:tcW w:w="828" w:type="pct"/>
            <w:tcBorders>
              <w:top w:val="single" w:color="auto" w:sz="4" w:space="0"/>
              <w:left w:val="single" w:color="auto" w:sz="4" w:space="0"/>
              <w:bottom w:val="single" w:color="auto" w:sz="4" w:space="0"/>
              <w:right w:val="single" w:color="auto" w:sz="4" w:space="0"/>
            </w:tcBorders>
            <w:vAlign w:val="center"/>
          </w:tcPr>
          <w:p w14:paraId="4B4CD34F">
            <w:pPr>
              <w:pStyle w:val="64"/>
            </w:pPr>
            <w:r>
              <w:t>III</w:t>
            </w:r>
          </w:p>
        </w:tc>
      </w:tr>
      <w:tr w14:paraId="00F445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0" w:type="pct"/>
            <w:vMerge w:val="continue"/>
            <w:tcBorders>
              <w:left w:val="single" w:color="auto" w:sz="4" w:space="0"/>
              <w:right w:val="single" w:color="auto" w:sz="4" w:space="0"/>
            </w:tcBorders>
            <w:vAlign w:val="center"/>
          </w:tcPr>
          <w:p w14:paraId="6448F8A9">
            <w:pPr>
              <w:pStyle w:val="64"/>
            </w:pPr>
          </w:p>
        </w:tc>
        <w:tc>
          <w:tcPr>
            <w:tcW w:w="1329" w:type="pct"/>
            <w:tcBorders>
              <w:top w:val="single" w:color="auto" w:sz="4" w:space="0"/>
              <w:left w:val="single" w:color="auto" w:sz="4" w:space="0"/>
              <w:bottom w:val="single" w:color="auto" w:sz="4" w:space="0"/>
              <w:right w:val="single" w:color="auto" w:sz="4" w:space="0"/>
            </w:tcBorders>
            <w:vAlign w:val="center"/>
          </w:tcPr>
          <w:p w14:paraId="5E785D5C">
            <w:pPr>
              <w:pStyle w:val="64"/>
            </w:pPr>
            <w:r>
              <w:t>环境中度敏感区(E2)</w:t>
            </w:r>
          </w:p>
        </w:tc>
        <w:tc>
          <w:tcPr>
            <w:tcW w:w="785" w:type="pct"/>
            <w:tcBorders>
              <w:top w:val="single" w:color="auto" w:sz="4" w:space="0"/>
              <w:left w:val="single" w:color="auto" w:sz="4" w:space="0"/>
              <w:bottom w:val="single" w:color="auto" w:sz="4" w:space="0"/>
              <w:right w:val="single" w:color="auto" w:sz="4" w:space="0"/>
            </w:tcBorders>
            <w:shd w:val="clear" w:color="auto" w:fill="D8D8D8" w:themeFill="background1" w:themeFillShade="D9"/>
            <w:vAlign w:val="center"/>
          </w:tcPr>
          <w:p w14:paraId="4AA276D3">
            <w:pPr>
              <w:pStyle w:val="64"/>
            </w:pPr>
            <w:r>
              <w:t>IV</w:t>
            </w:r>
          </w:p>
        </w:tc>
        <w:tc>
          <w:tcPr>
            <w:tcW w:w="835" w:type="pct"/>
            <w:tcBorders>
              <w:top w:val="single" w:color="auto" w:sz="4" w:space="0"/>
              <w:left w:val="single" w:color="auto" w:sz="4" w:space="0"/>
              <w:bottom w:val="single" w:color="auto" w:sz="4" w:space="0"/>
              <w:right w:val="single" w:color="auto" w:sz="4" w:space="0"/>
            </w:tcBorders>
            <w:vAlign w:val="center"/>
          </w:tcPr>
          <w:p w14:paraId="55B565C7">
            <w:pPr>
              <w:pStyle w:val="64"/>
            </w:pPr>
            <w:r>
              <w:t>III</w:t>
            </w:r>
          </w:p>
        </w:tc>
        <w:tc>
          <w:tcPr>
            <w:tcW w:w="834" w:type="pct"/>
            <w:tcBorders>
              <w:top w:val="single" w:color="auto" w:sz="4" w:space="0"/>
              <w:left w:val="single" w:color="auto" w:sz="4" w:space="0"/>
              <w:bottom w:val="single" w:color="auto" w:sz="4" w:space="0"/>
              <w:right w:val="single" w:color="auto" w:sz="4" w:space="0"/>
            </w:tcBorders>
            <w:vAlign w:val="center"/>
          </w:tcPr>
          <w:p w14:paraId="2B0E5710">
            <w:pPr>
              <w:pStyle w:val="64"/>
            </w:pPr>
            <w:r>
              <w:t>III</w:t>
            </w:r>
          </w:p>
        </w:tc>
        <w:tc>
          <w:tcPr>
            <w:tcW w:w="828" w:type="pct"/>
            <w:tcBorders>
              <w:top w:val="single" w:color="auto" w:sz="4" w:space="0"/>
              <w:left w:val="single" w:color="auto" w:sz="4" w:space="0"/>
              <w:bottom w:val="single" w:color="auto" w:sz="4" w:space="0"/>
              <w:right w:val="single" w:color="auto" w:sz="4" w:space="0"/>
            </w:tcBorders>
            <w:vAlign w:val="center"/>
          </w:tcPr>
          <w:p w14:paraId="602EDD7F">
            <w:pPr>
              <w:pStyle w:val="64"/>
            </w:pPr>
            <w:r>
              <w:t>II</w:t>
            </w:r>
          </w:p>
        </w:tc>
      </w:tr>
      <w:tr w14:paraId="44F903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0" w:type="pct"/>
            <w:vMerge w:val="continue"/>
            <w:tcBorders>
              <w:left w:val="single" w:color="auto" w:sz="4" w:space="0"/>
              <w:right w:val="single" w:color="auto" w:sz="4" w:space="0"/>
            </w:tcBorders>
            <w:vAlign w:val="center"/>
          </w:tcPr>
          <w:p w14:paraId="36183CD7">
            <w:pPr>
              <w:pStyle w:val="64"/>
            </w:pPr>
          </w:p>
        </w:tc>
        <w:tc>
          <w:tcPr>
            <w:tcW w:w="1329" w:type="pct"/>
            <w:tcBorders>
              <w:top w:val="single" w:color="auto" w:sz="4" w:space="0"/>
              <w:left w:val="single" w:color="auto" w:sz="4" w:space="0"/>
              <w:bottom w:val="single" w:color="auto" w:sz="4" w:space="0"/>
              <w:right w:val="single" w:color="auto" w:sz="4" w:space="0"/>
            </w:tcBorders>
            <w:vAlign w:val="center"/>
          </w:tcPr>
          <w:p w14:paraId="5AE2E091">
            <w:pPr>
              <w:pStyle w:val="64"/>
            </w:pPr>
            <w:r>
              <w:t>环境低度敏感区(E3)</w:t>
            </w:r>
          </w:p>
        </w:tc>
        <w:tc>
          <w:tcPr>
            <w:tcW w:w="785" w:type="pct"/>
            <w:tcBorders>
              <w:top w:val="single" w:color="auto" w:sz="4" w:space="0"/>
              <w:left w:val="single" w:color="auto" w:sz="4" w:space="0"/>
              <w:bottom w:val="single" w:color="auto" w:sz="4" w:space="0"/>
              <w:right w:val="single" w:color="auto" w:sz="4" w:space="0"/>
            </w:tcBorders>
            <w:vAlign w:val="center"/>
          </w:tcPr>
          <w:p w14:paraId="4CCE0586">
            <w:pPr>
              <w:pStyle w:val="64"/>
            </w:pPr>
            <w:r>
              <w:t>III</w:t>
            </w:r>
          </w:p>
        </w:tc>
        <w:tc>
          <w:tcPr>
            <w:tcW w:w="835" w:type="pct"/>
            <w:tcBorders>
              <w:top w:val="single" w:color="auto" w:sz="4" w:space="0"/>
              <w:left w:val="single" w:color="auto" w:sz="4" w:space="0"/>
              <w:bottom w:val="single" w:color="auto" w:sz="4" w:space="0"/>
              <w:right w:val="single" w:color="auto" w:sz="4" w:space="0"/>
            </w:tcBorders>
            <w:vAlign w:val="center"/>
          </w:tcPr>
          <w:p w14:paraId="16B6C045">
            <w:pPr>
              <w:pStyle w:val="64"/>
            </w:pPr>
            <w:r>
              <w:t>III</w:t>
            </w:r>
          </w:p>
        </w:tc>
        <w:tc>
          <w:tcPr>
            <w:tcW w:w="834" w:type="pct"/>
            <w:tcBorders>
              <w:top w:val="single" w:color="auto" w:sz="4" w:space="0"/>
              <w:left w:val="single" w:color="auto" w:sz="4" w:space="0"/>
              <w:bottom w:val="single" w:color="auto" w:sz="4" w:space="0"/>
              <w:right w:val="single" w:color="auto" w:sz="4" w:space="0"/>
            </w:tcBorders>
            <w:vAlign w:val="center"/>
          </w:tcPr>
          <w:p w14:paraId="7BFAE1B1">
            <w:pPr>
              <w:pStyle w:val="64"/>
            </w:pPr>
            <w:r>
              <w:t>II</w:t>
            </w:r>
          </w:p>
        </w:tc>
        <w:tc>
          <w:tcPr>
            <w:tcW w:w="828" w:type="pct"/>
            <w:tcBorders>
              <w:top w:val="single" w:color="auto" w:sz="4" w:space="0"/>
              <w:left w:val="single" w:color="auto" w:sz="4" w:space="0"/>
              <w:bottom w:val="single" w:color="auto" w:sz="4" w:space="0"/>
              <w:right w:val="single" w:color="auto" w:sz="4" w:space="0"/>
            </w:tcBorders>
            <w:vAlign w:val="center"/>
          </w:tcPr>
          <w:p w14:paraId="62B14034">
            <w:pPr>
              <w:pStyle w:val="64"/>
            </w:pPr>
            <w:r>
              <w:t>I</w:t>
            </w:r>
          </w:p>
        </w:tc>
      </w:tr>
      <w:tr w14:paraId="426C3E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0" w:type="pct"/>
            <w:vMerge w:val="restart"/>
            <w:tcBorders>
              <w:left w:val="single" w:color="auto" w:sz="4" w:space="0"/>
              <w:right w:val="single" w:color="auto" w:sz="4" w:space="0"/>
            </w:tcBorders>
            <w:vAlign w:val="center"/>
          </w:tcPr>
          <w:p w14:paraId="200076D8">
            <w:pPr>
              <w:pStyle w:val="64"/>
            </w:pPr>
            <w:r>
              <w:t>地下水</w:t>
            </w:r>
          </w:p>
        </w:tc>
        <w:tc>
          <w:tcPr>
            <w:tcW w:w="1329" w:type="pct"/>
            <w:tcBorders>
              <w:top w:val="single" w:color="auto" w:sz="4" w:space="0"/>
              <w:left w:val="single" w:color="auto" w:sz="4" w:space="0"/>
              <w:bottom w:val="single" w:color="auto" w:sz="4" w:space="0"/>
              <w:right w:val="single" w:color="auto" w:sz="4" w:space="0"/>
            </w:tcBorders>
            <w:vAlign w:val="center"/>
          </w:tcPr>
          <w:p w14:paraId="4CDBF617">
            <w:pPr>
              <w:pStyle w:val="64"/>
            </w:pPr>
            <w:r>
              <w:t>环境高度敏感区(E1)</w:t>
            </w:r>
          </w:p>
        </w:tc>
        <w:tc>
          <w:tcPr>
            <w:tcW w:w="785" w:type="pct"/>
            <w:tcBorders>
              <w:top w:val="single" w:color="auto" w:sz="4" w:space="0"/>
              <w:left w:val="single" w:color="auto" w:sz="4" w:space="0"/>
              <w:bottom w:val="single" w:color="auto" w:sz="4" w:space="0"/>
              <w:right w:val="single" w:color="auto" w:sz="4" w:space="0"/>
            </w:tcBorders>
            <w:vAlign w:val="center"/>
          </w:tcPr>
          <w:p w14:paraId="2D7C9DFC">
            <w:pPr>
              <w:pStyle w:val="64"/>
            </w:pPr>
            <w:r>
              <w:t>IV</w:t>
            </w:r>
            <w:r>
              <w:rPr>
                <w:vertAlign w:val="superscript"/>
              </w:rPr>
              <w:t>+</w:t>
            </w:r>
          </w:p>
        </w:tc>
        <w:tc>
          <w:tcPr>
            <w:tcW w:w="835" w:type="pct"/>
            <w:tcBorders>
              <w:top w:val="single" w:color="auto" w:sz="4" w:space="0"/>
              <w:left w:val="single" w:color="auto" w:sz="4" w:space="0"/>
              <w:bottom w:val="single" w:color="auto" w:sz="4" w:space="0"/>
              <w:right w:val="single" w:color="auto" w:sz="4" w:space="0"/>
            </w:tcBorders>
            <w:vAlign w:val="center"/>
          </w:tcPr>
          <w:p w14:paraId="20C586EB">
            <w:pPr>
              <w:pStyle w:val="64"/>
            </w:pPr>
            <w:r>
              <w:t>IV</w:t>
            </w:r>
          </w:p>
        </w:tc>
        <w:tc>
          <w:tcPr>
            <w:tcW w:w="834" w:type="pct"/>
            <w:tcBorders>
              <w:top w:val="single" w:color="auto" w:sz="4" w:space="0"/>
              <w:left w:val="single" w:color="auto" w:sz="4" w:space="0"/>
              <w:bottom w:val="single" w:color="auto" w:sz="4" w:space="0"/>
              <w:right w:val="single" w:color="auto" w:sz="4" w:space="0"/>
            </w:tcBorders>
            <w:vAlign w:val="center"/>
          </w:tcPr>
          <w:p w14:paraId="54D5ABF4">
            <w:pPr>
              <w:pStyle w:val="64"/>
            </w:pPr>
            <w:r>
              <w:t>III</w:t>
            </w:r>
          </w:p>
        </w:tc>
        <w:tc>
          <w:tcPr>
            <w:tcW w:w="828" w:type="pct"/>
            <w:tcBorders>
              <w:top w:val="single" w:color="auto" w:sz="4" w:space="0"/>
              <w:left w:val="single" w:color="auto" w:sz="4" w:space="0"/>
              <w:bottom w:val="single" w:color="auto" w:sz="4" w:space="0"/>
              <w:right w:val="single" w:color="auto" w:sz="4" w:space="0"/>
            </w:tcBorders>
            <w:vAlign w:val="center"/>
          </w:tcPr>
          <w:p w14:paraId="24328D87">
            <w:pPr>
              <w:pStyle w:val="64"/>
            </w:pPr>
            <w:r>
              <w:t>III</w:t>
            </w:r>
          </w:p>
        </w:tc>
      </w:tr>
      <w:tr w14:paraId="2A315B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0" w:type="pct"/>
            <w:vMerge w:val="continue"/>
            <w:tcBorders>
              <w:left w:val="single" w:color="auto" w:sz="4" w:space="0"/>
              <w:right w:val="single" w:color="auto" w:sz="4" w:space="0"/>
            </w:tcBorders>
            <w:vAlign w:val="center"/>
          </w:tcPr>
          <w:p w14:paraId="4DA1A38B">
            <w:pPr>
              <w:pStyle w:val="64"/>
            </w:pPr>
          </w:p>
        </w:tc>
        <w:tc>
          <w:tcPr>
            <w:tcW w:w="1329" w:type="pct"/>
            <w:tcBorders>
              <w:top w:val="single" w:color="auto" w:sz="4" w:space="0"/>
              <w:left w:val="single" w:color="auto" w:sz="4" w:space="0"/>
              <w:bottom w:val="single" w:color="auto" w:sz="4" w:space="0"/>
              <w:right w:val="single" w:color="auto" w:sz="4" w:space="0"/>
            </w:tcBorders>
            <w:vAlign w:val="center"/>
          </w:tcPr>
          <w:p w14:paraId="4D0BEDF4">
            <w:pPr>
              <w:pStyle w:val="64"/>
            </w:pPr>
            <w:r>
              <w:t>环境中度敏感区(E2)</w:t>
            </w:r>
          </w:p>
        </w:tc>
        <w:tc>
          <w:tcPr>
            <w:tcW w:w="785" w:type="pct"/>
            <w:tcBorders>
              <w:top w:val="single" w:color="auto" w:sz="4" w:space="0"/>
              <w:left w:val="single" w:color="auto" w:sz="4" w:space="0"/>
              <w:bottom w:val="single" w:color="auto" w:sz="4" w:space="0"/>
              <w:right w:val="single" w:color="auto" w:sz="4" w:space="0"/>
            </w:tcBorders>
            <w:vAlign w:val="center"/>
          </w:tcPr>
          <w:p w14:paraId="5DB4770A">
            <w:pPr>
              <w:pStyle w:val="64"/>
            </w:pPr>
            <w:r>
              <w:t>IV</w:t>
            </w:r>
          </w:p>
        </w:tc>
        <w:tc>
          <w:tcPr>
            <w:tcW w:w="835" w:type="pct"/>
            <w:tcBorders>
              <w:top w:val="single" w:color="auto" w:sz="4" w:space="0"/>
              <w:left w:val="single" w:color="auto" w:sz="4" w:space="0"/>
              <w:bottom w:val="single" w:color="auto" w:sz="4" w:space="0"/>
              <w:right w:val="single" w:color="auto" w:sz="4" w:space="0"/>
            </w:tcBorders>
            <w:vAlign w:val="center"/>
          </w:tcPr>
          <w:p w14:paraId="6F47ACD2">
            <w:pPr>
              <w:pStyle w:val="64"/>
            </w:pPr>
            <w:r>
              <w:t>III</w:t>
            </w:r>
          </w:p>
        </w:tc>
        <w:tc>
          <w:tcPr>
            <w:tcW w:w="834" w:type="pct"/>
            <w:tcBorders>
              <w:top w:val="single" w:color="auto" w:sz="4" w:space="0"/>
              <w:left w:val="single" w:color="auto" w:sz="4" w:space="0"/>
              <w:bottom w:val="single" w:color="auto" w:sz="4" w:space="0"/>
              <w:right w:val="single" w:color="auto" w:sz="4" w:space="0"/>
            </w:tcBorders>
            <w:vAlign w:val="center"/>
          </w:tcPr>
          <w:p w14:paraId="2BBDED99">
            <w:pPr>
              <w:pStyle w:val="64"/>
            </w:pPr>
            <w:r>
              <w:t>III</w:t>
            </w:r>
          </w:p>
        </w:tc>
        <w:tc>
          <w:tcPr>
            <w:tcW w:w="828" w:type="pct"/>
            <w:tcBorders>
              <w:top w:val="single" w:color="auto" w:sz="4" w:space="0"/>
              <w:left w:val="single" w:color="auto" w:sz="4" w:space="0"/>
              <w:bottom w:val="single" w:color="auto" w:sz="4" w:space="0"/>
              <w:right w:val="single" w:color="auto" w:sz="4" w:space="0"/>
            </w:tcBorders>
            <w:vAlign w:val="center"/>
          </w:tcPr>
          <w:p w14:paraId="3050E36B">
            <w:pPr>
              <w:pStyle w:val="64"/>
            </w:pPr>
            <w:r>
              <w:t>II</w:t>
            </w:r>
          </w:p>
        </w:tc>
      </w:tr>
      <w:tr w14:paraId="7652F0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0" w:type="pct"/>
            <w:vMerge w:val="continue"/>
            <w:tcBorders>
              <w:left w:val="single" w:color="auto" w:sz="4" w:space="0"/>
              <w:right w:val="single" w:color="auto" w:sz="4" w:space="0"/>
            </w:tcBorders>
            <w:vAlign w:val="center"/>
          </w:tcPr>
          <w:p w14:paraId="4299094C">
            <w:pPr>
              <w:pStyle w:val="64"/>
            </w:pPr>
          </w:p>
        </w:tc>
        <w:tc>
          <w:tcPr>
            <w:tcW w:w="1329" w:type="pct"/>
            <w:tcBorders>
              <w:top w:val="single" w:color="auto" w:sz="4" w:space="0"/>
              <w:left w:val="single" w:color="auto" w:sz="4" w:space="0"/>
              <w:bottom w:val="single" w:color="auto" w:sz="4" w:space="0"/>
              <w:right w:val="single" w:color="auto" w:sz="4" w:space="0"/>
            </w:tcBorders>
            <w:vAlign w:val="center"/>
          </w:tcPr>
          <w:p w14:paraId="040685D3">
            <w:pPr>
              <w:pStyle w:val="64"/>
            </w:pPr>
            <w:r>
              <w:t>环境低度敏感区(E3)</w:t>
            </w:r>
          </w:p>
        </w:tc>
        <w:tc>
          <w:tcPr>
            <w:tcW w:w="785" w:type="pct"/>
            <w:tcBorders>
              <w:top w:val="single" w:color="auto" w:sz="4" w:space="0"/>
              <w:left w:val="single" w:color="auto" w:sz="4" w:space="0"/>
              <w:bottom w:val="single" w:color="auto" w:sz="4" w:space="0"/>
              <w:right w:val="single" w:color="auto" w:sz="4" w:space="0"/>
            </w:tcBorders>
            <w:shd w:val="clear" w:color="auto" w:fill="D8D8D8" w:themeFill="background1" w:themeFillShade="D9"/>
            <w:vAlign w:val="center"/>
          </w:tcPr>
          <w:p w14:paraId="0948A1A2">
            <w:pPr>
              <w:pStyle w:val="64"/>
            </w:pPr>
            <w:r>
              <w:t>III</w:t>
            </w:r>
          </w:p>
        </w:tc>
        <w:tc>
          <w:tcPr>
            <w:tcW w:w="835" w:type="pct"/>
            <w:tcBorders>
              <w:top w:val="single" w:color="auto" w:sz="4" w:space="0"/>
              <w:left w:val="single" w:color="auto" w:sz="4" w:space="0"/>
              <w:bottom w:val="single" w:color="auto" w:sz="4" w:space="0"/>
              <w:right w:val="single" w:color="auto" w:sz="4" w:space="0"/>
            </w:tcBorders>
            <w:vAlign w:val="center"/>
          </w:tcPr>
          <w:p w14:paraId="426D7D3F">
            <w:pPr>
              <w:pStyle w:val="64"/>
            </w:pPr>
            <w:r>
              <w:t>III</w:t>
            </w:r>
          </w:p>
        </w:tc>
        <w:tc>
          <w:tcPr>
            <w:tcW w:w="834" w:type="pct"/>
            <w:tcBorders>
              <w:top w:val="single" w:color="auto" w:sz="4" w:space="0"/>
              <w:left w:val="single" w:color="auto" w:sz="4" w:space="0"/>
              <w:bottom w:val="single" w:color="auto" w:sz="4" w:space="0"/>
              <w:right w:val="single" w:color="auto" w:sz="4" w:space="0"/>
            </w:tcBorders>
            <w:vAlign w:val="center"/>
          </w:tcPr>
          <w:p w14:paraId="7D6AB8F8">
            <w:pPr>
              <w:pStyle w:val="64"/>
            </w:pPr>
            <w:r>
              <w:t>II</w:t>
            </w:r>
          </w:p>
        </w:tc>
        <w:tc>
          <w:tcPr>
            <w:tcW w:w="828" w:type="pct"/>
            <w:tcBorders>
              <w:top w:val="single" w:color="auto" w:sz="4" w:space="0"/>
              <w:left w:val="single" w:color="auto" w:sz="4" w:space="0"/>
              <w:bottom w:val="single" w:color="auto" w:sz="4" w:space="0"/>
              <w:right w:val="single" w:color="auto" w:sz="4" w:space="0"/>
            </w:tcBorders>
            <w:vAlign w:val="center"/>
          </w:tcPr>
          <w:p w14:paraId="0246EF32">
            <w:pPr>
              <w:pStyle w:val="64"/>
            </w:pPr>
            <w:r>
              <w:t>I</w:t>
            </w:r>
          </w:p>
        </w:tc>
      </w:tr>
    </w:tbl>
    <w:p w14:paraId="66D7FC6D">
      <w:pPr>
        <w:pStyle w:val="16"/>
        <w:ind w:firstLine="480"/>
      </w:pPr>
      <w:bookmarkStart w:id="127" w:name="_Toc22492685"/>
      <w:bookmarkStart w:id="128" w:name="_Toc48890983"/>
    </w:p>
    <w:bookmarkEnd w:id="127"/>
    <w:bookmarkEnd w:id="128"/>
    <w:p w14:paraId="06FBDA76">
      <w:pPr>
        <w:pStyle w:val="16"/>
        <w:ind w:firstLine="480"/>
      </w:pPr>
      <w:r>
        <w:rPr>
          <w:rFonts w:hint="eastAsia"/>
        </w:rPr>
        <w:t>4</w:t>
      </w:r>
      <w:r>
        <w:t>、评价等级</w:t>
      </w:r>
    </w:p>
    <w:p w14:paraId="06F893D2">
      <w:pPr>
        <w:pStyle w:val="16"/>
        <w:ind w:firstLine="480"/>
        <w:rPr>
          <w:kern w:val="0"/>
        </w:rPr>
      </w:pPr>
      <w:r>
        <w:rPr>
          <w:kern w:val="0"/>
        </w:rPr>
        <w:t>根据《建设项目环境风险评价技术导则》(HJ169-2018)，判定本项目</w:t>
      </w:r>
      <w:r>
        <w:rPr>
          <w:rFonts w:hint="eastAsia"/>
          <w:kern w:val="0"/>
        </w:rPr>
        <w:t>大气、地表水环境风险评价等级为一级，地下水环境风险评价等级为二级，因此，项目</w:t>
      </w:r>
      <w:r>
        <w:rPr>
          <w:kern w:val="0"/>
        </w:rPr>
        <w:t>环境风险评价等级为</w:t>
      </w:r>
      <w:r>
        <w:rPr>
          <w:rFonts w:hint="eastAsia"/>
          <w:kern w:val="0"/>
        </w:rPr>
        <w:t>一</w:t>
      </w:r>
      <w:r>
        <w:rPr>
          <w:kern w:val="0"/>
        </w:rPr>
        <w:t>级。具体判定见表</w:t>
      </w:r>
      <w:r>
        <w:rPr>
          <w:rFonts w:hint="eastAsia"/>
          <w:kern w:val="0"/>
        </w:rPr>
        <w:t>6.8</w:t>
      </w:r>
      <w:r>
        <w:rPr>
          <w:kern w:val="0"/>
        </w:rPr>
        <w:t>-1</w:t>
      </w:r>
      <w:r>
        <w:rPr>
          <w:rFonts w:hint="eastAsia"/>
          <w:kern w:val="0"/>
        </w:rPr>
        <w:t>6</w:t>
      </w:r>
      <w:r>
        <w:rPr>
          <w:kern w:val="0"/>
        </w:rPr>
        <w:t>。</w:t>
      </w:r>
    </w:p>
    <w:p w14:paraId="094BA68D">
      <w:pPr>
        <w:pStyle w:val="28"/>
        <w:rPr>
          <w:rFonts w:hint="eastAsia"/>
        </w:rPr>
      </w:pPr>
      <w:r>
        <w:t>表</w:t>
      </w:r>
      <w:r>
        <w:rPr>
          <w:rFonts w:hint="eastAsia"/>
        </w:rPr>
        <w:t>6</w:t>
      </w:r>
      <w:r>
        <w:t>.8-1</w:t>
      </w:r>
      <w:r>
        <w:rPr>
          <w:rFonts w:hint="eastAsia"/>
        </w:rPr>
        <w:t>6</w:t>
      </w:r>
      <w:r>
        <w:t xml:space="preserve">  评价工作等级划分</w:t>
      </w:r>
    </w:p>
    <w:tbl>
      <w:tblPr>
        <w:tblStyle w:val="3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12"/>
        <w:gridCol w:w="1812"/>
        <w:gridCol w:w="1812"/>
        <w:gridCol w:w="1812"/>
        <w:gridCol w:w="1812"/>
      </w:tblGrid>
      <w:tr w14:paraId="58ADC6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00" w:type="pct"/>
            <w:tcBorders>
              <w:top w:val="single" w:color="auto" w:sz="4" w:space="0"/>
              <w:left w:val="single" w:color="auto" w:sz="4" w:space="0"/>
              <w:bottom w:val="single" w:color="auto" w:sz="4" w:space="0"/>
              <w:right w:val="single" w:color="auto" w:sz="4" w:space="0"/>
            </w:tcBorders>
          </w:tcPr>
          <w:p w14:paraId="364118BC">
            <w:pPr>
              <w:pStyle w:val="64"/>
            </w:pPr>
            <w:r>
              <w:t>环境风险潜势</w:t>
            </w:r>
          </w:p>
        </w:tc>
        <w:tc>
          <w:tcPr>
            <w:tcW w:w="1000" w:type="pct"/>
            <w:tcBorders>
              <w:top w:val="single" w:color="auto" w:sz="4" w:space="0"/>
              <w:left w:val="single" w:color="auto" w:sz="4" w:space="0"/>
              <w:bottom w:val="single" w:color="auto" w:sz="4" w:space="0"/>
              <w:right w:val="single" w:color="auto" w:sz="4" w:space="0"/>
            </w:tcBorders>
          </w:tcPr>
          <w:p w14:paraId="7A5EAFE5">
            <w:pPr>
              <w:pStyle w:val="64"/>
            </w:pPr>
            <w:r>
              <w:t>IV、IV+</w:t>
            </w:r>
          </w:p>
        </w:tc>
        <w:tc>
          <w:tcPr>
            <w:tcW w:w="1000" w:type="pct"/>
            <w:tcBorders>
              <w:top w:val="single" w:color="auto" w:sz="4" w:space="0"/>
              <w:left w:val="single" w:color="auto" w:sz="4" w:space="0"/>
              <w:bottom w:val="single" w:color="auto" w:sz="4" w:space="0"/>
              <w:right w:val="single" w:color="auto" w:sz="4" w:space="0"/>
            </w:tcBorders>
          </w:tcPr>
          <w:p w14:paraId="1D8EEEF6">
            <w:pPr>
              <w:pStyle w:val="64"/>
            </w:pPr>
            <w:r>
              <w:t>III</w:t>
            </w:r>
          </w:p>
        </w:tc>
        <w:tc>
          <w:tcPr>
            <w:tcW w:w="1000" w:type="pct"/>
            <w:tcBorders>
              <w:top w:val="single" w:color="auto" w:sz="4" w:space="0"/>
              <w:left w:val="single" w:color="auto" w:sz="4" w:space="0"/>
              <w:bottom w:val="single" w:color="auto" w:sz="4" w:space="0"/>
              <w:right w:val="single" w:color="auto" w:sz="4" w:space="0"/>
            </w:tcBorders>
          </w:tcPr>
          <w:p w14:paraId="0F721622">
            <w:pPr>
              <w:pStyle w:val="64"/>
            </w:pPr>
            <w:r>
              <w:t>II</w:t>
            </w:r>
          </w:p>
        </w:tc>
        <w:tc>
          <w:tcPr>
            <w:tcW w:w="1000" w:type="pct"/>
            <w:tcBorders>
              <w:top w:val="single" w:color="auto" w:sz="4" w:space="0"/>
              <w:left w:val="single" w:color="auto" w:sz="4" w:space="0"/>
              <w:bottom w:val="single" w:color="auto" w:sz="4" w:space="0"/>
              <w:right w:val="single" w:color="auto" w:sz="4" w:space="0"/>
            </w:tcBorders>
          </w:tcPr>
          <w:p w14:paraId="26C7C3C3">
            <w:pPr>
              <w:pStyle w:val="64"/>
            </w:pPr>
            <w:r>
              <w:t>I</w:t>
            </w:r>
          </w:p>
        </w:tc>
      </w:tr>
      <w:tr w14:paraId="2A3344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00" w:type="pct"/>
            <w:tcBorders>
              <w:top w:val="single" w:color="auto" w:sz="4" w:space="0"/>
              <w:left w:val="single" w:color="auto" w:sz="4" w:space="0"/>
              <w:bottom w:val="single" w:color="auto" w:sz="4" w:space="0"/>
              <w:right w:val="single" w:color="auto" w:sz="4" w:space="0"/>
            </w:tcBorders>
          </w:tcPr>
          <w:p w14:paraId="1D980730">
            <w:pPr>
              <w:pStyle w:val="64"/>
            </w:pPr>
            <w:r>
              <w:t>评价工作等级</w:t>
            </w:r>
          </w:p>
        </w:tc>
        <w:tc>
          <w:tcPr>
            <w:tcW w:w="1000" w:type="pct"/>
            <w:tcBorders>
              <w:top w:val="single" w:color="auto" w:sz="4" w:space="0"/>
              <w:left w:val="single" w:color="auto" w:sz="4" w:space="0"/>
              <w:bottom w:val="single" w:color="auto" w:sz="4" w:space="0"/>
              <w:right w:val="single" w:color="auto" w:sz="4" w:space="0"/>
            </w:tcBorders>
            <w:shd w:val="clear" w:color="auto" w:fill="D8D8D8" w:themeFill="background1" w:themeFillShade="D9"/>
          </w:tcPr>
          <w:p w14:paraId="6C586C50">
            <w:pPr>
              <w:pStyle w:val="64"/>
            </w:pPr>
            <w:r>
              <w:t>一</w:t>
            </w:r>
          </w:p>
        </w:tc>
        <w:tc>
          <w:tcPr>
            <w:tcW w:w="1000" w:type="pct"/>
            <w:tcBorders>
              <w:top w:val="single" w:color="auto" w:sz="4" w:space="0"/>
              <w:left w:val="single" w:color="auto" w:sz="4" w:space="0"/>
              <w:bottom w:val="single" w:color="auto" w:sz="4" w:space="0"/>
              <w:right w:val="single" w:color="auto" w:sz="4" w:space="0"/>
            </w:tcBorders>
          </w:tcPr>
          <w:p w14:paraId="17403BE4">
            <w:pPr>
              <w:pStyle w:val="64"/>
              <w:rPr>
                <w:bCs/>
              </w:rPr>
            </w:pPr>
            <w:r>
              <w:rPr>
                <w:bCs/>
              </w:rPr>
              <w:t>二</w:t>
            </w:r>
          </w:p>
        </w:tc>
        <w:tc>
          <w:tcPr>
            <w:tcW w:w="1000" w:type="pct"/>
            <w:tcBorders>
              <w:top w:val="single" w:color="auto" w:sz="4" w:space="0"/>
              <w:left w:val="single" w:color="auto" w:sz="4" w:space="0"/>
              <w:bottom w:val="single" w:color="auto" w:sz="4" w:space="0"/>
              <w:right w:val="single" w:color="auto" w:sz="4" w:space="0"/>
            </w:tcBorders>
          </w:tcPr>
          <w:p w14:paraId="16465300">
            <w:pPr>
              <w:pStyle w:val="64"/>
            </w:pPr>
            <w:r>
              <w:t>三</w:t>
            </w:r>
          </w:p>
        </w:tc>
        <w:tc>
          <w:tcPr>
            <w:tcW w:w="1000" w:type="pct"/>
            <w:tcBorders>
              <w:top w:val="single" w:color="auto" w:sz="4" w:space="0"/>
              <w:left w:val="single" w:color="auto" w:sz="4" w:space="0"/>
              <w:bottom w:val="single" w:color="auto" w:sz="4" w:space="0"/>
              <w:right w:val="single" w:color="auto" w:sz="4" w:space="0"/>
            </w:tcBorders>
          </w:tcPr>
          <w:p w14:paraId="22EAF12E">
            <w:pPr>
              <w:pStyle w:val="64"/>
            </w:pPr>
            <w:r>
              <w:t>简单分析</w:t>
            </w:r>
          </w:p>
        </w:tc>
      </w:tr>
    </w:tbl>
    <w:p w14:paraId="0BE37D8A"/>
    <w:p w14:paraId="3153BD6C">
      <w:pPr>
        <w:pStyle w:val="16"/>
        <w:ind w:firstLine="480"/>
      </w:pPr>
      <w:r>
        <w:rPr>
          <w:rFonts w:hint="eastAsia"/>
        </w:rPr>
        <w:t>5、</w:t>
      </w:r>
      <w:r>
        <w:t>环境风险评价范围</w:t>
      </w:r>
    </w:p>
    <w:p w14:paraId="7496AB1A">
      <w:pPr>
        <w:pStyle w:val="16"/>
        <w:ind w:firstLine="480"/>
        <w:rPr>
          <w:kern w:val="0"/>
        </w:rPr>
      </w:pPr>
      <w:r>
        <w:rPr>
          <w:kern w:val="0"/>
        </w:rPr>
        <w:t>根据《建设项目环境风险评价技术导则》(HJ169-2018)，确定本项目</w:t>
      </w:r>
      <w:r>
        <w:rPr>
          <w:rFonts w:hint="eastAsia"/>
          <w:kern w:val="0"/>
        </w:rPr>
        <w:t>大气</w:t>
      </w:r>
      <w:r>
        <w:rPr>
          <w:kern w:val="0"/>
        </w:rPr>
        <w:t>环境风险评价范围为拟建项目边界外5km范围。</w:t>
      </w:r>
      <w:r>
        <w:rPr>
          <w:rFonts w:hint="eastAsia"/>
        </w:rPr>
        <w:t>地表水环境风险评价范围同地表水环境评价范围；地下水风险评价范围同地下水环境评价范围。</w:t>
      </w:r>
    </w:p>
    <w:p w14:paraId="532F009A">
      <w:pPr>
        <w:pStyle w:val="4"/>
        <w:rPr>
          <w:rFonts w:hint="eastAsia"/>
        </w:rPr>
      </w:pPr>
      <w:bookmarkStart w:id="129" w:name="_Toc221056439"/>
      <w:r>
        <w:rPr>
          <w:rFonts w:hint="eastAsia"/>
        </w:rPr>
        <w:t>6.8.4环境风险识别</w:t>
      </w:r>
      <w:bookmarkEnd w:id="129"/>
    </w:p>
    <w:p w14:paraId="4D36ED09">
      <w:pPr>
        <w:pStyle w:val="82"/>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根据《建设项目环境风险评价技术导则》(HJ169-2018)风险识别内容主要包括物质危险性识别、生产系统危险性识别和危险物质向环境转移的途径识别。</w:t>
      </w:r>
    </w:p>
    <w:p w14:paraId="4F304AFC">
      <w:pPr>
        <w:pStyle w:val="82"/>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(1)物质危险性识别：包括主要原辅材料、燃料、中间产品、副产品、最终产品、污染物、火灾和爆炸伴生/次生物等。</w:t>
      </w:r>
    </w:p>
    <w:p w14:paraId="0AB981CA">
      <w:pPr>
        <w:pStyle w:val="82"/>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(2)生产系统危险性识别：包括主要生产装置、储运设施、公用工程和辅助生产设施，以及环境保护设施。</w:t>
      </w:r>
    </w:p>
    <w:p w14:paraId="09B4C680">
      <w:pPr>
        <w:pStyle w:val="82"/>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(3)危险物质向环境转移的途径识别：包括分析危险物质特性及可能的环境风险类型，识别危险物质影响环境的途径，分析可能影响的环境敏感目标。</w:t>
      </w:r>
    </w:p>
    <w:p w14:paraId="772FE51A">
      <w:pPr>
        <w:pStyle w:val="82"/>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1、物质危险性识别</w:t>
      </w:r>
    </w:p>
    <w:p w14:paraId="03751707">
      <w:pPr>
        <w:ind w:firstLine="468" w:firstLineChars="200"/>
        <w:rPr>
          <w:rFonts w:cs="Times New Roman"/>
          <w:spacing w:val="-3"/>
        </w:rPr>
      </w:pPr>
      <w:r>
        <w:rPr>
          <w:rFonts w:hint="eastAsia" w:cs="Times New Roman"/>
          <w:spacing w:val="-3"/>
        </w:rPr>
        <w:t>本项目涉及的原料有：异丁烯、间对甲酚、对甲苯磺酸、浓硫酸、纯碱等。产品有：间甲酚、对甲酚、叔丁醇、二聚异丁烯等。污染物主要为工艺产生的高浓有机废水，以及事故消防废水和燃烧产生的CO等。</w:t>
      </w:r>
    </w:p>
    <w:p w14:paraId="3E010F55">
      <w:pPr>
        <w:ind w:firstLine="468" w:firstLineChars="200"/>
        <w:rPr>
          <w:rFonts w:cs="Times New Roman"/>
          <w:spacing w:val="-3"/>
        </w:rPr>
      </w:pPr>
      <w:r>
        <w:rPr>
          <w:rFonts w:hint="eastAsia" w:cs="Times New Roman"/>
          <w:spacing w:val="-3"/>
        </w:rPr>
        <w:t>根据《建设项目环境风险评价技术导则》(HJ169-2018)附录B进行识别本项目的危险物质主要为异丁烯、浓硫酸、间甲酚、对甲酚以及高浓有机废水。</w:t>
      </w:r>
    </w:p>
    <w:p w14:paraId="49B5F4AA">
      <w:pPr>
        <w:ind w:firstLine="468" w:firstLineChars="200"/>
        <w:rPr>
          <w:rFonts w:cs="Times New Roman"/>
          <w:spacing w:val="-3"/>
        </w:rPr>
      </w:pPr>
      <w:r>
        <w:rPr>
          <w:rFonts w:hint="eastAsia" w:cs="Times New Roman"/>
          <w:spacing w:val="-3"/>
        </w:rPr>
        <w:t>本项目涉及主要危险物质特性如下表所示。</w:t>
      </w:r>
    </w:p>
    <w:p w14:paraId="6477EDDB">
      <w:pPr>
        <w:pStyle w:val="28"/>
        <w:rPr>
          <w:rFonts w:hint="eastAsia"/>
        </w:rPr>
      </w:pPr>
      <w:r>
        <w:rPr>
          <w:rFonts w:hint="eastAsia"/>
        </w:rPr>
        <w:t>表6.8-17  异丁烯理化特性表</w:t>
      </w:r>
    </w:p>
    <w:tbl>
      <w:tblPr>
        <w:tblStyle w:val="36"/>
        <w:tblW w:w="9180" w:type="dxa"/>
        <w:jc w:val="center"/>
        <w:tblBorders>
          <w:top w:val="single" w:color="auto" w:sz="6" w:space="0"/>
          <w:left w:val="single" w:color="auto" w:sz="6" w:space="0"/>
          <w:bottom w:val="single" w:color="auto" w:sz="6" w:space="0"/>
          <w:right w:val="single" w:color="auto" w:sz="6" w:space="0"/>
          <w:insideH w:val="none" w:color="auto" w:sz="0" w:space="0"/>
          <w:insideV w:val="none" w:color="auto" w:sz="0" w:space="0"/>
        </w:tblBorders>
        <w:tblLayout w:type="fixed"/>
        <w:tblCellMar>
          <w:top w:w="0" w:type="dxa"/>
          <w:left w:w="108" w:type="dxa"/>
          <w:bottom w:w="0" w:type="dxa"/>
          <w:right w:w="108" w:type="dxa"/>
        </w:tblCellMar>
      </w:tblPr>
      <w:tblGrid>
        <w:gridCol w:w="708"/>
        <w:gridCol w:w="1625"/>
        <w:gridCol w:w="904"/>
        <w:gridCol w:w="255"/>
        <w:gridCol w:w="797"/>
        <w:gridCol w:w="672"/>
        <w:gridCol w:w="977"/>
        <w:gridCol w:w="237"/>
        <w:gridCol w:w="1762"/>
        <w:gridCol w:w="1243"/>
      </w:tblGrid>
      <w:tr w14:paraId="184EDF3B">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20" w:hRule="atLeast"/>
          <w:jc w:val="center"/>
        </w:trPr>
        <w:tc>
          <w:tcPr>
            <w:tcW w:w="708" w:type="dxa"/>
            <w:vMerge w:val="restart"/>
            <w:tcBorders>
              <w:top w:val="single" w:color="auto" w:sz="6" w:space="0"/>
              <w:left w:val="single" w:color="auto" w:sz="6" w:space="0"/>
              <w:bottom w:val="single" w:color="auto" w:sz="6" w:space="0"/>
              <w:right w:val="single" w:color="auto" w:sz="6" w:space="0"/>
            </w:tcBorders>
            <w:vAlign w:val="center"/>
          </w:tcPr>
          <w:p w14:paraId="67ECCB10">
            <w:pPr>
              <w:pStyle w:val="64"/>
            </w:pPr>
            <w:r>
              <w:t>标识</w:t>
            </w:r>
          </w:p>
        </w:tc>
        <w:tc>
          <w:tcPr>
            <w:tcW w:w="8472" w:type="dxa"/>
            <w:gridSpan w:val="9"/>
            <w:tcBorders>
              <w:top w:val="single" w:color="auto" w:sz="6" w:space="0"/>
              <w:left w:val="single" w:color="auto" w:sz="6" w:space="0"/>
              <w:bottom w:val="single" w:color="auto" w:sz="6" w:space="0"/>
              <w:right w:val="single" w:color="auto" w:sz="6" w:space="0"/>
            </w:tcBorders>
            <w:vAlign w:val="center"/>
          </w:tcPr>
          <w:p w14:paraId="02372338">
            <w:pPr>
              <w:pStyle w:val="64"/>
            </w:pPr>
            <w:r>
              <w:t>中文名：异丁烯</w:t>
            </w:r>
          </w:p>
        </w:tc>
      </w:tr>
      <w:tr w14:paraId="0B2AE064">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20" w:hRule="atLeast"/>
          <w:jc w:val="center"/>
        </w:trPr>
        <w:tc>
          <w:tcPr>
            <w:tcW w:w="708" w:type="dxa"/>
            <w:vMerge w:val="continue"/>
            <w:tcBorders>
              <w:top w:val="single" w:color="auto" w:sz="6" w:space="0"/>
              <w:left w:val="single" w:color="auto" w:sz="6" w:space="0"/>
              <w:bottom w:val="single" w:color="auto" w:sz="6" w:space="0"/>
              <w:right w:val="single" w:color="auto" w:sz="6" w:space="0"/>
            </w:tcBorders>
            <w:vAlign w:val="center"/>
          </w:tcPr>
          <w:p w14:paraId="24D6A3A5">
            <w:pPr>
              <w:pStyle w:val="64"/>
            </w:pPr>
          </w:p>
        </w:tc>
        <w:tc>
          <w:tcPr>
            <w:tcW w:w="5467" w:type="dxa"/>
            <w:gridSpan w:val="7"/>
            <w:tcBorders>
              <w:top w:val="single" w:color="auto" w:sz="6" w:space="0"/>
              <w:left w:val="single" w:color="auto" w:sz="6" w:space="0"/>
              <w:bottom w:val="single" w:color="auto" w:sz="6" w:space="0"/>
              <w:right w:val="single" w:color="auto" w:sz="6" w:space="0"/>
            </w:tcBorders>
            <w:vAlign w:val="center"/>
          </w:tcPr>
          <w:p w14:paraId="5950A6D0">
            <w:pPr>
              <w:pStyle w:val="64"/>
            </w:pPr>
            <w:r>
              <w:t>英文名：isobutylene</w:t>
            </w:r>
          </w:p>
        </w:tc>
        <w:tc>
          <w:tcPr>
            <w:tcW w:w="3005" w:type="dxa"/>
            <w:gridSpan w:val="2"/>
            <w:tcBorders>
              <w:top w:val="single" w:color="auto" w:sz="6" w:space="0"/>
              <w:left w:val="single" w:color="auto" w:sz="6" w:space="0"/>
              <w:bottom w:val="single" w:color="auto" w:sz="6" w:space="0"/>
              <w:right w:val="single" w:color="auto" w:sz="6" w:space="0"/>
            </w:tcBorders>
            <w:vAlign w:val="center"/>
          </w:tcPr>
          <w:p w14:paraId="061C6A69">
            <w:pPr>
              <w:pStyle w:val="64"/>
            </w:pPr>
            <w:r>
              <w:t>UN编号：1</w:t>
            </w:r>
            <w:r>
              <w:rPr>
                <w:rFonts w:hint="eastAsia"/>
              </w:rPr>
              <w:t>055</w:t>
            </w:r>
          </w:p>
        </w:tc>
      </w:tr>
      <w:tr w14:paraId="4AC04CB9">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20" w:hRule="atLeast"/>
          <w:jc w:val="center"/>
        </w:trPr>
        <w:tc>
          <w:tcPr>
            <w:tcW w:w="708" w:type="dxa"/>
            <w:vMerge w:val="continue"/>
            <w:tcBorders>
              <w:top w:val="single" w:color="auto" w:sz="6" w:space="0"/>
              <w:left w:val="single" w:color="auto" w:sz="6" w:space="0"/>
              <w:bottom w:val="single" w:color="auto" w:sz="6" w:space="0"/>
              <w:right w:val="single" w:color="auto" w:sz="6" w:space="0"/>
            </w:tcBorders>
            <w:vAlign w:val="center"/>
          </w:tcPr>
          <w:p w14:paraId="06EF102F">
            <w:pPr>
              <w:pStyle w:val="64"/>
            </w:pPr>
          </w:p>
        </w:tc>
        <w:tc>
          <w:tcPr>
            <w:tcW w:w="2784" w:type="dxa"/>
            <w:gridSpan w:val="3"/>
            <w:tcBorders>
              <w:top w:val="single" w:color="auto" w:sz="6" w:space="0"/>
              <w:left w:val="single" w:color="auto" w:sz="6" w:space="0"/>
              <w:bottom w:val="single" w:color="auto" w:sz="6" w:space="0"/>
              <w:right w:val="single" w:color="auto" w:sz="6" w:space="0"/>
            </w:tcBorders>
            <w:vAlign w:val="center"/>
          </w:tcPr>
          <w:p w14:paraId="1C4C82DD">
            <w:pPr>
              <w:pStyle w:val="64"/>
            </w:pPr>
            <w:r>
              <w:t>分子式：C</w:t>
            </w:r>
            <w:r>
              <w:rPr>
                <w:rFonts w:hint="eastAsia"/>
                <w:vertAlign w:val="subscript"/>
              </w:rPr>
              <w:t>4</w:t>
            </w:r>
            <w:r>
              <w:t>H</w:t>
            </w:r>
            <w:r>
              <w:rPr>
                <w:rFonts w:hint="eastAsia"/>
                <w:vertAlign w:val="subscript"/>
              </w:rPr>
              <w:t>8</w:t>
            </w:r>
          </w:p>
        </w:tc>
        <w:tc>
          <w:tcPr>
            <w:tcW w:w="2683" w:type="dxa"/>
            <w:gridSpan w:val="4"/>
            <w:tcBorders>
              <w:top w:val="single" w:color="auto" w:sz="6" w:space="0"/>
              <w:left w:val="single" w:color="auto" w:sz="6" w:space="0"/>
              <w:bottom w:val="single" w:color="auto" w:sz="6" w:space="0"/>
              <w:right w:val="single" w:color="auto" w:sz="6" w:space="0"/>
            </w:tcBorders>
            <w:vAlign w:val="center"/>
          </w:tcPr>
          <w:p w14:paraId="3E451D12">
            <w:pPr>
              <w:pStyle w:val="64"/>
            </w:pPr>
            <w:r>
              <w:t>分子量：</w:t>
            </w:r>
            <w:r>
              <w:rPr>
                <w:rFonts w:hint="eastAsia"/>
              </w:rPr>
              <w:t>56.11</w:t>
            </w:r>
          </w:p>
        </w:tc>
        <w:tc>
          <w:tcPr>
            <w:tcW w:w="3005" w:type="dxa"/>
            <w:gridSpan w:val="2"/>
            <w:tcBorders>
              <w:top w:val="single" w:color="auto" w:sz="6" w:space="0"/>
              <w:left w:val="single" w:color="auto" w:sz="6" w:space="0"/>
              <w:bottom w:val="single" w:color="auto" w:sz="6" w:space="0"/>
              <w:right w:val="single" w:color="auto" w:sz="6" w:space="0"/>
            </w:tcBorders>
            <w:vAlign w:val="center"/>
          </w:tcPr>
          <w:p w14:paraId="7C790BA2">
            <w:pPr>
              <w:pStyle w:val="64"/>
            </w:pPr>
            <w:r>
              <w:t>CAS号：</w:t>
            </w:r>
            <w:r>
              <w:rPr>
                <w:rFonts w:hint="eastAsia"/>
              </w:rPr>
              <w:t>115-11-7</w:t>
            </w:r>
          </w:p>
        </w:tc>
      </w:tr>
      <w:tr w14:paraId="0DBB6BEC">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20" w:hRule="atLeast"/>
          <w:jc w:val="center"/>
        </w:trPr>
        <w:tc>
          <w:tcPr>
            <w:tcW w:w="708" w:type="dxa"/>
            <w:vMerge w:val="continue"/>
            <w:tcBorders>
              <w:top w:val="single" w:color="auto" w:sz="6" w:space="0"/>
              <w:left w:val="single" w:color="auto" w:sz="6" w:space="0"/>
              <w:bottom w:val="single" w:color="auto" w:sz="6" w:space="0"/>
              <w:right w:val="single" w:color="auto" w:sz="6" w:space="0"/>
            </w:tcBorders>
            <w:vAlign w:val="center"/>
          </w:tcPr>
          <w:p w14:paraId="4E4C2D3F">
            <w:pPr>
              <w:pStyle w:val="64"/>
            </w:pPr>
          </w:p>
        </w:tc>
        <w:tc>
          <w:tcPr>
            <w:tcW w:w="8472" w:type="dxa"/>
            <w:gridSpan w:val="9"/>
            <w:tcBorders>
              <w:top w:val="single" w:color="auto" w:sz="6" w:space="0"/>
              <w:left w:val="single" w:color="auto" w:sz="6" w:space="0"/>
              <w:bottom w:val="single" w:color="auto" w:sz="6" w:space="0"/>
              <w:right w:val="single" w:color="auto" w:sz="6" w:space="0"/>
            </w:tcBorders>
            <w:vAlign w:val="center"/>
          </w:tcPr>
          <w:p w14:paraId="5B70B422">
            <w:pPr>
              <w:pStyle w:val="64"/>
            </w:pPr>
            <w:r>
              <w:rPr>
                <w:rFonts w:hint="eastAsia"/>
              </w:rPr>
              <w:t>易燃</w:t>
            </w:r>
          </w:p>
        </w:tc>
      </w:tr>
      <w:tr w14:paraId="2EC75CB6">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20" w:hRule="atLeast"/>
          <w:jc w:val="center"/>
        </w:trPr>
        <w:tc>
          <w:tcPr>
            <w:tcW w:w="708" w:type="dxa"/>
            <w:vMerge w:val="restart"/>
            <w:tcBorders>
              <w:top w:val="single" w:color="auto" w:sz="6" w:space="0"/>
              <w:left w:val="single" w:color="auto" w:sz="6" w:space="0"/>
              <w:bottom w:val="single" w:color="auto" w:sz="6" w:space="0"/>
              <w:right w:val="single" w:color="auto" w:sz="6" w:space="0"/>
            </w:tcBorders>
            <w:vAlign w:val="center"/>
          </w:tcPr>
          <w:p w14:paraId="6A2801F7">
            <w:pPr>
              <w:pStyle w:val="64"/>
            </w:pPr>
            <w:r>
              <w:t>理化性质</w:t>
            </w:r>
          </w:p>
        </w:tc>
        <w:tc>
          <w:tcPr>
            <w:tcW w:w="1625" w:type="dxa"/>
            <w:tcBorders>
              <w:top w:val="single" w:color="auto" w:sz="6" w:space="0"/>
              <w:left w:val="single" w:color="auto" w:sz="6" w:space="0"/>
              <w:bottom w:val="single" w:color="auto" w:sz="6" w:space="0"/>
              <w:right w:val="single" w:color="auto" w:sz="6" w:space="0"/>
            </w:tcBorders>
            <w:vAlign w:val="center"/>
          </w:tcPr>
          <w:p w14:paraId="1BE05AA4">
            <w:pPr>
              <w:pStyle w:val="64"/>
            </w:pPr>
            <w:r>
              <w:t>外观与性状</w:t>
            </w:r>
          </w:p>
        </w:tc>
        <w:tc>
          <w:tcPr>
            <w:tcW w:w="6847" w:type="dxa"/>
            <w:gridSpan w:val="8"/>
            <w:tcBorders>
              <w:top w:val="single" w:color="auto" w:sz="6" w:space="0"/>
              <w:left w:val="single" w:color="auto" w:sz="6" w:space="0"/>
              <w:bottom w:val="single" w:color="auto" w:sz="6" w:space="0"/>
              <w:right w:val="single" w:color="auto" w:sz="6" w:space="0"/>
            </w:tcBorders>
            <w:vAlign w:val="center"/>
          </w:tcPr>
          <w:p w14:paraId="09020D5D">
            <w:pPr>
              <w:pStyle w:val="64"/>
            </w:pPr>
            <w:r>
              <w:t>白色结晶，有特殊气味。</w:t>
            </w:r>
          </w:p>
        </w:tc>
      </w:tr>
      <w:tr w14:paraId="5A6DA1DD">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20" w:hRule="atLeast"/>
          <w:jc w:val="center"/>
        </w:trPr>
        <w:tc>
          <w:tcPr>
            <w:tcW w:w="708" w:type="dxa"/>
            <w:vMerge w:val="continue"/>
            <w:tcBorders>
              <w:top w:val="single" w:color="auto" w:sz="6" w:space="0"/>
              <w:left w:val="single" w:color="auto" w:sz="6" w:space="0"/>
              <w:bottom w:val="single" w:color="auto" w:sz="6" w:space="0"/>
              <w:right w:val="single" w:color="auto" w:sz="6" w:space="0"/>
            </w:tcBorders>
            <w:vAlign w:val="center"/>
          </w:tcPr>
          <w:p w14:paraId="313C873D">
            <w:pPr>
              <w:pStyle w:val="64"/>
            </w:pPr>
          </w:p>
        </w:tc>
        <w:tc>
          <w:tcPr>
            <w:tcW w:w="1625" w:type="dxa"/>
            <w:tcBorders>
              <w:top w:val="single" w:color="auto" w:sz="6" w:space="0"/>
              <w:left w:val="single" w:color="auto" w:sz="6" w:space="0"/>
              <w:bottom w:val="single" w:color="auto" w:sz="6" w:space="0"/>
              <w:right w:val="single" w:color="auto" w:sz="6" w:space="0"/>
            </w:tcBorders>
            <w:vAlign w:val="center"/>
          </w:tcPr>
          <w:p w14:paraId="7A1CEFD2">
            <w:pPr>
              <w:pStyle w:val="64"/>
            </w:pPr>
            <w:r>
              <w:t>熔点(℃)</w:t>
            </w:r>
          </w:p>
        </w:tc>
        <w:tc>
          <w:tcPr>
            <w:tcW w:w="904" w:type="dxa"/>
            <w:tcBorders>
              <w:top w:val="single" w:color="auto" w:sz="6" w:space="0"/>
              <w:left w:val="single" w:color="auto" w:sz="6" w:space="0"/>
              <w:bottom w:val="single" w:color="auto" w:sz="6" w:space="0"/>
              <w:right w:val="single" w:color="auto" w:sz="6" w:space="0"/>
            </w:tcBorders>
            <w:vAlign w:val="center"/>
          </w:tcPr>
          <w:p w14:paraId="43294220">
            <w:pPr>
              <w:pStyle w:val="64"/>
            </w:pPr>
            <w:r>
              <w:rPr>
                <w:rFonts w:hint="eastAsia"/>
              </w:rPr>
              <w:t>-140.3</w:t>
            </w:r>
          </w:p>
        </w:tc>
        <w:tc>
          <w:tcPr>
            <w:tcW w:w="1724" w:type="dxa"/>
            <w:gridSpan w:val="3"/>
            <w:tcBorders>
              <w:top w:val="single" w:color="auto" w:sz="6" w:space="0"/>
              <w:left w:val="single" w:color="auto" w:sz="6" w:space="0"/>
              <w:bottom w:val="single" w:color="auto" w:sz="6" w:space="0"/>
              <w:right w:val="single" w:color="auto" w:sz="6" w:space="0"/>
            </w:tcBorders>
            <w:vAlign w:val="center"/>
          </w:tcPr>
          <w:p w14:paraId="20DAA2C3">
            <w:pPr>
              <w:pStyle w:val="64"/>
            </w:pPr>
            <w:r>
              <w:t>相对密度</w:t>
            </w:r>
          </w:p>
          <w:p w14:paraId="7EA2E435">
            <w:pPr>
              <w:pStyle w:val="64"/>
            </w:pPr>
            <w:r>
              <w:t>(水=1)</w:t>
            </w:r>
          </w:p>
        </w:tc>
        <w:tc>
          <w:tcPr>
            <w:tcW w:w="1214" w:type="dxa"/>
            <w:gridSpan w:val="2"/>
            <w:tcBorders>
              <w:top w:val="single" w:color="auto" w:sz="6" w:space="0"/>
              <w:left w:val="single" w:color="auto" w:sz="6" w:space="0"/>
              <w:bottom w:val="single" w:color="auto" w:sz="6" w:space="0"/>
              <w:right w:val="single" w:color="auto" w:sz="6" w:space="0"/>
            </w:tcBorders>
            <w:vAlign w:val="center"/>
          </w:tcPr>
          <w:p w14:paraId="4A19CF7F">
            <w:pPr>
              <w:pStyle w:val="64"/>
            </w:pPr>
            <w:r>
              <w:rPr>
                <w:rFonts w:hint="eastAsia"/>
              </w:rPr>
              <w:t>0.67</w:t>
            </w:r>
          </w:p>
        </w:tc>
        <w:tc>
          <w:tcPr>
            <w:tcW w:w="1762" w:type="dxa"/>
            <w:tcBorders>
              <w:top w:val="single" w:color="auto" w:sz="6" w:space="0"/>
              <w:left w:val="single" w:color="auto" w:sz="6" w:space="0"/>
              <w:bottom w:val="single" w:color="auto" w:sz="6" w:space="0"/>
              <w:right w:val="single" w:color="auto" w:sz="6" w:space="0"/>
            </w:tcBorders>
            <w:vAlign w:val="center"/>
          </w:tcPr>
          <w:p w14:paraId="5B3A19EB">
            <w:pPr>
              <w:pStyle w:val="64"/>
            </w:pPr>
            <w:r>
              <w:t>相对密度</w:t>
            </w:r>
          </w:p>
          <w:p w14:paraId="5F0143F4">
            <w:pPr>
              <w:pStyle w:val="64"/>
            </w:pPr>
            <w:r>
              <w:t>(空气=1)</w:t>
            </w:r>
          </w:p>
        </w:tc>
        <w:tc>
          <w:tcPr>
            <w:tcW w:w="1243" w:type="dxa"/>
            <w:tcBorders>
              <w:top w:val="single" w:color="auto" w:sz="6" w:space="0"/>
              <w:left w:val="single" w:color="auto" w:sz="6" w:space="0"/>
              <w:bottom w:val="single" w:color="auto" w:sz="6" w:space="0"/>
              <w:right w:val="single" w:color="auto" w:sz="6" w:space="0"/>
            </w:tcBorders>
            <w:vAlign w:val="center"/>
          </w:tcPr>
          <w:p w14:paraId="4E98E3F2">
            <w:pPr>
              <w:pStyle w:val="64"/>
            </w:pPr>
            <w:r>
              <w:rPr>
                <w:rFonts w:hint="eastAsia"/>
              </w:rPr>
              <w:t>2.0</w:t>
            </w:r>
          </w:p>
        </w:tc>
      </w:tr>
      <w:tr w14:paraId="40D7BA20">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20" w:hRule="atLeast"/>
          <w:jc w:val="center"/>
        </w:trPr>
        <w:tc>
          <w:tcPr>
            <w:tcW w:w="708" w:type="dxa"/>
            <w:vMerge w:val="continue"/>
            <w:tcBorders>
              <w:top w:val="single" w:color="auto" w:sz="6" w:space="0"/>
              <w:left w:val="single" w:color="auto" w:sz="6" w:space="0"/>
              <w:bottom w:val="single" w:color="auto" w:sz="6" w:space="0"/>
              <w:right w:val="single" w:color="auto" w:sz="6" w:space="0"/>
            </w:tcBorders>
            <w:vAlign w:val="center"/>
          </w:tcPr>
          <w:p w14:paraId="3AE78B27">
            <w:pPr>
              <w:pStyle w:val="64"/>
            </w:pPr>
          </w:p>
        </w:tc>
        <w:tc>
          <w:tcPr>
            <w:tcW w:w="1625" w:type="dxa"/>
            <w:tcBorders>
              <w:top w:val="single" w:color="auto" w:sz="6" w:space="0"/>
              <w:left w:val="single" w:color="auto" w:sz="6" w:space="0"/>
              <w:bottom w:val="single" w:color="auto" w:sz="6" w:space="0"/>
              <w:right w:val="single" w:color="auto" w:sz="6" w:space="0"/>
            </w:tcBorders>
            <w:vAlign w:val="center"/>
          </w:tcPr>
          <w:p w14:paraId="5FD23846">
            <w:pPr>
              <w:pStyle w:val="64"/>
            </w:pPr>
            <w:r>
              <w:t>沸点(℃)</w:t>
            </w:r>
          </w:p>
        </w:tc>
        <w:tc>
          <w:tcPr>
            <w:tcW w:w="904" w:type="dxa"/>
            <w:tcBorders>
              <w:top w:val="single" w:color="auto" w:sz="6" w:space="0"/>
              <w:left w:val="single" w:color="auto" w:sz="6" w:space="0"/>
              <w:bottom w:val="single" w:color="auto" w:sz="6" w:space="0"/>
              <w:right w:val="single" w:color="auto" w:sz="6" w:space="0"/>
            </w:tcBorders>
            <w:vAlign w:val="center"/>
          </w:tcPr>
          <w:p w14:paraId="1EC5BEDB">
            <w:pPr>
              <w:pStyle w:val="64"/>
            </w:pPr>
            <w:r>
              <w:rPr>
                <w:rFonts w:hint="eastAsia"/>
              </w:rPr>
              <w:t>-6.9</w:t>
            </w:r>
          </w:p>
        </w:tc>
        <w:tc>
          <w:tcPr>
            <w:tcW w:w="2938" w:type="dxa"/>
            <w:gridSpan w:val="5"/>
            <w:tcBorders>
              <w:top w:val="single" w:color="auto" w:sz="6" w:space="0"/>
              <w:left w:val="single" w:color="auto" w:sz="6" w:space="0"/>
              <w:bottom w:val="single" w:color="auto" w:sz="6" w:space="0"/>
              <w:right w:val="single" w:color="auto" w:sz="6" w:space="0"/>
            </w:tcBorders>
            <w:vAlign w:val="center"/>
          </w:tcPr>
          <w:p w14:paraId="2337A0D7">
            <w:pPr>
              <w:pStyle w:val="64"/>
            </w:pPr>
            <w:r>
              <w:t>饱和蒸气压(kPa)</w:t>
            </w:r>
          </w:p>
        </w:tc>
        <w:tc>
          <w:tcPr>
            <w:tcW w:w="3005" w:type="dxa"/>
            <w:gridSpan w:val="2"/>
            <w:tcBorders>
              <w:top w:val="single" w:color="auto" w:sz="6" w:space="0"/>
              <w:left w:val="single" w:color="auto" w:sz="6" w:space="0"/>
              <w:bottom w:val="single" w:color="auto" w:sz="6" w:space="0"/>
              <w:right w:val="single" w:color="auto" w:sz="6" w:space="0"/>
            </w:tcBorders>
            <w:vAlign w:val="center"/>
          </w:tcPr>
          <w:p w14:paraId="2822244F">
            <w:pPr>
              <w:pStyle w:val="64"/>
            </w:pPr>
            <w:r>
              <w:rPr>
                <w:rFonts w:hint="eastAsia"/>
              </w:rPr>
              <w:t>131.52</w:t>
            </w:r>
          </w:p>
        </w:tc>
      </w:tr>
      <w:tr w14:paraId="0D7A5914">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20" w:hRule="atLeast"/>
          <w:jc w:val="center"/>
        </w:trPr>
        <w:tc>
          <w:tcPr>
            <w:tcW w:w="708" w:type="dxa"/>
            <w:vMerge w:val="continue"/>
            <w:tcBorders>
              <w:top w:val="single" w:color="auto" w:sz="6" w:space="0"/>
              <w:left w:val="single" w:color="auto" w:sz="6" w:space="0"/>
              <w:bottom w:val="single" w:color="auto" w:sz="6" w:space="0"/>
              <w:right w:val="single" w:color="auto" w:sz="6" w:space="0"/>
            </w:tcBorders>
            <w:vAlign w:val="center"/>
          </w:tcPr>
          <w:p w14:paraId="2F0C25C8">
            <w:pPr>
              <w:pStyle w:val="64"/>
            </w:pPr>
          </w:p>
        </w:tc>
        <w:tc>
          <w:tcPr>
            <w:tcW w:w="1625" w:type="dxa"/>
            <w:tcBorders>
              <w:top w:val="single" w:color="auto" w:sz="6" w:space="0"/>
              <w:left w:val="single" w:color="auto" w:sz="6" w:space="0"/>
              <w:bottom w:val="single" w:color="auto" w:sz="6" w:space="0"/>
              <w:right w:val="single" w:color="auto" w:sz="6" w:space="0"/>
            </w:tcBorders>
            <w:vAlign w:val="center"/>
          </w:tcPr>
          <w:p w14:paraId="0012406D">
            <w:pPr>
              <w:pStyle w:val="64"/>
            </w:pPr>
            <w:r>
              <w:t>溶解性</w:t>
            </w:r>
          </w:p>
        </w:tc>
        <w:tc>
          <w:tcPr>
            <w:tcW w:w="6847" w:type="dxa"/>
            <w:gridSpan w:val="8"/>
            <w:tcBorders>
              <w:top w:val="single" w:color="auto" w:sz="6" w:space="0"/>
              <w:left w:val="single" w:color="auto" w:sz="6" w:space="0"/>
              <w:bottom w:val="single" w:color="auto" w:sz="6" w:space="0"/>
              <w:right w:val="single" w:color="auto" w:sz="6" w:space="0"/>
            </w:tcBorders>
            <w:vAlign w:val="center"/>
          </w:tcPr>
          <w:p w14:paraId="573E561C">
            <w:pPr>
              <w:pStyle w:val="64"/>
            </w:pPr>
            <w:r>
              <w:t>不溶于水，易溶于多数有机溶剂。</w:t>
            </w:r>
          </w:p>
        </w:tc>
      </w:tr>
      <w:tr w14:paraId="6B5C0E37">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20" w:hRule="atLeast"/>
          <w:jc w:val="center"/>
        </w:trPr>
        <w:tc>
          <w:tcPr>
            <w:tcW w:w="708" w:type="dxa"/>
            <w:vMerge w:val="restart"/>
            <w:tcBorders>
              <w:top w:val="single" w:color="auto" w:sz="6" w:space="0"/>
              <w:left w:val="single" w:color="auto" w:sz="6" w:space="0"/>
              <w:bottom w:val="single" w:color="auto" w:sz="6" w:space="0"/>
              <w:right w:val="single" w:color="auto" w:sz="6" w:space="0"/>
            </w:tcBorders>
            <w:vAlign w:val="center"/>
          </w:tcPr>
          <w:p w14:paraId="29B7FA68">
            <w:pPr>
              <w:pStyle w:val="64"/>
            </w:pPr>
            <w:r>
              <w:t>毒性及健康危害</w:t>
            </w:r>
          </w:p>
        </w:tc>
        <w:tc>
          <w:tcPr>
            <w:tcW w:w="1625" w:type="dxa"/>
            <w:tcBorders>
              <w:top w:val="single" w:color="auto" w:sz="6" w:space="0"/>
              <w:left w:val="single" w:color="auto" w:sz="6" w:space="0"/>
              <w:bottom w:val="single" w:color="auto" w:sz="6" w:space="0"/>
              <w:right w:val="single" w:color="auto" w:sz="6" w:space="0"/>
            </w:tcBorders>
            <w:vAlign w:val="center"/>
          </w:tcPr>
          <w:p w14:paraId="120E2CB8">
            <w:pPr>
              <w:pStyle w:val="64"/>
            </w:pPr>
            <w:r>
              <w:t>侵入途径</w:t>
            </w:r>
          </w:p>
        </w:tc>
        <w:tc>
          <w:tcPr>
            <w:tcW w:w="6847" w:type="dxa"/>
            <w:gridSpan w:val="8"/>
            <w:tcBorders>
              <w:top w:val="single" w:color="auto" w:sz="6" w:space="0"/>
              <w:left w:val="single" w:color="auto" w:sz="6" w:space="0"/>
              <w:bottom w:val="single" w:color="auto" w:sz="6" w:space="0"/>
              <w:right w:val="single" w:color="auto" w:sz="4" w:space="0"/>
            </w:tcBorders>
            <w:vAlign w:val="center"/>
          </w:tcPr>
          <w:p w14:paraId="44D64684">
            <w:pPr>
              <w:pStyle w:val="64"/>
            </w:pPr>
            <w:r>
              <w:t>吸入</w:t>
            </w:r>
          </w:p>
        </w:tc>
      </w:tr>
      <w:tr w14:paraId="1ACC9F93">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20" w:hRule="atLeast"/>
          <w:jc w:val="center"/>
        </w:trPr>
        <w:tc>
          <w:tcPr>
            <w:tcW w:w="708" w:type="dxa"/>
            <w:vMerge w:val="continue"/>
            <w:tcBorders>
              <w:top w:val="single" w:color="auto" w:sz="6" w:space="0"/>
              <w:left w:val="single" w:color="auto" w:sz="6" w:space="0"/>
              <w:bottom w:val="single" w:color="auto" w:sz="6" w:space="0"/>
              <w:right w:val="single" w:color="auto" w:sz="6" w:space="0"/>
            </w:tcBorders>
            <w:vAlign w:val="center"/>
          </w:tcPr>
          <w:p w14:paraId="459A5322">
            <w:pPr>
              <w:pStyle w:val="64"/>
            </w:pPr>
          </w:p>
        </w:tc>
        <w:tc>
          <w:tcPr>
            <w:tcW w:w="1625" w:type="dxa"/>
            <w:tcBorders>
              <w:top w:val="single" w:color="auto" w:sz="6" w:space="0"/>
              <w:left w:val="single" w:color="auto" w:sz="6" w:space="0"/>
              <w:bottom w:val="single" w:color="auto" w:sz="6" w:space="0"/>
              <w:right w:val="single" w:color="auto" w:sz="6" w:space="0"/>
            </w:tcBorders>
            <w:vAlign w:val="center"/>
          </w:tcPr>
          <w:p w14:paraId="4C7422A2">
            <w:pPr>
              <w:pStyle w:val="64"/>
            </w:pPr>
            <w:r>
              <w:t>毒性</w:t>
            </w:r>
          </w:p>
        </w:tc>
        <w:tc>
          <w:tcPr>
            <w:tcW w:w="6847" w:type="dxa"/>
            <w:gridSpan w:val="8"/>
            <w:tcBorders>
              <w:top w:val="single" w:color="auto" w:sz="6" w:space="0"/>
              <w:left w:val="single" w:color="auto" w:sz="6" w:space="0"/>
              <w:bottom w:val="single" w:color="auto" w:sz="6" w:space="0"/>
              <w:right w:val="single" w:color="auto" w:sz="6" w:space="0"/>
            </w:tcBorders>
            <w:vAlign w:val="center"/>
          </w:tcPr>
          <w:p w14:paraId="1E616E2E">
            <w:pPr>
              <w:pStyle w:val="64"/>
            </w:pPr>
            <w:r>
              <w:t>LC50：620000mg／m3 4小时(大鼠吸入)</w:t>
            </w:r>
          </w:p>
        </w:tc>
      </w:tr>
      <w:tr w14:paraId="2E4CE17E">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20" w:hRule="atLeast"/>
          <w:jc w:val="center"/>
        </w:trPr>
        <w:tc>
          <w:tcPr>
            <w:tcW w:w="708" w:type="dxa"/>
            <w:vMerge w:val="continue"/>
            <w:tcBorders>
              <w:top w:val="single" w:color="auto" w:sz="6" w:space="0"/>
              <w:left w:val="single" w:color="auto" w:sz="6" w:space="0"/>
              <w:bottom w:val="single" w:color="auto" w:sz="6" w:space="0"/>
              <w:right w:val="single" w:color="auto" w:sz="6" w:space="0"/>
            </w:tcBorders>
            <w:vAlign w:val="center"/>
          </w:tcPr>
          <w:p w14:paraId="37127B1B">
            <w:pPr>
              <w:pStyle w:val="64"/>
            </w:pPr>
          </w:p>
        </w:tc>
        <w:tc>
          <w:tcPr>
            <w:tcW w:w="1625" w:type="dxa"/>
            <w:tcBorders>
              <w:top w:val="single" w:color="auto" w:sz="6" w:space="0"/>
              <w:left w:val="single" w:color="auto" w:sz="6" w:space="0"/>
              <w:bottom w:val="single" w:color="auto" w:sz="4" w:space="0"/>
              <w:right w:val="single" w:color="auto" w:sz="6" w:space="0"/>
            </w:tcBorders>
            <w:vAlign w:val="center"/>
          </w:tcPr>
          <w:p w14:paraId="5B099732">
            <w:pPr>
              <w:pStyle w:val="64"/>
            </w:pPr>
            <w:r>
              <w:t>健康危害</w:t>
            </w:r>
          </w:p>
        </w:tc>
        <w:tc>
          <w:tcPr>
            <w:tcW w:w="6847" w:type="dxa"/>
            <w:gridSpan w:val="8"/>
            <w:tcBorders>
              <w:top w:val="single" w:color="auto" w:sz="6" w:space="0"/>
              <w:left w:val="single" w:color="auto" w:sz="6" w:space="0"/>
              <w:bottom w:val="single" w:color="auto" w:sz="4" w:space="0"/>
              <w:right w:val="single" w:color="auto" w:sz="6" w:space="0"/>
            </w:tcBorders>
            <w:vAlign w:val="center"/>
          </w:tcPr>
          <w:p w14:paraId="19FA3195">
            <w:pPr>
              <w:pStyle w:val="64"/>
              <w:jc w:val="both"/>
            </w:pPr>
            <w:r>
              <w:t>主要作用是窒息、弱麻醉和弱刺激。急性中毒：出现粘膜刺激症状、嗜睡、血压稍升高，有时脉速。高浓度中毒可引起昏迷。慢性影响：长期接触异丁烯，工人有头痛、头晕、嗜睡或失眠、易兴奋、易疲倦、全身乏力、记忆力减退。有时有粘膜刺激症状。</w:t>
            </w:r>
          </w:p>
        </w:tc>
      </w:tr>
      <w:tr w14:paraId="3388F1B6">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20" w:hRule="atLeast"/>
          <w:jc w:val="center"/>
        </w:trPr>
        <w:tc>
          <w:tcPr>
            <w:tcW w:w="708" w:type="dxa"/>
            <w:vMerge w:val="continue"/>
            <w:tcBorders>
              <w:top w:val="single" w:color="auto" w:sz="6" w:space="0"/>
              <w:left w:val="single" w:color="auto" w:sz="6" w:space="0"/>
              <w:bottom w:val="single" w:color="auto" w:sz="4" w:space="0"/>
              <w:right w:val="single" w:color="auto" w:sz="6" w:space="0"/>
            </w:tcBorders>
            <w:vAlign w:val="center"/>
          </w:tcPr>
          <w:p w14:paraId="567379BC">
            <w:pPr>
              <w:pStyle w:val="64"/>
            </w:pPr>
          </w:p>
        </w:tc>
        <w:tc>
          <w:tcPr>
            <w:tcW w:w="1625" w:type="dxa"/>
            <w:tcBorders>
              <w:top w:val="single" w:color="auto" w:sz="4" w:space="0"/>
              <w:left w:val="single" w:color="auto" w:sz="6" w:space="0"/>
              <w:bottom w:val="single" w:color="auto" w:sz="4" w:space="0"/>
              <w:right w:val="single" w:color="auto" w:sz="6" w:space="0"/>
            </w:tcBorders>
            <w:vAlign w:val="center"/>
          </w:tcPr>
          <w:p w14:paraId="27120EC5">
            <w:pPr>
              <w:pStyle w:val="64"/>
            </w:pPr>
            <w:r>
              <w:t>急救方法</w:t>
            </w:r>
          </w:p>
        </w:tc>
        <w:tc>
          <w:tcPr>
            <w:tcW w:w="6847" w:type="dxa"/>
            <w:gridSpan w:val="8"/>
            <w:tcBorders>
              <w:top w:val="single" w:color="auto" w:sz="4" w:space="0"/>
              <w:left w:val="single" w:color="auto" w:sz="6" w:space="0"/>
              <w:bottom w:val="single" w:color="auto" w:sz="4" w:space="0"/>
              <w:right w:val="single" w:color="auto" w:sz="6" w:space="0"/>
            </w:tcBorders>
            <w:vAlign w:val="center"/>
          </w:tcPr>
          <w:p w14:paraId="7ACD5D80">
            <w:pPr>
              <w:pStyle w:val="64"/>
              <w:jc w:val="both"/>
            </w:pPr>
            <w:r>
              <w:t>吸入：迅速脱离现场至空气新鲜处。保持呼吸道通畅。如呼吸困难，给输氧。如呼吸停止，立即进行人工呼吸。就医。</w:t>
            </w:r>
          </w:p>
        </w:tc>
      </w:tr>
      <w:tr w14:paraId="6FE3AF72">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20" w:hRule="atLeast"/>
          <w:jc w:val="center"/>
        </w:trPr>
        <w:tc>
          <w:tcPr>
            <w:tcW w:w="708" w:type="dxa"/>
            <w:vMerge w:val="restart"/>
            <w:tcBorders>
              <w:top w:val="single" w:color="auto" w:sz="4" w:space="0"/>
              <w:left w:val="single" w:color="auto" w:sz="4" w:space="0"/>
              <w:bottom w:val="single" w:color="auto" w:sz="4" w:space="0"/>
              <w:right w:val="single" w:color="auto" w:sz="4" w:space="0"/>
            </w:tcBorders>
            <w:vAlign w:val="center"/>
          </w:tcPr>
          <w:p w14:paraId="27AD907C">
            <w:pPr>
              <w:pStyle w:val="64"/>
            </w:pPr>
            <w:r>
              <w:t>燃烧爆炸危险性</w:t>
            </w:r>
          </w:p>
        </w:tc>
        <w:tc>
          <w:tcPr>
            <w:tcW w:w="1625" w:type="dxa"/>
            <w:tcBorders>
              <w:top w:val="single" w:color="auto" w:sz="4" w:space="0"/>
              <w:left w:val="single" w:color="auto" w:sz="4" w:space="0"/>
              <w:bottom w:val="single" w:color="auto" w:sz="4" w:space="0"/>
              <w:right w:val="single" w:color="auto" w:sz="4" w:space="0"/>
            </w:tcBorders>
            <w:vAlign w:val="center"/>
          </w:tcPr>
          <w:p w14:paraId="488CB5D2">
            <w:pPr>
              <w:pStyle w:val="64"/>
            </w:pPr>
            <w:r>
              <w:t>燃烧性</w:t>
            </w:r>
          </w:p>
        </w:tc>
        <w:tc>
          <w:tcPr>
            <w:tcW w:w="1956" w:type="dxa"/>
            <w:gridSpan w:val="3"/>
            <w:tcBorders>
              <w:top w:val="single" w:color="auto" w:sz="4" w:space="0"/>
              <w:left w:val="single" w:color="auto" w:sz="4" w:space="0"/>
              <w:bottom w:val="single" w:color="auto" w:sz="4" w:space="0"/>
              <w:right w:val="single" w:color="auto" w:sz="4" w:space="0"/>
            </w:tcBorders>
            <w:vAlign w:val="center"/>
          </w:tcPr>
          <w:p w14:paraId="59280BC9">
            <w:pPr>
              <w:pStyle w:val="64"/>
            </w:pPr>
            <w:r>
              <w:rPr>
                <w:rFonts w:hint="eastAsia"/>
              </w:rPr>
              <w:t>易燃</w:t>
            </w:r>
          </w:p>
        </w:tc>
        <w:tc>
          <w:tcPr>
            <w:tcW w:w="1649" w:type="dxa"/>
            <w:gridSpan w:val="2"/>
            <w:tcBorders>
              <w:top w:val="single" w:color="auto" w:sz="4" w:space="0"/>
              <w:left w:val="single" w:color="auto" w:sz="4" w:space="0"/>
              <w:bottom w:val="single" w:color="auto" w:sz="4" w:space="0"/>
              <w:right w:val="single" w:color="auto" w:sz="4" w:space="0"/>
            </w:tcBorders>
            <w:vAlign w:val="center"/>
          </w:tcPr>
          <w:p w14:paraId="7058F755">
            <w:pPr>
              <w:pStyle w:val="64"/>
            </w:pPr>
            <w:r>
              <w:t>燃烧分解物</w:t>
            </w:r>
          </w:p>
        </w:tc>
        <w:tc>
          <w:tcPr>
            <w:tcW w:w="3242" w:type="dxa"/>
            <w:gridSpan w:val="3"/>
            <w:tcBorders>
              <w:top w:val="single" w:color="auto" w:sz="4" w:space="0"/>
              <w:left w:val="single" w:color="auto" w:sz="4" w:space="0"/>
              <w:bottom w:val="single" w:color="auto" w:sz="4" w:space="0"/>
              <w:right w:val="single" w:color="auto" w:sz="4" w:space="0"/>
            </w:tcBorders>
            <w:vAlign w:val="center"/>
          </w:tcPr>
          <w:p w14:paraId="20156580">
            <w:pPr>
              <w:pStyle w:val="64"/>
            </w:pPr>
            <w:r>
              <w:t>一氧化碳、二氧化碳。</w:t>
            </w:r>
          </w:p>
        </w:tc>
      </w:tr>
      <w:tr w14:paraId="30F53FE0">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20" w:hRule="atLeast"/>
          <w:jc w:val="center"/>
        </w:trPr>
        <w:tc>
          <w:tcPr>
            <w:tcW w:w="708" w:type="dxa"/>
            <w:vMerge w:val="continue"/>
            <w:tcBorders>
              <w:top w:val="single" w:color="auto" w:sz="4" w:space="0"/>
              <w:left w:val="single" w:color="auto" w:sz="4" w:space="0"/>
              <w:bottom w:val="single" w:color="auto" w:sz="4" w:space="0"/>
              <w:right w:val="single" w:color="auto" w:sz="4" w:space="0"/>
            </w:tcBorders>
            <w:vAlign w:val="center"/>
          </w:tcPr>
          <w:p w14:paraId="0CCEA15A">
            <w:pPr>
              <w:pStyle w:val="64"/>
            </w:pPr>
          </w:p>
        </w:tc>
        <w:tc>
          <w:tcPr>
            <w:tcW w:w="1625" w:type="dxa"/>
            <w:tcBorders>
              <w:top w:val="single" w:color="auto" w:sz="4" w:space="0"/>
              <w:left w:val="single" w:color="auto" w:sz="4" w:space="0"/>
              <w:bottom w:val="single" w:color="auto" w:sz="4" w:space="0"/>
              <w:right w:val="single" w:color="auto" w:sz="4" w:space="0"/>
            </w:tcBorders>
            <w:vAlign w:val="center"/>
          </w:tcPr>
          <w:p w14:paraId="6E10B3C3">
            <w:pPr>
              <w:pStyle w:val="64"/>
            </w:pPr>
            <w:r>
              <w:t>闪点(℃)</w:t>
            </w:r>
          </w:p>
        </w:tc>
        <w:tc>
          <w:tcPr>
            <w:tcW w:w="1956" w:type="dxa"/>
            <w:gridSpan w:val="3"/>
            <w:tcBorders>
              <w:top w:val="single" w:color="auto" w:sz="4" w:space="0"/>
              <w:left w:val="single" w:color="auto" w:sz="4" w:space="0"/>
              <w:bottom w:val="single" w:color="auto" w:sz="4" w:space="0"/>
              <w:right w:val="single" w:color="auto" w:sz="4" w:space="0"/>
            </w:tcBorders>
            <w:vAlign w:val="center"/>
          </w:tcPr>
          <w:p w14:paraId="11CD3747">
            <w:pPr>
              <w:pStyle w:val="64"/>
            </w:pPr>
            <w:r>
              <w:rPr>
                <w:rFonts w:hint="eastAsia"/>
              </w:rPr>
              <w:t>-77</w:t>
            </w:r>
          </w:p>
        </w:tc>
        <w:tc>
          <w:tcPr>
            <w:tcW w:w="1649" w:type="dxa"/>
            <w:gridSpan w:val="2"/>
            <w:tcBorders>
              <w:top w:val="single" w:color="auto" w:sz="4" w:space="0"/>
              <w:left w:val="single" w:color="auto" w:sz="4" w:space="0"/>
              <w:bottom w:val="single" w:color="auto" w:sz="4" w:space="0"/>
              <w:right w:val="single" w:color="auto" w:sz="4" w:space="0"/>
            </w:tcBorders>
            <w:vAlign w:val="center"/>
          </w:tcPr>
          <w:p w14:paraId="08CE66F4">
            <w:pPr>
              <w:pStyle w:val="64"/>
            </w:pPr>
            <w:r>
              <w:t>爆炸上限(v%)</w:t>
            </w:r>
          </w:p>
        </w:tc>
        <w:tc>
          <w:tcPr>
            <w:tcW w:w="3242" w:type="dxa"/>
            <w:gridSpan w:val="3"/>
            <w:tcBorders>
              <w:top w:val="single" w:color="auto" w:sz="4" w:space="0"/>
              <w:left w:val="single" w:color="auto" w:sz="4" w:space="0"/>
              <w:bottom w:val="single" w:color="auto" w:sz="4" w:space="0"/>
              <w:right w:val="single" w:color="auto" w:sz="4" w:space="0"/>
            </w:tcBorders>
            <w:vAlign w:val="center"/>
          </w:tcPr>
          <w:p w14:paraId="71504F0B">
            <w:pPr>
              <w:pStyle w:val="64"/>
            </w:pPr>
            <w:r>
              <w:t>8.</w:t>
            </w:r>
            <w:r>
              <w:rPr>
                <w:rFonts w:hint="eastAsia"/>
              </w:rPr>
              <w:t>8</w:t>
            </w:r>
          </w:p>
        </w:tc>
      </w:tr>
      <w:tr w14:paraId="0EC77CAC">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20" w:hRule="atLeast"/>
          <w:jc w:val="center"/>
        </w:trPr>
        <w:tc>
          <w:tcPr>
            <w:tcW w:w="708" w:type="dxa"/>
            <w:vMerge w:val="continue"/>
            <w:tcBorders>
              <w:top w:val="single" w:color="auto" w:sz="4" w:space="0"/>
              <w:left w:val="single" w:color="auto" w:sz="4" w:space="0"/>
              <w:bottom w:val="single" w:color="auto" w:sz="4" w:space="0"/>
              <w:right w:val="single" w:color="auto" w:sz="4" w:space="0"/>
            </w:tcBorders>
            <w:vAlign w:val="center"/>
          </w:tcPr>
          <w:p w14:paraId="4BA036FC">
            <w:pPr>
              <w:pStyle w:val="64"/>
            </w:pPr>
          </w:p>
        </w:tc>
        <w:tc>
          <w:tcPr>
            <w:tcW w:w="1625" w:type="dxa"/>
            <w:tcBorders>
              <w:top w:val="single" w:color="auto" w:sz="4" w:space="0"/>
              <w:left w:val="single" w:color="auto" w:sz="4" w:space="0"/>
              <w:bottom w:val="single" w:color="auto" w:sz="4" w:space="0"/>
              <w:right w:val="single" w:color="auto" w:sz="4" w:space="0"/>
            </w:tcBorders>
            <w:vAlign w:val="center"/>
          </w:tcPr>
          <w:p w14:paraId="5C6A4DBE">
            <w:pPr>
              <w:pStyle w:val="64"/>
            </w:pPr>
            <w:r>
              <w:t>引燃温度(℃)</w:t>
            </w:r>
          </w:p>
        </w:tc>
        <w:tc>
          <w:tcPr>
            <w:tcW w:w="1956" w:type="dxa"/>
            <w:gridSpan w:val="3"/>
            <w:tcBorders>
              <w:top w:val="single" w:color="auto" w:sz="4" w:space="0"/>
              <w:left w:val="single" w:color="auto" w:sz="4" w:space="0"/>
              <w:bottom w:val="single" w:color="auto" w:sz="4" w:space="0"/>
              <w:right w:val="single" w:color="auto" w:sz="4" w:space="0"/>
            </w:tcBorders>
            <w:vAlign w:val="center"/>
          </w:tcPr>
          <w:p w14:paraId="753556F3">
            <w:pPr>
              <w:pStyle w:val="64"/>
            </w:pPr>
            <w:r>
              <w:rPr>
                <w:rFonts w:hint="eastAsia"/>
              </w:rPr>
              <w:t>465</w:t>
            </w:r>
          </w:p>
        </w:tc>
        <w:tc>
          <w:tcPr>
            <w:tcW w:w="1649" w:type="dxa"/>
            <w:gridSpan w:val="2"/>
            <w:tcBorders>
              <w:top w:val="single" w:color="auto" w:sz="4" w:space="0"/>
              <w:left w:val="single" w:color="auto" w:sz="4" w:space="0"/>
              <w:bottom w:val="single" w:color="auto" w:sz="4" w:space="0"/>
              <w:right w:val="single" w:color="auto" w:sz="4" w:space="0"/>
            </w:tcBorders>
            <w:vAlign w:val="center"/>
          </w:tcPr>
          <w:p w14:paraId="1A559BD2">
            <w:pPr>
              <w:pStyle w:val="64"/>
            </w:pPr>
            <w:r>
              <w:t>爆炸下限(v%)</w:t>
            </w:r>
          </w:p>
        </w:tc>
        <w:tc>
          <w:tcPr>
            <w:tcW w:w="3242" w:type="dxa"/>
            <w:gridSpan w:val="3"/>
            <w:tcBorders>
              <w:top w:val="single" w:color="auto" w:sz="4" w:space="0"/>
              <w:left w:val="single" w:color="auto" w:sz="4" w:space="0"/>
              <w:bottom w:val="single" w:color="auto" w:sz="4" w:space="0"/>
              <w:right w:val="single" w:color="auto" w:sz="4" w:space="0"/>
            </w:tcBorders>
            <w:vAlign w:val="center"/>
          </w:tcPr>
          <w:p w14:paraId="61477E5C">
            <w:pPr>
              <w:pStyle w:val="64"/>
            </w:pPr>
            <w:r>
              <w:t>1.</w:t>
            </w:r>
            <w:r>
              <w:rPr>
                <w:rFonts w:hint="eastAsia"/>
              </w:rPr>
              <w:t>8</w:t>
            </w:r>
          </w:p>
        </w:tc>
      </w:tr>
      <w:tr w14:paraId="331517F8">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20" w:hRule="atLeast"/>
          <w:jc w:val="center"/>
        </w:trPr>
        <w:tc>
          <w:tcPr>
            <w:tcW w:w="708" w:type="dxa"/>
            <w:vMerge w:val="continue"/>
            <w:tcBorders>
              <w:top w:val="single" w:color="auto" w:sz="4" w:space="0"/>
              <w:left w:val="single" w:color="auto" w:sz="4" w:space="0"/>
              <w:bottom w:val="single" w:color="auto" w:sz="4" w:space="0"/>
              <w:right w:val="single" w:color="auto" w:sz="4" w:space="0"/>
            </w:tcBorders>
            <w:vAlign w:val="center"/>
          </w:tcPr>
          <w:p w14:paraId="16067F85">
            <w:pPr>
              <w:pStyle w:val="64"/>
            </w:pPr>
          </w:p>
        </w:tc>
        <w:tc>
          <w:tcPr>
            <w:tcW w:w="1625" w:type="dxa"/>
            <w:tcBorders>
              <w:top w:val="single" w:color="auto" w:sz="4" w:space="0"/>
              <w:left w:val="single" w:color="auto" w:sz="4" w:space="0"/>
              <w:bottom w:val="single" w:color="auto" w:sz="4" w:space="0"/>
              <w:right w:val="single" w:color="auto" w:sz="4" w:space="0"/>
            </w:tcBorders>
            <w:vAlign w:val="center"/>
          </w:tcPr>
          <w:p w14:paraId="1256CB2A">
            <w:pPr>
              <w:pStyle w:val="64"/>
            </w:pPr>
            <w:r>
              <w:t>危险特性</w:t>
            </w:r>
          </w:p>
        </w:tc>
        <w:tc>
          <w:tcPr>
            <w:tcW w:w="6847" w:type="dxa"/>
            <w:gridSpan w:val="8"/>
            <w:tcBorders>
              <w:top w:val="single" w:color="auto" w:sz="4" w:space="0"/>
              <w:left w:val="single" w:color="auto" w:sz="4" w:space="0"/>
              <w:bottom w:val="single" w:color="auto" w:sz="4" w:space="0"/>
              <w:right w:val="single" w:color="auto" w:sz="4" w:space="0"/>
            </w:tcBorders>
            <w:vAlign w:val="center"/>
          </w:tcPr>
          <w:p w14:paraId="26BCC66D">
            <w:pPr>
              <w:pStyle w:val="64"/>
              <w:jc w:val="both"/>
            </w:pPr>
            <w:r>
              <w:t>与空气混合能形成爆炸性混合物。遇热源和明火有燃烧爆炸的危险。受热可能发生剧烈的聚合反应。与氧化剂接触猛烈反应。气体比空气重，能在较低处扩散到相当远的地方，遇火源会着火回燃。</w:t>
            </w:r>
          </w:p>
        </w:tc>
      </w:tr>
      <w:tr w14:paraId="767D6185">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20" w:hRule="atLeast"/>
          <w:jc w:val="center"/>
        </w:trPr>
        <w:tc>
          <w:tcPr>
            <w:tcW w:w="708" w:type="dxa"/>
            <w:vMerge w:val="continue"/>
            <w:tcBorders>
              <w:top w:val="single" w:color="auto" w:sz="4" w:space="0"/>
              <w:left w:val="single" w:color="auto" w:sz="4" w:space="0"/>
              <w:bottom w:val="single" w:color="auto" w:sz="4" w:space="0"/>
              <w:right w:val="single" w:color="auto" w:sz="4" w:space="0"/>
            </w:tcBorders>
            <w:vAlign w:val="center"/>
          </w:tcPr>
          <w:p w14:paraId="4B454CCD">
            <w:pPr>
              <w:pStyle w:val="64"/>
            </w:pPr>
          </w:p>
        </w:tc>
        <w:tc>
          <w:tcPr>
            <w:tcW w:w="1625" w:type="dxa"/>
            <w:vMerge w:val="restart"/>
            <w:tcBorders>
              <w:top w:val="single" w:color="auto" w:sz="4" w:space="0"/>
              <w:left w:val="single" w:color="auto" w:sz="4" w:space="0"/>
              <w:bottom w:val="single" w:color="auto" w:sz="4" w:space="0"/>
              <w:right w:val="single" w:color="auto" w:sz="4" w:space="0"/>
            </w:tcBorders>
            <w:vAlign w:val="center"/>
          </w:tcPr>
          <w:p w14:paraId="3CA027CB">
            <w:pPr>
              <w:pStyle w:val="64"/>
            </w:pPr>
            <w:r>
              <w:t>储运条件</w:t>
            </w:r>
          </w:p>
          <w:p w14:paraId="67236FFC">
            <w:pPr>
              <w:pStyle w:val="64"/>
            </w:pPr>
            <w:r>
              <w:t>与泄漏处理</w:t>
            </w:r>
          </w:p>
        </w:tc>
        <w:tc>
          <w:tcPr>
            <w:tcW w:w="6847" w:type="dxa"/>
            <w:gridSpan w:val="8"/>
            <w:tcBorders>
              <w:top w:val="single" w:color="auto" w:sz="4" w:space="0"/>
              <w:left w:val="single" w:color="auto" w:sz="4" w:space="0"/>
              <w:bottom w:val="single" w:color="auto" w:sz="4" w:space="0"/>
              <w:right w:val="single" w:color="auto" w:sz="4" w:space="0"/>
            </w:tcBorders>
            <w:vAlign w:val="center"/>
          </w:tcPr>
          <w:p w14:paraId="558BFD33">
            <w:pPr>
              <w:pStyle w:val="64"/>
              <w:jc w:val="both"/>
            </w:pPr>
            <w:r>
              <w:t>储存于阴凉、通风的库房。远离火种、热源。库温不宜超过30</w:t>
            </w:r>
            <w:r>
              <w:rPr>
                <w:rFonts w:hint="eastAsia"/>
              </w:rPr>
              <w:t>℃</w:t>
            </w:r>
            <w:r>
              <w:t>。应与氧化剂分开存放，切忌混储。采用防爆型照明、通风设施。禁止使用易产生火花的机械设备和工具。储区应备有泄漏应急处理设备。</w:t>
            </w:r>
          </w:p>
        </w:tc>
      </w:tr>
      <w:tr w14:paraId="370AE5A9">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trHeight w:val="20" w:hRule="atLeast"/>
          <w:jc w:val="center"/>
        </w:trPr>
        <w:tc>
          <w:tcPr>
            <w:tcW w:w="708" w:type="dxa"/>
            <w:vMerge w:val="continue"/>
            <w:tcBorders>
              <w:top w:val="single" w:color="auto" w:sz="4" w:space="0"/>
              <w:left w:val="single" w:color="auto" w:sz="4" w:space="0"/>
              <w:bottom w:val="single" w:color="auto" w:sz="4" w:space="0"/>
              <w:right w:val="single" w:color="auto" w:sz="4" w:space="0"/>
            </w:tcBorders>
            <w:vAlign w:val="center"/>
          </w:tcPr>
          <w:p w14:paraId="43131CE8">
            <w:pPr>
              <w:pStyle w:val="64"/>
            </w:pPr>
          </w:p>
        </w:tc>
        <w:tc>
          <w:tcPr>
            <w:tcW w:w="1625" w:type="dxa"/>
            <w:vMerge w:val="continue"/>
            <w:tcBorders>
              <w:top w:val="single" w:color="auto" w:sz="4" w:space="0"/>
              <w:left w:val="single" w:color="auto" w:sz="4" w:space="0"/>
              <w:bottom w:val="single" w:color="auto" w:sz="4" w:space="0"/>
              <w:right w:val="single" w:color="auto" w:sz="4" w:space="0"/>
            </w:tcBorders>
            <w:vAlign w:val="center"/>
          </w:tcPr>
          <w:p w14:paraId="4F48D835">
            <w:pPr>
              <w:pStyle w:val="64"/>
            </w:pPr>
          </w:p>
        </w:tc>
        <w:tc>
          <w:tcPr>
            <w:tcW w:w="6847" w:type="dxa"/>
            <w:gridSpan w:val="8"/>
            <w:tcBorders>
              <w:top w:val="single" w:color="auto" w:sz="4" w:space="0"/>
              <w:left w:val="single" w:color="auto" w:sz="4" w:space="0"/>
              <w:bottom w:val="single" w:color="auto" w:sz="4" w:space="0"/>
              <w:right w:val="single" w:color="auto" w:sz="4" w:space="0"/>
            </w:tcBorders>
            <w:vAlign w:val="center"/>
          </w:tcPr>
          <w:p w14:paraId="389B409F">
            <w:pPr>
              <w:pStyle w:val="64"/>
              <w:jc w:val="both"/>
            </w:pPr>
            <w:r>
              <w:t>本品铁路运输时限使用耐压液化气企业自备罐车装运，装运前需报有关部门批准。采用刚瓶运输时必须戴好钢瓶上的安全帽。钢瓶一般平放，并应将瓶口朝同一方向，不可交叉；高度不得超过车辆的防护栏板，并用三角木垫卡牢，防止滚动。运输时运输车辆应配备相应品种和数量的消防器材。装运该物品的车辆排气管必须配备阻火装置，禁止使用易产生火花的机械设备和工具装卸。严禁与氧化剂等混装混运。夏季应早晚运输，防止日光曝晒。中途停留时应远离火种、热源。公路运输时要按规定路线行驶，勿在居民区和人口稠密区停留。铁路运输时要禁止溜放。</w:t>
            </w:r>
          </w:p>
        </w:tc>
      </w:tr>
      <w:tr w14:paraId="27801250">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trHeight w:val="20" w:hRule="atLeast"/>
          <w:jc w:val="center"/>
        </w:trPr>
        <w:tc>
          <w:tcPr>
            <w:tcW w:w="708" w:type="dxa"/>
            <w:vMerge w:val="continue"/>
            <w:tcBorders>
              <w:top w:val="single" w:color="auto" w:sz="4" w:space="0"/>
              <w:left w:val="single" w:color="auto" w:sz="4" w:space="0"/>
              <w:bottom w:val="single" w:color="auto" w:sz="4" w:space="0"/>
              <w:right w:val="single" w:color="auto" w:sz="4" w:space="0"/>
            </w:tcBorders>
            <w:vAlign w:val="center"/>
          </w:tcPr>
          <w:p w14:paraId="38194C54">
            <w:pPr>
              <w:pStyle w:val="64"/>
            </w:pPr>
          </w:p>
        </w:tc>
        <w:tc>
          <w:tcPr>
            <w:tcW w:w="1625" w:type="dxa"/>
            <w:vMerge w:val="continue"/>
            <w:tcBorders>
              <w:top w:val="single" w:color="auto" w:sz="4" w:space="0"/>
              <w:left w:val="single" w:color="auto" w:sz="4" w:space="0"/>
              <w:bottom w:val="single" w:color="auto" w:sz="4" w:space="0"/>
              <w:right w:val="single" w:color="auto" w:sz="4" w:space="0"/>
            </w:tcBorders>
            <w:vAlign w:val="center"/>
          </w:tcPr>
          <w:p w14:paraId="3D91F461">
            <w:pPr>
              <w:pStyle w:val="64"/>
            </w:pPr>
          </w:p>
        </w:tc>
        <w:tc>
          <w:tcPr>
            <w:tcW w:w="6847" w:type="dxa"/>
            <w:gridSpan w:val="8"/>
            <w:tcBorders>
              <w:top w:val="single" w:color="auto" w:sz="4" w:space="0"/>
              <w:left w:val="single" w:color="auto" w:sz="4" w:space="0"/>
              <w:bottom w:val="single" w:color="auto" w:sz="4" w:space="0"/>
              <w:right w:val="single" w:color="auto" w:sz="4" w:space="0"/>
            </w:tcBorders>
            <w:vAlign w:val="center"/>
          </w:tcPr>
          <w:p w14:paraId="2358FA1E">
            <w:pPr>
              <w:pStyle w:val="64"/>
              <w:jc w:val="both"/>
            </w:pPr>
            <w:r>
              <w:t>迅速撤离泄漏污染区人员至上风处，并进行隔离，严格限制出入。切断火源。建议应急处理人员戴自给正压式呼吸器，穿防静电工作服。尽可能切断泄漏源。用工业覆盖层或吸附/ 吸收剂盖住泄漏点附近的下水道等地方，防止气体进入。合理通风，加速扩散。喷雾状水稀释。如有可能，将漏出气用排风机送至空旷地方或装设适当喷头烧掉。漏气容器要妥善处理，修复、检验后再用。</w:t>
            </w:r>
          </w:p>
        </w:tc>
      </w:tr>
      <w:tr w14:paraId="6E79DB93">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20" w:hRule="atLeast"/>
          <w:jc w:val="center"/>
        </w:trPr>
        <w:tc>
          <w:tcPr>
            <w:tcW w:w="708" w:type="dxa"/>
            <w:vMerge w:val="continue"/>
            <w:tcBorders>
              <w:top w:val="single" w:color="auto" w:sz="4" w:space="0"/>
              <w:left w:val="single" w:color="auto" w:sz="4" w:space="0"/>
              <w:bottom w:val="single" w:color="auto" w:sz="4" w:space="0"/>
              <w:right w:val="single" w:color="auto" w:sz="4" w:space="0"/>
            </w:tcBorders>
            <w:vAlign w:val="center"/>
          </w:tcPr>
          <w:p w14:paraId="774B507D">
            <w:pPr>
              <w:pStyle w:val="64"/>
            </w:pPr>
          </w:p>
        </w:tc>
        <w:tc>
          <w:tcPr>
            <w:tcW w:w="1625" w:type="dxa"/>
            <w:tcBorders>
              <w:top w:val="single" w:color="auto" w:sz="4" w:space="0"/>
              <w:left w:val="single" w:color="auto" w:sz="4" w:space="0"/>
              <w:bottom w:val="single" w:color="auto" w:sz="4" w:space="0"/>
              <w:right w:val="single" w:color="auto" w:sz="4" w:space="0"/>
            </w:tcBorders>
            <w:vAlign w:val="center"/>
          </w:tcPr>
          <w:p w14:paraId="1F5BCBEA">
            <w:pPr>
              <w:pStyle w:val="64"/>
            </w:pPr>
            <w:r>
              <w:t>灭火方法</w:t>
            </w:r>
          </w:p>
        </w:tc>
        <w:tc>
          <w:tcPr>
            <w:tcW w:w="6847" w:type="dxa"/>
            <w:gridSpan w:val="8"/>
            <w:tcBorders>
              <w:top w:val="single" w:color="auto" w:sz="4" w:space="0"/>
              <w:left w:val="single" w:color="auto" w:sz="4" w:space="0"/>
              <w:bottom w:val="single" w:color="auto" w:sz="4" w:space="0"/>
              <w:right w:val="single" w:color="auto" w:sz="4" w:space="0"/>
            </w:tcBorders>
            <w:vAlign w:val="center"/>
          </w:tcPr>
          <w:p w14:paraId="1FAA9744">
            <w:pPr>
              <w:pStyle w:val="64"/>
              <w:jc w:val="both"/>
            </w:pPr>
            <w:r>
              <w:t>切断气源。若不能切断气源，则不允许熄灭泄漏处的火焰。喷水冷却容器，可能的话将容器从火场移至空旷处。灭火剂：雾状水、泡沫、二氧化碳、干粉。</w:t>
            </w:r>
          </w:p>
        </w:tc>
      </w:tr>
    </w:tbl>
    <w:p w14:paraId="53E9885E">
      <w:pPr>
        <w:rPr>
          <w:rFonts w:cs="Times New Roman"/>
          <w:spacing w:val="-3"/>
        </w:rPr>
      </w:pPr>
    </w:p>
    <w:p w14:paraId="412162A1">
      <w:pPr>
        <w:pStyle w:val="28"/>
        <w:rPr>
          <w:rFonts w:hint="eastAsia"/>
        </w:rPr>
      </w:pPr>
      <w:r>
        <w:rPr>
          <w:rFonts w:hint="eastAsia"/>
        </w:rPr>
        <w:t>表6.8-18  间甲酚理化特性表</w:t>
      </w:r>
    </w:p>
    <w:tbl>
      <w:tblPr>
        <w:tblStyle w:val="36"/>
        <w:tblW w:w="9180" w:type="dxa"/>
        <w:jc w:val="center"/>
        <w:tblBorders>
          <w:top w:val="single" w:color="auto" w:sz="6" w:space="0"/>
          <w:left w:val="single" w:color="auto" w:sz="6" w:space="0"/>
          <w:bottom w:val="single" w:color="auto" w:sz="6" w:space="0"/>
          <w:right w:val="single" w:color="auto" w:sz="6" w:space="0"/>
          <w:insideH w:val="none" w:color="auto" w:sz="0" w:space="0"/>
          <w:insideV w:val="none" w:color="auto" w:sz="0" w:space="0"/>
        </w:tblBorders>
        <w:tblLayout w:type="fixed"/>
        <w:tblCellMar>
          <w:top w:w="0" w:type="dxa"/>
          <w:left w:w="108" w:type="dxa"/>
          <w:bottom w:w="0" w:type="dxa"/>
          <w:right w:w="108" w:type="dxa"/>
        </w:tblCellMar>
      </w:tblPr>
      <w:tblGrid>
        <w:gridCol w:w="708"/>
        <w:gridCol w:w="1625"/>
        <w:gridCol w:w="904"/>
        <w:gridCol w:w="255"/>
        <w:gridCol w:w="797"/>
        <w:gridCol w:w="672"/>
        <w:gridCol w:w="977"/>
        <w:gridCol w:w="237"/>
        <w:gridCol w:w="1762"/>
        <w:gridCol w:w="1243"/>
      </w:tblGrid>
      <w:tr w14:paraId="5E6D1855">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20" w:hRule="atLeast"/>
          <w:jc w:val="center"/>
        </w:trPr>
        <w:tc>
          <w:tcPr>
            <w:tcW w:w="708" w:type="dxa"/>
            <w:vMerge w:val="restart"/>
            <w:tcBorders>
              <w:top w:val="single" w:color="auto" w:sz="6" w:space="0"/>
              <w:left w:val="single" w:color="auto" w:sz="6" w:space="0"/>
              <w:bottom w:val="single" w:color="auto" w:sz="6" w:space="0"/>
              <w:right w:val="single" w:color="auto" w:sz="6" w:space="0"/>
            </w:tcBorders>
            <w:vAlign w:val="center"/>
          </w:tcPr>
          <w:p w14:paraId="38D18438">
            <w:pPr>
              <w:pStyle w:val="64"/>
            </w:pPr>
            <w:r>
              <w:t>标识</w:t>
            </w:r>
          </w:p>
        </w:tc>
        <w:tc>
          <w:tcPr>
            <w:tcW w:w="8472" w:type="dxa"/>
            <w:gridSpan w:val="9"/>
            <w:tcBorders>
              <w:top w:val="single" w:color="auto" w:sz="6" w:space="0"/>
              <w:left w:val="single" w:color="auto" w:sz="6" w:space="0"/>
              <w:bottom w:val="single" w:color="auto" w:sz="6" w:space="0"/>
              <w:right w:val="single" w:color="auto" w:sz="6" w:space="0"/>
            </w:tcBorders>
            <w:vAlign w:val="center"/>
          </w:tcPr>
          <w:p w14:paraId="58CA27FE">
            <w:pPr>
              <w:pStyle w:val="64"/>
            </w:pPr>
            <w:r>
              <w:t>中文名：对甲酚</w:t>
            </w:r>
          </w:p>
        </w:tc>
      </w:tr>
      <w:tr w14:paraId="2205633E">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20" w:hRule="atLeast"/>
          <w:jc w:val="center"/>
        </w:trPr>
        <w:tc>
          <w:tcPr>
            <w:tcW w:w="708" w:type="dxa"/>
            <w:vMerge w:val="continue"/>
            <w:tcBorders>
              <w:top w:val="single" w:color="auto" w:sz="6" w:space="0"/>
              <w:left w:val="single" w:color="auto" w:sz="6" w:space="0"/>
              <w:bottom w:val="single" w:color="auto" w:sz="6" w:space="0"/>
              <w:right w:val="single" w:color="auto" w:sz="6" w:space="0"/>
            </w:tcBorders>
            <w:vAlign w:val="center"/>
          </w:tcPr>
          <w:p w14:paraId="1A4B65A6">
            <w:pPr>
              <w:pStyle w:val="64"/>
            </w:pPr>
          </w:p>
        </w:tc>
        <w:tc>
          <w:tcPr>
            <w:tcW w:w="5467" w:type="dxa"/>
            <w:gridSpan w:val="7"/>
            <w:tcBorders>
              <w:top w:val="single" w:color="auto" w:sz="6" w:space="0"/>
              <w:left w:val="single" w:color="auto" w:sz="6" w:space="0"/>
              <w:bottom w:val="single" w:color="auto" w:sz="6" w:space="0"/>
              <w:right w:val="single" w:color="auto" w:sz="6" w:space="0"/>
            </w:tcBorders>
            <w:vAlign w:val="center"/>
          </w:tcPr>
          <w:p w14:paraId="598752F1">
            <w:pPr>
              <w:pStyle w:val="64"/>
            </w:pPr>
            <w:r>
              <w:t>英文名：</w:t>
            </w:r>
            <w:r>
              <w:rPr>
                <w:rFonts w:cs="Times New Roman"/>
                <w:spacing w:val="-3"/>
              </w:rPr>
              <w:t>m-Cresol</w:t>
            </w:r>
          </w:p>
        </w:tc>
        <w:tc>
          <w:tcPr>
            <w:tcW w:w="3005" w:type="dxa"/>
            <w:gridSpan w:val="2"/>
            <w:tcBorders>
              <w:top w:val="single" w:color="auto" w:sz="6" w:space="0"/>
              <w:left w:val="single" w:color="auto" w:sz="6" w:space="0"/>
              <w:bottom w:val="single" w:color="auto" w:sz="6" w:space="0"/>
              <w:right w:val="single" w:color="auto" w:sz="6" w:space="0"/>
            </w:tcBorders>
            <w:vAlign w:val="center"/>
          </w:tcPr>
          <w:p w14:paraId="3785C5E3">
            <w:pPr>
              <w:pStyle w:val="64"/>
            </w:pPr>
            <w:r>
              <w:t>UN编号：2076</w:t>
            </w:r>
          </w:p>
        </w:tc>
      </w:tr>
      <w:tr w14:paraId="46D53447">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20" w:hRule="atLeast"/>
          <w:jc w:val="center"/>
        </w:trPr>
        <w:tc>
          <w:tcPr>
            <w:tcW w:w="708" w:type="dxa"/>
            <w:vMerge w:val="continue"/>
            <w:tcBorders>
              <w:top w:val="single" w:color="auto" w:sz="6" w:space="0"/>
              <w:left w:val="single" w:color="auto" w:sz="6" w:space="0"/>
              <w:bottom w:val="single" w:color="auto" w:sz="6" w:space="0"/>
              <w:right w:val="single" w:color="auto" w:sz="6" w:space="0"/>
            </w:tcBorders>
            <w:vAlign w:val="center"/>
          </w:tcPr>
          <w:p w14:paraId="43BD09D4">
            <w:pPr>
              <w:pStyle w:val="64"/>
            </w:pPr>
          </w:p>
        </w:tc>
        <w:tc>
          <w:tcPr>
            <w:tcW w:w="2784" w:type="dxa"/>
            <w:gridSpan w:val="3"/>
            <w:tcBorders>
              <w:top w:val="single" w:color="auto" w:sz="6" w:space="0"/>
              <w:left w:val="single" w:color="auto" w:sz="6" w:space="0"/>
              <w:bottom w:val="single" w:color="auto" w:sz="6" w:space="0"/>
              <w:right w:val="single" w:color="auto" w:sz="6" w:space="0"/>
            </w:tcBorders>
            <w:vAlign w:val="center"/>
          </w:tcPr>
          <w:p w14:paraId="462EEEB8">
            <w:pPr>
              <w:pStyle w:val="64"/>
            </w:pPr>
            <w:r>
              <w:t>分子式：C</w:t>
            </w:r>
            <w:r>
              <w:rPr>
                <w:vertAlign w:val="subscript"/>
              </w:rPr>
              <w:t>7</w:t>
            </w:r>
            <w:r>
              <w:t>H</w:t>
            </w:r>
            <w:r>
              <w:rPr>
                <w:vertAlign w:val="subscript"/>
              </w:rPr>
              <w:t>8</w:t>
            </w:r>
            <w:r>
              <w:t>O</w:t>
            </w:r>
          </w:p>
        </w:tc>
        <w:tc>
          <w:tcPr>
            <w:tcW w:w="2683" w:type="dxa"/>
            <w:gridSpan w:val="4"/>
            <w:tcBorders>
              <w:top w:val="single" w:color="auto" w:sz="6" w:space="0"/>
              <w:left w:val="single" w:color="auto" w:sz="6" w:space="0"/>
              <w:bottom w:val="single" w:color="auto" w:sz="6" w:space="0"/>
              <w:right w:val="single" w:color="auto" w:sz="6" w:space="0"/>
            </w:tcBorders>
            <w:vAlign w:val="center"/>
          </w:tcPr>
          <w:p w14:paraId="1188E77B">
            <w:pPr>
              <w:pStyle w:val="64"/>
            </w:pPr>
            <w:r>
              <w:t>分子量：108.138</w:t>
            </w:r>
          </w:p>
        </w:tc>
        <w:tc>
          <w:tcPr>
            <w:tcW w:w="3005" w:type="dxa"/>
            <w:gridSpan w:val="2"/>
            <w:tcBorders>
              <w:top w:val="single" w:color="auto" w:sz="6" w:space="0"/>
              <w:left w:val="single" w:color="auto" w:sz="6" w:space="0"/>
              <w:bottom w:val="single" w:color="auto" w:sz="6" w:space="0"/>
              <w:right w:val="single" w:color="auto" w:sz="6" w:space="0"/>
            </w:tcBorders>
            <w:vAlign w:val="center"/>
          </w:tcPr>
          <w:p w14:paraId="4C251CF8">
            <w:pPr>
              <w:pStyle w:val="64"/>
            </w:pPr>
            <w:r>
              <w:t>CAS号：106-44-5</w:t>
            </w:r>
          </w:p>
        </w:tc>
      </w:tr>
      <w:tr w14:paraId="3B110F1B">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20" w:hRule="atLeast"/>
          <w:jc w:val="center"/>
        </w:trPr>
        <w:tc>
          <w:tcPr>
            <w:tcW w:w="708" w:type="dxa"/>
            <w:vMerge w:val="continue"/>
            <w:tcBorders>
              <w:top w:val="single" w:color="auto" w:sz="6" w:space="0"/>
              <w:left w:val="single" w:color="auto" w:sz="6" w:space="0"/>
              <w:bottom w:val="single" w:color="auto" w:sz="6" w:space="0"/>
              <w:right w:val="single" w:color="auto" w:sz="6" w:space="0"/>
            </w:tcBorders>
            <w:vAlign w:val="center"/>
          </w:tcPr>
          <w:p w14:paraId="7C436DFE">
            <w:pPr>
              <w:pStyle w:val="64"/>
            </w:pPr>
          </w:p>
        </w:tc>
        <w:tc>
          <w:tcPr>
            <w:tcW w:w="8472" w:type="dxa"/>
            <w:gridSpan w:val="9"/>
            <w:tcBorders>
              <w:top w:val="single" w:color="auto" w:sz="6" w:space="0"/>
              <w:left w:val="single" w:color="auto" w:sz="6" w:space="0"/>
              <w:bottom w:val="single" w:color="auto" w:sz="6" w:space="0"/>
              <w:right w:val="single" w:color="auto" w:sz="6" w:space="0"/>
            </w:tcBorders>
            <w:vAlign w:val="center"/>
          </w:tcPr>
          <w:p w14:paraId="41DFA02F">
            <w:pPr>
              <w:pStyle w:val="64"/>
            </w:pPr>
            <w:r>
              <w:t>第6.1类 毒害品</w:t>
            </w:r>
          </w:p>
        </w:tc>
      </w:tr>
      <w:tr w14:paraId="39E5E1EC">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20" w:hRule="atLeast"/>
          <w:jc w:val="center"/>
        </w:trPr>
        <w:tc>
          <w:tcPr>
            <w:tcW w:w="708" w:type="dxa"/>
            <w:vMerge w:val="restart"/>
            <w:tcBorders>
              <w:top w:val="single" w:color="auto" w:sz="6" w:space="0"/>
              <w:left w:val="single" w:color="auto" w:sz="6" w:space="0"/>
              <w:bottom w:val="single" w:color="auto" w:sz="6" w:space="0"/>
              <w:right w:val="single" w:color="auto" w:sz="6" w:space="0"/>
            </w:tcBorders>
            <w:vAlign w:val="center"/>
          </w:tcPr>
          <w:p w14:paraId="187D4518">
            <w:pPr>
              <w:pStyle w:val="64"/>
            </w:pPr>
            <w:r>
              <w:t>理化性质</w:t>
            </w:r>
          </w:p>
        </w:tc>
        <w:tc>
          <w:tcPr>
            <w:tcW w:w="1625" w:type="dxa"/>
            <w:tcBorders>
              <w:top w:val="single" w:color="auto" w:sz="6" w:space="0"/>
              <w:left w:val="single" w:color="auto" w:sz="6" w:space="0"/>
              <w:bottom w:val="single" w:color="auto" w:sz="6" w:space="0"/>
              <w:right w:val="single" w:color="auto" w:sz="6" w:space="0"/>
            </w:tcBorders>
            <w:vAlign w:val="center"/>
          </w:tcPr>
          <w:p w14:paraId="18D06BBC">
            <w:pPr>
              <w:pStyle w:val="64"/>
            </w:pPr>
            <w:r>
              <w:t>外观与性状</w:t>
            </w:r>
          </w:p>
        </w:tc>
        <w:tc>
          <w:tcPr>
            <w:tcW w:w="6847" w:type="dxa"/>
            <w:gridSpan w:val="8"/>
            <w:tcBorders>
              <w:top w:val="single" w:color="auto" w:sz="6" w:space="0"/>
              <w:left w:val="single" w:color="auto" w:sz="6" w:space="0"/>
              <w:bottom w:val="single" w:color="auto" w:sz="6" w:space="0"/>
              <w:right w:val="single" w:color="auto" w:sz="6" w:space="0"/>
            </w:tcBorders>
            <w:vAlign w:val="center"/>
          </w:tcPr>
          <w:p w14:paraId="0EC1BFC0">
            <w:pPr>
              <w:pStyle w:val="64"/>
            </w:pPr>
            <w:r>
              <w:t>透明至略琥珀色液体</w:t>
            </w:r>
          </w:p>
        </w:tc>
      </w:tr>
      <w:tr w14:paraId="34E5C7D5">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20" w:hRule="atLeast"/>
          <w:jc w:val="center"/>
        </w:trPr>
        <w:tc>
          <w:tcPr>
            <w:tcW w:w="708" w:type="dxa"/>
            <w:vMerge w:val="continue"/>
            <w:tcBorders>
              <w:top w:val="single" w:color="auto" w:sz="6" w:space="0"/>
              <w:left w:val="single" w:color="auto" w:sz="6" w:space="0"/>
              <w:bottom w:val="single" w:color="auto" w:sz="6" w:space="0"/>
              <w:right w:val="single" w:color="auto" w:sz="6" w:space="0"/>
            </w:tcBorders>
            <w:vAlign w:val="center"/>
          </w:tcPr>
          <w:p w14:paraId="4318E4EA">
            <w:pPr>
              <w:pStyle w:val="64"/>
            </w:pPr>
          </w:p>
        </w:tc>
        <w:tc>
          <w:tcPr>
            <w:tcW w:w="1625" w:type="dxa"/>
            <w:tcBorders>
              <w:top w:val="single" w:color="auto" w:sz="6" w:space="0"/>
              <w:left w:val="single" w:color="auto" w:sz="6" w:space="0"/>
              <w:bottom w:val="single" w:color="auto" w:sz="6" w:space="0"/>
              <w:right w:val="single" w:color="auto" w:sz="6" w:space="0"/>
            </w:tcBorders>
            <w:vAlign w:val="center"/>
          </w:tcPr>
          <w:p w14:paraId="2D12B81B">
            <w:pPr>
              <w:pStyle w:val="64"/>
            </w:pPr>
            <w:r>
              <w:t>熔点(℃)</w:t>
            </w:r>
          </w:p>
        </w:tc>
        <w:tc>
          <w:tcPr>
            <w:tcW w:w="904" w:type="dxa"/>
            <w:tcBorders>
              <w:top w:val="single" w:color="auto" w:sz="6" w:space="0"/>
              <w:left w:val="single" w:color="auto" w:sz="6" w:space="0"/>
              <w:bottom w:val="single" w:color="auto" w:sz="6" w:space="0"/>
              <w:right w:val="single" w:color="auto" w:sz="6" w:space="0"/>
            </w:tcBorders>
            <w:vAlign w:val="center"/>
          </w:tcPr>
          <w:p w14:paraId="422DA825">
            <w:pPr>
              <w:pStyle w:val="64"/>
            </w:pPr>
            <w:r>
              <w:t>35.5</w:t>
            </w:r>
          </w:p>
        </w:tc>
        <w:tc>
          <w:tcPr>
            <w:tcW w:w="1724" w:type="dxa"/>
            <w:gridSpan w:val="3"/>
            <w:tcBorders>
              <w:top w:val="single" w:color="auto" w:sz="6" w:space="0"/>
              <w:left w:val="single" w:color="auto" w:sz="6" w:space="0"/>
              <w:bottom w:val="single" w:color="auto" w:sz="6" w:space="0"/>
              <w:right w:val="single" w:color="auto" w:sz="6" w:space="0"/>
            </w:tcBorders>
            <w:vAlign w:val="center"/>
          </w:tcPr>
          <w:p w14:paraId="6C986017">
            <w:pPr>
              <w:pStyle w:val="64"/>
            </w:pPr>
            <w:r>
              <w:t>相对密度</w:t>
            </w:r>
          </w:p>
          <w:p w14:paraId="2CAB4B97">
            <w:pPr>
              <w:pStyle w:val="64"/>
            </w:pPr>
            <w:r>
              <w:t>(水=1)</w:t>
            </w:r>
          </w:p>
        </w:tc>
        <w:tc>
          <w:tcPr>
            <w:tcW w:w="1214" w:type="dxa"/>
            <w:gridSpan w:val="2"/>
            <w:tcBorders>
              <w:top w:val="single" w:color="auto" w:sz="6" w:space="0"/>
              <w:left w:val="single" w:color="auto" w:sz="6" w:space="0"/>
              <w:bottom w:val="single" w:color="auto" w:sz="6" w:space="0"/>
              <w:right w:val="single" w:color="auto" w:sz="6" w:space="0"/>
            </w:tcBorders>
            <w:vAlign w:val="center"/>
          </w:tcPr>
          <w:p w14:paraId="427FB5CC">
            <w:pPr>
              <w:pStyle w:val="64"/>
            </w:pPr>
            <w:r>
              <w:t>1.03</w:t>
            </w:r>
          </w:p>
        </w:tc>
        <w:tc>
          <w:tcPr>
            <w:tcW w:w="1762" w:type="dxa"/>
            <w:tcBorders>
              <w:top w:val="single" w:color="auto" w:sz="6" w:space="0"/>
              <w:left w:val="single" w:color="auto" w:sz="6" w:space="0"/>
              <w:bottom w:val="single" w:color="auto" w:sz="6" w:space="0"/>
              <w:right w:val="single" w:color="auto" w:sz="6" w:space="0"/>
            </w:tcBorders>
            <w:vAlign w:val="center"/>
          </w:tcPr>
          <w:p w14:paraId="386E3A10">
            <w:pPr>
              <w:pStyle w:val="64"/>
            </w:pPr>
            <w:r>
              <w:t>相对密度</w:t>
            </w:r>
          </w:p>
          <w:p w14:paraId="77B64150">
            <w:pPr>
              <w:pStyle w:val="64"/>
            </w:pPr>
            <w:r>
              <w:t>(空气=1)</w:t>
            </w:r>
          </w:p>
        </w:tc>
        <w:tc>
          <w:tcPr>
            <w:tcW w:w="1243" w:type="dxa"/>
            <w:tcBorders>
              <w:top w:val="single" w:color="auto" w:sz="6" w:space="0"/>
              <w:left w:val="single" w:color="auto" w:sz="6" w:space="0"/>
              <w:bottom w:val="single" w:color="auto" w:sz="6" w:space="0"/>
              <w:right w:val="single" w:color="auto" w:sz="6" w:space="0"/>
            </w:tcBorders>
            <w:vAlign w:val="center"/>
          </w:tcPr>
          <w:p w14:paraId="25F4A189">
            <w:pPr>
              <w:pStyle w:val="64"/>
            </w:pPr>
            <w:r>
              <w:t>3.72</w:t>
            </w:r>
          </w:p>
        </w:tc>
      </w:tr>
      <w:tr w14:paraId="6CD8A6BA">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20" w:hRule="atLeast"/>
          <w:jc w:val="center"/>
        </w:trPr>
        <w:tc>
          <w:tcPr>
            <w:tcW w:w="708" w:type="dxa"/>
            <w:vMerge w:val="continue"/>
            <w:tcBorders>
              <w:top w:val="single" w:color="auto" w:sz="6" w:space="0"/>
              <w:left w:val="single" w:color="auto" w:sz="6" w:space="0"/>
              <w:bottom w:val="single" w:color="auto" w:sz="6" w:space="0"/>
              <w:right w:val="single" w:color="auto" w:sz="6" w:space="0"/>
            </w:tcBorders>
            <w:vAlign w:val="center"/>
          </w:tcPr>
          <w:p w14:paraId="6E2FFFA8">
            <w:pPr>
              <w:pStyle w:val="64"/>
            </w:pPr>
          </w:p>
        </w:tc>
        <w:tc>
          <w:tcPr>
            <w:tcW w:w="1625" w:type="dxa"/>
            <w:tcBorders>
              <w:top w:val="single" w:color="auto" w:sz="6" w:space="0"/>
              <w:left w:val="single" w:color="auto" w:sz="6" w:space="0"/>
              <w:bottom w:val="single" w:color="auto" w:sz="6" w:space="0"/>
              <w:right w:val="single" w:color="auto" w:sz="6" w:space="0"/>
            </w:tcBorders>
            <w:vAlign w:val="center"/>
          </w:tcPr>
          <w:p w14:paraId="426FC299">
            <w:pPr>
              <w:pStyle w:val="64"/>
            </w:pPr>
            <w:r>
              <w:t>沸点(℃)</w:t>
            </w:r>
          </w:p>
        </w:tc>
        <w:tc>
          <w:tcPr>
            <w:tcW w:w="904" w:type="dxa"/>
            <w:tcBorders>
              <w:top w:val="single" w:color="auto" w:sz="6" w:space="0"/>
              <w:left w:val="single" w:color="auto" w:sz="6" w:space="0"/>
              <w:bottom w:val="single" w:color="auto" w:sz="6" w:space="0"/>
              <w:right w:val="single" w:color="auto" w:sz="6" w:space="0"/>
            </w:tcBorders>
            <w:vAlign w:val="center"/>
          </w:tcPr>
          <w:p w14:paraId="54893714">
            <w:pPr>
              <w:pStyle w:val="64"/>
            </w:pPr>
            <w:r>
              <w:t>201.8</w:t>
            </w:r>
          </w:p>
        </w:tc>
        <w:tc>
          <w:tcPr>
            <w:tcW w:w="2938" w:type="dxa"/>
            <w:gridSpan w:val="5"/>
            <w:tcBorders>
              <w:top w:val="single" w:color="auto" w:sz="6" w:space="0"/>
              <w:left w:val="single" w:color="auto" w:sz="6" w:space="0"/>
              <w:bottom w:val="single" w:color="auto" w:sz="6" w:space="0"/>
              <w:right w:val="single" w:color="auto" w:sz="6" w:space="0"/>
            </w:tcBorders>
            <w:vAlign w:val="center"/>
          </w:tcPr>
          <w:p w14:paraId="2F12EFC1">
            <w:pPr>
              <w:pStyle w:val="64"/>
            </w:pPr>
            <w:r>
              <w:t>饱和蒸气压(kPa)</w:t>
            </w:r>
          </w:p>
        </w:tc>
        <w:tc>
          <w:tcPr>
            <w:tcW w:w="3005" w:type="dxa"/>
            <w:gridSpan w:val="2"/>
            <w:tcBorders>
              <w:top w:val="single" w:color="auto" w:sz="6" w:space="0"/>
              <w:left w:val="single" w:color="auto" w:sz="6" w:space="0"/>
              <w:bottom w:val="single" w:color="auto" w:sz="6" w:space="0"/>
              <w:right w:val="single" w:color="auto" w:sz="6" w:space="0"/>
            </w:tcBorders>
            <w:vAlign w:val="center"/>
          </w:tcPr>
          <w:p w14:paraId="048491C3">
            <w:pPr>
              <w:pStyle w:val="64"/>
            </w:pPr>
            <w:r>
              <w:t>0.13</w:t>
            </w:r>
          </w:p>
        </w:tc>
      </w:tr>
      <w:tr w14:paraId="1E3611C5">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20" w:hRule="atLeast"/>
          <w:jc w:val="center"/>
        </w:trPr>
        <w:tc>
          <w:tcPr>
            <w:tcW w:w="708" w:type="dxa"/>
            <w:vMerge w:val="continue"/>
            <w:tcBorders>
              <w:top w:val="single" w:color="auto" w:sz="6" w:space="0"/>
              <w:left w:val="single" w:color="auto" w:sz="6" w:space="0"/>
              <w:bottom w:val="single" w:color="auto" w:sz="6" w:space="0"/>
              <w:right w:val="single" w:color="auto" w:sz="6" w:space="0"/>
            </w:tcBorders>
            <w:vAlign w:val="center"/>
          </w:tcPr>
          <w:p w14:paraId="4E8112F3">
            <w:pPr>
              <w:pStyle w:val="64"/>
            </w:pPr>
          </w:p>
        </w:tc>
        <w:tc>
          <w:tcPr>
            <w:tcW w:w="1625" w:type="dxa"/>
            <w:tcBorders>
              <w:top w:val="single" w:color="auto" w:sz="6" w:space="0"/>
              <w:left w:val="single" w:color="auto" w:sz="6" w:space="0"/>
              <w:bottom w:val="single" w:color="auto" w:sz="6" w:space="0"/>
              <w:right w:val="single" w:color="auto" w:sz="6" w:space="0"/>
            </w:tcBorders>
            <w:vAlign w:val="center"/>
          </w:tcPr>
          <w:p w14:paraId="48C0C4FA">
            <w:pPr>
              <w:pStyle w:val="64"/>
            </w:pPr>
            <w:r>
              <w:t>溶解性</w:t>
            </w:r>
          </w:p>
        </w:tc>
        <w:tc>
          <w:tcPr>
            <w:tcW w:w="6847" w:type="dxa"/>
            <w:gridSpan w:val="8"/>
            <w:tcBorders>
              <w:top w:val="single" w:color="auto" w:sz="6" w:space="0"/>
              <w:left w:val="single" w:color="auto" w:sz="6" w:space="0"/>
              <w:bottom w:val="single" w:color="auto" w:sz="6" w:space="0"/>
              <w:right w:val="single" w:color="auto" w:sz="6" w:space="0"/>
            </w:tcBorders>
            <w:vAlign w:val="center"/>
          </w:tcPr>
          <w:p w14:paraId="2651765A">
            <w:pPr>
              <w:pStyle w:val="64"/>
            </w:pPr>
            <w:r>
              <w:t>微溶于水，溶于乙醇、乙醚、氯仿、碱液等。</w:t>
            </w:r>
          </w:p>
        </w:tc>
      </w:tr>
      <w:tr w14:paraId="43D1F655">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20" w:hRule="atLeast"/>
          <w:jc w:val="center"/>
        </w:trPr>
        <w:tc>
          <w:tcPr>
            <w:tcW w:w="708" w:type="dxa"/>
            <w:vMerge w:val="restart"/>
            <w:tcBorders>
              <w:top w:val="single" w:color="auto" w:sz="6" w:space="0"/>
              <w:left w:val="single" w:color="auto" w:sz="6" w:space="0"/>
              <w:bottom w:val="single" w:color="auto" w:sz="6" w:space="0"/>
              <w:right w:val="single" w:color="auto" w:sz="6" w:space="0"/>
            </w:tcBorders>
            <w:vAlign w:val="center"/>
          </w:tcPr>
          <w:p w14:paraId="1B547973">
            <w:pPr>
              <w:pStyle w:val="64"/>
            </w:pPr>
            <w:r>
              <w:t>毒性及健康危害</w:t>
            </w:r>
          </w:p>
        </w:tc>
        <w:tc>
          <w:tcPr>
            <w:tcW w:w="1625" w:type="dxa"/>
            <w:tcBorders>
              <w:top w:val="single" w:color="auto" w:sz="6" w:space="0"/>
              <w:left w:val="single" w:color="auto" w:sz="6" w:space="0"/>
              <w:bottom w:val="single" w:color="auto" w:sz="6" w:space="0"/>
              <w:right w:val="single" w:color="auto" w:sz="6" w:space="0"/>
            </w:tcBorders>
            <w:vAlign w:val="center"/>
          </w:tcPr>
          <w:p w14:paraId="12C4042D">
            <w:pPr>
              <w:pStyle w:val="64"/>
            </w:pPr>
            <w:r>
              <w:t>侵入途径</w:t>
            </w:r>
          </w:p>
        </w:tc>
        <w:tc>
          <w:tcPr>
            <w:tcW w:w="6847" w:type="dxa"/>
            <w:gridSpan w:val="8"/>
            <w:tcBorders>
              <w:top w:val="single" w:color="auto" w:sz="6" w:space="0"/>
              <w:left w:val="single" w:color="auto" w:sz="6" w:space="0"/>
              <w:bottom w:val="single" w:color="auto" w:sz="6" w:space="0"/>
              <w:right w:val="single" w:color="auto" w:sz="4" w:space="0"/>
            </w:tcBorders>
            <w:vAlign w:val="center"/>
          </w:tcPr>
          <w:p w14:paraId="04E0EC32">
            <w:pPr>
              <w:pStyle w:val="64"/>
            </w:pPr>
            <w:r>
              <w:t>吸入 食入 经皮吸收</w:t>
            </w:r>
          </w:p>
        </w:tc>
      </w:tr>
      <w:tr w14:paraId="5CB5E464">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20" w:hRule="atLeast"/>
          <w:jc w:val="center"/>
        </w:trPr>
        <w:tc>
          <w:tcPr>
            <w:tcW w:w="708" w:type="dxa"/>
            <w:vMerge w:val="continue"/>
            <w:tcBorders>
              <w:top w:val="single" w:color="auto" w:sz="6" w:space="0"/>
              <w:left w:val="single" w:color="auto" w:sz="6" w:space="0"/>
              <w:bottom w:val="single" w:color="auto" w:sz="6" w:space="0"/>
              <w:right w:val="single" w:color="auto" w:sz="6" w:space="0"/>
            </w:tcBorders>
            <w:vAlign w:val="center"/>
          </w:tcPr>
          <w:p w14:paraId="68E3EF3F">
            <w:pPr>
              <w:pStyle w:val="64"/>
            </w:pPr>
          </w:p>
        </w:tc>
        <w:tc>
          <w:tcPr>
            <w:tcW w:w="1625" w:type="dxa"/>
            <w:tcBorders>
              <w:top w:val="single" w:color="auto" w:sz="6" w:space="0"/>
              <w:left w:val="single" w:color="auto" w:sz="6" w:space="0"/>
              <w:bottom w:val="single" w:color="auto" w:sz="6" w:space="0"/>
              <w:right w:val="single" w:color="auto" w:sz="6" w:space="0"/>
            </w:tcBorders>
            <w:vAlign w:val="center"/>
          </w:tcPr>
          <w:p w14:paraId="0B5E31F6">
            <w:pPr>
              <w:pStyle w:val="64"/>
            </w:pPr>
            <w:r>
              <w:t>毒性</w:t>
            </w:r>
          </w:p>
        </w:tc>
        <w:tc>
          <w:tcPr>
            <w:tcW w:w="6847" w:type="dxa"/>
            <w:gridSpan w:val="8"/>
            <w:tcBorders>
              <w:top w:val="single" w:color="auto" w:sz="6" w:space="0"/>
              <w:left w:val="single" w:color="auto" w:sz="6" w:space="0"/>
              <w:bottom w:val="single" w:color="auto" w:sz="6" w:space="0"/>
              <w:right w:val="single" w:color="auto" w:sz="6" w:space="0"/>
            </w:tcBorders>
            <w:vAlign w:val="center"/>
          </w:tcPr>
          <w:p w14:paraId="37AF5753">
            <w:pPr>
              <w:pStyle w:val="64"/>
            </w:pPr>
            <w:r>
              <w:t>属高毒类LD850：207mg／bg(大鼠经口)LC50：301mg／kg(兔经皮)</w:t>
            </w:r>
          </w:p>
        </w:tc>
      </w:tr>
      <w:tr w14:paraId="39AFB91D">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20" w:hRule="atLeast"/>
          <w:jc w:val="center"/>
        </w:trPr>
        <w:tc>
          <w:tcPr>
            <w:tcW w:w="708" w:type="dxa"/>
            <w:vMerge w:val="continue"/>
            <w:tcBorders>
              <w:top w:val="single" w:color="auto" w:sz="6" w:space="0"/>
              <w:left w:val="single" w:color="auto" w:sz="6" w:space="0"/>
              <w:bottom w:val="single" w:color="auto" w:sz="6" w:space="0"/>
              <w:right w:val="single" w:color="auto" w:sz="6" w:space="0"/>
            </w:tcBorders>
            <w:vAlign w:val="center"/>
          </w:tcPr>
          <w:p w14:paraId="4907B6FB">
            <w:pPr>
              <w:pStyle w:val="64"/>
            </w:pPr>
          </w:p>
        </w:tc>
        <w:tc>
          <w:tcPr>
            <w:tcW w:w="1625" w:type="dxa"/>
            <w:tcBorders>
              <w:top w:val="single" w:color="auto" w:sz="6" w:space="0"/>
              <w:left w:val="single" w:color="auto" w:sz="6" w:space="0"/>
              <w:bottom w:val="single" w:color="auto" w:sz="4" w:space="0"/>
              <w:right w:val="single" w:color="auto" w:sz="6" w:space="0"/>
            </w:tcBorders>
            <w:vAlign w:val="center"/>
          </w:tcPr>
          <w:p w14:paraId="48038F2E">
            <w:pPr>
              <w:pStyle w:val="64"/>
            </w:pPr>
            <w:r>
              <w:t>健康危害</w:t>
            </w:r>
          </w:p>
        </w:tc>
        <w:tc>
          <w:tcPr>
            <w:tcW w:w="6847" w:type="dxa"/>
            <w:gridSpan w:val="8"/>
            <w:tcBorders>
              <w:top w:val="single" w:color="auto" w:sz="6" w:space="0"/>
              <w:left w:val="single" w:color="auto" w:sz="6" w:space="0"/>
              <w:bottom w:val="single" w:color="auto" w:sz="4" w:space="0"/>
              <w:right w:val="single" w:color="auto" w:sz="6" w:space="0"/>
            </w:tcBorders>
            <w:vAlign w:val="center"/>
          </w:tcPr>
          <w:p w14:paraId="4B98A2F0">
            <w:pPr>
              <w:pStyle w:val="64"/>
              <w:jc w:val="both"/>
            </w:pPr>
            <w:r>
              <w:t>本品对皮肤、粘膜有强烈刺激和腐蚀作用。引起多脏器损害。急性中毒：引起肌肉无力、胃肠道症状、中枢神经抑制、虚脱、体温下降和昏迷，并可引起肺水肿和肝、肾、胰等脏器损害，最终发生呼吸衰竭。慢性影响：可引起消化道功能障碍，肝、肾损害和皮疹。</w:t>
            </w:r>
          </w:p>
        </w:tc>
      </w:tr>
      <w:tr w14:paraId="7B69C590">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20" w:hRule="atLeast"/>
          <w:jc w:val="center"/>
        </w:trPr>
        <w:tc>
          <w:tcPr>
            <w:tcW w:w="708" w:type="dxa"/>
            <w:vMerge w:val="continue"/>
            <w:tcBorders>
              <w:top w:val="single" w:color="auto" w:sz="6" w:space="0"/>
              <w:left w:val="single" w:color="auto" w:sz="6" w:space="0"/>
              <w:bottom w:val="single" w:color="auto" w:sz="6" w:space="0"/>
              <w:right w:val="single" w:color="auto" w:sz="6" w:space="0"/>
            </w:tcBorders>
            <w:vAlign w:val="center"/>
          </w:tcPr>
          <w:p w14:paraId="255D64E7">
            <w:pPr>
              <w:pStyle w:val="64"/>
            </w:pPr>
          </w:p>
        </w:tc>
        <w:tc>
          <w:tcPr>
            <w:tcW w:w="1625" w:type="dxa"/>
            <w:tcBorders>
              <w:top w:val="single" w:color="auto" w:sz="4" w:space="0"/>
              <w:left w:val="single" w:color="auto" w:sz="6" w:space="0"/>
              <w:bottom w:val="single" w:color="auto" w:sz="6" w:space="0"/>
              <w:right w:val="single" w:color="auto" w:sz="6" w:space="0"/>
            </w:tcBorders>
            <w:vAlign w:val="center"/>
          </w:tcPr>
          <w:p w14:paraId="0AF4C3D1">
            <w:pPr>
              <w:pStyle w:val="64"/>
            </w:pPr>
            <w:r>
              <w:t>急救方法</w:t>
            </w:r>
          </w:p>
        </w:tc>
        <w:tc>
          <w:tcPr>
            <w:tcW w:w="6847" w:type="dxa"/>
            <w:gridSpan w:val="8"/>
            <w:tcBorders>
              <w:top w:val="single" w:color="auto" w:sz="4" w:space="0"/>
              <w:left w:val="single" w:color="auto" w:sz="6" w:space="0"/>
              <w:bottom w:val="single" w:color="auto" w:sz="6" w:space="0"/>
              <w:right w:val="single" w:color="auto" w:sz="6" w:space="0"/>
            </w:tcBorders>
            <w:vAlign w:val="center"/>
          </w:tcPr>
          <w:p w14:paraId="6B08F0DB">
            <w:pPr>
              <w:pStyle w:val="64"/>
              <w:jc w:val="both"/>
            </w:pPr>
            <w:r>
              <w:t>吸入：迅速脱离现场至空气新鲜处。保持呼吸道通畅。如呼吸困难，给输氧。如呼吸停止，立即进行人工呼吸。就医。</w:t>
            </w:r>
          </w:p>
          <w:p w14:paraId="510CE9C8">
            <w:pPr>
              <w:pStyle w:val="64"/>
              <w:jc w:val="both"/>
              <w:rPr>
                <w:lang w:val="zh-CN"/>
              </w:rPr>
            </w:pPr>
            <w:r>
              <w:t>皮肤接触：</w:t>
            </w:r>
            <w:r>
              <w:rPr>
                <w:lang w:val="zh-CN"/>
              </w:rPr>
              <w:t>立即脱去污染的衣着，用甘油、聚乙烯乙二醇或聚乙烯乙二醇和酒精混合液(7:3)抹洗，然后用水彻底清洗。或用大量流动清水冲洗至少15分钟。就医。</w:t>
            </w:r>
          </w:p>
          <w:p w14:paraId="777190F8">
            <w:pPr>
              <w:pStyle w:val="64"/>
              <w:jc w:val="both"/>
              <w:rPr>
                <w:lang w:val="zh-CN"/>
              </w:rPr>
            </w:pPr>
            <w:r>
              <w:t>眼睛接触：</w:t>
            </w:r>
            <w:r>
              <w:rPr>
                <w:lang w:val="zh-CN"/>
              </w:rPr>
              <w:t>立即提起眼睑，用大量流动清水或生理盐水彻底冲洗至少15分钟。就医。</w:t>
            </w:r>
          </w:p>
          <w:p w14:paraId="5AD368D6">
            <w:pPr>
              <w:pStyle w:val="64"/>
              <w:jc w:val="both"/>
            </w:pPr>
            <w:r>
              <w:t>食入：</w:t>
            </w:r>
            <w:r>
              <w:rPr>
                <w:lang w:val="zh-CN"/>
              </w:rPr>
              <w:t>立即给饮植物油15～30mL。催吐。就医。</w:t>
            </w:r>
          </w:p>
        </w:tc>
      </w:tr>
      <w:tr w14:paraId="1430557A">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20" w:hRule="atLeast"/>
          <w:jc w:val="center"/>
        </w:trPr>
        <w:tc>
          <w:tcPr>
            <w:tcW w:w="708" w:type="dxa"/>
            <w:vMerge w:val="restart"/>
            <w:tcBorders>
              <w:top w:val="single" w:color="auto" w:sz="6" w:space="0"/>
              <w:left w:val="single" w:color="auto" w:sz="6" w:space="0"/>
              <w:bottom w:val="single" w:color="auto" w:sz="6" w:space="0"/>
              <w:right w:val="single" w:color="auto" w:sz="6" w:space="0"/>
            </w:tcBorders>
            <w:vAlign w:val="center"/>
          </w:tcPr>
          <w:p w14:paraId="23CD0DC4">
            <w:pPr>
              <w:pStyle w:val="64"/>
            </w:pPr>
            <w:r>
              <w:t>燃烧爆炸危险性</w:t>
            </w:r>
          </w:p>
        </w:tc>
        <w:tc>
          <w:tcPr>
            <w:tcW w:w="1625" w:type="dxa"/>
            <w:tcBorders>
              <w:top w:val="single" w:color="auto" w:sz="6" w:space="0"/>
              <w:left w:val="single" w:color="auto" w:sz="6" w:space="0"/>
              <w:bottom w:val="single" w:color="auto" w:sz="6" w:space="0"/>
              <w:right w:val="single" w:color="auto" w:sz="6" w:space="0"/>
            </w:tcBorders>
            <w:vAlign w:val="center"/>
          </w:tcPr>
          <w:p w14:paraId="0C95D3C6">
            <w:pPr>
              <w:pStyle w:val="64"/>
            </w:pPr>
            <w:r>
              <w:t>燃烧性</w:t>
            </w:r>
          </w:p>
        </w:tc>
        <w:tc>
          <w:tcPr>
            <w:tcW w:w="1956" w:type="dxa"/>
            <w:gridSpan w:val="3"/>
            <w:tcBorders>
              <w:top w:val="single" w:color="auto" w:sz="6" w:space="0"/>
              <w:left w:val="single" w:color="auto" w:sz="6" w:space="0"/>
              <w:bottom w:val="single" w:color="auto" w:sz="6" w:space="0"/>
              <w:right w:val="single" w:color="auto" w:sz="6" w:space="0"/>
            </w:tcBorders>
            <w:vAlign w:val="center"/>
          </w:tcPr>
          <w:p w14:paraId="6AEA15EA">
            <w:pPr>
              <w:pStyle w:val="64"/>
            </w:pPr>
            <w:r>
              <w:t>易燃</w:t>
            </w:r>
          </w:p>
        </w:tc>
        <w:tc>
          <w:tcPr>
            <w:tcW w:w="1649" w:type="dxa"/>
            <w:gridSpan w:val="2"/>
            <w:tcBorders>
              <w:top w:val="single" w:color="auto" w:sz="6" w:space="0"/>
              <w:left w:val="single" w:color="auto" w:sz="6" w:space="0"/>
              <w:bottom w:val="single" w:color="auto" w:sz="6" w:space="0"/>
              <w:right w:val="single" w:color="auto" w:sz="6" w:space="0"/>
            </w:tcBorders>
            <w:vAlign w:val="center"/>
          </w:tcPr>
          <w:p w14:paraId="31579AAF">
            <w:pPr>
              <w:pStyle w:val="64"/>
            </w:pPr>
            <w:r>
              <w:t>燃烧分解物</w:t>
            </w:r>
          </w:p>
        </w:tc>
        <w:tc>
          <w:tcPr>
            <w:tcW w:w="3242" w:type="dxa"/>
            <w:gridSpan w:val="3"/>
            <w:tcBorders>
              <w:top w:val="single" w:color="auto" w:sz="6" w:space="0"/>
              <w:left w:val="single" w:color="auto" w:sz="6" w:space="0"/>
              <w:bottom w:val="single" w:color="auto" w:sz="6" w:space="0"/>
              <w:right w:val="single" w:color="auto" w:sz="6" w:space="0"/>
            </w:tcBorders>
            <w:vAlign w:val="center"/>
          </w:tcPr>
          <w:p w14:paraId="08D5FBFA">
            <w:pPr>
              <w:pStyle w:val="64"/>
            </w:pPr>
            <w:r>
              <w:t>一氧化碳、二氧化碳。</w:t>
            </w:r>
          </w:p>
        </w:tc>
      </w:tr>
      <w:tr w14:paraId="5C734FCB">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20" w:hRule="atLeast"/>
          <w:jc w:val="center"/>
        </w:trPr>
        <w:tc>
          <w:tcPr>
            <w:tcW w:w="708" w:type="dxa"/>
            <w:vMerge w:val="continue"/>
            <w:tcBorders>
              <w:top w:val="single" w:color="auto" w:sz="6" w:space="0"/>
              <w:left w:val="single" w:color="auto" w:sz="6" w:space="0"/>
              <w:bottom w:val="single" w:color="auto" w:sz="6" w:space="0"/>
              <w:right w:val="single" w:color="auto" w:sz="6" w:space="0"/>
            </w:tcBorders>
            <w:vAlign w:val="center"/>
          </w:tcPr>
          <w:p w14:paraId="1D4BF0E1">
            <w:pPr>
              <w:pStyle w:val="64"/>
            </w:pPr>
          </w:p>
        </w:tc>
        <w:tc>
          <w:tcPr>
            <w:tcW w:w="1625" w:type="dxa"/>
            <w:tcBorders>
              <w:top w:val="single" w:color="auto" w:sz="6" w:space="0"/>
              <w:left w:val="single" w:color="auto" w:sz="6" w:space="0"/>
              <w:bottom w:val="single" w:color="auto" w:sz="6" w:space="0"/>
              <w:right w:val="single" w:color="auto" w:sz="6" w:space="0"/>
            </w:tcBorders>
            <w:vAlign w:val="center"/>
          </w:tcPr>
          <w:p w14:paraId="0564AD20">
            <w:pPr>
              <w:pStyle w:val="64"/>
            </w:pPr>
            <w:r>
              <w:t>闪点(℃)</w:t>
            </w:r>
          </w:p>
        </w:tc>
        <w:tc>
          <w:tcPr>
            <w:tcW w:w="1956" w:type="dxa"/>
            <w:gridSpan w:val="3"/>
            <w:tcBorders>
              <w:top w:val="single" w:color="auto" w:sz="6" w:space="0"/>
              <w:left w:val="single" w:color="auto" w:sz="6" w:space="0"/>
              <w:bottom w:val="single" w:color="auto" w:sz="6" w:space="0"/>
              <w:right w:val="single" w:color="auto" w:sz="6" w:space="0"/>
            </w:tcBorders>
            <w:vAlign w:val="center"/>
          </w:tcPr>
          <w:p w14:paraId="02525FBF">
            <w:pPr>
              <w:pStyle w:val="64"/>
            </w:pPr>
            <w:r>
              <w:t>94.4</w:t>
            </w:r>
          </w:p>
        </w:tc>
        <w:tc>
          <w:tcPr>
            <w:tcW w:w="1649" w:type="dxa"/>
            <w:gridSpan w:val="2"/>
            <w:tcBorders>
              <w:top w:val="single" w:color="auto" w:sz="6" w:space="0"/>
              <w:left w:val="single" w:color="auto" w:sz="6" w:space="0"/>
              <w:bottom w:val="single" w:color="auto" w:sz="6" w:space="0"/>
              <w:right w:val="single" w:color="auto" w:sz="6" w:space="0"/>
            </w:tcBorders>
            <w:vAlign w:val="center"/>
          </w:tcPr>
          <w:p w14:paraId="2D2FE1ED">
            <w:pPr>
              <w:pStyle w:val="64"/>
            </w:pPr>
            <w:r>
              <w:t>爆炸上限(v%)</w:t>
            </w:r>
          </w:p>
        </w:tc>
        <w:tc>
          <w:tcPr>
            <w:tcW w:w="3242" w:type="dxa"/>
            <w:gridSpan w:val="3"/>
            <w:tcBorders>
              <w:top w:val="single" w:color="auto" w:sz="6" w:space="0"/>
              <w:left w:val="single" w:color="auto" w:sz="6" w:space="0"/>
              <w:bottom w:val="single" w:color="auto" w:sz="6" w:space="0"/>
              <w:right w:val="single" w:color="auto" w:sz="6" w:space="0"/>
            </w:tcBorders>
            <w:vAlign w:val="center"/>
          </w:tcPr>
          <w:p w14:paraId="20FB1C24">
            <w:pPr>
              <w:pStyle w:val="64"/>
            </w:pPr>
            <w:r>
              <w:t>无资料</w:t>
            </w:r>
          </w:p>
        </w:tc>
      </w:tr>
      <w:tr w14:paraId="3EB6B148">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20" w:hRule="atLeast"/>
          <w:jc w:val="center"/>
        </w:trPr>
        <w:tc>
          <w:tcPr>
            <w:tcW w:w="708" w:type="dxa"/>
            <w:vMerge w:val="continue"/>
            <w:tcBorders>
              <w:top w:val="single" w:color="auto" w:sz="6" w:space="0"/>
              <w:left w:val="single" w:color="auto" w:sz="6" w:space="0"/>
              <w:bottom w:val="single" w:color="auto" w:sz="6" w:space="0"/>
              <w:right w:val="single" w:color="auto" w:sz="6" w:space="0"/>
            </w:tcBorders>
            <w:vAlign w:val="center"/>
          </w:tcPr>
          <w:p w14:paraId="4EC8F9DC">
            <w:pPr>
              <w:pStyle w:val="64"/>
            </w:pPr>
          </w:p>
        </w:tc>
        <w:tc>
          <w:tcPr>
            <w:tcW w:w="1625" w:type="dxa"/>
            <w:tcBorders>
              <w:top w:val="single" w:color="auto" w:sz="6" w:space="0"/>
              <w:left w:val="single" w:color="auto" w:sz="6" w:space="0"/>
              <w:bottom w:val="single" w:color="auto" w:sz="6" w:space="0"/>
              <w:right w:val="single" w:color="auto" w:sz="6" w:space="0"/>
            </w:tcBorders>
            <w:vAlign w:val="center"/>
          </w:tcPr>
          <w:p w14:paraId="0F2641F8">
            <w:pPr>
              <w:pStyle w:val="64"/>
            </w:pPr>
            <w:r>
              <w:t>引燃温度(℃)</w:t>
            </w:r>
          </w:p>
        </w:tc>
        <w:tc>
          <w:tcPr>
            <w:tcW w:w="1956" w:type="dxa"/>
            <w:gridSpan w:val="3"/>
            <w:tcBorders>
              <w:top w:val="single" w:color="auto" w:sz="6" w:space="0"/>
              <w:left w:val="single" w:color="auto" w:sz="6" w:space="0"/>
              <w:bottom w:val="single" w:color="auto" w:sz="6" w:space="0"/>
              <w:right w:val="single" w:color="auto" w:sz="6" w:space="0"/>
            </w:tcBorders>
            <w:vAlign w:val="center"/>
          </w:tcPr>
          <w:p w14:paraId="49BD80CA">
            <w:pPr>
              <w:pStyle w:val="64"/>
            </w:pPr>
            <w:r>
              <w:t>559</w:t>
            </w:r>
          </w:p>
        </w:tc>
        <w:tc>
          <w:tcPr>
            <w:tcW w:w="1649" w:type="dxa"/>
            <w:gridSpan w:val="2"/>
            <w:tcBorders>
              <w:top w:val="single" w:color="auto" w:sz="6" w:space="0"/>
              <w:left w:val="single" w:color="auto" w:sz="6" w:space="0"/>
              <w:bottom w:val="single" w:color="auto" w:sz="6" w:space="0"/>
              <w:right w:val="single" w:color="auto" w:sz="6" w:space="0"/>
            </w:tcBorders>
            <w:vAlign w:val="center"/>
          </w:tcPr>
          <w:p w14:paraId="060299FB">
            <w:pPr>
              <w:pStyle w:val="64"/>
            </w:pPr>
            <w:r>
              <w:t>爆炸下限(v%)</w:t>
            </w:r>
          </w:p>
        </w:tc>
        <w:tc>
          <w:tcPr>
            <w:tcW w:w="3242" w:type="dxa"/>
            <w:gridSpan w:val="3"/>
            <w:tcBorders>
              <w:top w:val="single" w:color="auto" w:sz="6" w:space="0"/>
              <w:left w:val="single" w:color="auto" w:sz="6" w:space="0"/>
              <w:bottom w:val="single" w:color="auto" w:sz="6" w:space="0"/>
              <w:right w:val="single" w:color="auto" w:sz="6" w:space="0"/>
            </w:tcBorders>
            <w:vAlign w:val="center"/>
          </w:tcPr>
          <w:p w14:paraId="2CD9E86F">
            <w:pPr>
              <w:pStyle w:val="64"/>
            </w:pPr>
            <w:r>
              <w:t>1.1</w:t>
            </w:r>
          </w:p>
        </w:tc>
      </w:tr>
      <w:tr w14:paraId="60637100">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20" w:hRule="atLeast"/>
          <w:jc w:val="center"/>
        </w:trPr>
        <w:tc>
          <w:tcPr>
            <w:tcW w:w="708" w:type="dxa"/>
            <w:vMerge w:val="continue"/>
            <w:tcBorders>
              <w:top w:val="single" w:color="auto" w:sz="6" w:space="0"/>
              <w:left w:val="single" w:color="auto" w:sz="6" w:space="0"/>
              <w:bottom w:val="single" w:color="auto" w:sz="6" w:space="0"/>
              <w:right w:val="single" w:color="auto" w:sz="6" w:space="0"/>
            </w:tcBorders>
            <w:vAlign w:val="center"/>
          </w:tcPr>
          <w:p w14:paraId="01BBF186">
            <w:pPr>
              <w:pStyle w:val="64"/>
            </w:pPr>
          </w:p>
        </w:tc>
        <w:tc>
          <w:tcPr>
            <w:tcW w:w="1625" w:type="dxa"/>
            <w:tcBorders>
              <w:top w:val="single" w:color="auto" w:sz="6" w:space="0"/>
              <w:left w:val="single" w:color="auto" w:sz="6" w:space="0"/>
              <w:bottom w:val="single" w:color="auto" w:sz="6" w:space="0"/>
              <w:right w:val="single" w:color="auto" w:sz="6" w:space="0"/>
            </w:tcBorders>
            <w:vAlign w:val="center"/>
          </w:tcPr>
          <w:p w14:paraId="222D5768">
            <w:pPr>
              <w:pStyle w:val="64"/>
            </w:pPr>
            <w:r>
              <w:t>危险特性</w:t>
            </w:r>
          </w:p>
        </w:tc>
        <w:tc>
          <w:tcPr>
            <w:tcW w:w="6847" w:type="dxa"/>
            <w:gridSpan w:val="8"/>
            <w:tcBorders>
              <w:top w:val="single" w:color="auto" w:sz="6" w:space="0"/>
              <w:left w:val="single" w:color="auto" w:sz="6" w:space="0"/>
              <w:bottom w:val="single" w:color="auto" w:sz="6" w:space="0"/>
              <w:right w:val="single" w:color="auto" w:sz="6" w:space="0"/>
            </w:tcBorders>
            <w:vAlign w:val="center"/>
          </w:tcPr>
          <w:p w14:paraId="407EED53">
            <w:pPr>
              <w:pStyle w:val="64"/>
            </w:pPr>
            <w:r>
              <w:t>本品可燃，高毒，具腐蚀性、强刺激性，可致人体灼伤。</w:t>
            </w:r>
          </w:p>
        </w:tc>
      </w:tr>
      <w:tr w14:paraId="3F6801A8">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20" w:hRule="atLeast"/>
          <w:jc w:val="center"/>
        </w:trPr>
        <w:tc>
          <w:tcPr>
            <w:tcW w:w="708" w:type="dxa"/>
            <w:vMerge w:val="continue"/>
            <w:tcBorders>
              <w:top w:val="single" w:color="auto" w:sz="6" w:space="0"/>
              <w:left w:val="single" w:color="auto" w:sz="6" w:space="0"/>
              <w:bottom w:val="single" w:color="auto" w:sz="6" w:space="0"/>
              <w:right w:val="single" w:color="auto" w:sz="6" w:space="0"/>
            </w:tcBorders>
            <w:vAlign w:val="center"/>
          </w:tcPr>
          <w:p w14:paraId="61F303C2">
            <w:pPr>
              <w:pStyle w:val="64"/>
            </w:pPr>
          </w:p>
        </w:tc>
        <w:tc>
          <w:tcPr>
            <w:tcW w:w="1625" w:type="dxa"/>
            <w:vMerge w:val="restart"/>
            <w:tcBorders>
              <w:top w:val="single" w:color="auto" w:sz="6" w:space="0"/>
              <w:left w:val="single" w:color="auto" w:sz="6" w:space="0"/>
              <w:bottom w:val="single" w:color="auto" w:sz="6" w:space="0"/>
              <w:right w:val="single" w:color="auto" w:sz="6" w:space="0"/>
            </w:tcBorders>
            <w:vAlign w:val="center"/>
          </w:tcPr>
          <w:p w14:paraId="42E425DC">
            <w:pPr>
              <w:pStyle w:val="64"/>
            </w:pPr>
            <w:r>
              <w:t>储运条件</w:t>
            </w:r>
          </w:p>
          <w:p w14:paraId="458D307A">
            <w:pPr>
              <w:pStyle w:val="64"/>
            </w:pPr>
            <w:r>
              <w:t>与泄漏处理</w:t>
            </w:r>
          </w:p>
        </w:tc>
        <w:tc>
          <w:tcPr>
            <w:tcW w:w="6847" w:type="dxa"/>
            <w:gridSpan w:val="8"/>
            <w:tcBorders>
              <w:top w:val="single" w:color="auto" w:sz="6" w:space="0"/>
              <w:left w:val="single" w:color="auto" w:sz="6" w:space="0"/>
              <w:bottom w:val="single" w:color="auto" w:sz="6" w:space="0"/>
              <w:right w:val="single" w:color="auto" w:sz="6" w:space="0"/>
            </w:tcBorders>
            <w:vAlign w:val="center"/>
          </w:tcPr>
          <w:p w14:paraId="5489A411">
            <w:pPr>
              <w:pStyle w:val="64"/>
              <w:jc w:val="both"/>
            </w:pPr>
            <w:r>
              <w:t>储存于阴凉、通风的库房。远离火种、热源。包装要求密封，不可与空气接触。应与氧化剂、碱类、食用化学品分开存放，切忌混储。配备相应品种和数量的消防器材。储区应备有合适的材料收容泄漏物。应严格执行极毒物品“五双”管理制度。</w:t>
            </w:r>
          </w:p>
        </w:tc>
      </w:tr>
      <w:tr w14:paraId="0064D7C1">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20" w:hRule="atLeast"/>
          <w:jc w:val="center"/>
        </w:trPr>
        <w:tc>
          <w:tcPr>
            <w:tcW w:w="708" w:type="dxa"/>
            <w:vMerge w:val="continue"/>
            <w:tcBorders>
              <w:top w:val="single" w:color="auto" w:sz="6" w:space="0"/>
              <w:left w:val="single" w:color="auto" w:sz="6" w:space="0"/>
              <w:bottom w:val="single" w:color="auto" w:sz="6" w:space="0"/>
              <w:right w:val="single" w:color="auto" w:sz="6" w:space="0"/>
            </w:tcBorders>
            <w:vAlign w:val="center"/>
          </w:tcPr>
          <w:p w14:paraId="14146FF0">
            <w:pPr>
              <w:pStyle w:val="64"/>
            </w:pPr>
          </w:p>
        </w:tc>
        <w:tc>
          <w:tcPr>
            <w:tcW w:w="1625" w:type="dxa"/>
            <w:vMerge w:val="continue"/>
            <w:tcBorders>
              <w:top w:val="single" w:color="auto" w:sz="6" w:space="0"/>
              <w:left w:val="single" w:color="auto" w:sz="6" w:space="0"/>
              <w:bottom w:val="single" w:color="auto" w:sz="6" w:space="0"/>
              <w:right w:val="single" w:color="auto" w:sz="6" w:space="0"/>
            </w:tcBorders>
            <w:vAlign w:val="center"/>
          </w:tcPr>
          <w:p w14:paraId="6F16FEDC">
            <w:pPr>
              <w:pStyle w:val="64"/>
            </w:pPr>
          </w:p>
        </w:tc>
        <w:tc>
          <w:tcPr>
            <w:tcW w:w="6847" w:type="dxa"/>
            <w:gridSpan w:val="8"/>
            <w:tcBorders>
              <w:top w:val="single" w:color="auto" w:sz="6" w:space="0"/>
              <w:left w:val="single" w:color="auto" w:sz="6" w:space="0"/>
              <w:bottom w:val="single" w:color="auto" w:sz="6" w:space="0"/>
              <w:right w:val="single" w:color="auto" w:sz="6" w:space="0"/>
            </w:tcBorders>
            <w:vAlign w:val="center"/>
          </w:tcPr>
          <w:p w14:paraId="603C325C">
            <w:pPr>
              <w:pStyle w:val="64"/>
              <w:jc w:val="both"/>
            </w:pPr>
            <w:r>
              <w:t>铁路运输时应严格按照铁道部《危险货物运输规则》中的危险货物配装表进行配装。运输前应先检查包装容器是否完整、密封，运输过程中要确保容器不泄漏、不倒塌、不坠落、不损坏。严禁与酸类、氧化剂、食品及食品添加剂混运。运输途中应防曝晒、雨淋，防高温。</w:t>
            </w:r>
          </w:p>
        </w:tc>
      </w:tr>
      <w:tr w14:paraId="3533863A">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20" w:hRule="atLeast"/>
          <w:jc w:val="center"/>
        </w:trPr>
        <w:tc>
          <w:tcPr>
            <w:tcW w:w="708" w:type="dxa"/>
            <w:vMerge w:val="continue"/>
            <w:tcBorders>
              <w:top w:val="single" w:color="auto" w:sz="6" w:space="0"/>
              <w:left w:val="single" w:color="auto" w:sz="6" w:space="0"/>
              <w:bottom w:val="single" w:color="auto" w:sz="6" w:space="0"/>
              <w:right w:val="single" w:color="auto" w:sz="6" w:space="0"/>
            </w:tcBorders>
            <w:vAlign w:val="center"/>
          </w:tcPr>
          <w:p w14:paraId="37B5C2E8">
            <w:pPr>
              <w:pStyle w:val="64"/>
            </w:pPr>
          </w:p>
        </w:tc>
        <w:tc>
          <w:tcPr>
            <w:tcW w:w="1625" w:type="dxa"/>
            <w:vMerge w:val="continue"/>
            <w:tcBorders>
              <w:top w:val="single" w:color="auto" w:sz="6" w:space="0"/>
              <w:left w:val="single" w:color="auto" w:sz="6" w:space="0"/>
              <w:bottom w:val="single" w:color="auto" w:sz="6" w:space="0"/>
              <w:right w:val="single" w:color="auto" w:sz="6" w:space="0"/>
            </w:tcBorders>
            <w:vAlign w:val="center"/>
          </w:tcPr>
          <w:p w14:paraId="5303162C">
            <w:pPr>
              <w:pStyle w:val="64"/>
            </w:pPr>
          </w:p>
        </w:tc>
        <w:tc>
          <w:tcPr>
            <w:tcW w:w="6847" w:type="dxa"/>
            <w:gridSpan w:val="8"/>
            <w:tcBorders>
              <w:top w:val="single" w:color="auto" w:sz="6" w:space="0"/>
              <w:left w:val="single" w:color="auto" w:sz="6" w:space="0"/>
              <w:bottom w:val="single" w:color="auto" w:sz="6" w:space="0"/>
              <w:right w:val="single" w:color="auto" w:sz="6" w:space="0"/>
            </w:tcBorders>
            <w:vAlign w:val="center"/>
          </w:tcPr>
          <w:p w14:paraId="387680AF">
            <w:pPr>
              <w:pStyle w:val="64"/>
              <w:jc w:val="both"/>
            </w:pPr>
            <w:r>
              <w:t>隔离泄漏污染区，限制出入。切断火源。建议应急处理人员戴自给正压式呼吸器，穿防毒服。不要直接接触泄漏物。小量泄漏：避免扬尘，用洁净的铲子收集于干燥、洁净、有盖的容器中。大量泄漏：收集回收或运至废物处理场所处置。</w:t>
            </w:r>
          </w:p>
        </w:tc>
      </w:tr>
      <w:tr w14:paraId="536B3D4B">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20" w:hRule="atLeast"/>
          <w:jc w:val="center"/>
        </w:trPr>
        <w:tc>
          <w:tcPr>
            <w:tcW w:w="708" w:type="dxa"/>
            <w:vMerge w:val="continue"/>
            <w:tcBorders>
              <w:top w:val="single" w:color="auto" w:sz="6" w:space="0"/>
              <w:left w:val="single" w:color="auto" w:sz="6" w:space="0"/>
              <w:bottom w:val="single" w:color="auto" w:sz="6" w:space="0"/>
              <w:right w:val="single" w:color="auto" w:sz="6" w:space="0"/>
            </w:tcBorders>
            <w:vAlign w:val="center"/>
          </w:tcPr>
          <w:p w14:paraId="14B131F2">
            <w:pPr>
              <w:pStyle w:val="64"/>
            </w:pPr>
          </w:p>
        </w:tc>
        <w:tc>
          <w:tcPr>
            <w:tcW w:w="1625" w:type="dxa"/>
            <w:tcBorders>
              <w:top w:val="single" w:color="auto" w:sz="6" w:space="0"/>
              <w:left w:val="single" w:color="auto" w:sz="6" w:space="0"/>
              <w:bottom w:val="single" w:color="auto" w:sz="6" w:space="0"/>
              <w:right w:val="single" w:color="auto" w:sz="6" w:space="0"/>
            </w:tcBorders>
            <w:vAlign w:val="center"/>
          </w:tcPr>
          <w:p w14:paraId="6CD5C057">
            <w:pPr>
              <w:pStyle w:val="64"/>
            </w:pPr>
            <w:r>
              <w:t>灭火方法</w:t>
            </w:r>
          </w:p>
        </w:tc>
        <w:tc>
          <w:tcPr>
            <w:tcW w:w="6847" w:type="dxa"/>
            <w:gridSpan w:val="8"/>
            <w:tcBorders>
              <w:top w:val="single" w:color="auto" w:sz="6" w:space="0"/>
              <w:left w:val="single" w:color="auto" w:sz="6" w:space="0"/>
              <w:bottom w:val="single" w:color="auto" w:sz="6" w:space="0"/>
              <w:right w:val="single" w:color="auto" w:sz="6" w:space="0"/>
            </w:tcBorders>
            <w:vAlign w:val="center"/>
          </w:tcPr>
          <w:p w14:paraId="5F40C8FB">
            <w:pPr>
              <w:pStyle w:val="64"/>
              <w:jc w:val="both"/>
            </w:pPr>
            <w:r>
              <w:t>消防人员须佩戴防毒面具、穿全身消防服，在上风向灭火。灭火剂：雾状水、泡沫、干粉、二氧化碳、砂土。</w:t>
            </w:r>
          </w:p>
        </w:tc>
      </w:tr>
    </w:tbl>
    <w:p w14:paraId="541B469A">
      <w:pPr>
        <w:rPr>
          <w:rFonts w:cs="Times New Roman"/>
          <w:spacing w:val="-3"/>
        </w:rPr>
      </w:pPr>
    </w:p>
    <w:p w14:paraId="3570726A">
      <w:pPr>
        <w:ind w:firstLine="468" w:firstLineChars="200"/>
        <w:rPr>
          <w:rFonts w:cs="Times New Roman"/>
          <w:spacing w:val="-3"/>
        </w:rPr>
      </w:pPr>
      <w:r>
        <w:rPr>
          <w:rFonts w:hint="eastAsia" w:cs="Times New Roman"/>
          <w:spacing w:val="-3"/>
        </w:rPr>
        <w:t>根据项目情况，生产过程中涉及的危险物质分布情况见表6.8-19。</w:t>
      </w:r>
    </w:p>
    <w:p w14:paraId="35E218A3">
      <w:pPr>
        <w:pStyle w:val="28"/>
        <w:rPr>
          <w:rFonts w:hint="eastAsia"/>
        </w:rPr>
      </w:pPr>
      <w:r>
        <w:rPr>
          <w:rFonts w:hint="eastAsia"/>
        </w:rPr>
        <w:t>表6.8-19  项目危险物质主要分布一览表</w:t>
      </w:r>
    </w:p>
    <w:tbl>
      <w:tblPr>
        <w:tblStyle w:val="36"/>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1767"/>
        <w:gridCol w:w="2765"/>
        <w:gridCol w:w="4528"/>
      </w:tblGrid>
      <w:tr w14:paraId="2E0977D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75" w:type="pct"/>
            <w:tcBorders>
              <w:top w:val="single" w:color="000000" w:sz="4" w:space="0"/>
              <w:left w:val="single" w:color="000000" w:sz="4" w:space="0"/>
              <w:bottom w:val="single" w:color="000000" w:sz="4" w:space="0"/>
              <w:right w:val="single" w:color="000000" w:sz="4" w:space="0"/>
            </w:tcBorders>
            <w:vAlign w:val="center"/>
          </w:tcPr>
          <w:p w14:paraId="3DD7EDAC">
            <w:pPr>
              <w:pStyle w:val="64"/>
            </w:pPr>
            <w:r>
              <w:t>工程类别</w:t>
            </w:r>
          </w:p>
        </w:tc>
        <w:tc>
          <w:tcPr>
            <w:tcW w:w="1526" w:type="pct"/>
            <w:tcBorders>
              <w:top w:val="single" w:color="000000" w:sz="4" w:space="0"/>
              <w:left w:val="single" w:color="000000" w:sz="4" w:space="0"/>
              <w:bottom w:val="single" w:color="000000" w:sz="4" w:space="0"/>
              <w:right w:val="single" w:color="000000" w:sz="4" w:space="0"/>
            </w:tcBorders>
            <w:vAlign w:val="center"/>
          </w:tcPr>
          <w:p w14:paraId="1FC5ABC3">
            <w:pPr>
              <w:pStyle w:val="64"/>
            </w:pPr>
            <w:r>
              <w:t>危险单元</w:t>
            </w:r>
          </w:p>
        </w:tc>
        <w:tc>
          <w:tcPr>
            <w:tcW w:w="2499" w:type="pct"/>
            <w:tcBorders>
              <w:top w:val="single" w:color="000000" w:sz="4" w:space="0"/>
              <w:left w:val="single" w:color="000000" w:sz="4" w:space="0"/>
              <w:bottom w:val="single" w:color="000000" w:sz="4" w:space="0"/>
              <w:right w:val="single" w:color="auto" w:sz="4" w:space="0"/>
            </w:tcBorders>
            <w:vAlign w:val="center"/>
          </w:tcPr>
          <w:p w14:paraId="7D5B2E3B">
            <w:pPr>
              <w:pStyle w:val="64"/>
            </w:pPr>
            <w:r>
              <w:t>危险物质</w:t>
            </w:r>
          </w:p>
        </w:tc>
      </w:tr>
      <w:tr w14:paraId="5328B56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75" w:type="pct"/>
            <w:vMerge w:val="restart"/>
            <w:tcBorders>
              <w:top w:val="single" w:color="000000" w:sz="4" w:space="0"/>
              <w:left w:val="single" w:color="000000" w:sz="4" w:space="0"/>
              <w:right w:val="single" w:color="000000" w:sz="4" w:space="0"/>
            </w:tcBorders>
            <w:vAlign w:val="center"/>
          </w:tcPr>
          <w:p w14:paraId="3C46FD85">
            <w:pPr>
              <w:pStyle w:val="64"/>
            </w:pPr>
            <w:r>
              <w:t>工艺装置区</w:t>
            </w:r>
          </w:p>
        </w:tc>
        <w:tc>
          <w:tcPr>
            <w:tcW w:w="1526" w:type="pct"/>
            <w:tcBorders>
              <w:top w:val="single" w:color="000000" w:sz="4" w:space="0"/>
              <w:left w:val="single" w:color="000000" w:sz="4" w:space="0"/>
              <w:bottom w:val="single" w:color="000000" w:sz="4" w:space="0"/>
              <w:right w:val="single" w:color="000000" w:sz="4" w:space="0"/>
            </w:tcBorders>
            <w:vAlign w:val="center"/>
          </w:tcPr>
          <w:p w14:paraId="0A78BAAD">
            <w:pPr>
              <w:pStyle w:val="64"/>
            </w:pPr>
            <w:r>
              <w:rPr>
                <w:rFonts w:hint="eastAsia"/>
              </w:rPr>
              <w:t>烷基化装置</w:t>
            </w:r>
          </w:p>
        </w:tc>
        <w:tc>
          <w:tcPr>
            <w:tcW w:w="2499" w:type="pct"/>
            <w:tcBorders>
              <w:top w:val="single" w:color="000000" w:sz="4" w:space="0"/>
              <w:left w:val="single" w:color="000000" w:sz="4" w:space="0"/>
              <w:bottom w:val="single" w:color="000000" w:sz="4" w:space="0"/>
              <w:right w:val="single" w:color="auto" w:sz="4" w:space="0"/>
            </w:tcBorders>
            <w:vAlign w:val="center"/>
          </w:tcPr>
          <w:p w14:paraId="549E2CC7">
            <w:pPr>
              <w:pStyle w:val="64"/>
            </w:pPr>
            <w:r>
              <w:rPr>
                <w:rFonts w:hint="eastAsia"/>
              </w:rPr>
              <w:t>间对甲酚、硫酸、异丁烯、硫酸</w:t>
            </w:r>
          </w:p>
        </w:tc>
      </w:tr>
      <w:tr w14:paraId="3AA028D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75" w:type="pct"/>
            <w:vMerge w:val="continue"/>
            <w:tcBorders>
              <w:left w:val="single" w:color="000000" w:sz="4" w:space="0"/>
              <w:right w:val="single" w:color="000000" w:sz="4" w:space="0"/>
            </w:tcBorders>
            <w:vAlign w:val="center"/>
          </w:tcPr>
          <w:p w14:paraId="5BC3BB22">
            <w:pPr>
              <w:pStyle w:val="64"/>
            </w:pPr>
          </w:p>
        </w:tc>
        <w:tc>
          <w:tcPr>
            <w:tcW w:w="1526" w:type="pct"/>
            <w:tcBorders>
              <w:top w:val="single" w:color="000000" w:sz="4" w:space="0"/>
              <w:left w:val="single" w:color="000000" w:sz="4" w:space="0"/>
              <w:bottom w:val="single" w:color="000000" w:sz="4" w:space="0"/>
              <w:right w:val="single" w:color="000000" w:sz="4" w:space="0"/>
            </w:tcBorders>
            <w:vAlign w:val="center"/>
          </w:tcPr>
          <w:p w14:paraId="7EEEE037">
            <w:pPr>
              <w:pStyle w:val="64"/>
            </w:pPr>
            <w:r>
              <w:rPr>
                <w:rFonts w:hint="eastAsia"/>
              </w:rPr>
              <w:t>烷基化液精馏装置</w:t>
            </w:r>
          </w:p>
        </w:tc>
        <w:tc>
          <w:tcPr>
            <w:tcW w:w="2499" w:type="pct"/>
            <w:tcBorders>
              <w:top w:val="single" w:color="000000" w:sz="4" w:space="0"/>
              <w:left w:val="single" w:color="000000" w:sz="4" w:space="0"/>
              <w:bottom w:val="single" w:color="000000" w:sz="4" w:space="0"/>
              <w:right w:val="single" w:color="000000" w:sz="4" w:space="0"/>
            </w:tcBorders>
            <w:vAlign w:val="center"/>
          </w:tcPr>
          <w:p w14:paraId="2D1C8828">
            <w:pPr>
              <w:pStyle w:val="64"/>
            </w:pPr>
            <w:r>
              <w:rPr>
                <w:rFonts w:hint="eastAsia"/>
              </w:rPr>
              <w:t>间甲酚、对甲酚</w:t>
            </w:r>
          </w:p>
        </w:tc>
      </w:tr>
      <w:tr w14:paraId="7926EB6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75" w:type="pct"/>
            <w:vMerge w:val="restart"/>
            <w:tcBorders>
              <w:top w:val="single" w:color="000000" w:sz="4" w:space="0"/>
              <w:left w:val="single" w:color="000000" w:sz="4" w:space="0"/>
              <w:right w:val="single" w:color="000000" w:sz="4" w:space="0"/>
            </w:tcBorders>
            <w:vAlign w:val="center"/>
          </w:tcPr>
          <w:p w14:paraId="2D4BB6CB">
            <w:pPr>
              <w:pStyle w:val="64"/>
            </w:pPr>
            <w:r>
              <w:t>输送管道</w:t>
            </w:r>
          </w:p>
        </w:tc>
        <w:tc>
          <w:tcPr>
            <w:tcW w:w="1526" w:type="pct"/>
            <w:tcBorders>
              <w:top w:val="single" w:color="000000" w:sz="4" w:space="0"/>
              <w:left w:val="single" w:color="000000" w:sz="4" w:space="0"/>
              <w:bottom w:val="single" w:color="000000" w:sz="4" w:space="0"/>
              <w:right w:val="single" w:color="000000" w:sz="4" w:space="0"/>
            </w:tcBorders>
            <w:vAlign w:val="center"/>
          </w:tcPr>
          <w:p w14:paraId="4CB058CC">
            <w:pPr>
              <w:pStyle w:val="64"/>
            </w:pPr>
            <w:r>
              <w:t>原料罐区—生产车间装置</w:t>
            </w:r>
          </w:p>
        </w:tc>
        <w:tc>
          <w:tcPr>
            <w:tcW w:w="2499" w:type="pct"/>
            <w:tcBorders>
              <w:top w:val="single" w:color="000000" w:sz="4" w:space="0"/>
              <w:left w:val="single" w:color="000000" w:sz="4" w:space="0"/>
              <w:bottom w:val="single" w:color="000000" w:sz="4" w:space="0"/>
              <w:right w:val="single" w:color="000000" w:sz="4" w:space="0"/>
            </w:tcBorders>
            <w:vAlign w:val="center"/>
          </w:tcPr>
          <w:p w14:paraId="244B55CA">
            <w:pPr>
              <w:pStyle w:val="64"/>
            </w:pPr>
            <w:r>
              <w:rPr>
                <w:rFonts w:hint="eastAsia"/>
              </w:rPr>
              <w:t>间对甲酚、硫酸、异丁烯</w:t>
            </w:r>
          </w:p>
        </w:tc>
      </w:tr>
      <w:tr w14:paraId="03388BA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75" w:type="pct"/>
            <w:vMerge w:val="continue"/>
            <w:tcBorders>
              <w:left w:val="single" w:color="000000" w:sz="4" w:space="0"/>
              <w:right w:val="single" w:color="000000" w:sz="4" w:space="0"/>
            </w:tcBorders>
            <w:vAlign w:val="center"/>
          </w:tcPr>
          <w:p w14:paraId="65214054">
            <w:pPr>
              <w:pStyle w:val="64"/>
            </w:pPr>
          </w:p>
        </w:tc>
        <w:tc>
          <w:tcPr>
            <w:tcW w:w="1526" w:type="pct"/>
            <w:tcBorders>
              <w:top w:val="single" w:color="000000" w:sz="4" w:space="0"/>
              <w:left w:val="single" w:color="000000" w:sz="4" w:space="0"/>
              <w:bottom w:val="single" w:color="000000" w:sz="4" w:space="0"/>
              <w:right w:val="single" w:color="000000" w:sz="4" w:space="0"/>
            </w:tcBorders>
            <w:vAlign w:val="center"/>
          </w:tcPr>
          <w:p w14:paraId="47ADD106">
            <w:pPr>
              <w:pStyle w:val="64"/>
            </w:pPr>
            <w:r>
              <w:t>生产装置—中间罐</w:t>
            </w:r>
          </w:p>
        </w:tc>
        <w:tc>
          <w:tcPr>
            <w:tcW w:w="2499" w:type="pct"/>
            <w:tcBorders>
              <w:top w:val="single" w:color="000000" w:sz="4" w:space="0"/>
              <w:left w:val="single" w:color="000000" w:sz="4" w:space="0"/>
              <w:bottom w:val="single" w:color="000000" w:sz="4" w:space="0"/>
              <w:right w:val="single" w:color="000000" w:sz="4" w:space="0"/>
            </w:tcBorders>
            <w:vAlign w:val="center"/>
          </w:tcPr>
          <w:p w14:paraId="7238AC57">
            <w:pPr>
              <w:pStyle w:val="64"/>
            </w:pPr>
            <w:r>
              <w:rPr>
                <w:rFonts w:hint="eastAsia"/>
              </w:rPr>
              <w:t>间甲酚、对甲酚、异丁烯</w:t>
            </w:r>
          </w:p>
        </w:tc>
      </w:tr>
      <w:tr w14:paraId="14703CF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75" w:type="pct"/>
            <w:vMerge w:val="restart"/>
            <w:tcBorders>
              <w:top w:val="single" w:color="000000" w:sz="4" w:space="0"/>
              <w:left w:val="single" w:color="000000" w:sz="4" w:space="0"/>
              <w:right w:val="single" w:color="000000" w:sz="4" w:space="0"/>
            </w:tcBorders>
            <w:vAlign w:val="center"/>
          </w:tcPr>
          <w:p w14:paraId="2B525DDC">
            <w:pPr>
              <w:pStyle w:val="64"/>
            </w:pPr>
            <w:r>
              <w:t>储存装置</w:t>
            </w:r>
          </w:p>
        </w:tc>
        <w:tc>
          <w:tcPr>
            <w:tcW w:w="1526" w:type="pct"/>
            <w:tcBorders>
              <w:top w:val="single" w:color="000000" w:sz="4" w:space="0"/>
              <w:left w:val="single" w:color="000000" w:sz="4" w:space="0"/>
              <w:bottom w:val="single" w:color="000000" w:sz="4" w:space="0"/>
              <w:right w:val="single" w:color="000000" w:sz="4" w:space="0"/>
            </w:tcBorders>
            <w:vAlign w:val="center"/>
          </w:tcPr>
          <w:p w14:paraId="11E792C0">
            <w:pPr>
              <w:pStyle w:val="64"/>
            </w:pPr>
            <w:r>
              <w:t>原料罐区</w:t>
            </w:r>
          </w:p>
        </w:tc>
        <w:tc>
          <w:tcPr>
            <w:tcW w:w="2499" w:type="pct"/>
            <w:tcBorders>
              <w:top w:val="single" w:color="000000" w:sz="4" w:space="0"/>
              <w:left w:val="single" w:color="000000" w:sz="4" w:space="0"/>
              <w:bottom w:val="single" w:color="000000" w:sz="4" w:space="0"/>
              <w:right w:val="single" w:color="000000" w:sz="4" w:space="0"/>
            </w:tcBorders>
            <w:vAlign w:val="center"/>
          </w:tcPr>
          <w:p w14:paraId="7BF58159">
            <w:pPr>
              <w:pStyle w:val="64"/>
            </w:pPr>
            <w:r>
              <w:rPr>
                <w:rFonts w:hint="eastAsia"/>
              </w:rPr>
              <w:t>间对甲酚、硫酸</w:t>
            </w:r>
          </w:p>
        </w:tc>
      </w:tr>
      <w:tr w14:paraId="48C0D13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75" w:type="pct"/>
            <w:vMerge w:val="continue"/>
            <w:tcBorders>
              <w:left w:val="single" w:color="000000" w:sz="4" w:space="0"/>
              <w:right w:val="single" w:color="000000" w:sz="4" w:space="0"/>
            </w:tcBorders>
            <w:vAlign w:val="center"/>
          </w:tcPr>
          <w:p w14:paraId="30E01039">
            <w:pPr>
              <w:pStyle w:val="64"/>
            </w:pPr>
          </w:p>
        </w:tc>
        <w:tc>
          <w:tcPr>
            <w:tcW w:w="1526" w:type="pct"/>
            <w:tcBorders>
              <w:top w:val="single" w:color="000000" w:sz="4" w:space="0"/>
              <w:left w:val="single" w:color="000000" w:sz="4" w:space="0"/>
              <w:bottom w:val="single" w:color="000000" w:sz="4" w:space="0"/>
              <w:right w:val="single" w:color="000000" w:sz="4" w:space="0"/>
            </w:tcBorders>
            <w:vAlign w:val="center"/>
          </w:tcPr>
          <w:p w14:paraId="1EDB2689">
            <w:pPr>
              <w:pStyle w:val="64"/>
            </w:pPr>
            <w:r>
              <w:rPr>
                <w:rFonts w:hint="eastAsia"/>
              </w:rPr>
              <w:t>异丁烯罐区</w:t>
            </w:r>
          </w:p>
        </w:tc>
        <w:tc>
          <w:tcPr>
            <w:tcW w:w="2499" w:type="pct"/>
            <w:tcBorders>
              <w:top w:val="single" w:color="000000" w:sz="4" w:space="0"/>
              <w:left w:val="single" w:color="000000" w:sz="4" w:space="0"/>
              <w:bottom w:val="single" w:color="000000" w:sz="4" w:space="0"/>
              <w:right w:val="single" w:color="000000" w:sz="4" w:space="0"/>
            </w:tcBorders>
            <w:vAlign w:val="center"/>
          </w:tcPr>
          <w:p w14:paraId="586228B7">
            <w:pPr>
              <w:pStyle w:val="64"/>
            </w:pPr>
            <w:r>
              <w:rPr>
                <w:rFonts w:hint="eastAsia"/>
              </w:rPr>
              <w:t>异丁烯</w:t>
            </w:r>
          </w:p>
        </w:tc>
      </w:tr>
      <w:tr w14:paraId="3E808D0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75" w:type="pct"/>
            <w:tcBorders>
              <w:top w:val="single" w:color="000000" w:sz="4" w:space="0"/>
              <w:left w:val="single" w:color="000000" w:sz="4" w:space="0"/>
              <w:bottom w:val="single" w:color="000000" w:sz="4" w:space="0"/>
              <w:right w:val="single" w:color="000000" w:sz="4" w:space="0"/>
            </w:tcBorders>
            <w:vAlign w:val="center"/>
          </w:tcPr>
          <w:p w14:paraId="28280C6B">
            <w:pPr>
              <w:pStyle w:val="64"/>
            </w:pPr>
            <w:r>
              <w:t>环保工程</w:t>
            </w:r>
          </w:p>
        </w:tc>
        <w:tc>
          <w:tcPr>
            <w:tcW w:w="1526" w:type="pct"/>
            <w:tcBorders>
              <w:top w:val="single" w:color="000000" w:sz="4" w:space="0"/>
              <w:left w:val="single" w:color="000000" w:sz="4" w:space="0"/>
              <w:bottom w:val="single" w:color="000000" w:sz="4" w:space="0"/>
              <w:right w:val="single" w:color="000000" w:sz="4" w:space="0"/>
            </w:tcBorders>
            <w:vAlign w:val="center"/>
          </w:tcPr>
          <w:p w14:paraId="237136FF">
            <w:pPr>
              <w:pStyle w:val="64"/>
            </w:pPr>
            <w:r>
              <w:rPr>
                <w:rFonts w:hint="eastAsia"/>
              </w:rPr>
              <w:t>危废暂存库</w:t>
            </w:r>
          </w:p>
        </w:tc>
        <w:tc>
          <w:tcPr>
            <w:tcW w:w="2499" w:type="pct"/>
            <w:tcBorders>
              <w:top w:val="single" w:color="000000" w:sz="4" w:space="0"/>
              <w:left w:val="single" w:color="000000" w:sz="4" w:space="0"/>
              <w:bottom w:val="single" w:color="000000" w:sz="4" w:space="0"/>
              <w:right w:val="single" w:color="000000" w:sz="4" w:space="0"/>
            </w:tcBorders>
            <w:vAlign w:val="center"/>
          </w:tcPr>
          <w:p w14:paraId="49578B1C">
            <w:pPr>
              <w:pStyle w:val="64"/>
            </w:pPr>
            <w:r>
              <w:rPr>
                <w:rFonts w:hint="eastAsia"/>
              </w:rPr>
              <w:t>精馏釜残、有机残液</w:t>
            </w:r>
          </w:p>
        </w:tc>
      </w:tr>
    </w:tbl>
    <w:p w14:paraId="64AF6045">
      <w:pPr>
        <w:rPr>
          <w:rFonts w:cs="Times New Roman"/>
          <w:spacing w:val="-3"/>
        </w:rPr>
      </w:pPr>
    </w:p>
    <w:p w14:paraId="370D1447">
      <w:pPr>
        <w:ind w:firstLine="468" w:firstLineChars="200"/>
        <w:rPr>
          <w:rFonts w:cs="Times New Roman"/>
          <w:spacing w:val="-3"/>
        </w:rPr>
      </w:pPr>
      <w:r>
        <w:rPr>
          <w:rFonts w:hint="eastAsia" w:cs="Times New Roman"/>
          <w:spacing w:val="-3"/>
        </w:rPr>
        <w:t>2、生产系统危险性识别</w:t>
      </w:r>
    </w:p>
    <w:p w14:paraId="0BCFC023">
      <w:pPr>
        <w:ind w:firstLine="468" w:firstLineChars="200"/>
        <w:rPr>
          <w:rFonts w:cs="Times New Roman"/>
          <w:spacing w:val="-3"/>
        </w:rPr>
      </w:pPr>
      <w:r>
        <w:rPr>
          <w:rFonts w:hint="eastAsia" w:cs="Times New Roman"/>
          <w:spacing w:val="-3"/>
        </w:rPr>
        <w:t>本项目生产系统危险性识别包括生产装置、储运设施、公用工程和辅助生产设施，以及环境保护设施等。生产主装置主要是烷基化和减压精馏装置；储运系统主要是原料罐区、成品罐区和异丁烯罐区；输送系统主要是各类危险物料输送管线等；公用工程包括供电、电气、供天然气等；环保工程主要是危废暂存库。</w:t>
      </w:r>
    </w:p>
    <w:p w14:paraId="3C0AB81C">
      <w:pPr>
        <w:ind w:firstLine="468" w:firstLineChars="200"/>
        <w:rPr>
          <w:rFonts w:cs="Times New Roman"/>
          <w:spacing w:val="-3"/>
        </w:rPr>
      </w:pPr>
      <w:r>
        <w:rPr>
          <w:rFonts w:hint="eastAsia" w:cs="Times New Roman"/>
          <w:spacing w:val="-3"/>
        </w:rPr>
        <w:t>拟建项目危险单元及各危险单元中危险物质最大存在量见下表。</w:t>
      </w:r>
    </w:p>
    <w:p w14:paraId="0245E943">
      <w:pPr>
        <w:ind w:firstLine="468" w:firstLineChars="200"/>
        <w:rPr>
          <w:rFonts w:cs="Times New Roman"/>
          <w:spacing w:val="-3"/>
        </w:rPr>
      </w:pPr>
    </w:p>
    <w:p w14:paraId="4F124FB5">
      <w:pPr>
        <w:pStyle w:val="28"/>
        <w:rPr>
          <w:rFonts w:hint="eastAsia"/>
        </w:rPr>
      </w:pPr>
      <w:r>
        <w:rPr>
          <w:rFonts w:hint="eastAsia"/>
        </w:rPr>
        <w:t>表6.8-20  项目危险单元划分及危险物质最大存在量一览表</w:t>
      </w:r>
    </w:p>
    <w:tbl>
      <w:tblPr>
        <w:tblStyle w:val="36"/>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1077"/>
        <w:gridCol w:w="2607"/>
        <w:gridCol w:w="2551"/>
        <w:gridCol w:w="1279"/>
        <w:gridCol w:w="1546"/>
      </w:tblGrid>
      <w:tr w14:paraId="10B45D8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94" w:type="pct"/>
            <w:tcBorders>
              <w:top w:val="single" w:color="000000" w:sz="4" w:space="0"/>
              <w:left w:val="single" w:color="000000" w:sz="4" w:space="0"/>
              <w:bottom w:val="single" w:color="000000" w:sz="4" w:space="0"/>
              <w:right w:val="single" w:color="000000" w:sz="4" w:space="0"/>
            </w:tcBorders>
            <w:vAlign w:val="center"/>
          </w:tcPr>
          <w:p w14:paraId="0C88BE95">
            <w:pPr>
              <w:pStyle w:val="64"/>
            </w:pPr>
            <w:r>
              <w:t>工程类别</w:t>
            </w:r>
          </w:p>
        </w:tc>
        <w:tc>
          <w:tcPr>
            <w:tcW w:w="1439" w:type="pct"/>
            <w:tcBorders>
              <w:top w:val="single" w:color="000000" w:sz="4" w:space="0"/>
              <w:left w:val="single" w:color="000000" w:sz="4" w:space="0"/>
              <w:bottom w:val="single" w:color="000000" w:sz="4" w:space="0"/>
              <w:right w:val="single" w:color="000000" w:sz="4" w:space="0"/>
            </w:tcBorders>
            <w:vAlign w:val="center"/>
          </w:tcPr>
          <w:p w14:paraId="75040CDA">
            <w:pPr>
              <w:pStyle w:val="64"/>
            </w:pPr>
            <w:r>
              <w:t>危险单元</w:t>
            </w:r>
          </w:p>
        </w:tc>
        <w:tc>
          <w:tcPr>
            <w:tcW w:w="1408" w:type="pct"/>
            <w:tcBorders>
              <w:top w:val="single" w:color="000000" w:sz="4" w:space="0"/>
              <w:left w:val="single" w:color="000000" w:sz="4" w:space="0"/>
              <w:bottom w:val="single" w:color="000000" w:sz="4" w:space="0"/>
              <w:right w:val="single" w:color="auto" w:sz="4" w:space="0"/>
            </w:tcBorders>
            <w:vAlign w:val="center"/>
          </w:tcPr>
          <w:p w14:paraId="376E0646">
            <w:pPr>
              <w:pStyle w:val="64"/>
            </w:pPr>
            <w:r>
              <w:t>危险物质</w:t>
            </w:r>
          </w:p>
        </w:tc>
        <w:tc>
          <w:tcPr>
            <w:tcW w:w="706" w:type="pct"/>
            <w:tcBorders>
              <w:top w:val="single" w:color="000000" w:sz="4" w:space="0"/>
              <w:left w:val="single" w:color="000000" w:sz="4" w:space="0"/>
              <w:bottom w:val="single" w:color="000000" w:sz="4" w:space="0"/>
              <w:right w:val="single" w:color="auto" w:sz="4" w:space="0"/>
            </w:tcBorders>
            <w:vAlign w:val="center"/>
          </w:tcPr>
          <w:p w14:paraId="12F387AB">
            <w:pPr>
              <w:pStyle w:val="64"/>
            </w:pPr>
            <w:r>
              <w:t>最大存在量</w:t>
            </w:r>
          </w:p>
        </w:tc>
        <w:tc>
          <w:tcPr>
            <w:tcW w:w="853" w:type="pct"/>
            <w:tcBorders>
              <w:top w:val="single" w:color="000000" w:sz="4" w:space="0"/>
              <w:left w:val="single" w:color="000000" w:sz="4" w:space="0"/>
              <w:bottom w:val="single" w:color="000000" w:sz="4" w:space="0"/>
              <w:right w:val="single" w:color="auto" w:sz="4" w:space="0"/>
            </w:tcBorders>
            <w:vAlign w:val="center"/>
          </w:tcPr>
          <w:p w14:paraId="23A8759A">
            <w:pPr>
              <w:pStyle w:val="64"/>
            </w:pPr>
            <w:r>
              <w:t>备注</w:t>
            </w:r>
          </w:p>
        </w:tc>
      </w:tr>
      <w:tr w14:paraId="1089D6A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94" w:type="pct"/>
            <w:vMerge w:val="restart"/>
            <w:tcBorders>
              <w:top w:val="single" w:color="000000" w:sz="4" w:space="0"/>
              <w:left w:val="single" w:color="000000" w:sz="4" w:space="0"/>
              <w:right w:val="single" w:color="000000" w:sz="4" w:space="0"/>
            </w:tcBorders>
            <w:vAlign w:val="center"/>
          </w:tcPr>
          <w:p w14:paraId="7275C46F">
            <w:pPr>
              <w:pStyle w:val="64"/>
            </w:pPr>
            <w:r>
              <w:t>工艺装置区</w:t>
            </w:r>
          </w:p>
        </w:tc>
        <w:tc>
          <w:tcPr>
            <w:tcW w:w="1439" w:type="pct"/>
            <w:vMerge w:val="restart"/>
            <w:tcBorders>
              <w:top w:val="single" w:color="000000" w:sz="4" w:space="0"/>
              <w:left w:val="single" w:color="000000" w:sz="4" w:space="0"/>
              <w:right w:val="single" w:color="000000" w:sz="4" w:space="0"/>
            </w:tcBorders>
            <w:vAlign w:val="center"/>
          </w:tcPr>
          <w:p w14:paraId="2AFDCAD7">
            <w:pPr>
              <w:pStyle w:val="64"/>
            </w:pPr>
            <w:r>
              <w:rPr>
                <w:rFonts w:hint="eastAsia"/>
              </w:rPr>
              <w:t>反应装置</w:t>
            </w:r>
          </w:p>
        </w:tc>
        <w:tc>
          <w:tcPr>
            <w:tcW w:w="1408" w:type="pct"/>
            <w:tcBorders>
              <w:top w:val="single" w:color="000000" w:sz="4" w:space="0"/>
              <w:left w:val="single" w:color="000000" w:sz="4" w:space="0"/>
              <w:bottom w:val="single" w:color="000000" w:sz="4" w:space="0"/>
              <w:right w:val="single" w:color="auto" w:sz="4" w:space="0"/>
            </w:tcBorders>
            <w:vAlign w:val="center"/>
          </w:tcPr>
          <w:p w14:paraId="655B5EF6">
            <w:pPr>
              <w:pStyle w:val="64"/>
            </w:pPr>
            <w:r>
              <w:rPr>
                <w:rFonts w:hint="eastAsia"/>
              </w:rPr>
              <w:t>对甲酚</w:t>
            </w:r>
          </w:p>
        </w:tc>
        <w:tc>
          <w:tcPr>
            <w:tcW w:w="706" w:type="pct"/>
            <w:tcBorders>
              <w:top w:val="single" w:color="000000" w:sz="4" w:space="0"/>
              <w:left w:val="single" w:color="000000" w:sz="4" w:space="0"/>
              <w:bottom w:val="single" w:color="000000" w:sz="4" w:space="0"/>
              <w:right w:val="single" w:color="auto" w:sz="4" w:space="0"/>
            </w:tcBorders>
            <w:vAlign w:val="center"/>
          </w:tcPr>
          <w:p w14:paraId="7D5700CB">
            <w:pPr>
              <w:pStyle w:val="64"/>
            </w:pPr>
            <w:r>
              <w:rPr>
                <w:rFonts w:hint="eastAsia"/>
              </w:rPr>
              <w:t>1.8</w:t>
            </w:r>
            <w:r>
              <w:t>t</w:t>
            </w:r>
          </w:p>
        </w:tc>
        <w:tc>
          <w:tcPr>
            <w:tcW w:w="853" w:type="pct"/>
            <w:vMerge w:val="restart"/>
            <w:tcBorders>
              <w:top w:val="single" w:color="000000" w:sz="4" w:space="0"/>
              <w:left w:val="single" w:color="000000" w:sz="4" w:space="0"/>
              <w:right w:val="single" w:color="auto" w:sz="4" w:space="0"/>
            </w:tcBorders>
            <w:vAlign w:val="center"/>
          </w:tcPr>
          <w:p w14:paraId="0DC66E80">
            <w:pPr>
              <w:pStyle w:val="64"/>
            </w:pPr>
            <w:r>
              <w:t>反应器最大在线量</w:t>
            </w:r>
          </w:p>
        </w:tc>
      </w:tr>
      <w:tr w14:paraId="0E30BCE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94" w:type="pct"/>
            <w:vMerge w:val="continue"/>
            <w:tcBorders>
              <w:top w:val="single" w:color="000000" w:sz="4" w:space="0"/>
              <w:left w:val="single" w:color="000000" w:sz="4" w:space="0"/>
              <w:right w:val="single" w:color="000000" w:sz="4" w:space="0"/>
            </w:tcBorders>
            <w:vAlign w:val="center"/>
          </w:tcPr>
          <w:p w14:paraId="12FBA5D3">
            <w:pPr>
              <w:pStyle w:val="64"/>
            </w:pPr>
          </w:p>
        </w:tc>
        <w:tc>
          <w:tcPr>
            <w:tcW w:w="1439" w:type="pct"/>
            <w:vMerge w:val="continue"/>
            <w:tcBorders>
              <w:left w:val="single" w:color="000000" w:sz="4" w:space="0"/>
              <w:right w:val="single" w:color="000000" w:sz="4" w:space="0"/>
            </w:tcBorders>
            <w:vAlign w:val="center"/>
          </w:tcPr>
          <w:p w14:paraId="5B154021">
            <w:pPr>
              <w:pStyle w:val="64"/>
            </w:pPr>
          </w:p>
        </w:tc>
        <w:tc>
          <w:tcPr>
            <w:tcW w:w="1408" w:type="pct"/>
            <w:tcBorders>
              <w:top w:val="single" w:color="000000" w:sz="4" w:space="0"/>
              <w:left w:val="single" w:color="000000" w:sz="4" w:space="0"/>
              <w:bottom w:val="single" w:color="000000" w:sz="4" w:space="0"/>
              <w:right w:val="single" w:color="auto" w:sz="4" w:space="0"/>
            </w:tcBorders>
            <w:vAlign w:val="center"/>
          </w:tcPr>
          <w:p w14:paraId="594A1FD5">
            <w:pPr>
              <w:pStyle w:val="64"/>
            </w:pPr>
            <w:r>
              <w:rPr>
                <w:rFonts w:hint="eastAsia"/>
              </w:rPr>
              <w:t>异丁烯</w:t>
            </w:r>
          </w:p>
        </w:tc>
        <w:tc>
          <w:tcPr>
            <w:tcW w:w="706" w:type="pct"/>
            <w:tcBorders>
              <w:top w:val="single" w:color="000000" w:sz="4" w:space="0"/>
              <w:left w:val="single" w:color="000000" w:sz="4" w:space="0"/>
              <w:bottom w:val="single" w:color="000000" w:sz="4" w:space="0"/>
              <w:right w:val="single" w:color="auto" w:sz="4" w:space="0"/>
            </w:tcBorders>
            <w:vAlign w:val="center"/>
          </w:tcPr>
          <w:p w14:paraId="0BB41329">
            <w:pPr>
              <w:pStyle w:val="64"/>
            </w:pPr>
            <w:r>
              <w:rPr>
                <w:rFonts w:hint="eastAsia"/>
              </w:rPr>
              <w:t>2.0</w:t>
            </w:r>
            <w:r>
              <w:t>t</w:t>
            </w:r>
          </w:p>
        </w:tc>
        <w:tc>
          <w:tcPr>
            <w:tcW w:w="853" w:type="pct"/>
            <w:vMerge w:val="continue"/>
            <w:tcBorders>
              <w:top w:val="single" w:color="000000" w:sz="4" w:space="0"/>
              <w:left w:val="single" w:color="000000" w:sz="4" w:space="0"/>
              <w:right w:val="single" w:color="auto" w:sz="4" w:space="0"/>
            </w:tcBorders>
            <w:vAlign w:val="center"/>
          </w:tcPr>
          <w:p w14:paraId="164FCB23">
            <w:pPr>
              <w:pStyle w:val="64"/>
            </w:pPr>
          </w:p>
        </w:tc>
      </w:tr>
      <w:tr w14:paraId="3CF299D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94" w:type="pct"/>
            <w:vMerge w:val="continue"/>
            <w:tcBorders>
              <w:left w:val="single" w:color="000000" w:sz="4" w:space="0"/>
              <w:right w:val="single" w:color="000000" w:sz="4" w:space="0"/>
            </w:tcBorders>
            <w:vAlign w:val="center"/>
          </w:tcPr>
          <w:p w14:paraId="7ECAE24B">
            <w:pPr>
              <w:pStyle w:val="64"/>
            </w:pPr>
          </w:p>
        </w:tc>
        <w:tc>
          <w:tcPr>
            <w:tcW w:w="1439" w:type="pct"/>
            <w:vMerge w:val="continue"/>
            <w:tcBorders>
              <w:left w:val="single" w:color="000000" w:sz="4" w:space="0"/>
              <w:right w:val="single" w:color="000000" w:sz="4" w:space="0"/>
            </w:tcBorders>
            <w:vAlign w:val="center"/>
          </w:tcPr>
          <w:p w14:paraId="4858604A">
            <w:pPr>
              <w:pStyle w:val="64"/>
            </w:pPr>
          </w:p>
        </w:tc>
        <w:tc>
          <w:tcPr>
            <w:tcW w:w="1408" w:type="pct"/>
            <w:tcBorders>
              <w:top w:val="single" w:color="000000" w:sz="4" w:space="0"/>
              <w:left w:val="single" w:color="000000" w:sz="4" w:space="0"/>
              <w:bottom w:val="single" w:color="000000" w:sz="4" w:space="0"/>
              <w:right w:val="single" w:color="auto" w:sz="4" w:space="0"/>
            </w:tcBorders>
            <w:vAlign w:val="center"/>
          </w:tcPr>
          <w:p w14:paraId="0172D945">
            <w:pPr>
              <w:pStyle w:val="64"/>
            </w:pPr>
            <w:r>
              <w:rPr>
                <w:rFonts w:hint="eastAsia"/>
              </w:rPr>
              <w:t>间甲酚</w:t>
            </w:r>
          </w:p>
        </w:tc>
        <w:tc>
          <w:tcPr>
            <w:tcW w:w="706" w:type="pct"/>
            <w:tcBorders>
              <w:top w:val="single" w:color="000000" w:sz="4" w:space="0"/>
              <w:left w:val="single" w:color="auto" w:sz="4" w:space="0"/>
              <w:bottom w:val="single" w:color="000000" w:sz="4" w:space="0"/>
              <w:right w:val="single" w:color="000000" w:sz="4" w:space="0"/>
            </w:tcBorders>
            <w:vAlign w:val="center"/>
          </w:tcPr>
          <w:p w14:paraId="2E05CC23">
            <w:pPr>
              <w:pStyle w:val="64"/>
            </w:pPr>
            <w:r>
              <w:rPr>
                <w:rFonts w:hint="eastAsia"/>
              </w:rPr>
              <w:t>3.45</w:t>
            </w:r>
            <w:r>
              <w:t>t</w:t>
            </w:r>
          </w:p>
        </w:tc>
        <w:tc>
          <w:tcPr>
            <w:tcW w:w="853" w:type="pct"/>
            <w:vMerge w:val="continue"/>
            <w:tcBorders>
              <w:left w:val="single" w:color="000000" w:sz="4" w:space="0"/>
              <w:right w:val="single" w:color="auto" w:sz="4" w:space="0"/>
            </w:tcBorders>
            <w:vAlign w:val="center"/>
          </w:tcPr>
          <w:p w14:paraId="2F752AAA">
            <w:pPr>
              <w:pStyle w:val="64"/>
            </w:pPr>
          </w:p>
        </w:tc>
      </w:tr>
      <w:tr w14:paraId="0AF1C89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94" w:type="pct"/>
            <w:vMerge w:val="continue"/>
            <w:tcBorders>
              <w:left w:val="single" w:color="000000" w:sz="4" w:space="0"/>
              <w:right w:val="single" w:color="000000" w:sz="4" w:space="0"/>
            </w:tcBorders>
            <w:vAlign w:val="center"/>
          </w:tcPr>
          <w:p w14:paraId="420448F2">
            <w:pPr>
              <w:pStyle w:val="64"/>
            </w:pPr>
          </w:p>
        </w:tc>
        <w:tc>
          <w:tcPr>
            <w:tcW w:w="1439" w:type="pct"/>
            <w:vMerge w:val="continue"/>
            <w:tcBorders>
              <w:left w:val="single" w:color="000000" w:sz="4" w:space="0"/>
              <w:right w:val="single" w:color="000000" w:sz="4" w:space="0"/>
            </w:tcBorders>
            <w:vAlign w:val="center"/>
          </w:tcPr>
          <w:p w14:paraId="396F55DD">
            <w:pPr>
              <w:pStyle w:val="64"/>
              <w:rPr>
                <w:kern w:val="1"/>
              </w:rPr>
            </w:pPr>
          </w:p>
        </w:tc>
        <w:tc>
          <w:tcPr>
            <w:tcW w:w="1408" w:type="pct"/>
            <w:tcBorders>
              <w:top w:val="single" w:color="000000" w:sz="4" w:space="0"/>
              <w:left w:val="single" w:color="000000" w:sz="4" w:space="0"/>
              <w:bottom w:val="single" w:color="000000" w:sz="4" w:space="0"/>
              <w:right w:val="single" w:color="auto" w:sz="4" w:space="0"/>
            </w:tcBorders>
            <w:vAlign w:val="center"/>
          </w:tcPr>
          <w:p w14:paraId="7F3DD2FA">
            <w:pPr>
              <w:pStyle w:val="64"/>
            </w:pPr>
            <w:r>
              <w:rPr>
                <w:rFonts w:hint="eastAsia"/>
              </w:rPr>
              <w:t>液碱</w:t>
            </w:r>
          </w:p>
        </w:tc>
        <w:tc>
          <w:tcPr>
            <w:tcW w:w="706" w:type="pct"/>
            <w:tcBorders>
              <w:top w:val="single" w:color="000000" w:sz="4" w:space="0"/>
              <w:left w:val="single" w:color="auto" w:sz="4" w:space="0"/>
              <w:bottom w:val="single" w:color="000000" w:sz="4" w:space="0"/>
              <w:right w:val="single" w:color="000000" w:sz="4" w:space="0"/>
            </w:tcBorders>
            <w:vAlign w:val="center"/>
          </w:tcPr>
          <w:p w14:paraId="01D3BCE8">
            <w:pPr>
              <w:pStyle w:val="64"/>
            </w:pPr>
            <w:r>
              <w:rPr>
                <w:rFonts w:hint="eastAsia"/>
              </w:rPr>
              <w:t>0.16</w:t>
            </w:r>
            <w:r>
              <w:t>t</w:t>
            </w:r>
          </w:p>
        </w:tc>
        <w:tc>
          <w:tcPr>
            <w:tcW w:w="853" w:type="pct"/>
            <w:vMerge w:val="continue"/>
            <w:tcBorders>
              <w:left w:val="single" w:color="000000" w:sz="4" w:space="0"/>
              <w:right w:val="single" w:color="auto" w:sz="4" w:space="0"/>
            </w:tcBorders>
            <w:vAlign w:val="center"/>
          </w:tcPr>
          <w:p w14:paraId="3302BBF7">
            <w:pPr>
              <w:pStyle w:val="64"/>
            </w:pPr>
          </w:p>
        </w:tc>
      </w:tr>
      <w:tr w14:paraId="2E29269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94" w:type="pct"/>
            <w:vMerge w:val="continue"/>
            <w:tcBorders>
              <w:left w:val="single" w:color="000000" w:sz="4" w:space="0"/>
              <w:right w:val="single" w:color="000000" w:sz="4" w:space="0"/>
            </w:tcBorders>
            <w:vAlign w:val="center"/>
          </w:tcPr>
          <w:p w14:paraId="78A98C91">
            <w:pPr>
              <w:pStyle w:val="64"/>
            </w:pPr>
          </w:p>
        </w:tc>
        <w:tc>
          <w:tcPr>
            <w:tcW w:w="1439" w:type="pct"/>
            <w:vMerge w:val="continue"/>
            <w:tcBorders>
              <w:left w:val="single" w:color="000000" w:sz="4" w:space="0"/>
              <w:bottom w:val="single" w:color="000000" w:sz="4" w:space="0"/>
              <w:right w:val="single" w:color="000000" w:sz="4" w:space="0"/>
            </w:tcBorders>
            <w:vAlign w:val="center"/>
          </w:tcPr>
          <w:p w14:paraId="1B82819A">
            <w:pPr>
              <w:pStyle w:val="64"/>
            </w:pPr>
          </w:p>
        </w:tc>
        <w:tc>
          <w:tcPr>
            <w:tcW w:w="1408" w:type="pct"/>
            <w:tcBorders>
              <w:top w:val="single" w:color="000000" w:sz="4" w:space="0"/>
              <w:left w:val="single" w:color="000000" w:sz="4" w:space="0"/>
              <w:bottom w:val="single" w:color="000000" w:sz="4" w:space="0"/>
              <w:right w:val="single" w:color="auto" w:sz="4" w:space="0"/>
            </w:tcBorders>
            <w:vAlign w:val="center"/>
          </w:tcPr>
          <w:p w14:paraId="78B2AC36">
            <w:pPr>
              <w:pStyle w:val="64"/>
            </w:pPr>
            <w:r>
              <w:rPr>
                <w:rFonts w:hint="eastAsia"/>
              </w:rPr>
              <w:t>硫酸</w:t>
            </w:r>
          </w:p>
        </w:tc>
        <w:tc>
          <w:tcPr>
            <w:tcW w:w="706" w:type="pct"/>
            <w:tcBorders>
              <w:top w:val="single" w:color="000000" w:sz="4" w:space="0"/>
              <w:left w:val="single" w:color="auto" w:sz="4" w:space="0"/>
              <w:bottom w:val="single" w:color="000000" w:sz="4" w:space="0"/>
              <w:right w:val="single" w:color="000000" w:sz="4" w:space="0"/>
            </w:tcBorders>
            <w:vAlign w:val="center"/>
          </w:tcPr>
          <w:p w14:paraId="79858774">
            <w:pPr>
              <w:pStyle w:val="64"/>
            </w:pPr>
            <w:r>
              <w:rPr>
                <w:rFonts w:hint="eastAsia"/>
              </w:rPr>
              <w:t>0.06</w:t>
            </w:r>
            <w:r>
              <w:t>t</w:t>
            </w:r>
          </w:p>
        </w:tc>
        <w:tc>
          <w:tcPr>
            <w:tcW w:w="853" w:type="pct"/>
            <w:vMerge w:val="continue"/>
            <w:tcBorders>
              <w:left w:val="single" w:color="000000" w:sz="4" w:space="0"/>
              <w:right w:val="single" w:color="auto" w:sz="4" w:space="0"/>
            </w:tcBorders>
            <w:vAlign w:val="center"/>
          </w:tcPr>
          <w:p w14:paraId="12AA6674">
            <w:pPr>
              <w:pStyle w:val="64"/>
            </w:pPr>
          </w:p>
        </w:tc>
      </w:tr>
      <w:tr w14:paraId="4268392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94" w:type="pct"/>
            <w:vMerge w:val="restart"/>
            <w:tcBorders>
              <w:top w:val="single" w:color="000000" w:sz="4" w:space="0"/>
              <w:left w:val="single" w:color="000000" w:sz="4" w:space="0"/>
              <w:right w:val="single" w:color="000000" w:sz="4" w:space="0"/>
            </w:tcBorders>
            <w:vAlign w:val="center"/>
          </w:tcPr>
          <w:p w14:paraId="7BBB30E5">
            <w:pPr>
              <w:pStyle w:val="64"/>
            </w:pPr>
            <w:r>
              <w:t>输送管道</w:t>
            </w:r>
          </w:p>
        </w:tc>
        <w:tc>
          <w:tcPr>
            <w:tcW w:w="1439" w:type="pct"/>
            <w:tcBorders>
              <w:top w:val="single" w:color="000000" w:sz="4" w:space="0"/>
              <w:left w:val="single" w:color="000000" w:sz="4" w:space="0"/>
              <w:bottom w:val="single" w:color="000000" w:sz="4" w:space="0"/>
              <w:right w:val="single" w:color="000000" w:sz="4" w:space="0"/>
            </w:tcBorders>
            <w:vAlign w:val="center"/>
          </w:tcPr>
          <w:p w14:paraId="574FB58E">
            <w:pPr>
              <w:pStyle w:val="64"/>
            </w:pPr>
            <w:r>
              <w:t>原料罐区—生产车间装置</w:t>
            </w:r>
          </w:p>
        </w:tc>
        <w:tc>
          <w:tcPr>
            <w:tcW w:w="1408" w:type="pct"/>
            <w:tcBorders>
              <w:top w:val="single" w:color="000000" w:sz="4" w:space="0"/>
              <w:left w:val="single" w:color="000000" w:sz="4" w:space="0"/>
              <w:bottom w:val="single" w:color="000000" w:sz="4" w:space="0"/>
              <w:right w:val="single" w:color="auto" w:sz="4" w:space="0"/>
            </w:tcBorders>
            <w:vAlign w:val="center"/>
          </w:tcPr>
          <w:p w14:paraId="27F4E5E0">
            <w:pPr>
              <w:pStyle w:val="64"/>
            </w:pPr>
            <w:r>
              <w:rPr>
                <w:rFonts w:hint="eastAsia"/>
              </w:rPr>
              <w:t>间对甲酚、硫酸、异丁烯</w:t>
            </w:r>
          </w:p>
        </w:tc>
        <w:tc>
          <w:tcPr>
            <w:tcW w:w="706" w:type="pct"/>
            <w:tcBorders>
              <w:top w:val="single" w:color="000000" w:sz="4" w:space="0"/>
              <w:left w:val="single" w:color="auto" w:sz="4" w:space="0"/>
              <w:bottom w:val="single" w:color="000000" w:sz="4" w:space="0"/>
              <w:right w:val="single" w:color="auto" w:sz="4" w:space="0"/>
            </w:tcBorders>
            <w:vAlign w:val="center"/>
          </w:tcPr>
          <w:p w14:paraId="79237B51">
            <w:pPr>
              <w:pStyle w:val="64"/>
            </w:pPr>
            <w:r>
              <w:t>/</w:t>
            </w:r>
          </w:p>
        </w:tc>
        <w:tc>
          <w:tcPr>
            <w:tcW w:w="853" w:type="pct"/>
            <w:vMerge w:val="restart"/>
            <w:tcBorders>
              <w:top w:val="single" w:color="000000" w:sz="4" w:space="0"/>
              <w:left w:val="single" w:color="auto" w:sz="4" w:space="0"/>
              <w:right w:val="single" w:color="000000" w:sz="4" w:space="0"/>
            </w:tcBorders>
            <w:vAlign w:val="center"/>
          </w:tcPr>
          <w:p w14:paraId="613ED46D">
            <w:pPr>
              <w:pStyle w:val="64"/>
            </w:pPr>
            <w:r>
              <w:t>管线在线量计入生产装置中</w:t>
            </w:r>
          </w:p>
        </w:tc>
      </w:tr>
      <w:tr w14:paraId="552419E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94" w:type="pct"/>
            <w:vMerge w:val="continue"/>
            <w:tcBorders>
              <w:left w:val="single" w:color="000000" w:sz="4" w:space="0"/>
              <w:right w:val="single" w:color="000000" w:sz="4" w:space="0"/>
            </w:tcBorders>
            <w:vAlign w:val="center"/>
          </w:tcPr>
          <w:p w14:paraId="33649788">
            <w:pPr>
              <w:pStyle w:val="64"/>
            </w:pPr>
          </w:p>
        </w:tc>
        <w:tc>
          <w:tcPr>
            <w:tcW w:w="1439" w:type="pct"/>
            <w:tcBorders>
              <w:top w:val="single" w:color="000000" w:sz="4" w:space="0"/>
              <w:left w:val="single" w:color="000000" w:sz="4" w:space="0"/>
              <w:bottom w:val="single" w:color="000000" w:sz="4" w:space="0"/>
              <w:right w:val="single" w:color="000000" w:sz="4" w:space="0"/>
            </w:tcBorders>
            <w:vAlign w:val="center"/>
          </w:tcPr>
          <w:p w14:paraId="35160F81">
            <w:pPr>
              <w:pStyle w:val="64"/>
            </w:pPr>
            <w:r>
              <w:t>生产装置—中间罐</w:t>
            </w:r>
          </w:p>
        </w:tc>
        <w:tc>
          <w:tcPr>
            <w:tcW w:w="1408" w:type="pct"/>
            <w:tcBorders>
              <w:top w:val="single" w:color="000000" w:sz="4" w:space="0"/>
              <w:left w:val="single" w:color="000000" w:sz="4" w:space="0"/>
              <w:bottom w:val="single" w:color="000000" w:sz="4" w:space="0"/>
              <w:right w:val="single" w:color="auto" w:sz="4" w:space="0"/>
            </w:tcBorders>
            <w:vAlign w:val="center"/>
          </w:tcPr>
          <w:p w14:paraId="2A5D8C33">
            <w:pPr>
              <w:pStyle w:val="64"/>
            </w:pPr>
            <w:r>
              <w:rPr>
                <w:rFonts w:hint="eastAsia"/>
              </w:rPr>
              <w:t>间甲酚、对甲酚</w:t>
            </w:r>
          </w:p>
        </w:tc>
        <w:tc>
          <w:tcPr>
            <w:tcW w:w="706" w:type="pct"/>
            <w:tcBorders>
              <w:top w:val="single" w:color="000000" w:sz="4" w:space="0"/>
              <w:left w:val="single" w:color="auto" w:sz="4" w:space="0"/>
              <w:bottom w:val="single" w:color="000000" w:sz="4" w:space="0"/>
              <w:right w:val="single" w:color="auto" w:sz="4" w:space="0"/>
            </w:tcBorders>
            <w:vAlign w:val="center"/>
          </w:tcPr>
          <w:p w14:paraId="61D84D2D">
            <w:pPr>
              <w:pStyle w:val="64"/>
            </w:pPr>
            <w:r>
              <w:t>/</w:t>
            </w:r>
          </w:p>
        </w:tc>
        <w:tc>
          <w:tcPr>
            <w:tcW w:w="853" w:type="pct"/>
            <w:vMerge w:val="continue"/>
            <w:tcBorders>
              <w:left w:val="single" w:color="auto" w:sz="4" w:space="0"/>
              <w:right w:val="single" w:color="000000" w:sz="4" w:space="0"/>
            </w:tcBorders>
            <w:vAlign w:val="center"/>
          </w:tcPr>
          <w:p w14:paraId="4215B095">
            <w:pPr>
              <w:pStyle w:val="64"/>
            </w:pPr>
          </w:p>
        </w:tc>
      </w:tr>
      <w:tr w14:paraId="102AED2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94" w:type="pct"/>
            <w:vMerge w:val="restart"/>
            <w:tcBorders>
              <w:top w:val="single" w:color="000000" w:sz="4" w:space="0"/>
              <w:left w:val="single" w:color="000000" w:sz="4" w:space="0"/>
              <w:right w:val="single" w:color="000000" w:sz="4" w:space="0"/>
            </w:tcBorders>
            <w:vAlign w:val="center"/>
          </w:tcPr>
          <w:p w14:paraId="65034BBF">
            <w:pPr>
              <w:pStyle w:val="64"/>
            </w:pPr>
            <w:r>
              <w:t>储存装置</w:t>
            </w:r>
          </w:p>
        </w:tc>
        <w:tc>
          <w:tcPr>
            <w:tcW w:w="1439" w:type="pct"/>
            <w:vMerge w:val="restart"/>
            <w:tcBorders>
              <w:top w:val="single" w:color="000000" w:sz="4" w:space="0"/>
              <w:left w:val="single" w:color="000000" w:sz="4" w:space="0"/>
              <w:right w:val="single" w:color="000000" w:sz="4" w:space="0"/>
            </w:tcBorders>
            <w:vAlign w:val="center"/>
          </w:tcPr>
          <w:p w14:paraId="4A7DD67F">
            <w:pPr>
              <w:pStyle w:val="64"/>
            </w:pPr>
            <w:r>
              <w:t>原料罐区</w:t>
            </w:r>
          </w:p>
        </w:tc>
        <w:tc>
          <w:tcPr>
            <w:tcW w:w="1408" w:type="pct"/>
            <w:tcBorders>
              <w:top w:val="single" w:color="000000" w:sz="4" w:space="0"/>
              <w:left w:val="single" w:color="000000" w:sz="4" w:space="0"/>
              <w:bottom w:val="single" w:color="000000" w:sz="4" w:space="0"/>
              <w:right w:val="single" w:color="auto" w:sz="4" w:space="0"/>
            </w:tcBorders>
            <w:vAlign w:val="center"/>
          </w:tcPr>
          <w:p w14:paraId="589AA67E">
            <w:pPr>
              <w:pStyle w:val="64"/>
            </w:pPr>
            <w:r>
              <w:rPr>
                <w:rFonts w:hint="eastAsia"/>
              </w:rPr>
              <w:t>间对甲酚</w:t>
            </w:r>
          </w:p>
        </w:tc>
        <w:tc>
          <w:tcPr>
            <w:tcW w:w="706" w:type="pct"/>
            <w:tcBorders>
              <w:top w:val="single" w:color="000000" w:sz="4" w:space="0"/>
              <w:left w:val="single" w:color="auto" w:sz="4" w:space="0"/>
              <w:bottom w:val="single" w:color="000000" w:sz="4" w:space="0"/>
              <w:right w:val="single" w:color="auto" w:sz="4" w:space="0"/>
            </w:tcBorders>
            <w:vAlign w:val="center"/>
          </w:tcPr>
          <w:p w14:paraId="3FF2203E">
            <w:pPr>
              <w:pStyle w:val="64"/>
            </w:pPr>
            <w:r>
              <w:rPr>
                <w:rFonts w:hint="eastAsia"/>
              </w:rPr>
              <w:t>2447</w:t>
            </w:r>
            <w:r>
              <w:t>t</w:t>
            </w:r>
          </w:p>
        </w:tc>
        <w:tc>
          <w:tcPr>
            <w:tcW w:w="853" w:type="pct"/>
            <w:tcBorders>
              <w:top w:val="single" w:color="000000" w:sz="4" w:space="0"/>
              <w:left w:val="single" w:color="auto" w:sz="4" w:space="0"/>
              <w:bottom w:val="single" w:color="000000" w:sz="4" w:space="0"/>
              <w:right w:val="single" w:color="000000" w:sz="4" w:space="0"/>
            </w:tcBorders>
            <w:vAlign w:val="center"/>
          </w:tcPr>
          <w:p w14:paraId="46CBB6A7">
            <w:pPr>
              <w:pStyle w:val="64"/>
            </w:pPr>
            <w:r>
              <w:t>/</w:t>
            </w:r>
          </w:p>
        </w:tc>
      </w:tr>
      <w:tr w14:paraId="758B5F1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94" w:type="pct"/>
            <w:vMerge w:val="continue"/>
            <w:tcBorders>
              <w:top w:val="single" w:color="000000" w:sz="4" w:space="0"/>
              <w:left w:val="single" w:color="000000" w:sz="4" w:space="0"/>
              <w:right w:val="single" w:color="000000" w:sz="4" w:space="0"/>
            </w:tcBorders>
            <w:vAlign w:val="center"/>
          </w:tcPr>
          <w:p w14:paraId="59D7B0E7">
            <w:pPr>
              <w:pStyle w:val="64"/>
            </w:pPr>
          </w:p>
        </w:tc>
        <w:tc>
          <w:tcPr>
            <w:tcW w:w="1439" w:type="pct"/>
            <w:vMerge w:val="continue"/>
            <w:tcBorders>
              <w:left w:val="single" w:color="000000" w:sz="4" w:space="0"/>
              <w:right w:val="single" w:color="000000" w:sz="4" w:space="0"/>
            </w:tcBorders>
            <w:vAlign w:val="center"/>
          </w:tcPr>
          <w:p w14:paraId="42AA644F">
            <w:pPr>
              <w:pStyle w:val="64"/>
            </w:pPr>
          </w:p>
        </w:tc>
        <w:tc>
          <w:tcPr>
            <w:tcW w:w="1408" w:type="pct"/>
            <w:tcBorders>
              <w:top w:val="single" w:color="000000" w:sz="4" w:space="0"/>
              <w:left w:val="single" w:color="000000" w:sz="4" w:space="0"/>
              <w:bottom w:val="single" w:color="000000" w:sz="4" w:space="0"/>
              <w:right w:val="single" w:color="auto" w:sz="4" w:space="0"/>
            </w:tcBorders>
            <w:vAlign w:val="center"/>
          </w:tcPr>
          <w:p w14:paraId="1DD7151A">
            <w:pPr>
              <w:pStyle w:val="64"/>
            </w:pPr>
            <w:r>
              <w:rPr>
                <w:rFonts w:hint="eastAsia"/>
              </w:rPr>
              <w:t>硫酸</w:t>
            </w:r>
          </w:p>
        </w:tc>
        <w:tc>
          <w:tcPr>
            <w:tcW w:w="706" w:type="pct"/>
            <w:tcBorders>
              <w:top w:val="single" w:color="000000" w:sz="4" w:space="0"/>
              <w:left w:val="single" w:color="auto" w:sz="4" w:space="0"/>
              <w:bottom w:val="single" w:color="000000" w:sz="4" w:space="0"/>
              <w:right w:val="single" w:color="auto" w:sz="4" w:space="0"/>
            </w:tcBorders>
            <w:vAlign w:val="center"/>
          </w:tcPr>
          <w:p w14:paraId="5F513739">
            <w:pPr>
              <w:pStyle w:val="64"/>
            </w:pPr>
            <w:r>
              <w:rPr>
                <w:rFonts w:hint="eastAsia"/>
              </w:rPr>
              <w:t>50</w:t>
            </w:r>
            <w:r>
              <w:t>t</w:t>
            </w:r>
          </w:p>
        </w:tc>
        <w:tc>
          <w:tcPr>
            <w:tcW w:w="853" w:type="pct"/>
            <w:tcBorders>
              <w:top w:val="single" w:color="000000" w:sz="4" w:space="0"/>
              <w:left w:val="single" w:color="auto" w:sz="4" w:space="0"/>
              <w:bottom w:val="single" w:color="000000" w:sz="4" w:space="0"/>
              <w:right w:val="single" w:color="000000" w:sz="4" w:space="0"/>
            </w:tcBorders>
            <w:vAlign w:val="center"/>
          </w:tcPr>
          <w:p w14:paraId="49C06910">
            <w:pPr>
              <w:pStyle w:val="64"/>
            </w:pPr>
            <w:r>
              <w:t>/</w:t>
            </w:r>
          </w:p>
        </w:tc>
      </w:tr>
      <w:tr w14:paraId="3647515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94" w:type="pct"/>
            <w:vMerge w:val="continue"/>
            <w:tcBorders>
              <w:left w:val="single" w:color="000000" w:sz="4" w:space="0"/>
              <w:right w:val="single" w:color="000000" w:sz="4" w:space="0"/>
            </w:tcBorders>
            <w:vAlign w:val="center"/>
          </w:tcPr>
          <w:p w14:paraId="7ECC75E8">
            <w:pPr>
              <w:pStyle w:val="64"/>
            </w:pPr>
          </w:p>
        </w:tc>
        <w:tc>
          <w:tcPr>
            <w:tcW w:w="1439" w:type="pct"/>
            <w:vMerge w:val="restart"/>
            <w:tcBorders>
              <w:top w:val="single" w:color="000000" w:sz="4" w:space="0"/>
              <w:left w:val="single" w:color="000000" w:sz="4" w:space="0"/>
              <w:right w:val="single" w:color="000000" w:sz="4" w:space="0"/>
            </w:tcBorders>
            <w:vAlign w:val="center"/>
          </w:tcPr>
          <w:p w14:paraId="04D44317">
            <w:pPr>
              <w:pStyle w:val="64"/>
            </w:pPr>
            <w:r>
              <w:rPr>
                <w:rFonts w:hint="eastAsia"/>
              </w:rPr>
              <w:t>成品罐区</w:t>
            </w:r>
          </w:p>
        </w:tc>
        <w:tc>
          <w:tcPr>
            <w:tcW w:w="1408" w:type="pct"/>
            <w:tcBorders>
              <w:top w:val="single" w:color="000000" w:sz="4" w:space="0"/>
              <w:left w:val="single" w:color="000000" w:sz="4" w:space="0"/>
              <w:bottom w:val="single" w:color="000000" w:sz="4" w:space="0"/>
              <w:right w:val="single" w:color="auto" w:sz="4" w:space="0"/>
            </w:tcBorders>
            <w:vAlign w:val="center"/>
          </w:tcPr>
          <w:p w14:paraId="5E1E7BEE">
            <w:pPr>
              <w:pStyle w:val="64"/>
            </w:pPr>
            <w:r>
              <w:rPr>
                <w:rFonts w:hint="eastAsia"/>
              </w:rPr>
              <w:t>间甲酚</w:t>
            </w:r>
          </w:p>
        </w:tc>
        <w:tc>
          <w:tcPr>
            <w:tcW w:w="706" w:type="pct"/>
            <w:tcBorders>
              <w:top w:val="single" w:color="000000" w:sz="4" w:space="0"/>
              <w:left w:val="single" w:color="auto" w:sz="4" w:space="0"/>
              <w:bottom w:val="single" w:color="000000" w:sz="4" w:space="0"/>
              <w:right w:val="single" w:color="auto" w:sz="4" w:space="0"/>
            </w:tcBorders>
            <w:vAlign w:val="center"/>
          </w:tcPr>
          <w:p w14:paraId="52854A9A">
            <w:pPr>
              <w:pStyle w:val="64"/>
            </w:pPr>
            <w:r>
              <w:rPr>
                <w:rFonts w:hint="eastAsia"/>
              </w:rPr>
              <w:t>1648</w:t>
            </w:r>
            <w:r>
              <w:t>t</w:t>
            </w:r>
          </w:p>
        </w:tc>
        <w:tc>
          <w:tcPr>
            <w:tcW w:w="853" w:type="pct"/>
            <w:tcBorders>
              <w:top w:val="single" w:color="000000" w:sz="4" w:space="0"/>
              <w:left w:val="single" w:color="auto" w:sz="4" w:space="0"/>
              <w:bottom w:val="single" w:color="000000" w:sz="4" w:space="0"/>
              <w:right w:val="single" w:color="000000" w:sz="4" w:space="0"/>
            </w:tcBorders>
            <w:vAlign w:val="center"/>
          </w:tcPr>
          <w:p w14:paraId="5E8BDA6C">
            <w:pPr>
              <w:pStyle w:val="64"/>
            </w:pPr>
            <w:r>
              <w:t>/</w:t>
            </w:r>
          </w:p>
        </w:tc>
      </w:tr>
      <w:tr w14:paraId="670274C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94" w:type="pct"/>
            <w:vMerge w:val="continue"/>
            <w:tcBorders>
              <w:left w:val="single" w:color="000000" w:sz="4" w:space="0"/>
              <w:right w:val="single" w:color="000000" w:sz="4" w:space="0"/>
            </w:tcBorders>
            <w:vAlign w:val="center"/>
          </w:tcPr>
          <w:p w14:paraId="6907D32A">
            <w:pPr>
              <w:pStyle w:val="64"/>
            </w:pPr>
          </w:p>
        </w:tc>
        <w:tc>
          <w:tcPr>
            <w:tcW w:w="1439" w:type="pct"/>
            <w:vMerge w:val="continue"/>
            <w:tcBorders>
              <w:left w:val="single" w:color="000000" w:sz="4" w:space="0"/>
              <w:bottom w:val="single" w:color="000000" w:sz="4" w:space="0"/>
              <w:right w:val="single" w:color="000000" w:sz="4" w:space="0"/>
            </w:tcBorders>
            <w:vAlign w:val="center"/>
          </w:tcPr>
          <w:p w14:paraId="6C3CCF51">
            <w:pPr>
              <w:pStyle w:val="64"/>
            </w:pPr>
          </w:p>
        </w:tc>
        <w:tc>
          <w:tcPr>
            <w:tcW w:w="1408" w:type="pct"/>
            <w:tcBorders>
              <w:top w:val="single" w:color="000000" w:sz="4" w:space="0"/>
              <w:left w:val="single" w:color="000000" w:sz="4" w:space="0"/>
              <w:bottom w:val="single" w:color="000000" w:sz="4" w:space="0"/>
              <w:right w:val="single" w:color="auto" w:sz="4" w:space="0"/>
            </w:tcBorders>
            <w:vAlign w:val="center"/>
          </w:tcPr>
          <w:p w14:paraId="73EA4731">
            <w:pPr>
              <w:pStyle w:val="64"/>
            </w:pPr>
            <w:r>
              <w:rPr>
                <w:rFonts w:hint="eastAsia"/>
              </w:rPr>
              <w:t>叔丁醇</w:t>
            </w:r>
          </w:p>
        </w:tc>
        <w:tc>
          <w:tcPr>
            <w:tcW w:w="706" w:type="pct"/>
            <w:tcBorders>
              <w:top w:val="single" w:color="000000" w:sz="4" w:space="0"/>
              <w:left w:val="single" w:color="auto" w:sz="4" w:space="0"/>
              <w:bottom w:val="single" w:color="000000" w:sz="4" w:space="0"/>
              <w:right w:val="single" w:color="auto" w:sz="4" w:space="0"/>
            </w:tcBorders>
            <w:vAlign w:val="center"/>
          </w:tcPr>
          <w:p w14:paraId="7DBA0ADF">
            <w:pPr>
              <w:pStyle w:val="64"/>
            </w:pPr>
            <w:r>
              <w:rPr>
                <w:rFonts w:hint="eastAsia"/>
              </w:rPr>
              <w:t>38t</w:t>
            </w:r>
          </w:p>
        </w:tc>
        <w:tc>
          <w:tcPr>
            <w:tcW w:w="853" w:type="pct"/>
            <w:tcBorders>
              <w:top w:val="single" w:color="000000" w:sz="4" w:space="0"/>
              <w:left w:val="single" w:color="auto" w:sz="4" w:space="0"/>
              <w:bottom w:val="single" w:color="000000" w:sz="4" w:space="0"/>
              <w:right w:val="single" w:color="000000" w:sz="4" w:space="0"/>
            </w:tcBorders>
            <w:vAlign w:val="center"/>
          </w:tcPr>
          <w:p w14:paraId="654018C0">
            <w:pPr>
              <w:pStyle w:val="64"/>
            </w:pPr>
          </w:p>
        </w:tc>
      </w:tr>
      <w:tr w14:paraId="794AE21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94" w:type="pct"/>
            <w:vMerge w:val="continue"/>
            <w:tcBorders>
              <w:left w:val="single" w:color="000000" w:sz="4" w:space="0"/>
              <w:right w:val="single" w:color="000000" w:sz="4" w:space="0"/>
            </w:tcBorders>
            <w:vAlign w:val="center"/>
          </w:tcPr>
          <w:p w14:paraId="64481B17">
            <w:pPr>
              <w:pStyle w:val="64"/>
            </w:pPr>
          </w:p>
        </w:tc>
        <w:tc>
          <w:tcPr>
            <w:tcW w:w="1439" w:type="pct"/>
            <w:vMerge w:val="continue"/>
            <w:tcBorders>
              <w:left w:val="single" w:color="000000" w:sz="4" w:space="0"/>
              <w:bottom w:val="single" w:color="000000" w:sz="4" w:space="0"/>
              <w:right w:val="single" w:color="000000" w:sz="4" w:space="0"/>
            </w:tcBorders>
            <w:vAlign w:val="center"/>
          </w:tcPr>
          <w:p w14:paraId="3D441ECB">
            <w:pPr>
              <w:pStyle w:val="64"/>
            </w:pPr>
          </w:p>
        </w:tc>
        <w:tc>
          <w:tcPr>
            <w:tcW w:w="1408" w:type="pct"/>
            <w:tcBorders>
              <w:top w:val="single" w:color="000000" w:sz="4" w:space="0"/>
              <w:left w:val="single" w:color="000000" w:sz="4" w:space="0"/>
              <w:bottom w:val="single" w:color="000000" w:sz="4" w:space="0"/>
              <w:right w:val="single" w:color="auto" w:sz="4" w:space="0"/>
            </w:tcBorders>
            <w:vAlign w:val="center"/>
          </w:tcPr>
          <w:p w14:paraId="795E18A0">
            <w:pPr>
              <w:pStyle w:val="64"/>
            </w:pPr>
            <w:r>
              <w:rPr>
                <w:rFonts w:hint="eastAsia"/>
              </w:rPr>
              <w:t>二聚异丁烯</w:t>
            </w:r>
          </w:p>
        </w:tc>
        <w:tc>
          <w:tcPr>
            <w:tcW w:w="706" w:type="pct"/>
            <w:tcBorders>
              <w:top w:val="single" w:color="000000" w:sz="4" w:space="0"/>
              <w:left w:val="single" w:color="auto" w:sz="4" w:space="0"/>
              <w:bottom w:val="single" w:color="000000" w:sz="4" w:space="0"/>
              <w:right w:val="single" w:color="auto" w:sz="4" w:space="0"/>
            </w:tcBorders>
            <w:vAlign w:val="center"/>
          </w:tcPr>
          <w:p w14:paraId="29E3ABE3">
            <w:pPr>
              <w:pStyle w:val="64"/>
            </w:pPr>
            <w:r>
              <w:rPr>
                <w:rFonts w:hint="eastAsia"/>
              </w:rPr>
              <w:t>34t</w:t>
            </w:r>
          </w:p>
        </w:tc>
        <w:tc>
          <w:tcPr>
            <w:tcW w:w="853" w:type="pct"/>
            <w:tcBorders>
              <w:top w:val="single" w:color="000000" w:sz="4" w:space="0"/>
              <w:left w:val="single" w:color="auto" w:sz="4" w:space="0"/>
              <w:bottom w:val="single" w:color="000000" w:sz="4" w:space="0"/>
              <w:right w:val="single" w:color="000000" w:sz="4" w:space="0"/>
            </w:tcBorders>
            <w:vAlign w:val="center"/>
          </w:tcPr>
          <w:p w14:paraId="1E45DD63">
            <w:pPr>
              <w:pStyle w:val="64"/>
            </w:pPr>
          </w:p>
        </w:tc>
      </w:tr>
      <w:tr w14:paraId="32641CE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94" w:type="pct"/>
            <w:vMerge w:val="continue"/>
            <w:tcBorders>
              <w:left w:val="single" w:color="000000" w:sz="4" w:space="0"/>
              <w:right w:val="single" w:color="000000" w:sz="4" w:space="0"/>
            </w:tcBorders>
            <w:vAlign w:val="center"/>
          </w:tcPr>
          <w:p w14:paraId="48D0CFB1">
            <w:pPr>
              <w:pStyle w:val="64"/>
            </w:pPr>
          </w:p>
        </w:tc>
        <w:tc>
          <w:tcPr>
            <w:tcW w:w="1439" w:type="pct"/>
            <w:vMerge w:val="continue"/>
            <w:tcBorders>
              <w:left w:val="single" w:color="000000" w:sz="4" w:space="0"/>
              <w:bottom w:val="single" w:color="000000" w:sz="4" w:space="0"/>
              <w:right w:val="single" w:color="000000" w:sz="4" w:space="0"/>
            </w:tcBorders>
            <w:vAlign w:val="center"/>
          </w:tcPr>
          <w:p w14:paraId="0DBCA7D3">
            <w:pPr>
              <w:pStyle w:val="64"/>
            </w:pPr>
          </w:p>
        </w:tc>
        <w:tc>
          <w:tcPr>
            <w:tcW w:w="1408" w:type="pct"/>
            <w:tcBorders>
              <w:top w:val="single" w:color="000000" w:sz="4" w:space="0"/>
              <w:left w:val="single" w:color="000000" w:sz="4" w:space="0"/>
              <w:bottom w:val="single" w:color="000000" w:sz="4" w:space="0"/>
              <w:right w:val="single" w:color="auto" w:sz="4" w:space="0"/>
            </w:tcBorders>
            <w:vAlign w:val="center"/>
          </w:tcPr>
          <w:p w14:paraId="197EFA0F">
            <w:pPr>
              <w:pStyle w:val="64"/>
            </w:pPr>
            <w:r>
              <w:rPr>
                <w:rFonts w:hint="eastAsia"/>
              </w:rPr>
              <w:t>对甲酚</w:t>
            </w:r>
          </w:p>
        </w:tc>
        <w:tc>
          <w:tcPr>
            <w:tcW w:w="706" w:type="pct"/>
            <w:tcBorders>
              <w:top w:val="single" w:color="000000" w:sz="4" w:space="0"/>
              <w:left w:val="single" w:color="auto" w:sz="4" w:space="0"/>
              <w:bottom w:val="single" w:color="000000" w:sz="4" w:space="0"/>
              <w:right w:val="single" w:color="auto" w:sz="4" w:space="0"/>
            </w:tcBorders>
            <w:vAlign w:val="center"/>
          </w:tcPr>
          <w:p w14:paraId="374BD1F7">
            <w:pPr>
              <w:pStyle w:val="64"/>
            </w:pPr>
            <w:r>
              <w:rPr>
                <w:rFonts w:hint="eastAsia"/>
              </w:rPr>
              <w:t>528</w:t>
            </w:r>
            <w:r>
              <w:t>t</w:t>
            </w:r>
          </w:p>
        </w:tc>
        <w:tc>
          <w:tcPr>
            <w:tcW w:w="853" w:type="pct"/>
            <w:tcBorders>
              <w:top w:val="single" w:color="000000" w:sz="4" w:space="0"/>
              <w:left w:val="single" w:color="auto" w:sz="4" w:space="0"/>
              <w:bottom w:val="single" w:color="000000" w:sz="4" w:space="0"/>
              <w:right w:val="single" w:color="000000" w:sz="4" w:space="0"/>
            </w:tcBorders>
            <w:vAlign w:val="center"/>
          </w:tcPr>
          <w:p w14:paraId="72C2B344">
            <w:pPr>
              <w:pStyle w:val="64"/>
            </w:pPr>
          </w:p>
        </w:tc>
      </w:tr>
      <w:tr w14:paraId="23C9094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94" w:type="pct"/>
            <w:vMerge w:val="continue"/>
            <w:tcBorders>
              <w:left w:val="single" w:color="000000" w:sz="4" w:space="0"/>
              <w:bottom w:val="single" w:color="000000" w:sz="4" w:space="0"/>
              <w:right w:val="single" w:color="000000" w:sz="4" w:space="0"/>
            </w:tcBorders>
            <w:vAlign w:val="center"/>
          </w:tcPr>
          <w:p w14:paraId="45B6BF96">
            <w:pPr>
              <w:pStyle w:val="64"/>
            </w:pPr>
          </w:p>
        </w:tc>
        <w:tc>
          <w:tcPr>
            <w:tcW w:w="1439" w:type="pct"/>
            <w:tcBorders>
              <w:top w:val="single" w:color="000000" w:sz="4" w:space="0"/>
              <w:left w:val="single" w:color="000000" w:sz="4" w:space="0"/>
              <w:bottom w:val="single" w:color="000000" w:sz="4" w:space="0"/>
              <w:right w:val="single" w:color="000000" w:sz="4" w:space="0"/>
            </w:tcBorders>
            <w:vAlign w:val="center"/>
          </w:tcPr>
          <w:p w14:paraId="0EE0B144">
            <w:pPr>
              <w:pStyle w:val="64"/>
            </w:pPr>
            <w:r>
              <w:rPr>
                <w:rFonts w:hint="eastAsia"/>
              </w:rPr>
              <w:t>异丁烯储罐</w:t>
            </w:r>
          </w:p>
        </w:tc>
        <w:tc>
          <w:tcPr>
            <w:tcW w:w="1408" w:type="pct"/>
            <w:tcBorders>
              <w:top w:val="single" w:color="000000" w:sz="4" w:space="0"/>
              <w:left w:val="single" w:color="000000" w:sz="4" w:space="0"/>
              <w:bottom w:val="single" w:color="000000" w:sz="4" w:space="0"/>
              <w:right w:val="single" w:color="auto" w:sz="4" w:space="0"/>
            </w:tcBorders>
            <w:vAlign w:val="center"/>
          </w:tcPr>
          <w:p w14:paraId="5CFD3406">
            <w:pPr>
              <w:pStyle w:val="64"/>
            </w:pPr>
            <w:r>
              <w:rPr>
                <w:rFonts w:hint="eastAsia"/>
              </w:rPr>
              <w:t>异丁烯</w:t>
            </w:r>
          </w:p>
        </w:tc>
        <w:tc>
          <w:tcPr>
            <w:tcW w:w="706" w:type="pct"/>
            <w:tcBorders>
              <w:top w:val="single" w:color="000000" w:sz="4" w:space="0"/>
              <w:left w:val="single" w:color="auto" w:sz="4" w:space="0"/>
              <w:bottom w:val="single" w:color="000000" w:sz="4" w:space="0"/>
              <w:right w:val="single" w:color="auto" w:sz="4" w:space="0"/>
            </w:tcBorders>
            <w:vAlign w:val="center"/>
          </w:tcPr>
          <w:p w14:paraId="78C1BE77">
            <w:pPr>
              <w:pStyle w:val="64"/>
            </w:pPr>
            <w:r>
              <w:rPr>
                <w:rFonts w:hint="eastAsia"/>
              </w:rPr>
              <w:t>70.32</w:t>
            </w:r>
            <w:r>
              <w:t>t</w:t>
            </w:r>
          </w:p>
        </w:tc>
        <w:tc>
          <w:tcPr>
            <w:tcW w:w="853" w:type="pct"/>
            <w:tcBorders>
              <w:top w:val="single" w:color="000000" w:sz="4" w:space="0"/>
              <w:left w:val="single" w:color="auto" w:sz="4" w:space="0"/>
              <w:bottom w:val="single" w:color="000000" w:sz="4" w:space="0"/>
              <w:right w:val="single" w:color="000000" w:sz="4" w:space="0"/>
            </w:tcBorders>
            <w:vAlign w:val="center"/>
          </w:tcPr>
          <w:p w14:paraId="3BB4D7D6">
            <w:pPr>
              <w:pStyle w:val="64"/>
            </w:pPr>
            <w:r>
              <w:t>/</w:t>
            </w:r>
          </w:p>
        </w:tc>
      </w:tr>
    </w:tbl>
    <w:p w14:paraId="7275CF24">
      <w:pPr>
        <w:rPr>
          <w:rFonts w:cs="Times New Roman"/>
          <w:spacing w:val="-3"/>
        </w:rPr>
      </w:pPr>
    </w:p>
    <w:p w14:paraId="2C989CED">
      <w:pPr>
        <w:ind w:firstLine="468" w:firstLineChars="200"/>
        <w:rPr>
          <w:rFonts w:cs="Times New Roman"/>
          <w:spacing w:val="-3"/>
        </w:rPr>
      </w:pPr>
      <w:r>
        <w:rPr>
          <w:rFonts w:hint="eastAsia" w:cs="Times New Roman"/>
          <w:spacing w:val="-3"/>
        </w:rPr>
        <w:t>3、环境风险类型及危害性分析</w:t>
      </w:r>
    </w:p>
    <w:p w14:paraId="75C90BE2">
      <w:pPr>
        <w:ind w:firstLine="468" w:firstLineChars="200"/>
        <w:rPr>
          <w:rFonts w:cs="Times New Roman"/>
          <w:spacing w:val="-3"/>
        </w:rPr>
      </w:pPr>
      <w:r>
        <w:rPr>
          <w:rFonts w:hint="eastAsia" w:cs="Times New Roman"/>
          <w:spacing w:val="-3"/>
        </w:rPr>
        <w:t>(1)环境风险类型</w:t>
      </w:r>
    </w:p>
    <w:p w14:paraId="3CD9CA7F">
      <w:pPr>
        <w:ind w:firstLine="468" w:firstLineChars="200"/>
        <w:rPr>
          <w:rFonts w:cs="Times New Roman"/>
          <w:spacing w:val="-3"/>
        </w:rPr>
      </w:pPr>
      <w:r>
        <w:rPr>
          <w:rFonts w:cs="Times New Roman"/>
          <w:spacing w:val="-3"/>
        </w:rPr>
        <w:fldChar w:fldCharType="begin"/>
      </w:r>
      <w:r>
        <w:rPr>
          <w:rFonts w:cs="Times New Roman"/>
          <w:spacing w:val="-3"/>
        </w:rPr>
        <w:instrText xml:space="preserve"> </w:instrText>
      </w:r>
      <w:r>
        <w:rPr>
          <w:rFonts w:hint="eastAsia" w:cs="Times New Roman"/>
          <w:spacing w:val="-3"/>
        </w:rPr>
        <w:instrText xml:space="preserve">= 1 \* GB3</w:instrText>
      </w:r>
      <w:r>
        <w:rPr>
          <w:rFonts w:cs="Times New Roman"/>
          <w:spacing w:val="-3"/>
        </w:rPr>
        <w:instrText xml:space="preserve"> </w:instrText>
      </w:r>
      <w:r>
        <w:rPr>
          <w:rFonts w:cs="Times New Roman"/>
          <w:spacing w:val="-3"/>
        </w:rPr>
        <w:fldChar w:fldCharType="separate"/>
      </w:r>
      <w:r>
        <w:rPr>
          <w:rFonts w:hint="eastAsia" w:cs="Times New Roman"/>
          <w:spacing w:val="-3"/>
        </w:rPr>
        <w:t>①</w:t>
      </w:r>
      <w:r>
        <w:rPr>
          <w:rFonts w:cs="Times New Roman"/>
          <w:spacing w:val="-3"/>
        </w:rPr>
        <w:fldChar w:fldCharType="end"/>
      </w:r>
      <w:r>
        <w:rPr>
          <w:rFonts w:hint="eastAsia" w:cs="Times New Roman"/>
          <w:spacing w:val="-3"/>
        </w:rPr>
        <w:t>泄漏导致的直接污染</w:t>
      </w:r>
    </w:p>
    <w:p w14:paraId="0A3A4B79">
      <w:pPr>
        <w:ind w:firstLine="468" w:firstLineChars="200"/>
        <w:rPr>
          <w:rFonts w:cs="Times New Roman"/>
          <w:spacing w:val="-3"/>
        </w:rPr>
      </w:pPr>
      <w:r>
        <w:rPr>
          <w:rFonts w:hint="eastAsia" w:cs="Times New Roman"/>
          <w:spacing w:val="-3"/>
        </w:rPr>
        <w:t>该类事故主要是设备、管线、阀门及其他设施出现故障或操作失误、仪表失灵等，使易燃或可燃物料泄漏，弥散在空气中，或泄漏的危险品进入周围土壤或地下水导致的环境污染。事故发生后，通常切断泄漏源，切断火源，隔离泄漏场所等措施，通过适当方式通风，加快有毒有害物质的扩散，降低泄漏点浓度，避免引起爆炸。</w:t>
      </w:r>
    </w:p>
    <w:p w14:paraId="796E128E">
      <w:pPr>
        <w:ind w:firstLine="468" w:firstLineChars="200"/>
        <w:rPr>
          <w:rFonts w:cs="Times New Roman"/>
          <w:spacing w:val="-3"/>
        </w:rPr>
      </w:pPr>
      <w:r>
        <w:rPr>
          <w:rFonts w:cs="Times New Roman"/>
          <w:spacing w:val="-3"/>
        </w:rPr>
        <w:fldChar w:fldCharType="begin"/>
      </w:r>
      <w:r>
        <w:rPr>
          <w:rFonts w:cs="Times New Roman"/>
          <w:spacing w:val="-3"/>
        </w:rPr>
        <w:instrText xml:space="preserve"> </w:instrText>
      </w:r>
      <w:r>
        <w:rPr>
          <w:rFonts w:hint="eastAsia" w:cs="Times New Roman"/>
          <w:spacing w:val="-3"/>
        </w:rPr>
        <w:instrText xml:space="preserve">= 2 \* GB3</w:instrText>
      </w:r>
      <w:r>
        <w:rPr>
          <w:rFonts w:cs="Times New Roman"/>
          <w:spacing w:val="-3"/>
        </w:rPr>
        <w:instrText xml:space="preserve"> </w:instrText>
      </w:r>
      <w:r>
        <w:rPr>
          <w:rFonts w:cs="Times New Roman"/>
          <w:spacing w:val="-3"/>
        </w:rPr>
        <w:fldChar w:fldCharType="separate"/>
      </w:r>
      <w:r>
        <w:rPr>
          <w:rFonts w:hint="eastAsia" w:cs="Times New Roman"/>
          <w:spacing w:val="-3"/>
        </w:rPr>
        <w:t>②</w:t>
      </w:r>
      <w:r>
        <w:rPr>
          <w:rFonts w:cs="Times New Roman"/>
          <w:spacing w:val="-3"/>
        </w:rPr>
        <w:fldChar w:fldCharType="end"/>
      </w:r>
      <w:r>
        <w:rPr>
          <w:rFonts w:hint="eastAsia" w:cs="Times New Roman"/>
          <w:spacing w:val="-3"/>
        </w:rPr>
        <w:t>次生/伴生污染</w:t>
      </w:r>
    </w:p>
    <w:p w14:paraId="0ECADB3C">
      <w:pPr>
        <w:ind w:firstLine="468" w:firstLineChars="200"/>
        <w:rPr>
          <w:rFonts w:cs="Times New Roman"/>
          <w:spacing w:val="-3"/>
        </w:rPr>
      </w:pPr>
      <w:r>
        <w:rPr>
          <w:rFonts w:hint="eastAsia" w:cs="Times New Roman"/>
          <w:spacing w:val="-3"/>
        </w:rPr>
        <w:t>可燃或易燃物质泄漏若遇到明火引发火灾、爆炸事故，或者装置操作不当引起爆炸火灾事故，发生灾害后，火灾燃烧产生的烟气为伴生污染物，将对周围大气环境造成一定污染，同时火灾产生的消防废水会对地表水水体产生一定的污染。</w:t>
      </w:r>
    </w:p>
    <w:p w14:paraId="174933D6">
      <w:pPr>
        <w:pStyle w:val="16"/>
        <w:ind w:firstLine="480"/>
      </w:pPr>
      <w:r>
        <w:rPr>
          <w:rFonts w:hint="eastAsia"/>
        </w:rPr>
        <w:t>(2)环境风险危害性分析</w:t>
      </w:r>
    </w:p>
    <w:p w14:paraId="6E566491">
      <w:pPr>
        <w:pStyle w:val="16"/>
        <w:ind w:firstLine="480"/>
        <w:rPr>
          <w:kern w:val="0"/>
        </w:rPr>
      </w:pPr>
      <w:r>
        <w:rPr>
          <w:kern w:val="0"/>
        </w:rPr>
        <w:t>物质存在的场所若阀门、法兰密封垫圈选材不当或法兰密封不严、设备存在缺陷，设备、管道等设备长久失修，致使设施设备老化等原因可能会造成物料的泄漏。此外，工作人员在生产过程中误操作，也有可能造成物料的泄漏。</w:t>
      </w:r>
    </w:p>
    <w:p w14:paraId="035D07FD">
      <w:pPr>
        <w:pStyle w:val="16"/>
        <w:ind w:firstLine="480"/>
        <w:rPr>
          <w:kern w:val="0"/>
        </w:rPr>
      </w:pPr>
      <w:r>
        <w:rPr>
          <w:kern w:val="0"/>
        </w:rPr>
        <w:t>该项目出现具有可燃性、毒性及腐蚀性的化学品泄漏的可能性分析结果见表6.</w:t>
      </w:r>
      <w:r>
        <w:rPr>
          <w:rFonts w:hint="eastAsia"/>
          <w:kern w:val="0"/>
        </w:rPr>
        <w:t>8</w:t>
      </w:r>
      <w:r>
        <w:rPr>
          <w:kern w:val="0"/>
        </w:rPr>
        <w:t>-</w:t>
      </w:r>
      <w:r>
        <w:rPr>
          <w:rFonts w:hint="eastAsia"/>
          <w:kern w:val="0"/>
        </w:rPr>
        <w:t>21</w:t>
      </w:r>
      <w:r>
        <w:rPr>
          <w:kern w:val="0"/>
        </w:rPr>
        <w:t>。</w:t>
      </w:r>
    </w:p>
    <w:p w14:paraId="23082B63">
      <w:pPr>
        <w:pStyle w:val="28"/>
        <w:rPr>
          <w:rFonts w:hint="eastAsia"/>
        </w:rPr>
      </w:pPr>
      <w:r>
        <w:t>表</w:t>
      </w:r>
      <w:r>
        <w:rPr>
          <w:rFonts w:hint="eastAsia"/>
        </w:rPr>
        <w:t>6</w:t>
      </w:r>
      <w:r>
        <w:t>.</w:t>
      </w:r>
      <w:r>
        <w:rPr>
          <w:rFonts w:hint="eastAsia"/>
        </w:rPr>
        <w:t>8</w:t>
      </w:r>
      <w:r>
        <w:t>-</w:t>
      </w:r>
      <w:r>
        <w:rPr>
          <w:rFonts w:hint="eastAsia"/>
        </w:rPr>
        <w:t>21</w:t>
      </w:r>
      <w:r>
        <w:t xml:space="preserve"> </w:t>
      </w:r>
      <w:r>
        <w:rPr>
          <w:rFonts w:hint="eastAsia"/>
        </w:rPr>
        <w:t xml:space="preserve"> </w:t>
      </w:r>
      <w:r>
        <w:t>具有爆炸性、可燃性、毒性及腐蚀性的化学品泄漏的可能性</w:t>
      </w:r>
    </w:p>
    <w:tbl>
      <w:tblPr>
        <w:tblStyle w:val="36"/>
        <w:tblW w:w="9110" w:type="dxa"/>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28" w:type="dxa"/>
          <w:left w:w="108" w:type="dxa"/>
          <w:bottom w:w="28" w:type="dxa"/>
          <w:right w:w="108" w:type="dxa"/>
        </w:tblCellMar>
      </w:tblPr>
      <w:tblGrid>
        <w:gridCol w:w="801"/>
        <w:gridCol w:w="1323"/>
        <w:gridCol w:w="3187"/>
        <w:gridCol w:w="1735"/>
        <w:gridCol w:w="2064"/>
      </w:tblGrid>
      <w:tr w14:paraId="531C701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28" w:type="dxa"/>
            <w:left w:w="108" w:type="dxa"/>
            <w:bottom w:w="28" w:type="dxa"/>
            <w:right w:w="108" w:type="dxa"/>
          </w:tblCellMar>
        </w:tblPrEx>
        <w:trPr>
          <w:cantSplit/>
          <w:trHeight w:val="20" w:hRule="atLeast"/>
          <w:tblHeader/>
          <w:jc w:val="center"/>
        </w:trPr>
        <w:tc>
          <w:tcPr>
            <w:tcW w:w="801" w:type="dxa"/>
            <w:vAlign w:val="center"/>
          </w:tcPr>
          <w:p w14:paraId="0B752A78">
            <w:pPr>
              <w:pStyle w:val="64"/>
            </w:pPr>
            <w:r>
              <w:t>序号</w:t>
            </w:r>
          </w:p>
        </w:tc>
        <w:tc>
          <w:tcPr>
            <w:tcW w:w="1323" w:type="dxa"/>
            <w:vAlign w:val="center"/>
          </w:tcPr>
          <w:p w14:paraId="28EAE53C">
            <w:pPr>
              <w:pStyle w:val="64"/>
            </w:pPr>
            <w:r>
              <w:t>危险有害后果</w:t>
            </w:r>
          </w:p>
        </w:tc>
        <w:tc>
          <w:tcPr>
            <w:tcW w:w="3187" w:type="dxa"/>
            <w:vAlign w:val="center"/>
          </w:tcPr>
          <w:p w14:paraId="5668E5A5">
            <w:pPr>
              <w:pStyle w:val="64"/>
            </w:pPr>
            <w:r>
              <w:t>危害因素</w:t>
            </w:r>
          </w:p>
        </w:tc>
        <w:tc>
          <w:tcPr>
            <w:tcW w:w="1735" w:type="dxa"/>
            <w:vAlign w:val="center"/>
          </w:tcPr>
          <w:p w14:paraId="113EC349">
            <w:pPr>
              <w:pStyle w:val="64"/>
            </w:pPr>
            <w:r>
              <w:t>泄漏状态[注2]</w:t>
            </w:r>
          </w:p>
        </w:tc>
        <w:tc>
          <w:tcPr>
            <w:tcW w:w="2064" w:type="dxa"/>
            <w:vAlign w:val="center"/>
          </w:tcPr>
          <w:p w14:paraId="2FD680EA">
            <w:pPr>
              <w:pStyle w:val="64"/>
            </w:pPr>
            <w:r>
              <w:t>发生可能性[注1]</w:t>
            </w:r>
          </w:p>
        </w:tc>
      </w:tr>
      <w:tr w14:paraId="76D3523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28" w:type="dxa"/>
            <w:left w:w="108" w:type="dxa"/>
            <w:bottom w:w="28" w:type="dxa"/>
            <w:right w:w="108" w:type="dxa"/>
          </w:tblCellMar>
        </w:tblPrEx>
        <w:trPr>
          <w:cantSplit/>
          <w:trHeight w:val="20" w:hRule="atLeast"/>
          <w:jc w:val="center"/>
        </w:trPr>
        <w:tc>
          <w:tcPr>
            <w:tcW w:w="801" w:type="dxa"/>
            <w:vMerge w:val="restart"/>
            <w:vAlign w:val="center"/>
          </w:tcPr>
          <w:p w14:paraId="05050F74">
            <w:pPr>
              <w:pStyle w:val="64"/>
            </w:pPr>
            <w:r>
              <w:t>1</w:t>
            </w:r>
          </w:p>
        </w:tc>
        <w:tc>
          <w:tcPr>
            <w:tcW w:w="1323" w:type="dxa"/>
            <w:vMerge w:val="restart"/>
            <w:vAlign w:val="center"/>
          </w:tcPr>
          <w:p w14:paraId="2E2E9A9A">
            <w:pPr>
              <w:pStyle w:val="64"/>
            </w:pPr>
            <w:r>
              <w:t>火灾、爆炸</w:t>
            </w:r>
          </w:p>
        </w:tc>
        <w:tc>
          <w:tcPr>
            <w:tcW w:w="3187" w:type="dxa"/>
            <w:vMerge w:val="restart"/>
            <w:vAlign w:val="center"/>
          </w:tcPr>
          <w:p w14:paraId="4CEDC808">
            <w:pPr>
              <w:pStyle w:val="64"/>
            </w:pPr>
            <w:r>
              <w:rPr>
                <w:rFonts w:hint="eastAsia"/>
              </w:rPr>
              <w:t>间对甲酚、间甲酚、对甲酚、异丁烯</w:t>
            </w:r>
          </w:p>
        </w:tc>
        <w:tc>
          <w:tcPr>
            <w:tcW w:w="1735" w:type="dxa"/>
            <w:vAlign w:val="center"/>
          </w:tcPr>
          <w:p w14:paraId="591FBCB0">
            <w:pPr>
              <w:pStyle w:val="64"/>
            </w:pPr>
            <w:r>
              <w:t>连续泄漏</w:t>
            </w:r>
          </w:p>
        </w:tc>
        <w:tc>
          <w:tcPr>
            <w:tcW w:w="2064" w:type="dxa"/>
            <w:vAlign w:val="center"/>
          </w:tcPr>
          <w:p w14:paraId="3196875A">
            <w:pPr>
              <w:pStyle w:val="64"/>
            </w:pPr>
            <w:r>
              <w:t>5×10</w:t>
            </w:r>
            <w:r>
              <w:rPr>
                <w:vertAlign w:val="superscript"/>
              </w:rPr>
              <w:t>-6</w:t>
            </w:r>
            <w:r>
              <w:t>/a</w:t>
            </w:r>
          </w:p>
        </w:tc>
      </w:tr>
      <w:tr w14:paraId="569F4DB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28" w:type="dxa"/>
            <w:left w:w="108" w:type="dxa"/>
            <w:bottom w:w="28" w:type="dxa"/>
            <w:right w:w="108" w:type="dxa"/>
          </w:tblCellMar>
        </w:tblPrEx>
        <w:trPr>
          <w:cantSplit/>
          <w:trHeight w:val="20" w:hRule="atLeast"/>
          <w:jc w:val="center"/>
        </w:trPr>
        <w:tc>
          <w:tcPr>
            <w:tcW w:w="801" w:type="dxa"/>
            <w:vMerge w:val="continue"/>
            <w:vAlign w:val="center"/>
          </w:tcPr>
          <w:p w14:paraId="240730D3">
            <w:pPr>
              <w:pStyle w:val="64"/>
            </w:pPr>
          </w:p>
        </w:tc>
        <w:tc>
          <w:tcPr>
            <w:tcW w:w="1323" w:type="dxa"/>
            <w:vMerge w:val="continue"/>
            <w:vAlign w:val="center"/>
          </w:tcPr>
          <w:p w14:paraId="42E8E4E5">
            <w:pPr>
              <w:pStyle w:val="64"/>
            </w:pPr>
          </w:p>
        </w:tc>
        <w:tc>
          <w:tcPr>
            <w:tcW w:w="3187" w:type="dxa"/>
            <w:vMerge w:val="continue"/>
            <w:vAlign w:val="center"/>
          </w:tcPr>
          <w:p w14:paraId="7BA201A6">
            <w:pPr>
              <w:pStyle w:val="64"/>
            </w:pPr>
          </w:p>
        </w:tc>
        <w:tc>
          <w:tcPr>
            <w:tcW w:w="1735" w:type="dxa"/>
            <w:vAlign w:val="center"/>
          </w:tcPr>
          <w:p w14:paraId="1126430E">
            <w:pPr>
              <w:pStyle w:val="64"/>
            </w:pPr>
            <w:r>
              <w:t>瞬时泄漏</w:t>
            </w:r>
          </w:p>
        </w:tc>
        <w:tc>
          <w:tcPr>
            <w:tcW w:w="2064" w:type="dxa"/>
            <w:vAlign w:val="center"/>
          </w:tcPr>
          <w:p w14:paraId="03E72C68">
            <w:pPr>
              <w:pStyle w:val="64"/>
            </w:pPr>
            <w:r>
              <w:t>1×10</w:t>
            </w:r>
            <w:r>
              <w:rPr>
                <w:vertAlign w:val="superscript"/>
              </w:rPr>
              <w:t>-4</w:t>
            </w:r>
            <w:r>
              <w:t>/a</w:t>
            </w:r>
          </w:p>
        </w:tc>
      </w:tr>
      <w:tr w14:paraId="71193D2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28" w:type="dxa"/>
            <w:left w:w="108" w:type="dxa"/>
            <w:bottom w:w="28" w:type="dxa"/>
            <w:right w:w="108" w:type="dxa"/>
          </w:tblCellMar>
        </w:tblPrEx>
        <w:trPr>
          <w:cantSplit/>
          <w:trHeight w:val="20" w:hRule="atLeast"/>
          <w:jc w:val="center"/>
        </w:trPr>
        <w:tc>
          <w:tcPr>
            <w:tcW w:w="801" w:type="dxa"/>
            <w:vMerge w:val="restart"/>
            <w:vAlign w:val="center"/>
          </w:tcPr>
          <w:p w14:paraId="38759809">
            <w:pPr>
              <w:pStyle w:val="64"/>
            </w:pPr>
            <w:r>
              <w:t>2</w:t>
            </w:r>
          </w:p>
        </w:tc>
        <w:tc>
          <w:tcPr>
            <w:tcW w:w="1323" w:type="dxa"/>
            <w:vMerge w:val="restart"/>
            <w:vAlign w:val="center"/>
          </w:tcPr>
          <w:p w14:paraId="12566558">
            <w:pPr>
              <w:pStyle w:val="64"/>
            </w:pPr>
            <w:r>
              <w:t>中毒</w:t>
            </w:r>
          </w:p>
        </w:tc>
        <w:tc>
          <w:tcPr>
            <w:tcW w:w="3187" w:type="dxa"/>
            <w:vMerge w:val="restart"/>
            <w:vAlign w:val="center"/>
          </w:tcPr>
          <w:p w14:paraId="177A8CCE">
            <w:pPr>
              <w:pStyle w:val="64"/>
            </w:pPr>
            <w:r>
              <w:rPr>
                <w:rFonts w:hint="eastAsia"/>
              </w:rPr>
              <w:t>硫酸、间甲酚、对甲酚</w:t>
            </w:r>
          </w:p>
        </w:tc>
        <w:tc>
          <w:tcPr>
            <w:tcW w:w="1735" w:type="dxa"/>
            <w:vAlign w:val="center"/>
          </w:tcPr>
          <w:p w14:paraId="53787847">
            <w:pPr>
              <w:pStyle w:val="64"/>
            </w:pPr>
            <w:r>
              <w:t>连续泄漏</w:t>
            </w:r>
          </w:p>
        </w:tc>
        <w:tc>
          <w:tcPr>
            <w:tcW w:w="2064" w:type="dxa"/>
            <w:vAlign w:val="center"/>
          </w:tcPr>
          <w:p w14:paraId="4FAB1389">
            <w:pPr>
              <w:pStyle w:val="64"/>
            </w:pPr>
            <w:r>
              <w:t>5×10</w:t>
            </w:r>
            <w:r>
              <w:rPr>
                <w:vertAlign w:val="superscript"/>
              </w:rPr>
              <w:t>-6</w:t>
            </w:r>
            <w:r>
              <w:t>/a</w:t>
            </w:r>
          </w:p>
        </w:tc>
      </w:tr>
      <w:tr w14:paraId="45DC2F6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28" w:type="dxa"/>
            <w:left w:w="108" w:type="dxa"/>
            <w:bottom w:w="28" w:type="dxa"/>
            <w:right w:w="108" w:type="dxa"/>
          </w:tblCellMar>
        </w:tblPrEx>
        <w:trPr>
          <w:cantSplit/>
          <w:trHeight w:val="20" w:hRule="atLeast"/>
          <w:jc w:val="center"/>
        </w:trPr>
        <w:tc>
          <w:tcPr>
            <w:tcW w:w="801" w:type="dxa"/>
            <w:vMerge w:val="continue"/>
            <w:vAlign w:val="center"/>
          </w:tcPr>
          <w:p w14:paraId="704B8E21">
            <w:pPr>
              <w:pStyle w:val="64"/>
            </w:pPr>
          </w:p>
        </w:tc>
        <w:tc>
          <w:tcPr>
            <w:tcW w:w="1323" w:type="dxa"/>
            <w:vMerge w:val="continue"/>
            <w:vAlign w:val="center"/>
          </w:tcPr>
          <w:p w14:paraId="1D98722A">
            <w:pPr>
              <w:pStyle w:val="64"/>
            </w:pPr>
          </w:p>
        </w:tc>
        <w:tc>
          <w:tcPr>
            <w:tcW w:w="3187" w:type="dxa"/>
            <w:vMerge w:val="continue"/>
            <w:vAlign w:val="center"/>
          </w:tcPr>
          <w:p w14:paraId="7C607791">
            <w:pPr>
              <w:pStyle w:val="64"/>
            </w:pPr>
          </w:p>
        </w:tc>
        <w:tc>
          <w:tcPr>
            <w:tcW w:w="1735" w:type="dxa"/>
            <w:vAlign w:val="center"/>
          </w:tcPr>
          <w:p w14:paraId="1BD7EC5D">
            <w:pPr>
              <w:pStyle w:val="64"/>
            </w:pPr>
            <w:r>
              <w:t>瞬时泄漏</w:t>
            </w:r>
          </w:p>
        </w:tc>
        <w:tc>
          <w:tcPr>
            <w:tcW w:w="2064" w:type="dxa"/>
            <w:vAlign w:val="center"/>
          </w:tcPr>
          <w:p w14:paraId="45937AD6">
            <w:pPr>
              <w:pStyle w:val="64"/>
            </w:pPr>
            <w:r>
              <w:t>1×10</w:t>
            </w:r>
            <w:r>
              <w:rPr>
                <w:vertAlign w:val="superscript"/>
              </w:rPr>
              <w:t>-4</w:t>
            </w:r>
            <w:r>
              <w:t>/a</w:t>
            </w:r>
          </w:p>
        </w:tc>
      </w:tr>
      <w:tr w14:paraId="4C753E9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28" w:type="dxa"/>
            <w:left w:w="108" w:type="dxa"/>
            <w:bottom w:w="28" w:type="dxa"/>
            <w:right w:w="108" w:type="dxa"/>
          </w:tblCellMar>
        </w:tblPrEx>
        <w:trPr>
          <w:cantSplit/>
          <w:trHeight w:val="20" w:hRule="atLeast"/>
          <w:jc w:val="center"/>
        </w:trPr>
        <w:tc>
          <w:tcPr>
            <w:tcW w:w="801" w:type="dxa"/>
            <w:vMerge w:val="restart"/>
            <w:vAlign w:val="center"/>
          </w:tcPr>
          <w:p w14:paraId="2B14073F">
            <w:pPr>
              <w:pStyle w:val="64"/>
            </w:pPr>
            <w:r>
              <w:t>3</w:t>
            </w:r>
          </w:p>
        </w:tc>
        <w:tc>
          <w:tcPr>
            <w:tcW w:w="1323" w:type="dxa"/>
            <w:vMerge w:val="restart"/>
            <w:vAlign w:val="center"/>
          </w:tcPr>
          <w:p w14:paraId="3A66BA87">
            <w:pPr>
              <w:pStyle w:val="64"/>
            </w:pPr>
            <w:r>
              <w:t>腐蚀、灼烫</w:t>
            </w:r>
          </w:p>
        </w:tc>
        <w:tc>
          <w:tcPr>
            <w:tcW w:w="3187" w:type="dxa"/>
            <w:vMerge w:val="restart"/>
            <w:vAlign w:val="center"/>
          </w:tcPr>
          <w:p w14:paraId="120EA131">
            <w:pPr>
              <w:pStyle w:val="64"/>
            </w:pPr>
            <w:r>
              <w:rPr>
                <w:rFonts w:hint="eastAsia"/>
              </w:rPr>
              <w:t>硫酸</w:t>
            </w:r>
          </w:p>
        </w:tc>
        <w:tc>
          <w:tcPr>
            <w:tcW w:w="1735" w:type="dxa"/>
            <w:vAlign w:val="center"/>
          </w:tcPr>
          <w:p w14:paraId="564A879A">
            <w:pPr>
              <w:pStyle w:val="64"/>
            </w:pPr>
            <w:r>
              <w:t>连续泄漏</w:t>
            </w:r>
          </w:p>
        </w:tc>
        <w:tc>
          <w:tcPr>
            <w:tcW w:w="2064" w:type="dxa"/>
            <w:vAlign w:val="center"/>
          </w:tcPr>
          <w:p w14:paraId="0440FEA2">
            <w:pPr>
              <w:pStyle w:val="64"/>
            </w:pPr>
            <w:r>
              <w:t>5×10</w:t>
            </w:r>
            <w:r>
              <w:rPr>
                <w:vertAlign w:val="superscript"/>
              </w:rPr>
              <w:t>-6</w:t>
            </w:r>
            <w:r>
              <w:t>/a</w:t>
            </w:r>
          </w:p>
        </w:tc>
      </w:tr>
      <w:tr w14:paraId="34514CE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28" w:type="dxa"/>
            <w:left w:w="108" w:type="dxa"/>
            <w:bottom w:w="28" w:type="dxa"/>
            <w:right w:w="108" w:type="dxa"/>
          </w:tblCellMar>
        </w:tblPrEx>
        <w:trPr>
          <w:cantSplit/>
          <w:trHeight w:val="20" w:hRule="atLeast"/>
          <w:jc w:val="center"/>
        </w:trPr>
        <w:tc>
          <w:tcPr>
            <w:tcW w:w="801" w:type="dxa"/>
            <w:vMerge w:val="continue"/>
            <w:vAlign w:val="center"/>
          </w:tcPr>
          <w:p w14:paraId="48EF8B29">
            <w:pPr>
              <w:pStyle w:val="64"/>
            </w:pPr>
          </w:p>
        </w:tc>
        <w:tc>
          <w:tcPr>
            <w:tcW w:w="1323" w:type="dxa"/>
            <w:vMerge w:val="continue"/>
            <w:vAlign w:val="center"/>
          </w:tcPr>
          <w:p w14:paraId="28BA8F58">
            <w:pPr>
              <w:pStyle w:val="64"/>
            </w:pPr>
          </w:p>
        </w:tc>
        <w:tc>
          <w:tcPr>
            <w:tcW w:w="3187" w:type="dxa"/>
            <w:vMerge w:val="continue"/>
            <w:vAlign w:val="center"/>
          </w:tcPr>
          <w:p w14:paraId="1819E894">
            <w:pPr>
              <w:pStyle w:val="64"/>
            </w:pPr>
          </w:p>
        </w:tc>
        <w:tc>
          <w:tcPr>
            <w:tcW w:w="1735" w:type="dxa"/>
            <w:vAlign w:val="center"/>
          </w:tcPr>
          <w:p w14:paraId="34FC45CA">
            <w:pPr>
              <w:pStyle w:val="64"/>
            </w:pPr>
            <w:r>
              <w:t>瞬时泄漏</w:t>
            </w:r>
          </w:p>
        </w:tc>
        <w:tc>
          <w:tcPr>
            <w:tcW w:w="2064" w:type="dxa"/>
            <w:vAlign w:val="center"/>
          </w:tcPr>
          <w:p w14:paraId="4D0E2FEC">
            <w:pPr>
              <w:pStyle w:val="64"/>
            </w:pPr>
            <w:r>
              <w:t>1×10</w:t>
            </w:r>
            <w:r>
              <w:rPr>
                <w:vertAlign w:val="superscript"/>
              </w:rPr>
              <w:t>-4</w:t>
            </w:r>
            <w:r>
              <w:t>/a</w:t>
            </w:r>
          </w:p>
        </w:tc>
      </w:tr>
    </w:tbl>
    <w:p w14:paraId="2DFFD711">
      <w:pPr>
        <w:spacing w:line="240" w:lineRule="auto"/>
        <w:rPr>
          <w:rFonts w:hint="eastAsia" w:ascii="黑体" w:hAnsi="黑体" w:eastAsia="黑体"/>
          <w:sz w:val="18"/>
          <w:szCs w:val="18"/>
        </w:rPr>
      </w:pPr>
      <w:r>
        <w:rPr>
          <w:rFonts w:ascii="黑体" w:hAnsi="黑体" w:eastAsia="黑体"/>
          <w:sz w:val="18"/>
          <w:szCs w:val="18"/>
        </w:rPr>
        <w:t>【注1】：事故发生频率采用《建设项目环境风险评价技术导则》(HJ169-2018)附录E推荐值。</w:t>
      </w:r>
    </w:p>
    <w:p w14:paraId="4AEA73E7">
      <w:pPr>
        <w:spacing w:line="240" w:lineRule="auto"/>
        <w:rPr>
          <w:rFonts w:hint="eastAsia" w:ascii="黑体" w:hAnsi="黑体" w:eastAsia="黑体"/>
          <w:kern w:val="0"/>
          <w:sz w:val="18"/>
          <w:szCs w:val="18"/>
        </w:rPr>
      </w:pPr>
      <w:r>
        <w:rPr>
          <w:rFonts w:ascii="黑体" w:hAnsi="黑体" w:eastAsia="黑体"/>
          <w:sz w:val="18"/>
          <w:szCs w:val="18"/>
        </w:rPr>
        <w:t>【注2】：连续泄漏：泄漏时间持续10min以上；瞬时泄漏：泄漏时间不超过30s；(依据《安全评价》修订版)。</w:t>
      </w:r>
    </w:p>
    <w:p w14:paraId="1F6D3EC2">
      <w:pPr>
        <w:ind w:firstLine="468" w:firstLineChars="200"/>
        <w:rPr>
          <w:rFonts w:cs="Times New Roman"/>
          <w:spacing w:val="-3"/>
        </w:rPr>
      </w:pPr>
      <w:r>
        <w:rPr>
          <w:rFonts w:hint="eastAsia" w:cs="Times New Roman"/>
          <w:spacing w:val="-3"/>
        </w:rPr>
        <w:t>4、环境风险识别结果</w:t>
      </w:r>
    </w:p>
    <w:p w14:paraId="3D0D6A26">
      <w:pPr>
        <w:ind w:firstLine="480" w:firstLineChars="200"/>
      </w:pPr>
      <w:r>
        <w:t>根据《建设项目环境风险评价技术导则》(HJ169-2018)，环境风险识别结果应包括危险单元、风险源、主要危险物质、环境风险类型、环境影响途径、可能受影响的环境敏感目标等，综上分析，结合本项目物质危险性识别、生产系统危险性识别和环境风险类型识别，汇总拟建项目环境风险识别结果如下表6.</w:t>
      </w:r>
      <w:r>
        <w:rPr>
          <w:rFonts w:hint="eastAsia"/>
        </w:rPr>
        <w:t>8</w:t>
      </w:r>
      <w:r>
        <w:t>-</w:t>
      </w:r>
      <w:r>
        <w:rPr>
          <w:rFonts w:hint="eastAsia"/>
        </w:rPr>
        <w:t>22</w:t>
      </w:r>
      <w:r>
        <w:t>。</w:t>
      </w:r>
    </w:p>
    <w:p w14:paraId="46AE0D32">
      <w:pPr>
        <w:pStyle w:val="28"/>
        <w:rPr>
          <w:rFonts w:hint="eastAsia"/>
        </w:rPr>
      </w:pPr>
      <w:r>
        <w:t>表6.</w:t>
      </w:r>
      <w:r>
        <w:rPr>
          <w:rFonts w:hint="eastAsia"/>
        </w:rPr>
        <w:t>8</w:t>
      </w:r>
      <w:r>
        <w:t>-</w:t>
      </w:r>
      <w:r>
        <w:rPr>
          <w:rFonts w:hint="eastAsia"/>
        </w:rPr>
        <w:t>22</w:t>
      </w:r>
      <w:r>
        <w:t xml:space="preserve">  项目环境风险识别表</w:t>
      </w:r>
    </w:p>
    <w:tbl>
      <w:tblPr>
        <w:tblStyle w:val="36"/>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661"/>
        <w:gridCol w:w="1109"/>
        <w:gridCol w:w="1520"/>
        <w:gridCol w:w="1383"/>
        <w:gridCol w:w="1522"/>
        <w:gridCol w:w="1520"/>
        <w:gridCol w:w="1345"/>
      </w:tblGrid>
      <w:tr w14:paraId="64342E6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65" w:type="pct"/>
            <w:tcBorders>
              <w:top w:val="single" w:color="000000" w:sz="4" w:space="0"/>
              <w:left w:val="single" w:color="000000" w:sz="4" w:space="0"/>
              <w:bottom w:val="single" w:color="000000" w:sz="4" w:space="0"/>
              <w:right w:val="single" w:color="000000" w:sz="4" w:space="0"/>
            </w:tcBorders>
            <w:vAlign w:val="center"/>
          </w:tcPr>
          <w:p w14:paraId="1E3D0564">
            <w:pPr>
              <w:pStyle w:val="64"/>
            </w:pPr>
            <w:r>
              <w:t>序号</w:t>
            </w:r>
          </w:p>
        </w:tc>
        <w:tc>
          <w:tcPr>
            <w:tcW w:w="612" w:type="pct"/>
            <w:tcBorders>
              <w:top w:val="single" w:color="000000" w:sz="4" w:space="0"/>
              <w:left w:val="single" w:color="000000" w:sz="4" w:space="0"/>
              <w:bottom w:val="single" w:color="000000" w:sz="4" w:space="0"/>
              <w:right w:val="single" w:color="000000" w:sz="4" w:space="0"/>
            </w:tcBorders>
            <w:vAlign w:val="center"/>
          </w:tcPr>
          <w:p w14:paraId="26049915">
            <w:pPr>
              <w:pStyle w:val="64"/>
            </w:pPr>
            <w:r>
              <w:t>危险单元</w:t>
            </w:r>
          </w:p>
        </w:tc>
        <w:tc>
          <w:tcPr>
            <w:tcW w:w="839" w:type="pct"/>
            <w:tcBorders>
              <w:top w:val="single" w:color="000000" w:sz="4" w:space="0"/>
              <w:left w:val="single" w:color="000000" w:sz="4" w:space="0"/>
              <w:bottom w:val="single" w:color="000000" w:sz="4" w:space="0"/>
              <w:right w:val="single" w:color="000000" w:sz="4" w:space="0"/>
            </w:tcBorders>
            <w:vAlign w:val="center"/>
          </w:tcPr>
          <w:p w14:paraId="1971869C">
            <w:pPr>
              <w:pStyle w:val="64"/>
            </w:pPr>
            <w:r>
              <w:t>风险源</w:t>
            </w:r>
          </w:p>
        </w:tc>
        <w:tc>
          <w:tcPr>
            <w:tcW w:w="763" w:type="pct"/>
            <w:tcBorders>
              <w:top w:val="single" w:color="000000" w:sz="4" w:space="0"/>
              <w:left w:val="single" w:color="000000" w:sz="4" w:space="0"/>
              <w:bottom w:val="single" w:color="000000" w:sz="4" w:space="0"/>
              <w:right w:val="single" w:color="000000" w:sz="4" w:space="0"/>
            </w:tcBorders>
            <w:vAlign w:val="center"/>
          </w:tcPr>
          <w:p w14:paraId="3345C931">
            <w:pPr>
              <w:pStyle w:val="64"/>
            </w:pPr>
            <w:r>
              <w:t>主要危险物质</w:t>
            </w:r>
          </w:p>
        </w:tc>
        <w:tc>
          <w:tcPr>
            <w:tcW w:w="840" w:type="pct"/>
            <w:tcBorders>
              <w:top w:val="single" w:color="000000" w:sz="4" w:space="0"/>
              <w:left w:val="single" w:color="000000" w:sz="4" w:space="0"/>
              <w:bottom w:val="single" w:color="000000" w:sz="4" w:space="0"/>
              <w:right w:val="single" w:color="auto" w:sz="4" w:space="0"/>
            </w:tcBorders>
            <w:vAlign w:val="center"/>
          </w:tcPr>
          <w:p w14:paraId="17443153">
            <w:pPr>
              <w:pStyle w:val="64"/>
            </w:pPr>
            <w:r>
              <w:t>环境风险类型</w:t>
            </w:r>
          </w:p>
        </w:tc>
        <w:tc>
          <w:tcPr>
            <w:tcW w:w="839" w:type="pct"/>
            <w:tcBorders>
              <w:top w:val="single" w:color="000000" w:sz="4" w:space="0"/>
              <w:left w:val="single" w:color="000000" w:sz="4" w:space="0"/>
              <w:bottom w:val="single" w:color="000000" w:sz="4" w:space="0"/>
              <w:right w:val="single" w:color="auto" w:sz="4" w:space="0"/>
            </w:tcBorders>
            <w:vAlign w:val="center"/>
          </w:tcPr>
          <w:p w14:paraId="2E24EC6F">
            <w:pPr>
              <w:pStyle w:val="64"/>
            </w:pPr>
            <w:r>
              <w:t>可能受影响环境敏感目标</w:t>
            </w:r>
          </w:p>
        </w:tc>
        <w:tc>
          <w:tcPr>
            <w:tcW w:w="742" w:type="pct"/>
            <w:tcBorders>
              <w:top w:val="single" w:color="000000" w:sz="4" w:space="0"/>
              <w:left w:val="single" w:color="000000" w:sz="4" w:space="0"/>
              <w:bottom w:val="single" w:color="000000" w:sz="4" w:space="0"/>
              <w:right w:val="single" w:color="auto" w:sz="4" w:space="0"/>
            </w:tcBorders>
            <w:vAlign w:val="center"/>
          </w:tcPr>
          <w:p w14:paraId="598F2967">
            <w:pPr>
              <w:pStyle w:val="64"/>
            </w:pPr>
            <w:r>
              <w:t>备注</w:t>
            </w:r>
          </w:p>
        </w:tc>
      </w:tr>
      <w:tr w14:paraId="3D8F57A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65" w:type="pct"/>
            <w:tcBorders>
              <w:top w:val="single" w:color="000000" w:sz="4" w:space="0"/>
              <w:left w:val="single" w:color="000000" w:sz="4" w:space="0"/>
              <w:bottom w:val="single" w:color="000000" w:sz="4" w:space="0"/>
              <w:right w:val="single" w:color="000000" w:sz="4" w:space="0"/>
            </w:tcBorders>
            <w:vAlign w:val="center"/>
          </w:tcPr>
          <w:p w14:paraId="40E52B64">
            <w:pPr>
              <w:pStyle w:val="64"/>
            </w:pPr>
            <w:r>
              <w:t>1</w:t>
            </w:r>
          </w:p>
        </w:tc>
        <w:tc>
          <w:tcPr>
            <w:tcW w:w="612" w:type="pct"/>
            <w:tcBorders>
              <w:top w:val="single" w:color="000000" w:sz="4" w:space="0"/>
              <w:left w:val="single" w:color="000000" w:sz="4" w:space="0"/>
              <w:bottom w:val="single" w:color="000000" w:sz="4" w:space="0"/>
              <w:right w:val="single" w:color="000000" w:sz="4" w:space="0"/>
            </w:tcBorders>
            <w:vAlign w:val="center"/>
          </w:tcPr>
          <w:p w14:paraId="32BE6C7A">
            <w:pPr>
              <w:pStyle w:val="64"/>
            </w:pPr>
            <w:r>
              <w:t>主生产装置车间</w:t>
            </w:r>
          </w:p>
        </w:tc>
        <w:tc>
          <w:tcPr>
            <w:tcW w:w="839" w:type="pct"/>
            <w:tcBorders>
              <w:top w:val="single" w:color="000000" w:sz="4" w:space="0"/>
              <w:left w:val="single" w:color="000000" w:sz="4" w:space="0"/>
              <w:bottom w:val="single" w:color="000000" w:sz="4" w:space="0"/>
              <w:right w:val="single" w:color="000000" w:sz="4" w:space="0"/>
            </w:tcBorders>
            <w:vAlign w:val="center"/>
          </w:tcPr>
          <w:p w14:paraId="4E54534B">
            <w:pPr>
              <w:pStyle w:val="64"/>
            </w:pPr>
            <w:r>
              <w:rPr>
                <w:rFonts w:hint="eastAsia"/>
              </w:rPr>
              <w:t>烷基化装置</w:t>
            </w:r>
          </w:p>
        </w:tc>
        <w:tc>
          <w:tcPr>
            <w:tcW w:w="763" w:type="pct"/>
            <w:tcBorders>
              <w:top w:val="single" w:color="000000" w:sz="4" w:space="0"/>
              <w:left w:val="single" w:color="000000" w:sz="4" w:space="0"/>
              <w:bottom w:val="single" w:color="000000" w:sz="4" w:space="0"/>
              <w:right w:val="single" w:color="000000" w:sz="4" w:space="0"/>
            </w:tcBorders>
            <w:vAlign w:val="center"/>
          </w:tcPr>
          <w:p w14:paraId="140C4F52">
            <w:pPr>
              <w:pStyle w:val="64"/>
            </w:pPr>
            <w:r>
              <w:rPr>
                <w:rFonts w:hint="eastAsia"/>
              </w:rPr>
              <w:t>间甲酚、对甲酚异丁烯</w:t>
            </w:r>
          </w:p>
        </w:tc>
        <w:tc>
          <w:tcPr>
            <w:tcW w:w="840" w:type="pct"/>
            <w:tcBorders>
              <w:top w:val="single" w:color="000000" w:sz="4" w:space="0"/>
              <w:left w:val="single" w:color="000000" w:sz="4" w:space="0"/>
              <w:bottom w:val="single" w:color="000000" w:sz="4" w:space="0"/>
              <w:right w:val="single" w:color="auto" w:sz="4" w:space="0"/>
            </w:tcBorders>
            <w:vAlign w:val="center"/>
          </w:tcPr>
          <w:p w14:paraId="374BC5EC">
            <w:pPr>
              <w:pStyle w:val="64"/>
            </w:pPr>
            <w:r>
              <w:t>泄漏、火灾爆炸引发的伴生/次生污染</w:t>
            </w:r>
          </w:p>
        </w:tc>
        <w:tc>
          <w:tcPr>
            <w:tcW w:w="839" w:type="pct"/>
            <w:tcBorders>
              <w:top w:val="single" w:color="000000" w:sz="4" w:space="0"/>
              <w:left w:val="single" w:color="000000" w:sz="4" w:space="0"/>
              <w:bottom w:val="single" w:color="auto" w:sz="4" w:space="0"/>
              <w:right w:val="single" w:color="auto" w:sz="4" w:space="0"/>
            </w:tcBorders>
            <w:vAlign w:val="center"/>
          </w:tcPr>
          <w:p w14:paraId="70F4ACFF">
            <w:pPr>
              <w:pStyle w:val="64"/>
            </w:pPr>
            <w:r>
              <w:t>下风向居民区、厂区内土壤、地下水</w:t>
            </w:r>
          </w:p>
        </w:tc>
        <w:tc>
          <w:tcPr>
            <w:tcW w:w="742" w:type="pct"/>
            <w:tcBorders>
              <w:top w:val="single" w:color="000000" w:sz="4" w:space="0"/>
              <w:left w:val="single" w:color="000000" w:sz="4" w:space="0"/>
              <w:bottom w:val="single" w:color="auto" w:sz="4" w:space="0"/>
              <w:right w:val="single" w:color="auto" w:sz="4" w:space="0"/>
            </w:tcBorders>
            <w:vAlign w:val="center"/>
          </w:tcPr>
          <w:p w14:paraId="759DB0AA">
            <w:pPr>
              <w:pStyle w:val="64"/>
            </w:pPr>
            <w:r>
              <w:t>生产装置集中布置</w:t>
            </w:r>
          </w:p>
        </w:tc>
      </w:tr>
      <w:tr w14:paraId="59AE9E6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65" w:type="pct"/>
            <w:tcBorders>
              <w:top w:val="single" w:color="000000" w:sz="4" w:space="0"/>
              <w:left w:val="single" w:color="000000" w:sz="4" w:space="0"/>
              <w:bottom w:val="single" w:color="000000" w:sz="4" w:space="0"/>
              <w:right w:val="single" w:color="000000" w:sz="4" w:space="0"/>
            </w:tcBorders>
            <w:vAlign w:val="center"/>
          </w:tcPr>
          <w:p w14:paraId="3F2373AB">
            <w:pPr>
              <w:pStyle w:val="64"/>
            </w:pPr>
            <w:r>
              <w:t>2</w:t>
            </w:r>
          </w:p>
        </w:tc>
        <w:tc>
          <w:tcPr>
            <w:tcW w:w="612" w:type="pct"/>
            <w:tcBorders>
              <w:top w:val="single" w:color="000000" w:sz="4" w:space="0"/>
              <w:left w:val="single" w:color="000000" w:sz="4" w:space="0"/>
              <w:bottom w:val="single" w:color="000000" w:sz="4" w:space="0"/>
              <w:right w:val="single" w:color="000000" w:sz="4" w:space="0"/>
            </w:tcBorders>
            <w:vAlign w:val="center"/>
          </w:tcPr>
          <w:p w14:paraId="4E194F92">
            <w:pPr>
              <w:pStyle w:val="64"/>
            </w:pPr>
            <w:r>
              <w:t>原料罐区</w:t>
            </w:r>
          </w:p>
        </w:tc>
        <w:tc>
          <w:tcPr>
            <w:tcW w:w="839" w:type="pct"/>
            <w:tcBorders>
              <w:top w:val="single" w:color="000000" w:sz="4" w:space="0"/>
              <w:left w:val="single" w:color="000000" w:sz="4" w:space="0"/>
              <w:bottom w:val="single" w:color="000000" w:sz="4" w:space="0"/>
              <w:right w:val="single" w:color="000000" w:sz="4" w:space="0"/>
            </w:tcBorders>
            <w:vAlign w:val="center"/>
          </w:tcPr>
          <w:p w14:paraId="3C0E75D2">
            <w:pPr>
              <w:pStyle w:val="64"/>
            </w:pPr>
            <w:r>
              <w:t>罐体破裂、阀门损坏、连接管脱落等</w:t>
            </w:r>
          </w:p>
        </w:tc>
        <w:tc>
          <w:tcPr>
            <w:tcW w:w="763" w:type="pct"/>
            <w:tcBorders>
              <w:top w:val="single" w:color="000000" w:sz="4" w:space="0"/>
              <w:left w:val="single" w:color="000000" w:sz="4" w:space="0"/>
              <w:bottom w:val="single" w:color="000000" w:sz="4" w:space="0"/>
              <w:right w:val="single" w:color="000000" w:sz="4" w:space="0"/>
            </w:tcBorders>
            <w:vAlign w:val="center"/>
          </w:tcPr>
          <w:p w14:paraId="11CAD4B4">
            <w:pPr>
              <w:pStyle w:val="64"/>
            </w:pPr>
            <w:r>
              <w:rPr>
                <w:rFonts w:hint="eastAsia"/>
              </w:rPr>
              <w:t>间甲酚、对甲酚异丁烯</w:t>
            </w:r>
          </w:p>
        </w:tc>
        <w:tc>
          <w:tcPr>
            <w:tcW w:w="840" w:type="pct"/>
            <w:tcBorders>
              <w:top w:val="single" w:color="000000" w:sz="4" w:space="0"/>
              <w:left w:val="single" w:color="000000" w:sz="4" w:space="0"/>
              <w:bottom w:val="single" w:color="000000" w:sz="4" w:space="0"/>
              <w:right w:val="single" w:color="auto" w:sz="4" w:space="0"/>
            </w:tcBorders>
            <w:vAlign w:val="center"/>
          </w:tcPr>
          <w:p w14:paraId="2D4EC7F2">
            <w:pPr>
              <w:pStyle w:val="64"/>
            </w:pPr>
            <w:r>
              <w:t>泄漏、火灾爆炸引发的伴生/次生污染</w:t>
            </w:r>
          </w:p>
        </w:tc>
        <w:tc>
          <w:tcPr>
            <w:tcW w:w="839" w:type="pct"/>
            <w:tcBorders>
              <w:top w:val="single" w:color="000000" w:sz="4" w:space="0"/>
              <w:left w:val="single" w:color="000000" w:sz="4" w:space="0"/>
              <w:bottom w:val="single" w:color="auto" w:sz="4" w:space="0"/>
              <w:right w:val="single" w:color="auto" w:sz="4" w:space="0"/>
            </w:tcBorders>
            <w:vAlign w:val="center"/>
          </w:tcPr>
          <w:p w14:paraId="42595E7D">
            <w:pPr>
              <w:pStyle w:val="64"/>
            </w:pPr>
            <w:r>
              <w:t>下风向居民区、厂区内土壤、地下水</w:t>
            </w:r>
          </w:p>
        </w:tc>
        <w:tc>
          <w:tcPr>
            <w:tcW w:w="742" w:type="pct"/>
            <w:tcBorders>
              <w:top w:val="single" w:color="000000" w:sz="4" w:space="0"/>
              <w:left w:val="single" w:color="000000" w:sz="4" w:space="0"/>
              <w:bottom w:val="single" w:color="auto" w:sz="4" w:space="0"/>
              <w:right w:val="single" w:color="auto" w:sz="4" w:space="0"/>
            </w:tcBorders>
            <w:vAlign w:val="center"/>
          </w:tcPr>
          <w:p w14:paraId="798AB780">
            <w:pPr>
              <w:pStyle w:val="64"/>
            </w:pPr>
            <w:r>
              <w:t>罐区设置围堰，发生事故时，通过围堰收集进入事故池</w:t>
            </w:r>
          </w:p>
        </w:tc>
      </w:tr>
      <w:tr w14:paraId="20DBDE9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65" w:type="pct"/>
            <w:tcBorders>
              <w:top w:val="single" w:color="000000" w:sz="4" w:space="0"/>
              <w:left w:val="single" w:color="000000" w:sz="4" w:space="0"/>
              <w:bottom w:val="single" w:color="000000" w:sz="4" w:space="0"/>
              <w:right w:val="single" w:color="000000" w:sz="4" w:space="0"/>
            </w:tcBorders>
            <w:vAlign w:val="center"/>
          </w:tcPr>
          <w:p w14:paraId="1AFF2398">
            <w:pPr>
              <w:pStyle w:val="64"/>
            </w:pPr>
            <w:r>
              <w:rPr>
                <w:rFonts w:hint="eastAsia"/>
              </w:rPr>
              <w:t>3</w:t>
            </w:r>
          </w:p>
        </w:tc>
        <w:tc>
          <w:tcPr>
            <w:tcW w:w="612" w:type="pct"/>
            <w:tcBorders>
              <w:top w:val="single" w:color="000000" w:sz="4" w:space="0"/>
              <w:left w:val="single" w:color="000000" w:sz="4" w:space="0"/>
              <w:bottom w:val="single" w:color="000000" w:sz="4" w:space="0"/>
              <w:right w:val="single" w:color="000000" w:sz="4" w:space="0"/>
            </w:tcBorders>
            <w:vAlign w:val="center"/>
          </w:tcPr>
          <w:p w14:paraId="490539B6">
            <w:pPr>
              <w:pStyle w:val="64"/>
            </w:pPr>
            <w:r>
              <w:rPr>
                <w:rFonts w:hint="eastAsia"/>
              </w:rPr>
              <w:t>成品罐区</w:t>
            </w:r>
          </w:p>
        </w:tc>
        <w:tc>
          <w:tcPr>
            <w:tcW w:w="839" w:type="pct"/>
            <w:tcBorders>
              <w:top w:val="single" w:color="000000" w:sz="4" w:space="0"/>
              <w:left w:val="single" w:color="000000" w:sz="4" w:space="0"/>
              <w:bottom w:val="single" w:color="000000" w:sz="4" w:space="0"/>
              <w:right w:val="single" w:color="000000" w:sz="4" w:space="0"/>
            </w:tcBorders>
            <w:vAlign w:val="center"/>
          </w:tcPr>
          <w:p w14:paraId="6883DD7F">
            <w:pPr>
              <w:pStyle w:val="64"/>
            </w:pPr>
            <w:r>
              <w:t>罐体破裂、阀门损坏、连接管脱落等</w:t>
            </w:r>
          </w:p>
        </w:tc>
        <w:tc>
          <w:tcPr>
            <w:tcW w:w="763" w:type="pct"/>
            <w:tcBorders>
              <w:top w:val="single" w:color="000000" w:sz="4" w:space="0"/>
              <w:left w:val="single" w:color="000000" w:sz="4" w:space="0"/>
              <w:bottom w:val="single" w:color="000000" w:sz="4" w:space="0"/>
              <w:right w:val="single" w:color="000000" w:sz="4" w:space="0"/>
            </w:tcBorders>
            <w:vAlign w:val="center"/>
          </w:tcPr>
          <w:p w14:paraId="25D53DEF">
            <w:pPr>
              <w:pStyle w:val="64"/>
            </w:pPr>
            <w:r>
              <w:rPr>
                <w:rFonts w:hint="eastAsia"/>
              </w:rPr>
              <w:t>间甲酚、对甲酚叔丁醇、二聚异丁烯等</w:t>
            </w:r>
          </w:p>
        </w:tc>
        <w:tc>
          <w:tcPr>
            <w:tcW w:w="840" w:type="pct"/>
            <w:tcBorders>
              <w:top w:val="single" w:color="000000" w:sz="4" w:space="0"/>
              <w:left w:val="single" w:color="000000" w:sz="4" w:space="0"/>
              <w:bottom w:val="single" w:color="000000" w:sz="4" w:space="0"/>
              <w:right w:val="single" w:color="auto" w:sz="4" w:space="0"/>
            </w:tcBorders>
            <w:vAlign w:val="center"/>
          </w:tcPr>
          <w:p w14:paraId="00B5C9C7">
            <w:pPr>
              <w:pStyle w:val="64"/>
            </w:pPr>
            <w:r>
              <w:t>泄漏、火灾爆炸引发的伴生/次生污染</w:t>
            </w:r>
          </w:p>
        </w:tc>
        <w:tc>
          <w:tcPr>
            <w:tcW w:w="839" w:type="pct"/>
            <w:tcBorders>
              <w:top w:val="single" w:color="000000" w:sz="4" w:space="0"/>
              <w:left w:val="single" w:color="000000" w:sz="4" w:space="0"/>
              <w:bottom w:val="single" w:color="auto" w:sz="4" w:space="0"/>
              <w:right w:val="single" w:color="auto" w:sz="4" w:space="0"/>
            </w:tcBorders>
            <w:vAlign w:val="center"/>
          </w:tcPr>
          <w:p w14:paraId="590A8380">
            <w:pPr>
              <w:pStyle w:val="64"/>
            </w:pPr>
            <w:r>
              <w:t>下风向居民区、厂区内土壤、地下水</w:t>
            </w:r>
          </w:p>
        </w:tc>
        <w:tc>
          <w:tcPr>
            <w:tcW w:w="742" w:type="pct"/>
            <w:tcBorders>
              <w:top w:val="single" w:color="000000" w:sz="4" w:space="0"/>
              <w:left w:val="single" w:color="000000" w:sz="4" w:space="0"/>
              <w:bottom w:val="single" w:color="auto" w:sz="4" w:space="0"/>
              <w:right w:val="single" w:color="auto" w:sz="4" w:space="0"/>
            </w:tcBorders>
            <w:vAlign w:val="center"/>
          </w:tcPr>
          <w:p w14:paraId="0363A5CA">
            <w:pPr>
              <w:pStyle w:val="64"/>
            </w:pPr>
            <w:r>
              <w:t>罐区设置围堰，发生事故时，通过围堰收集进入事故池</w:t>
            </w:r>
          </w:p>
        </w:tc>
      </w:tr>
      <w:tr w14:paraId="5404225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65" w:type="pct"/>
            <w:tcBorders>
              <w:top w:val="single" w:color="000000" w:sz="4" w:space="0"/>
              <w:left w:val="single" w:color="000000" w:sz="4" w:space="0"/>
              <w:bottom w:val="single" w:color="000000" w:sz="4" w:space="0"/>
              <w:right w:val="single" w:color="000000" w:sz="4" w:space="0"/>
            </w:tcBorders>
            <w:vAlign w:val="center"/>
          </w:tcPr>
          <w:p w14:paraId="2DF841FE">
            <w:pPr>
              <w:pStyle w:val="64"/>
            </w:pPr>
            <w:r>
              <w:rPr>
                <w:rFonts w:hint="eastAsia"/>
              </w:rPr>
              <w:t>4</w:t>
            </w:r>
          </w:p>
        </w:tc>
        <w:tc>
          <w:tcPr>
            <w:tcW w:w="612" w:type="pct"/>
            <w:tcBorders>
              <w:top w:val="single" w:color="000000" w:sz="4" w:space="0"/>
              <w:left w:val="single" w:color="000000" w:sz="4" w:space="0"/>
              <w:bottom w:val="single" w:color="000000" w:sz="4" w:space="0"/>
              <w:right w:val="single" w:color="000000" w:sz="4" w:space="0"/>
            </w:tcBorders>
            <w:vAlign w:val="center"/>
          </w:tcPr>
          <w:p w14:paraId="28088B03">
            <w:pPr>
              <w:pStyle w:val="64"/>
            </w:pPr>
            <w:r>
              <w:t>危险物料输送管道</w:t>
            </w:r>
          </w:p>
        </w:tc>
        <w:tc>
          <w:tcPr>
            <w:tcW w:w="839" w:type="pct"/>
            <w:tcBorders>
              <w:top w:val="single" w:color="000000" w:sz="4" w:space="0"/>
              <w:left w:val="single" w:color="000000" w:sz="4" w:space="0"/>
              <w:bottom w:val="single" w:color="000000" w:sz="4" w:space="0"/>
              <w:right w:val="single" w:color="000000" w:sz="4" w:space="0"/>
            </w:tcBorders>
            <w:vAlign w:val="center"/>
          </w:tcPr>
          <w:p w14:paraId="6AC9AE7B">
            <w:pPr>
              <w:pStyle w:val="64"/>
            </w:pPr>
            <w:r>
              <w:t>管道破裂、阀门损坏等</w:t>
            </w:r>
          </w:p>
        </w:tc>
        <w:tc>
          <w:tcPr>
            <w:tcW w:w="763" w:type="pct"/>
            <w:tcBorders>
              <w:top w:val="single" w:color="000000" w:sz="4" w:space="0"/>
              <w:left w:val="single" w:color="000000" w:sz="4" w:space="0"/>
              <w:bottom w:val="single" w:color="000000" w:sz="4" w:space="0"/>
              <w:right w:val="single" w:color="000000" w:sz="4" w:space="0"/>
            </w:tcBorders>
            <w:vAlign w:val="center"/>
          </w:tcPr>
          <w:p w14:paraId="56378DF5">
            <w:pPr>
              <w:pStyle w:val="64"/>
            </w:pPr>
            <w:r>
              <w:rPr>
                <w:rFonts w:hint="eastAsia"/>
              </w:rPr>
              <w:t>异丁烯、间甲酚、对甲酚</w:t>
            </w:r>
          </w:p>
        </w:tc>
        <w:tc>
          <w:tcPr>
            <w:tcW w:w="840" w:type="pct"/>
            <w:tcBorders>
              <w:top w:val="single" w:color="000000" w:sz="4" w:space="0"/>
              <w:left w:val="single" w:color="000000" w:sz="4" w:space="0"/>
              <w:bottom w:val="single" w:color="000000" w:sz="4" w:space="0"/>
              <w:right w:val="single" w:color="auto" w:sz="4" w:space="0"/>
            </w:tcBorders>
            <w:vAlign w:val="center"/>
          </w:tcPr>
          <w:p w14:paraId="2C4DD1C9">
            <w:pPr>
              <w:pStyle w:val="64"/>
            </w:pPr>
            <w:r>
              <w:t>泄漏、火灾爆炸引发的伴生/次生污染</w:t>
            </w:r>
          </w:p>
        </w:tc>
        <w:tc>
          <w:tcPr>
            <w:tcW w:w="839" w:type="pct"/>
            <w:tcBorders>
              <w:top w:val="single" w:color="000000" w:sz="4" w:space="0"/>
              <w:left w:val="single" w:color="000000" w:sz="4" w:space="0"/>
              <w:bottom w:val="single" w:color="auto" w:sz="4" w:space="0"/>
              <w:right w:val="single" w:color="auto" w:sz="4" w:space="0"/>
            </w:tcBorders>
            <w:vAlign w:val="center"/>
          </w:tcPr>
          <w:p w14:paraId="4075E76F">
            <w:pPr>
              <w:pStyle w:val="64"/>
            </w:pPr>
            <w:r>
              <w:t>下风向居民区、厂区内土壤、地下水</w:t>
            </w:r>
          </w:p>
        </w:tc>
        <w:tc>
          <w:tcPr>
            <w:tcW w:w="742" w:type="pct"/>
            <w:tcBorders>
              <w:top w:val="single" w:color="000000" w:sz="4" w:space="0"/>
              <w:left w:val="single" w:color="000000" w:sz="4" w:space="0"/>
              <w:bottom w:val="single" w:color="auto" w:sz="4" w:space="0"/>
              <w:right w:val="single" w:color="auto" w:sz="4" w:space="0"/>
            </w:tcBorders>
            <w:vAlign w:val="center"/>
          </w:tcPr>
          <w:p w14:paraId="063C57E2">
            <w:pPr>
              <w:pStyle w:val="64"/>
            </w:pPr>
            <w:r>
              <w:t>/</w:t>
            </w:r>
          </w:p>
        </w:tc>
      </w:tr>
      <w:tr w14:paraId="2C04B34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65" w:type="pct"/>
            <w:tcBorders>
              <w:top w:val="single" w:color="000000" w:sz="4" w:space="0"/>
              <w:left w:val="single" w:color="000000" w:sz="4" w:space="0"/>
              <w:bottom w:val="single" w:color="000000" w:sz="4" w:space="0"/>
              <w:right w:val="single" w:color="000000" w:sz="4" w:space="0"/>
            </w:tcBorders>
            <w:vAlign w:val="center"/>
          </w:tcPr>
          <w:p w14:paraId="3DA52D28">
            <w:pPr>
              <w:pStyle w:val="64"/>
            </w:pPr>
            <w:r>
              <w:rPr>
                <w:rFonts w:hint="eastAsia"/>
              </w:rPr>
              <w:t>5</w:t>
            </w:r>
          </w:p>
        </w:tc>
        <w:tc>
          <w:tcPr>
            <w:tcW w:w="612" w:type="pct"/>
            <w:tcBorders>
              <w:top w:val="single" w:color="000000" w:sz="4" w:space="0"/>
              <w:left w:val="single" w:color="000000" w:sz="4" w:space="0"/>
              <w:bottom w:val="single" w:color="000000" w:sz="4" w:space="0"/>
              <w:right w:val="single" w:color="000000" w:sz="4" w:space="0"/>
            </w:tcBorders>
            <w:vAlign w:val="center"/>
          </w:tcPr>
          <w:p w14:paraId="04C2260F">
            <w:pPr>
              <w:pStyle w:val="64"/>
            </w:pPr>
            <w:r>
              <w:t>高浓废水</w:t>
            </w:r>
            <w:r>
              <w:rPr>
                <w:rFonts w:hint="eastAsia"/>
              </w:rPr>
              <w:t>暂存</w:t>
            </w:r>
            <w:r>
              <w:t>罐及管道</w:t>
            </w:r>
          </w:p>
        </w:tc>
        <w:tc>
          <w:tcPr>
            <w:tcW w:w="839" w:type="pct"/>
            <w:tcBorders>
              <w:top w:val="single" w:color="000000" w:sz="4" w:space="0"/>
              <w:left w:val="single" w:color="000000" w:sz="4" w:space="0"/>
              <w:bottom w:val="single" w:color="000000" w:sz="4" w:space="0"/>
              <w:right w:val="single" w:color="000000" w:sz="4" w:space="0"/>
            </w:tcBorders>
            <w:vAlign w:val="center"/>
          </w:tcPr>
          <w:p w14:paraId="273ACEB7">
            <w:pPr>
              <w:pStyle w:val="64"/>
            </w:pPr>
            <w:r>
              <w:t>罐体破裂、管道破裂、阀门损坏等</w:t>
            </w:r>
          </w:p>
        </w:tc>
        <w:tc>
          <w:tcPr>
            <w:tcW w:w="763" w:type="pct"/>
            <w:tcBorders>
              <w:top w:val="single" w:color="000000" w:sz="4" w:space="0"/>
              <w:left w:val="single" w:color="000000" w:sz="4" w:space="0"/>
              <w:bottom w:val="single" w:color="000000" w:sz="4" w:space="0"/>
              <w:right w:val="single" w:color="000000" w:sz="4" w:space="0"/>
            </w:tcBorders>
            <w:vAlign w:val="center"/>
          </w:tcPr>
          <w:p w14:paraId="1618FDFA">
            <w:pPr>
              <w:pStyle w:val="64"/>
            </w:pPr>
            <w:r>
              <w:t>高浓高盐废水</w:t>
            </w:r>
          </w:p>
        </w:tc>
        <w:tc>
          <w:tcPr>
            <w:tcW w:w="840" w:type="pct"/>
            <w:tcBorders>
              <w:top w:val="single" w:color="000000" w:sz="4" w:space="0"/>
              <w:left w:val="single" w:color="000000" w:sz="4" w:space="0"/>
              <w:bottom w:val="single" w:color="000000" w:sz="4" w:space="0"/>
              <w:right w:val="single" w:color="auto" w:sz="4" w:space="0"/>
            </w:tcBorders>
            <w:vAlign w:val="center"/>
          </w:tcPr>
          <w:p w14:paraId="57D41BD6">
            <w:pPr>
              <w:pStyle w:val="64"/>
            </w:pPr>
            <w:r>
              <w:t>泄漏</w:t>
            </w:r>
          </w:p>
        </w:tc>
        <w:tc>
          <w:tcPr>
            <w:tcW w:w="839" w:type="pct"/>
            <w:tcBorders>
              <w:top w:val="single" w:color="000000" w:sz="4" w:space="0"/>
              <w:left w:val="single" w:color="000000" w:sz="4" w:space="0"/>
              <w:bottom w:val="single" w:color="auto" w:sz="4" w:space="0"/>
              <w:right w:val="single" w:color="auto" w:sz="4" w:space="0"/>
            </w:tcBorders>
            <w:vAlign w:val="center"/>
          </w:tcPr>
          <w:p w14:paraId="7F3CCD89">
            <w:pPr>
              <w:pStyle w:val="64"/>
            </w:pPr>
            <w:r>
              <w:t>土壤和地下水环境</w:t>
            </w:r>
          </w:p>
        </w:tc>
        <w:tc>
          <w:tcPr>
            <w:tcW w:w="742" w:type="pct"/>
            <w:tcBorders>
              <w:top w:val="single" w:color="000000" w:sz="4" w:space="0"/>
              <w:left w:val="single" w:color="000000" w:sz="4" w:space="0"/>
              <w:bottom w:val="single" w:color="auto" w:sz="4" w:space="0"/>
              <w:right w:val="single" w:color="auto" w:sz="4" w:space="0"/>
            </w:tcBorders>
            <w:vAlign w:val="center"/>
          </w:tcPr>
          <w:p w14:paraId="5AA5F714">
            <w:pPr>
              <w:pStyle w:val="64"/>
            </w:pPr>
            <w:r>
              <w:t>/</w:t>
            </w:r>
          </w:p>
        </w:tc>
      </w:tr>
    </w:tbl>
    <w:p w14:paraId="4B5E6BAE">
      <w:pPr>
        <w:spacing w:line="240" w:lineRule="auto"/>
        <w:rPr>
          <w:rFonts w:cs="Times New Roman"/>
          <w:spacing w:val="-3"/>
        </w:rPr>
      </w:pPr>
      <w:r>
        <w:rPr>
          <w:rFonts w:cs="Times New Roman"/>
          <w:spacing w:val="-3"/>
        </w:rPr>
        <w:drawing>
          <wp:inline distT="0" distB="0" distL="0" distR="0">
            <wp:extent cx="5828665" cy="7433310"/>
            <wp:effectExtent l="0" t="0" r="635" b="0"/>
            <wp:docPr id="277644412"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644412" name="图片 154"/>
                    <pic:cNvPicPr>
                      <a:picLocks noChangeAspect="1"/>
                    </pic:cNvPicPr>
                  </pic:nvPicPr>
                  <pic:blipFill>
                    <a:blip r:embed="rId56">
                      <a:extLst>
                        <a:ext uri="{28A0092B-C50C-407E-A947-70E740481C1C}">
                          <a14:useLocalDpi xmlns:a14="http://schemas.microsoft.com/office/drawing/2010/main" val="0"/>
                        </a:ext>
                      </a:extLst>
                    </a:blip>
                    <a:stretch>
                      <a:fillRect/>
                    </a:stretch>
                  </pic:blipFill>
                  <pic:spPr>
                    <a:xfrm>
                      <a:off x="0" y="0"/>
                      <a:ext cx="5833911" cy="7440541"/>
                    </a:xfrm>
                    <a:prstGeom prst="rect">
                      <a:avLst/>
                    </a:prstGeom>
                  </pic:spPr>
                </pic:pic>
              </a:graphicData>
            </a:graphic>
          </wp:inline>
        </w:drawing>
      </w:r>
    </w:p>
    <w:p w14:paraId="0055D798">
      <w:pPr>
        <w:pStyle w:val="28"/>
        <w:rPr>
          <w:rFonts w:hint="eastAsia"/>
        </w:rPr>
      </w:pPr>
      <w:r>
        <w:rPr>
          <w:rFonts w:hint="eastAsia"/>
        </w:rPr>
        <w:t>图6.8-3 项目环境风险单元示意图</w:t>
      </w:r>
    </w:p>
    <w:p w14:paraId="783C8C7A">
      <w:pPr>
        <w:pStyle w:val="4"/>
        <w:rPr>
          <w:rFonts w:hint="eastAsia"/>
        </w:rPr>
      </w:pPr>
      <w:bookmarkStart w:id="130" w:name="_Toc221056440"/>
      <w:r>
        <w:rPr>
          <w:rFonts w:hint="eastAsia"/>
        </w:rPr>
        <w:t>6.8.5风险事故情形分析</w:t>
      </w:r>
      <w:bookmarkEnd w:id="130"/>
    </w:p>
    <w:p w14:paraId="45E60F3F">
      <w:pPr>
        <w:pStyle w:val="16"/>
        <w:ind w:firstLine="480"/>
      </w:pPr>
      <w:r>
        <w:rPr>
          <w:rFonts w:hint="eastAsia"/>
        </w:rPr>
        <w:t>根据《建设项目环境风险评价技术导则》(HJ169-2018)，本项目环境风险事故设定的原则如下：</w:t>
      </w:r>
    </w:p>
    <w:p w14:paraId="25E3AD8B">
      <w:pPr>
        <w:pStyle w:val="16"/>
        <w:ind w:firstLine="480"/>
      </w:pPr>
      <w:r>
        <w:rPr>
          <w:rFonts w:hint="eastAsia"/>
        </w:rPr>
        <w:t>(1)同一危险物质可能有多种环境风险类型，风险事故情形应包括危险物质泄漏、以及火灾、爆炸等引发的伴生/次生污染物排放情形。对不同环境要素产生影响的风险事故情形，应分别进行设定。</w:t>
      </w:r>
    </w:p>
    <w:p w14:paraId="2A85762E">
      <w:pPr>
        <w:pStyle w:val="16"/>
        <w:ind w:firstLine="480"/>
      </w:pPr>
      <w:r>
        <w:rPr>
          <w:rFonts w:hint="eastAsia"/>
        </w:rPr>
        <w:t>(2)对于火灾、爆炸事故，需将事故中未完全燃烧的危险物质在高温下迅速挥发释放至大气，以及燃烧过程中产生的伴生/次生污染物对环境的影响作为风险事故情形设定的内容。</w:t>
      </w:r>
    </w:p>
    <w:p w14:paraId="5D137D87">
      <w:pPr>
        <w:pStyle w:val="16"/>
        <w:ind w:firstLine="480"/>
      </w:pPr>
      <w:r>
        <w:rPr>
          <w:rFonts w:hint="eastAsia"/>
        </w:rPr>
        <w:t>(3)设定的风险事故情形发生可能性应处理合理的区间，并与经济技术水平相适应，一般而言，发生频率小于10</w:t>
      </w:r>
      <w:r>
        <w:rPr>
          <w:rFonts w:hint="eastAsia"/>
          <w:vertAlign w:val="superscript"/>
        </w:rPr>
        <w:t>-6</w:t>
      </w:r>
      <w:r>
        <w:rPr>
          <w:rFonts w:hint="eastAsia"/>
        </w:rPr>
        <w:t>/年的事件是极小概率事件，可作为代表性事故情形中最大可信事故设定的参考。</w:t>
      </w:r>
    </w:p>
    <w:p w14:paraId="4FC3946F">
      <w:pPr>
        <w:pStyle w:val="16"/>
        <w:ind w:firstLine="480"/>
      </w:pPr>
      <w:r>
        <w:rPr>
          <w:rFonts w:hint="eastAsia"/>
        </w:rPr>
        <w:t>(4)风险事故情形设定的不确定性与筛选。事故情形的设定应在环境风险识别的基础上筛选，设定的事故情形应具有危险物质、环境危害、影响途径等方面的代表性。</w:t>
      </w:r>
    </w:p>
    <w:p w14:paraId="1D2251D9">
      <w:pPr>
        <w:pStyle w:val="16"/>
        <w:ind w:firstLine="480"/>
        <w:rPr>
          <w:kern w:val="0"/>
        </w:rPr>
      </w:pPr>
      <w:r>
        <w:rPr>
          <w:kern w:val="0"/>
        </w:rPr>
        <w:t>根据以上风险事故情形设定原则，结合项目风险识别，本项目风险事故情形的设定一方面考虑对环境的危害程度最严重，一方面事故设应科学、客观，一般不包括极端情况，根据导则要求，本评价以发生频率小于10</w:t>
      </w:r>
      <w:r>
        <w:rPr>
          <w:kern w:val="0"/>
          <w:vertAlign w:val="superscript"/>
        </w:rPr>
        <w:t>-6</w:t>
      </w:r>
      <w:r>
        <w:rPr>
          <w:kern w:val="0"/>
        </w:rPr>
        <w:t>/年的事件作为极小事件的参考值。</w:t>
      </w:r>
    </w:p>
    <w:p w14:paraId="48AABE69">
      <w:pPr>
        <w:pStyle w:val="16"/>
        <w:ind w:firstLine="480"/>
        <w:rPr>
          <w:kern w:val="0"/>
        </w:rPr>
      </w:pPr>
      <w:r>
        <w:rPr>
          <w:kern w:val="0"/>
        </w:rPr>
        <w:t>由于《建设项目环境风险评价技术导则》(HJ169-2018)附录H及相关网站无</w:t>
      </w:r>
      <w:r>
        <w:rPr>
          <w:rFonts w:hint="eastAsia"/>
          <w:kern w:val="0"/>
        </w:rPr>
        <w:t>间甲酚、对甲酚</w:t>
      </w:r>
      <w:r>
        <w:rPr>
          <w:kern w:val="0"/>
        </w:rPr>
        <w:t>毒性终点浓度值，因此本次评价参照毒性更大的</w:t>
      </w:r>
      <w:r>
        <w:rPr>
          <w:rFonts w:hint="eastAsia"/>
          <w:kern w:val="0"/>
        </w:rPr>
        <w:t>苯酚</w:t>
      </w:r>
      <w:r>
        <w:rPr>
          <w:kern w:val="0"/>
        </w:rPr>
        <w:t>相关浓度值，本项目涉及的原辅料毒性终点浓度值如下表</w:t>
      </w:r>
      <w:r>
        <w:rPr>
          <w:rFonts w:hint="eastAsia"/>
          <w:kern w:val="0"/>
        </w:rPr>
        <w:t>6</w:t>
      </w:r>
      <w:r>
        <w:rPr>
          <w:kern w:val="0"/>
        </w:rPr>
        <w:t>.</w:t>
      </w:r>
      <w:r>
        <w:rPr>
          <w:rFonts w:hint="eastAsia"/>
          <w:kern w:val="0"/>
        </w:rPr>
        <w:t>8</w:t>
      </w:r>
      <w:r>
        <w:rPr>
          <w:kern w:val="0"/>
        </w:rPr>
        <w:t>-</w:t>
      </w:r>
      <w:r>
        <w:rPr>
          <w:rFonts w:hint="eastAsia"/>
          <w:kern w:val="0"/>
        </w:rPr>
        <w:t>23</w:t>
      </w:r>
      <w:r>
        <w:rPr>
          <w:kern w:val="0"/>
        </w:rPr>
        <w:t>。</w:t>
      </w:r>
    </w:p>
    <w:p w14:paraId="59578E0C">
      <w:pPr>
        <w:pStyle w:val="28"/>
        <w:rPr>
          <w:rFonts w:hint="eastAsia"/>
        </w:rPr>
      </w:pPr>
      <w:r>
        <w:t>表</w:t>
      </w:r>
      <w:r>
        <w:rPr>
          <w:rFonts w:hint="eastAsia"/>
        </w:rPr>
        <w:t>6</w:t>
      </w:r>
      <w:r>
        <w:t>.8-</w:t>
      </w:r>
      <w:r>
        <w:rPr>
          <w:rFonts w:hint="eastAsia"/>
        </w:rPr>
        <w:t>23</w:t>
      </w:r>
      <w:r>
        <w:t xml:space="preserve">  项目涉及的危险物质的毒性终点浓度</w:t>
      </w:r>
    </w:p>
    <w:tbl>
      <w:tblPr>
        <w:tblStyle w:val="36"/>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1121"/>
        <w:gridCol w:w="2162"/>
        <w:gridCol w:w="2153"/>
        <w:gridCol w:w="1812"/>
        <w:gridCol w:w="1812"/>
      </w:tblGrid>
      <w:tr w14:paraId="00F67E2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619" w:type="pct"/>
            <w:tcBorders>
              <w:top w:val="single" w:color="auto" w:sz="4" w:space="0"/>
              <w:left w:val="single" w:color="auto" w:sz="4" w:space="0"/>
              <w:bottom w:val="single" w:color="auto" w:sz="4" w:space="0"/>
              <w:right w:val="single" w:color="auto" w:sz="4" w:space="0"/>
            </w:tcBorders>
            <w:vAlign w:val="center"/>
          </w:tcPr>
          <w:p w14:paraId="0EF13C47">
            <w:pPr>
              <w:pStyle w:val="64"/>
            </w:pPr>
            <w:r>
              <w:t>序号</w:t>
            </w:r>
          </w:p>
        </w:tc>
        <w:tc>
          <w:tcPr>
            <w:tcW w:w="1193" w:type="pct"/>
            <w:tcBorders>
              <w:top w:val="single" w:color="auto" w:sz="4" w:space="0"/>
              <w:left w:val="single" w:color="auto" w:sz="4" w:space="0"/>
              <w:bottom w:val="single" w:color="auto" w:sz="4" w:space="0"/>
              <w:right w:val="single" w:color="auto" w:sz="4" w:space="0"/>
            </w:tcBorders>
            <w:vAlign w:val="center"/>
          </w:tcPr>
          <w:p w14:paraId="57A22212">
            <w:pPr>
              <w:pStyle w:val="64"/>
            </w:pPr>
            <w:r>
              <w:t>危险物质名称</w:t>
            </w:r>
          </w:p>
        </w:tc>
        <w:tc>
          <w:tcPr>
            <w:tcW w:w="1188" w:type="pct"/>
            <w:tcBorders>
              <w:top w:val="single" w:color="auto" w:sz="4" w:space="0"/>
              <w:left w:val="single" w:color="auto" w:sz="4" w:space="0"/>
              <w:bottom w:val="single" w:color="auto" w:sz="4" w:space="0"/>
              <w:right w:val="single" w:color="auto" w:sz="4" w:space="0"/>
            </w:tcBorders>
            <w:vAlign w:val="center"/>
          </w:tcPr>
          <w:p w14:paraId="0201E1D0">
            <w:pPr>
              <w:pStyle w:val="64"/>
            </w:pPr>
            <w:r>
              <w:t>CAS号</w:t>
            </w:r>
          </w:p>
        </w:tc>
        <w:tc>
          <w:tcPr>
            <w:tcW w:w="1000" w:type="pct"/>
            <w:tcBorders>
              <w:top w:val="single" w:color="auto" w:sz="4" w:space="0"/>
              <w:left w:val="single" w:color="auto" w:sz="4" w:space="0"/>
              <w:bottom w:val="single" w:color="auto" w:sz="4" w:space="0"/>
              <w:right w:val="single" w:color="auto" w:sz="4" w:space="0"/>
            </w:tcBorders>
            <w:vAlign w:val="center"/>
          </w:tcPr>
          <w:p w14:paraId="1D4090CD">
            <w:pPr>
              <w:pStyle w:val="64"/>
            </w:pPr>
            <w:r>
              <w:t>毒性终点浓度-1(mg/m</w:t>
            </w:r>
            <w:r>
              <w:rPr>
                <w:vertAlign w:val="superscript"/>
              </w:rPr>
              <w:t>3</w:t>
            </w:r>
            <w:r>
              <w:t>)</w:t>
            </w:r>
          </w:p>
        </w:tc>
        <w:tc>
          <w:tcPr>
            <w:tcW w:w="1000" w:type="pct"/>
            <w:tcBorders>
              <w:top w:val="single" w:color="auto" w:sz="4" w:space="0"/>
              <w:left w:val="single" w:color="auto" w:sz="4" w:space="0"/>
              <w:bottom w:val="single" w:color="auto" w:sz="4" w:space="0"/>
              <w:right w:val="single" w:color="auto" w:sz="4" w:space="0"/>
            </w:tcBorders>
            <w:vAlign w:val="center"/>
          </w:tcPr>
          <w:p w14:paraId="50FFD0B5">
            <w:pPr>
              <w:pStyle w:val="64"/>
            </w:pPr>
            <w:r>
              <w:t>毒性终点浓度-2(mg/m</w:t>
            </w:r>
            <w:r>
              <w:rPr>
                <w:vertAlign w:val="superscript"/>
              </w:rPr>
              <w:t>3</w:t>
            </w:r>
            <w:r>
              <w:t>)</w:t>
            </w:r>
          </w:p>
        </w:tc>
      </w:tr>
      <w:tr w14:paraId="11A86C8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619" w:type="pct"/>
            <w:tcBorders>
              <w:top w:val="single" w:color="auto" w:sz="4" w:space="0"/>
              <w:left w:val="single" w:color="auto" w:sz="4" w:space="0"/>
              <w:bottom w:val="single" w:color="auto" w:sz="4" w:space="0"/>
              <w:right w:val="single" w:color="auto" w:sz="4" w:space="0"/>
            </w:tcBorders>
            <w:vAlign w:val="center"/>
          </w:tcPr>
          <w:p w14:paraId="0B5191AE">
            <w:pPr>
              <w:pStyle w:val="64"/>
            </w:pPr>
            <w:r>
              <w:t>1</w:t>
            </w:r>
          </w:p>
        </w:tc>
        <w:tc>
          <w:tcPr>
            <w:tcW w:w="1193" w:type="pct"/>
            <w:tcBorders>
              <w:top w:val="single" w:color="auto" w:sz="4" w:space="0"/>
              <w:left w:val="single" w:color="auto" w:sz="4" w:space="0"/>
              <w:bottom w:val="single" w:color="auto" w:sz="4" w:space="0"/>
              <w:right w:val="single" w:color="auto" w:sz="4" w:space="0"/>
            </w:tcBorders>
            <w:vAlign w:val="center"/>
          </w:tcPr>
          <w:p w14:paraId="534E83F2">
            <w:pPr>
              <w:pStyle w:val="64"/>
            </w:pPr>
            <w:r>
              <w:rPr>
                <w:rFonts w:hint="eastAsia"/>
              </w:rPr>
              <w:t>异丁烯</w:t>
            </w:r>
          </w:p>
        </w:tc>
        <w:tc>
          <w:tcPr>
            <w:tcW w:w="1188" w:type="pct"/>
            <w:tcBorders>
              <w:top w:val="single" w:color="auto" w:sz="4" w:space="0"/>
              <w:left w:val="single" w:color="auto" w:sz="4" w:space="0"/>
              <w:bottom w:val="single" w:color="auto" w:sz="4" w:space="0"/>
              <w:right w:val="single" w:color="auto" w:sz="4" w:space="0"/>
            </w:tcBorders>
            <w:vAlign w:val="center"/>
          </w:tcPr>
          <w:p w14:paraId="0628C80D">
            <w:pPr>
              <w:pStyle w:val="64"/>
            </w:pPr>
            <w:r>
              <w:rPr>
                <w:rFonts w:hint="eastAsia"/>
              </w:rPr>
              <w:t>115</w:t>
            </w:r>
            <w:r>
              <w:t>-</w:t>
            </w:r>
            <w:r>
              <w:rPr>
                <w:rFonts w:hint="eastAsia"/>
              </w:rPr>
              <w:t>11</w:t>
            </w:r>
            <w:r>
              <w:t>-</w:t>
            </w:r>
            <w:r>
              <w:rPr>
                <w:rFonts w:hint="eastAsia"/>
              </w:rPr>
              <w:t>7</w:t>
            </w:r>
          </w:p>
        </w:tc>
        <w:tc>
          <w:tcPr>
            <w:tcW w:w="1000" w:type="pct"/>
            <w:tcBorders>
              <w:top w:val="single" w:color="auto" w:sz="4" w:space="0"/>
              <w:left w:val="single" w:color="auto" w:sz="4" w:space="0"/>
              <w:bottom w:val="single" w:color="auto" w:sz="4" w:space="0"/>
              <w:right w:val="single" w:color="auto" w:sz="4" w:space="0"/>
            </w:tcBorders>
            <w:vAlign w:val="center"/>
          </w:tcPr>
          <w:p w14:paraId="658F5085">
            <w:pPr>
              <w:pStyle w:val="64"/>
            </w:pPr>
            <w:r>
              <w:rPr>
                <w:rFonts w:hint="eastAsia"/>
              </w:rPr>
              <w:t>24000</w:t>
            </w:r>
          </w:p>
        </w:tc>
        <w:tc>
          <w:tcPr>
            <w:tcW w:w="1000" w:type="pct"/>
            <w:tcBorders>
              <w:top w:val="single" w:color="auto" w:sz="4" w:space="0"/>
              <w:left w:val="single" w:color="auto" w:sz="4" w:space="0"/>
              <w:bottom w:val="single" w:color="auto" w:sz="4" w:space="0"/>
              <w:right w:val="single" w:color="auto" w:sz="4" w:space="0"/>
            </w:tcBorders>
            <w:vAlign w:val="center"/>
          </w:tcPr>
          <w:p w14:paraId="4610E831">
            <w:pPr>
              <w:pStyle w:val="64"/>
            </w:pPr>
            <w:r>
              <w:rPr>
                <w:rFonts w:hint="eastAsia"/>
              </w:rPr>
              <w:t>5800</w:t>
            </w:r>
          </w:p>
        </w:tc>
      </w:tr>
      <w:tr w14:paraId="0720CE3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619" w:type="pct"/>
            <w:tcBorders>
              <w:top w:val="single" w:color="auto" w:sz="4" w:space="0"/>
              <w:left w:val="single" w:color="auto" w:sz="4" w:space="0"/>
              <w:bottom w:val="single" w:color="auto" w:sz="4" w:space="0"/>
              <w:right w:val="single" w:color="auto" w:sz="4" w:space="0"/>
            </w:tcBorders>
            <w:vAlign w:val="center"/>
          </w:tcPr>
          <w:p w14:paraId="055850E3">
            <w:pPr>
              <w:pStyle w:val="64"/>
            </w:pPr>
            <w:r>
              <w:t>2</w:t>
            </w:r>
          </w:p>
        </w:tc>
        <w:tc>
          <w:tcPr>
            <w:tcW w:w="1193" w:type="pct"/>
            <w:tcBorders>
              <w:top w:val="single" w:color="auto" w:sz="4" w:space="0"/>
              <w:left w:val="single" w:color="auto" w:sz="4" w:space="0"/>
              <w:bottom w:val="single" w:color="auto" w:sz="4" w:space="0"/>
              <w:right w:val="single" w:color="auto" w:sz="4" w:space="0"/>
            </w:tcBorders>
            <w:vAlign w:val="center"/>
          </w:tcPr>
          <w:p w14:paraId="2823BFC6">
            <w:pPr>
              <w:pStyle w:val="64"/>
            </w:pPr>
            <w:bookmarkStart w:id="131" w:name="_Toc48890986"/>
            <w:r>
              <w:rPr>
                <w:rFonts w:hint="eastAsia"/>
              </w:rPr>
              <w:t>浓硫酸</w:t>
            </w:r>
            <w:bookmarkEnd w:id="131"/>
          </w:p>
        </w:tc>
        <w:tc>
          <w:tcPr>
            <w:tcW w:w="1188" w:type="pct"/>
            <w:tcBorders>
              <w:top w:val="single" w:color="auto" w:sz="4" w:space="0"/>
              <w:left w:val="single" w:color="auto" w:sz="4" w:space="0"/>
              <w:bottom w:val="single" w:color="auto" w:sz="4" w:space="0"/>
              <w:right w:val="single" w:color="auto" w:sz="4" w:space="0"/>
            </w:tcBorders>
            <w:vAlign w:val="center"/>
          </w:tcPr>
          <w:p w14:paraId="7E80E851">
            <w:pPr>
              <w:pStyle w:val="64"/>
            </w:pPr>
            <w:r>
              <w:rPr>
                <w:rFonts w:hint="eastAsia"/>
              </w:rPr>
              <w:t>8014-95-7</w:t>
            </w:r>
          </w:p>
        </w:tc>
        <w:tc>
          <w:tcPr>
            <w:tcW w:w="1000" w:type="pct"/>
            <w:tcBorders>
              <w:top w:val="single" w:color="auto" w:sz="4" w:space="0"/>
              <w:left w:val="single" w:color="auto" w:sz="4" w:space="0"/>
              <w:bottom w:val="single" w:color="auto" w:sz="4" w:space="0"/>
              <w:right w:val="single" w:color="auto" w:sz="4" w:space="0"/>
            </w:tcBorders>
            <w:vAlign w:val="center"/>
          </w:tcPr>
          <w:p w14:paraId="325D6004">
            <w:pPr>
              <w:pStyle w:val="64"/>
            </w:pPr>
            <w:r>
              <w:t>160</w:t>
            </w:r>
          </w:p>
        </w:tc>
        <w:tc>
          <w:tcPr>
            <w:tcW w:w="1000" w:type="pct"/>
            <w:tcBorders>
              <w:top w:val="single" w:color="auto" w:sz="4" w:space="0"/>
              <w:left w:val="single" w:color="auto" w:sz="4" w:space="0"/>
              <w:bottom w:val="single" w:color="auto" w:sz="4" w:space="0"/>
              <w:right w:val="single" w:color="auto" w:sz="4" w:space="0"/>
            </w:tcBorders>
            <w:vAlign w:val="center"/>
          </w:tcPr>
          <w:p w14:paraId="43394535">
            <w:pPr>
              <w:pStyle w:val="64"/>
            </w:pPr>
            <w:r>
              <w:t>8.7</w:t>
            </w:r>
          </w:p>
        </w:tc>
      </w:tr>
      <w:tr w14:paraId="17552A0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19" w:type="pct"/>
            <w:tcBorders>
              <w:top w:val="single" w:color="auto" w:sz="4" w:space="0"/>
              <w:left w:val="single" w:color="auto" w:sz="4" w:space="0"/>
              <w:bottom w:val="single" w:color="auto" w:sz="4" w:space="0"/>
              <w:right w:val="single" w:color="auto" w:sz="4" w:space="0"/>
            </w:tcBorders>
            <w:vAlign w:val="center"/>
          </w:tcPr>
          <w:p w14:paraId="10948E52">
            <w:pPr>
              <w:pStyle w:val="64"/>
            </w:pPr>
            <w:r>
              <w:t>3</w:t>
            </w:r>
          </w:p>
        </w:tc>
        <w:tc>
          <w:tcPr>
            <w:tcW w:w="1193" w:type="pct"/>
            <w:tcBorders>
              <w:top w:val="single" w:color="auto" w:sz="4" w:space="0"/>
              <w:left w:val="single" w:color="auto" w:sz="4" w:space="0"/>
              <w:bottom w:val="single" w:color="auto" w:sz="4" w:space="0"/>
              <w:right w:val="single" w:color="auto" w:sz="4" w:space="0"/>
            </w:tcBorders>
            <w:vAlign w:val="center"/>
          </w:tcPr>
          <w:p w14:paraId="2E248DF2">
            <w:pPr>
              <w:pStyle w:val="64"/>
            </w:pPr>
            <w:r>
              <w:rPr>
                <w:rFonts w:hint="eastAsia"/>
              </w:rPr>
              <w:t>间甲酚</w:t>
            </w:r>
          </w:p>
        </w:tc>
        <w:tc>
          <w:tcPr>
            <w:tcW w:w="1188" w:type="pct"/>
            <w:tcBorders>
              <w:top w:val="single" w:color="auto" w:sz="4" w:space="0"/>
              <w:left w:val="single" w:color="auto" w:sz="4" w:space="0"/>
              <w:bottom w:val="single" w:color="auto" w:sz="4" w:space="0"/>
              <w:right w:val="single" w:color="auto" w:sz="4" w:space="0"/>
            </w:tcBorders>
            <w:vAlign w:val="center"/>
          </w:tcPr>
          <w:p w14:paraId="4B66528F">
            <w:pPr>
              <w:pStyle w:val="64"/>
            </w:pPr>
            <w:r>
              <w:rPr>
                <w:rFonts w:hint="eastAsia"/>
              </w:rPr>
              <w:t>108</w:t>
            </w:r>
            <w:r>
              <w:t>-</w:t>
            </w:r>
            <w:r>
              <w:rPr>
                <w:rFonts w:hint="eastAsia"/>
              </w:rPr>
              <w:t>95</w:t>
            </w:r>
            <w:r>
              <w:t>-</w:t>
            </w:r>
            <w:r>
              <w:rPr>
                <w:rFonts w:hint="eastAsia"/>
              </w:rPr>
              <w:t>2</w:t>
            </w:r>
          </w:p>
        </w:tc>
        <w:tc>
          <w:tcPr>
            <w:tcW w:w="1000" w:type="pct"/>
            <w:tcBorders>
              <w:top w:val="single" w:color="auto" w:sz="4" w:space="0"/>
              <w:left w:val="single" w:color="auto" w:sz="4" w:space="0"/>
              <w:bottom w:val="single" w:color="auto" w:sz="4" w:space="0"/>
              <w:right w:val="single" w:color="auto" w:sz="4" w:space="0"/>
            </w:tcBorders>
            <w:vAlign w:val="center"/>
          </w:tcPr>
          <w:p w14:paraId="2F7A0307">
            <w:pPr>
              <w:pStyle w:val="64"/>
            </w:pPr>
            <w:r>
              <w:rPr>
                <w:rFonts w:hint="eastAsia"/>
              </w:rPr>
              <w:t>770</w:t>
            </w:r>
          </w:p>
        </w:tc>
        <w:tc>
          <w:tcPr>
            <w:tcW w:w="1000" w:type="pct"/>
            <w:tcBorders>
              <w:top w:val="single" w:color="auto" w:sz="4" w:space="0"/>
              <w:left w:val="single" w:color="auto" w:sz="4" w:space="0"/>
              <w:bottom w:val="single" w:color="auto" w:sz="4" w:space="0"/>
              <w:right w:val="single" w:color="auto" w:sz="4" w:space="0"/>
            </w:tcBorders>
            <w:vAlign w:val="center"/>
          </w:tcPr>
          <w:p w14:paraId="76D2FD87">
            <w:pPr>
              <w:pStyle w:val="64"/>
            </w:pPr>
            <w:r>
              <w:rPr>
                <w:rFonts w:hint="eastAsia"/>
              </w:rPr>
              <w:t>88</w:t>
            </w:r>
          </w:p>
        </w:tc>
      </w:tr>
      <w:tr w14:paraId="1CD5F82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619" w:type="pct"/>
            <w:tcBorders>
              <w:top w:val="single" w:color="auto" w:sz="4" w:space="0"/>
              <w:left w:val="single" w:color="auto" w:sz="4" w:space="0"/>
              <w:bottom w:val="single" w:color="auto" w:sz="4" w:space="0"/>
              <w:right w:val="single" w:color="auto" w:sz="4" w:space="0"/>
            </w:tcBorders>
            <w:vAlign w:val="center"/>
          </w:tcPr>
          <w:p w14:paraId="3939AC9A">
            <w:pPr>
              <w:pStyle w:val="64"/>
            </w:pPr>
            <w:r>
              <w:rPr>
                <w:rFonts w:hint="eastAsia"/>
              </w:rPr>
              <w:t>4</w:t>
            </w:r>
          </w:p>
        </w:tc>
        <w:tc>
          <w:tcPr>
            <w:tcW w:w="1193" w:type="pct"/>
            <w:tcBorders>
              <w:top w:val="single" w:color="auto" w:sz="4" w:space="0"/>
              <w:left w:val="single" w:color="auto" w:sz="4" w:space="0"/>
              <w:bottom w:val="single" w:color="auto" w:sz="4" w:space="0"/>
              <w:right w:val="single" w:color="auto" w:sz="4" w:space="0"/>
            </w:tcBorders>
            <w:vAlign w:val="center"/>
          </w:tcPr>
          <w:p w14:paraId="749F5EEB">
            <w:pPr>
              <w:pStyle w:val="64"/>
            </w:pPr>
            <w:r>
              <w:rPr>
                <w:rFonts w:hint="eastAsia"/>
              </w:rPr>
              <w:t>对甲酚</w:t>
            </w:r>
          </w:p>
        </w:tc>
        <w:tc>
          <w:tcPr>
            <w:tcW w:w="1188" w:type="pct"/>
            <w:tcBorders>
              <w:top w:val="single" w:color="auto" w:sz="4" w:space="0"/>
              <w:left w:val="single" w:color="auto" w:sz="4" w:space="0"/>
              <w:bottom w:val="single" w:color="auto" w:sz="4" w:space="0"/>
              <w:right w:val="single" w:color="auto" w:sz="4" w:space="0"/>
            </w:tcBorders>
            <w:vAlign w:val="center"/>
          </w:tcPr>
          <w:p w14:paraId="21094872">
            <w:pPr>
              <w:pStyle w:val="64"/>
            </w:pPr>
            <w:r>
              <w:rPr>
                <w:rFonts w:hint="eastAsia"/>
              </w:rPr>
              <w:t>108</w:t>
            </w:r>
            <w:r>
              <w:t>-</w:t>
            </w:r>
            <w:r>
              <w:rPr>
                <w:rFonts w:hint="eastAsia"/>
              </w:rPr>
              <w:t>95</w:t>
            </w:r>
            <w:r>
              <w:t>-</w:t>
            </w:r>
            <w:r>
              <w:rPr>
                <w:rFonts w:hint="eastAsia"/>
              </w:rPr>
              <w:t>2</w:t>
            </w:r>
          </w:p>
        </w:tc>
        <w:tc>
          <w:tcPr>
            <w:tcW w:w="1000" w:type="pct"/>
            <w:tcBorders>
              <w:top w:val="single" w:color="auto" w:sz="4" w:space="0"/>
              <w:left w:val="single" w:color="auto" w:sz="4" w:space="0"/>
              <w:bottom w:val="single" w:color="auto" w:sz="4" w:space="0"/>
              <w:right w:val="single" w:color="auto" w:sz="4" w:space="0"/>
            </w:tcBorders>
            <w:vAlign w:val="center"/>
          </w:tcPr>
          <w:p w14:paraId="7C2D069E">
            <w:pPr>
              <w:pStyle w:val="64"/>
            </w:pPr>
            <w:r>
              <w:rPr>
                <w:rFonts w:hint="eastAsia"/>
              </w:rPr>
              <w:t>770</w:t>
            </w:r>
          </w:p>
        </w:tc>
        <w:tc>
          <w:tcPr>
            <w:tcW w:w="1000" w:type="pct"/>
            <w:tcBorders>
              <w:top w:val="single" w:color="auto" w:sz="4" w:space="0"/>
              <w:left w:val="single" w:color="auto" w:sz="4" w:space="0"/>
              <w:bottom w:val="single" w:color="auto" w:sz="4" w:space="0"/>
              <w:right w:val="single" w:color="auto" w:sz="4" w:space="0"/>
            </w:tcBorders>
            <w:vAlign w:val="center"/>
          </w:tcPr>
          <w:p w14:paraId="6663C6FE">
            <w:pPr>
              <w:pStyle w:val="64"/>
            </w:pPr>
            <w:r>
              <w:rPr>
                <w:rFonts w:hint="eastAsia"/>
              </w:rPr>
              <w:t>88</w:t>
            </w:r>
          </w:p>
        </w:tc>
      </w:tr>
      <w:tr w14:paraId="6611D50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619" w:type="pct"/>
            <w:tcBorders>
              <w:top w:val="single" w:color="auto" w:sz="4" w:space="0"/>
              <w:left w:val="single" w:color="auto" w:sz="4" w:space="0"/>
              <w:bottom w:val="single" w:color="auto" w:sz="4" w:space="0"/>
              <w:right w:val="single" w:color="auto" w:sz="4" w:space="0"/>
            </w:tcBorders>
            <w:vAlign w:val="center"/>
          </w:tcPr>
          <w:p w14:paraId="579EEADB">
            <w:pPr>
              <w:pStyle w:val="64"/>
            </w:pPr>
            <w:r>
              <w:rPr>
                <w:rFonts w:hint="eastAsia"/>
              </w:rPr>
              <w:t>5</w:t>
            </w:r>
          </w:p>
        </w:tc>
        <w:tc>
          <w:tcPr>
            <w:tcW w:w="1193" w:type="pct"/>
            <w:tcBorders>
              <w:top w:val="single" w:color="auto" w:sz="4" w:space="0"/>
              <w:left w:val="single" w:color="auto" w:sz="4" w:space="0"/>
              <w:bottom w:val="single" w:color="auto" w:sz="4" w:space="0"/>
              <w:right w:val="single" w:color="auto" w:sz="4" w:space="0"/>
            </w:tcBorders>
            <w:vAlign w:val="center"/>
          </w:tcPr>
          <w:p w14:paraId="06A4ADDA">
            <w:pPr>
              <w:pStyle w:val="64"/>
            </w:pPr>
            <w:r>
              <w:rPr>
                <w:rFonts w:hint="eastAsia"/>
              </w:rPr>
              <w:t>C</w:t>
            </w:r>
            <w:r>
              <w:t>O</w:t>
            </w:r>
          </w:p>
        </w:tc>
        <w:tc>
          <w:tcPr>
            <w:tcW w:w="1188" w:type="pct"/>
            <w:tcBorders>
              <w:top w:val="single" w:color="auto" w:sz="4" w:space="0"/>
              <w:left w:val="single" w:color="auto" w:sz="4" w:space="0"/>
              <w:bottom w:val="single" w:color="auto" w:sz="4" w:space="0"/>
              <w:right w:val="single" w:color="auto" w:sz="4" w:space="0"/>
            </w:tcBorders>
            <w:vAlign w:val="center"/>
          </w:tcPr>
          <w:p w14:paraId="76AE32F3">
            <w:pPr>
              <w:pStyle w:val="64"/>
            </w:pPr>
            <w:r>
              <w:rPr>
                <w:rFonts w:hint="eastAsia"/>
              </w:rPr>
              <w:t>630-08-0</w:t>
            </w:r>
          </w:p>
        </w:tc>
        <w:tc>
          <w:tcPr>
            <w:tcW w:w="1000" w:type="pct"/>
            <w:tcBorders>
              <w:top w:val="single" w:color="auto" w:sz="4" w:space="0"/>
              <w:left w:val="single" w:color="auto" w:sz="4" w:space="0"/>
              <w:bottom w:val="single" w:color="auto" w:sz="4" w:space="0"/>
              <w:right w:val="single" w:color="auto" w:sz="4" w:space="0"/>
            </w:tcBorders>
            <w:vAlign w:val="center"/>
          </w:tcPr>
          <w:p w14:paraId="13E57B4F">
            <w:pPr>
              <w:pStyle w:val="64"/>
            </w:pPr>
            <w:r>
              <w:rPr>
                <w:rFonts w:hint="eastAsia"/>
              </w:rPr>
              <w:t>380</w:t>
            </w:r>
          </w:p>
        </w:tc>
        <w:tc>
          <w:tcPr>
            <w:tcW w:w="1000" w:type="pct"/>
            <w:tcBorders>
              <w:top w:val="single" w:color="auto" w:sz="4" w:space="0"/>
              <w:left w:val="single" w:color="auto" w:sz="4" w:space="0"/>
              <w:bottom w:val="single" w:color="auto" w:sz="4" w:space="0"/>
              <w:right w:val="single" w:color="auto" w:sz="4" w:space="0"/>
            </w:tcBorders>
            <w:vAlign w:val="center"/>
          </w:tcPr>
          <w:p w14:paraId="65B82FE2">
            <w:pPr>
              <w:pStyle w:val="64"/>
            </w:pPr>
            <w:r>
              <w:rPr>
                <w:rFonts w:hint="eastAsia"/>
              </w:rPr>
              <w:t>95</w:t>
            </w:r>
          </w:p>
        </w:tc>
      </w:tr>
    </w:tbl>
    <w:p w14:paraId="55275FC3">
      <w:pPr>
        <w:pStyle w:val="16"/>
        <w:spacing w:line="240" w:lineRule="auto"/>
        <w:ind w:firstLine="0" w:firstLineChars="0"/>
        <w:rPr>
          <w:rFonts w:hint="eastAsia" w:ascii="黑体" w:hAnsi="黑体" w:eastAsia="黑体"/>
          <w:sz w:val="18"/>
          <w:szCs w:val="18"/>
        </w:rPr>
      </w:pPr>
      <w:r>
        <w:rPr>
          <w:rFonts w:hint="eastAsia" w:ascii="黑体" w:hAnsi="黑体" w:eastAsia="黑体"/>
          <w:sz w:val="18"/>
          <w:szCs w:val="18"/>
        </w:rPr>
        <w:t>注：间甲酚和对甲酚毒性浓度参考苯酚毒性浓度数据。</w:t>
      </w:r>
    </w:p>
    <w:p w14:paraId="6291A856">
      <w:pPr>
        <w:pStyle w:val="16"/>
        <w:ind w:firstLine="480"/>
      </w:pPr>
    </w:p>
    <w:p w14:paraId="08F3C5AF">
      <w:pPr>
        <w:pStyle w:val="16"/>
        <w:ind w:firstLine="480"/>
      </w:pPr>
      <w:r>
        <w:t>结合本项目危险物质的种类及其在生产区、储存区、厂内输送管道及环保工程的分布情况，本评价设置的关注的风险事故情形包括大气风险事故情形设定、地表水事故情形设定和地下水事故情形设定。</w:t>
      </w:r>
    </w:p>
    <w:p w14:paraId="0AF38745">
      <w:pPr>
        <w:pStyle w:val="16"/>
        <w:ind w:firstLine="480"/>
        <w:rPr>
          <w:bCs/>
          <w:kern w:val="0"/>
        </w:rPr>
      </w:pPr>
      <w:r>
        <w:rPr>
          <w:bCs/>
          <w:kern w:val="0"/>
        </w:rPr>
        <w:t>1、大气风险事故情形设定</w:t>
      </w:r>
    </w:p>
    <w:p w14:paraId="3B991A7D">
      <w:pPr>
        <w:pStyle w:val="16"/>
        <w:ind w:firstLine="480"/>
        <w:rPr>
          <w:bCs/>
          <w:kern w:val="0"/>
        </w:rPr>
      </w:pPr>
      <w:r>
        <w:rPr>
          <w:rFonts w:hint="eastAsia"/>
          <w:bCs/>
          <w:kern w:val="0"/>
        </w:rPr>
        <w:t>(1)</w:t>
      </w:r>
      <w:r>
        <w:rPr>
          <w:bCs/>
          <w:kern w:val="0"/>
        </w:rPr>
        <w:t>本项目原料罐区储存的危险物质主要为</w:t>
      </w:r>
      <w:r>
        <w:rPr>
          <w:rFonts w:hint="eastAsia"/>
          <w:bCs/>
          <w:kern w:val="0"/>
        </w:rPr>
        <w:t>间对甲酚</w:t>
      </w:r>
      <w:r>
        <w:rPr>
          <w:bCs/>
          <w:kern w:val="0"/>
        </w:rPr>
        <w:t>、</w:t>
      </w:r>
      <w:r>
        <w:rPr>
          <w:rFonts w:hint="eastAsia"/>
          <w:bCs/>
          <w:kern w:val="0"/>
        </w:rPr>
        <w:t>异丁烯和间甲酚</w:t>
      </w:r>
      <w:r>
        <w:rPr>
          <w:bCs/>
          <w:kern w:val="0"/>
        </w:rPr>
        <w:t>，根据项目原料毒性分析，</w:t>
      </w:r>
      <w:r>
        <w:rPr>
          <w:rFonts w:hint="eastAsia"/>
          <w:bCs/>
          <w:kern w:val="0"/>
        </w:rPr>
        <w:t>间甲酚</w:t>
      </w:r>
      <w:r>
        <w:rPr>
          <w:bCs/>
          <w:kern w:val="0"/>
        </w:rPr>
        <w:t>毒性终点浓度</w:t>
      </w:r>
      <w:r>
        <w:rPr>
          <w:rFonts w:hint="eastAsia"/>
          <w:bCs/>
          <w:kern w:val="0"/>
        </w:rPr>
        <w:t>较</w:t>
      </w:r>
      <w:r>
        <w:rPr>
          <w:bCs/>
          <w:kern w:val="0"/>
        </w:rPr>
        <w:t>低</w:t>
      </w:r>
      <w:r>
        <w:rPr>
          <w:rFonts w:hint="eastAsia"/>
          <w:bCs/>
          <w:kern w:val="0"/>
        </w:rPr>
        <w:t>且项目区最大存在量最多</w:t>
      </w:r>
      <w:r>
        <w:rPr>
          <w:bCs/>
          <w:kern w:val="0"/>
        </w:rPr>
        <w:t>，泄漏后对环境影响最大，因此选取</w:t>
      </w:r>
      <w:r>
        <w:rPr>
          <w:rFonts w:hint="eastAsia"/>
          <w:bCs/>
          <w:kern w:val="0"/>
        </w:rPr>
        <w:t>间甲酚</w:t>
      </w:r>
      <w:r>
        <w:rPr>
          <w:bCs/>
          <w:kern w:val="0"/>
        </w:rPr>
        <w:t>储罐泄漏事故</w:t>
      </w:r>
      <w:r>
        <w:rPr>
          <w:rFonts w:hint="eastAsia"/>
          <w:bCs/>
          <w:kern w:val="0"/>
        </w:rPr>
        <w:t>和生产装置管道泄漏</w:t>
      </w:r>
      <w:r>
        <w:rPr>
          <w:bCs/>
          <w:kern w:val="0"/>
        </w:rPr>
        <w:t>作为大气风险事故情形设定。</w:t>
      </w:r>
    </w:p>
    <w:p w14:paraId="7B99FEA1">
      <w:pPr>
        <w:pStyle w:val="16"/>
        <w:ind w:firstLine="480"/>
        <w:rPr>
          <w:bCs/>
          <w:kern w:val="0"/>
        </w:rPr>
      </w:pPr>
      <w:r>
        <w:rPr>
          <w:rFonts w:hint="eastAsia"/>
          <w:bCs/>
          <w:kern w:val="0"/>
        </w:rPr>
        <w:t>(2)</w:t>
      </w:r>
      <w:r>
        <w:rPr>
          <w:bCs/>
          <w:kern w:val="0"/>
        </w:rPr>
        <w:t>根据</w:t>
      </w:r>
      <w:r>
        <w:rPr>
          <w:rFonts w:hint="eastAsia"/>
          <w:bCs/>
          <w:kern w:val="0"/>
        </w:rPr>
        <w:t>危险性</w:t>
      </w:r>
      <w:r>
        <w:rPr>
          <w:bCs/>
          <w:kern w:val="0"/>
        </w:rPr>
        <w:t>分析，</w:t>
      </w:r>
      <w:r>
        <w:rPr>
          <w:rFonts w:hint="eastAsia"/>
          <w:bCs/>
          <w:kern w:val="0"/>
        </w:rPr>
        <w:t>异丁烯为易燃物质</w:t>
      </w:r>
      <w:r>
        <w:rPr>
          <w:bCs/>
          <w:kern w:val="0"/>
        </w:rPr>
        <w:t>，存在</w:t>
      </w:r>
      <w:r>
        <w:rPr>
          <w:rFonts w:hint="eastAsia"/>
          <w:bCs/>
          <w:kern w:val="0"/>
        </w:rPr>
        <w:t>原料罐区</w:t>
      </w:r>
      <w:r>
        <w:rPr>
          <w:bCs/>
          <w:kern w:val="0"/>
        </w:rPr>
        <w:t>内，发生火灾、爆炸事故时挥发到大气中，同时燃烧过程中伴生的CO量较大对周围环境也产生一定的影响。</w:t>
      </w:r>
    </w:p>
    <w:p w14:paraId="5DCA62CB">
      <w:pPr>
        <w:pStyle w:val="16"/>
        <w:ind w:firstLine="480"/>
        <w:rPr>
          <w:bCs/>
          <w:kern w:val="0"/>
        </w:rPr>
      </w:pPr>
      <w:r>
        <w:rPr>
          <w:bCs/>
          <w:kern w:val="0"/>
        </w:rPr>
        <w:t>2、地表水风险事故情形设定</w:t>
      </w:r>
    </w:p>
    <w:p w14:paraId="383CECC6">
      <w:pPr>
        <w:pStyle w:val="16"/>
        <w:ind w:firstLine="480"/>
        <w:rPr>
          <w:bCs/>
          <w:kern w:val="0"/>
        </w:rPr>
      </w:pPr>
      <w:r>
        <w:rPr>
          <w:bCs/>
          <w:kern w:val="0"/>
        </w:rPr>
        <w:t>项目产生的高浓高盐废水经收集后分批进入</w:t>
      </w:r>
      <w:r>
        <w:rPr>
          <w:rFonts w:hint="eastAsia"/>
          <w:bCs/>
          <w:kern w:val="0"/>
        </w:rPr>
        <w:t>污水处理站</w:t>
      </w:r>
      <w:r>
        <w:rPr>
          <w:bCs/>
          <w:kern w:val="0"/>
        </w:rPr>
        <w:t>，发生事故时此部分废水暂存在应急收集罐内，发生事故时产生的消防废水全部通过雨水管网进入厂区建设的事故池内，事故水采取“单元、厂区、园区”三级联控，并在雨水排放口设置切断设施，在总排口设置切断设施，可确保一般事故状态下事故废水不外排。</w:t>
      </w:r>
    </w:p>
    <w:p w14:paraId="14543868">
      <w:pPr>
        <w:pStyle w:val="16"/>
        <w:ind w:firstLine="480"/>
        <w:rPr>
          <w:bCs/>
          <w:kern w:val="0"/>
        </w:rPr>
      </w:pPr>
      <w:r>
        <w:rPr>
          <w:bCs/>
          <w:kern w:val="0"/>
        </w:rPr>
        <w:t>因此</w:t>
      </w:r>
      <w:r>
        <w:rPr>
          <w:rFonts w:hint="eastAsia"/>
          <w:bCs/>
          <w:kern w:val="0"/>
        </w:rPr>
        <w:t>本</w:t>
      </w:r>
      <w:r>
        <w:rPr>
          <w:bCs/>
          <w:kern w:val="0"/>
        </w:rPr>
        <w:t>项目不单独考虑地表水环境风险情形设定预测，仅在风险防范措施中对事故废水收集系统和应急处理设施的可行性进行分析。</w:t>
      </w:r>
    </w:p>
    <w:p w14:paraId="7E04A467">
      <w:pPr>
        <w:pStyle w:val="16"/>
        <w:ind w:firstLine="480"/>
        <w:rPr>
          <w:bCs/>
          <w:kern w:val="0"/>
        </w:rPr>
      </w:pPr>
      <w:r>
        <w:rPr>
          <w:bCs/>
          <w:kern w:val="0"/>
        </w:rPr>
        <w:t>3、地下水风险情形设定</w:t>
      </w:r>
    </w:p>
    <w:p w14:paraId="1323ED38">
      <w:pPr>
        <w:pStyle w:val="16"/>
        <w:ind w:firstLine="480"/>
        <w:rPr>
          <w:bCs/>
          <w:kern w:val="0"/>
        </w:rPr>
      </w:pPr>
      <w:r>
        <w:rPr>
          <w:bCs/>
          <w:kern w:val="0"/>
        </w:rPr>
        <w:t>本项目</w:t>
      </w:r>
      <w:r>
        <w:rPr>
          <w:rFonts w:hint="eastAsia"/>
          <w:bCs/>
          <w:kern w:val="0"/>
        </w:rPr>
        <w:t>装置区</w:t>
      </w:r>
      <w:r>
        <w:rPr>
          <w:bCs/>
          <w:kern w:val="0"/>
        </w:rPr>
        <w:t>有机高浓废水收集罐或输送管道发生破裂未被及时发现，高浓高盐有机废水</w:t>
      </w:r>
      <w:r>
        <w:rPr>
          <w:rFonts w:hint="eastAsia"/>
          <w:bCs/>
          <w:kern w:val="0"/>
        </w:rPr>
        <w:t>渗</w:t>
      </w:r>
      <w:r>
        <w:rPr>
          <w:bCs/>
          <w:kern w:val="0"/>
        </w:rPr>
        <w:t>入土壤和地下水环境。</w:t>
      </w:r>
    </w:p>
    <w:p w14:paraId="6450431A">
      <w:pPr>
        <w:pStyle w:val="16"/>
        <w:ind w:firstLine="480"/>
        <w:rPr>
          <w:kern w:val="0"/>
        </w:rPr>
      </w:pPr>
      <w:r>
        <w:rPr>
          <w:kern w:val="0"/>
        </w:rPr>
        <w:t>综合以上分析，本项目环境风险事故情形设定如下表</w:t>
      </w:r>
      <w:r>
        <w:rPr>
          <w:rFonts w:hint="eastAsia"/>
          <w:kern w:val="0"/>
        </w:rPr>
        <w:t>6</w:t>
      </w:r>
      <w:r>
        <w:rPr>
          <w:kern w:val="0"/>
        </w:rPr>
        <w:t>.</w:t>
      </w:r>
      <w:r>
        <w:rPr>
          <w:rFonts w:hint="eastAsia"/>
          <w:kern w:val="0"/>
        </w:rPr>
        <w:t>8</w:t>
      </w:r>
      <w:r>
        <w:rPr>
          <w:kern w:val="0"/>
        </w:rPr>
        <w:t>-</w:t>
      </w:r>
      <w:r>
        <w:rPr>
          <w:rFonts w:hint="eastAsia"/>
          <w:kern w:val="0"/>
        </w:rPr>
        <w:t>24</w:t>
      </w:r>
      <w:r>
        <w:rPr>
          <w:kern w:val="0"/>
        </w:rPr>
        <w:t>。</w:t>
      </w:r>
    </w:p>
    <w:p w14:paraId="762B1A67">
      <w:pPr>
        <w:pStyle w:val="28"/>
        <w:rPr>
          <w:rFonts w:hint="eastAsia"/>
        </w:rPr>
      </w:pPr>
      <w:r>
        <w:t>表</w:t>
      </w:r>
      <w:r>
        <w:rPr>
          <w:rFonts w:hint="eastAsia"/>
        </w:rPr>
        <w:t>6</w:t>
      </w:r>
      <w:r>
        <w:t>.8-</w:t>
      </w:r>
      <w:r>
        <w:rPr>
          <w:rFonts w:hint="eastAsia"/>
        </w:rPr>
        <w:t>24</w:t>
      </w:r>
      <w:r>
        <w:t xml:space="preserve">  项目风险事故情形设置一览表</w:t>
      </w:r>
    </w:p>
    <w:tbl>
      <w:tblPr>
        <w:tblStyle w:val="36"/>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657"/>
        <w:gridCol w:w="1522"/>
        <w:gridCol w:w="1107"/>
        <w:gridCol w:w="2075"/>
        <w:gridCol w:w="1245"/>
        <w:gridCol w:w="1245"/>
        <w:gridCol w:w="1209"/>
      </w:tblGrid>
      <w:tr w14:paraId="2FC2C25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363" w:type="pct"/>
            <w:tcBorders>
              <w:top w:val="single" w:color="auto" w:sz="4" w:space="0"/>
              <w:left w:val="single" w:color="auto" w:sz="4" w:space="0"/>
              <w:bottom w:val="single" w:color="auto" w:sz="4" w:space="0"/>
              <w:right w:val="single" w:color="auto" w:sz="4" w:space="0"/>
            </w:tcBorders>
            <w:vAlign w:val="center"/>
          </w:tcPr>
          <w:p w14:paraId="6EA0D913">
            <w:pPr>
              <w:pStyle w:val="64"/>
            </w:pPr>
            <w:r>
              <w:t>序号</w:t>
            </w:r>
          </w:p>
        </w:tc>
        <w:tc>
          <w:tcPr>
            <w:tcW w:w="840" w:type="pct"/>
            <w:tcBorders>
              <w:top w:val="single" w:color="auto" w:sz="4" w:space="0"/>
              <w:left w:val="single" w:color="auto" w:sz="4" w:space="0"/>
              <w:bottom w:val="single" w:color="auto" w:sz="4" w:space="0"/>
              <w:right w:val="single" w:color="auto" w:sz="4" w:space="0"/>
            </w:tcBorders>
            <w:vAlign w:val="center"/>
          </w:tcPr>
          <w:p w14:paraId="2BB4B141">
            <w:pPr>
              <w:pStyle w:val="64"/>
            </w:pPr>
            <w:r>
              <w:t>主要装置</w:t>
            </w:r>
          </w:p>
        </w:tc>
        <w:tc>
          <w:tcPr>
            <w:tcW w:w="611" w:type="pct"/>
            <w:tcBorders>
              <w:top w:val="single" w:color="auto" w:sz="4" w:space="0"/>
              <w:left w:val="single" w:color="auto" w:sz="4" w:space="0"/>
              <w:bottom w:val="single" w:color="auto" w:sz="4" w:space="0"/>
              <w:right w:val="single" w:color="auto" w:sz="4" w:space="0"/>
            </w:tcBorders>
            <w:vAlign w:val="center"/>
          </w:tcPr>
          <w:p w14:paraId="4E00CE20">
            <w:pPr>
              <w:pStyle w:val="64"/>
            </w:pPr>
            <w:r>
              <w:t>危险物质</w:t>
            </w:r>
          </w:p>
        </w:tc>
        <w:tc>
          <w:tcPr>
            <w:tcW w:w="1145" w:type="pct"/>
            <w:tcBorders>
              <w:top w:val="single" w:color="auto" w:sz="4" w:space="0"/>
              <w:left w:val="single" w:color="auto" w:sz="4" w:space="0"/>
              <w:bottom w:val="single" w:color="auto" w:sz="4" w:space="0"/>
              <w:right w:val="single" w:color="auto" w:sz="4" w:space="0"/>
            </w:tcBorders>
            <w:vAlign w:val="center"/>
          </w:tcPr>
          <w:p w14:paraId="0FF06E5B">
            <w:pPr>
              <w:pStyle w:val="64"/>
            </w:pPr>
            <w:r>
              <w:t>风险事故情形</w:t>
            </w:r>
          </w:p>
        </w:tc>
        <w:tc>
          <w:tcPr>
            <w:tcW w:w="687" w:type="pct"/>
            <w:tcBorders>
              <w:top w:val="single" w:color="auto" w:sz="4" w:space="0"/>
              <w:left w:val="single" w:color="auto" w:sz="4" w:space="0"/>
              <w:bottom w:val="single" w:color="auto" w:sz="4" w:space="0"/>
              <w:right w:val="single" w:color="auto" w:sz="4" w:space="0"/>
            </w:tcBorders>
            <w:vAlign w:val="center"/>
          </w:tcPr>
          <w:p w14:paraId="15C64C8A">
            <w:pPr>
              <w:pStyle w:val="64"/>
            </w:pPr>
            <w:r>
              <w:t>泄漏时间min</w:t>
            </w:r>
          </w:p>
        </w:tc>
        <w:tc>
          <w:tcPr>
            <w:tcW w:w="687" w:type="pct"/>
            <w:tcBorders>
              <w:top w:val="single" w:color="auto" w:sz="4" w:space="0"/>
              <w:left w:val="single" w:color="auto" w:sz="4" w:space="0"/>
              <w:bottom w:val="single" w:color="auto" w:sz="4" w:space="0"/>
              <w:right w:val="single" w:color="auto" w:sz="4" w:space="0"/>
            </w:tcBorders>
            <w:vAlign w:val="center"/>
          </w:tcPr>
          <w:p w14:paraId="7372F570">
            <w:pPr>
              <w:pStyle w:val="64"/>
            </w:pPr>
            <w:r>
              <w:t>蒸发时间min</w:t>
            </w:r>
          </w:p>
        </w:tc>
        <w:tc>
          <w:tcPr>
            <w:tcW w:w="667" w:type="pct"/>
            <w:tcBorders>
              <w:top w:val="single" w:color="auto" w:sz="4" w:space="0"/>
              <w:left w:val="single" w:color="auto" w:sz="4" w:space="0"/>
              <w:bottom w:val="single" w:color="auto" w:sz="4" w:space="0"/>
              <w:right w:val="single" w:color="auto" w:sz="4" w:space="0"/>
            </w:tcBorders>
            <w:vAlign w:val="center"/>
          </w:tcPr>
          <w:p w14:paraId="1C3EC971">
            <w:pPr>
              <w:pStyle w:val="64"/>
            </w:pPr>
            <w:r>
              <w:t>发生频率</w:t>
            </w:r>
          </w:p>
        </w:tc>
      </w:tr>
      <w:tr w14:paraId="5DAB43D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363" w:type="pct"/>
            <w:tcBorders>
              <w:top w:val="single" w:color="auto" w:sz="4" w:space="0"/>
              <w:left w:val="single" w:color="auto" w:sz="4" w:space="0"/>
              <w:bottom w:val="single" w:color="auto" w:sz="4" w:space="0"/>
              <w:right w:val="single" w:color="auto" w:sz="4" w:space="0"/>
            </w:tcBorders>
            <w:vAlign w:val="center"/>
          </w:tcPr>
          <w:p w14:paraId="5DA6C96A">
            <w:pPr>
              <w:pStyle w:val="64"/>
            </w:pPr>
            <w:r>
              <w:t>1</w:t>
            </w:r>
          </w:p>
        </w:tc>
        <w:tc>
          <w:tcPr>
            <w:tcW w:w="840" w:type="pct"/>
            <w:tcBorders>
              <w:top w:val="single" w:color="auto" w:sz="4" w:space="0"/>
              <w:left w:val="single" w:color="auto" w:sz="4" w:space="0"/>
              <w:bottom w:val="single" w:color="auto" w:sz="4" w:space="0"/>
              <w:right w:val="single" w:color="auto" w:sz="4" w:space="0"/>
            </w:tcBorders>
            <w:vAlign w:val="center"/>
          </w:tcPr>
          <w:p w14:paraId="6289D5BA">
            <w:pPr>
              <w:pStyle w:val="64"/>
            </w:pPr>
            <w:r>
              <w:t>原料罐区储罐</w:t>
            </w:r>
          </w:p>
        </w:tc>
        <w:tc>
          <w:tcPr>
            <w:tcW w:w="611" w:type="pct"/>
            <w:tcBorders>
              <w:top w:val="single" w:color="auto" w:sz="4" w:space="0"/>
              <w:left w:val="single" w:color="auto" w:sz="4" w:space="0"/>
              <w:bottom w:val="single" w:color="auto" w:sz="4" w:space="0"/>
              <w:right w:val="single" w:color="auto" w:sz="4" w:space="0"/>
            </w:tcBorders>
            <w:vAlign w:val="center"/>
          </w:tcPr>
          <w:p w14:paraId="5CD921D3">
            <w:pPr>
              <w:pStyle w:val="64"/>
            </w:pPr>
            <w:r>
              <w:rPr>
                <w:rFonts w:hint="eastAsia"/>
              </w:rPr>
              <w:t>间甲酚</w:t>
            </w:r>
          </w:p>
        </w:tc>
        <w:tc>
          <w:tcPr>
            <w:tcW w:w="1145" w:type="pct"/>
            <w:tcBorders>
              <w:top w:val="single" w:color="auto" w:sz="4" w:space="0"/>
              <w:left w:val="single" w:color="auto" w:sz="4" w:space="0"/>
              <w:bottom w:val="single" w:color="auto" w:sz="4" w:space="0"/>
              <w:right w:val="single" w:color="auto" w:sz="4" w:space="0"/>
            </w:tcBorders>
            <w:vAlign w:val="center"/>
          </w:tcPr>
          <w:p w14:paraId="10F39304">
            <w:pPr>
              <w:pStyle w:val="64"/>
            </w:pPr>
            <w:r>
              <w:t>储罐或连接线发生泄漏，形成液池，挥发到大气中</w:t>
            </w:r>
          </w:p>
        </w:tc>
        <w:tc>
          <w:tcPr>
            <w:tcW w:w="687" w:type="pct"/>
            <w:tcBorders>
              <w:top w:val="single" w:color="auto" w:sz="4" w:space="0"/>
              <w:left w:val="single" w:color="auto" w:sz="4" w:space="0"/>
              <w:bottom w:val="single" w:color="auto" w:sz="4" w:space="0"/>
              <w:right w:val="single" w:color="auto" w:sz="4" w:space="0"/>
            </w:tcBorders>
            <w:vAlign w:val="center"/>
          </w:tcPr>
          <w:p w14:paraId="6B5BC17D">
            <w:pPr>
              <w:pStyle w:val="64"/>
            </w:pPr>
            <w:r>
              <w:t>10</w:t>
            </w:r>
          </w:p>
        </w:tc>
        <w:tc>
          <w:tcPr>
            <w:tcW w:w="687" w:type="pct"/>
            <w:tcBorders>
              <w:top w:val="single" w:color="auto" w:sz="4" w:space="0"/>
              <w:left w:val="single" w:color="auto" w:sz="4" w:space="0"/>
              <w:bottom w:val="single" w:color="auto" w:sz="4" w:space="0"/>
              <w:right w:val="single" w:color="auto" w:sz="4" w:space="0"/>
            </w:tcBorders>
            <w:vAlign w:val="center"/>
          </w:tcPr>
          <w:p w14:paraId="3A1ACBBA">
            <w:pPr>
              <w:pStyle w:val="64"/>
            </w:pPr>
            <w:r>
              <w:t>30</w:t>
            </w:r>
          </w:p>
        </w:tc>
        <w:tc>
          <w:tcPr>
            <w:tcW w:w="667" w:type="pct"/>
            <w:tcBorders>
              <w:top w:val="single" w:color="auto" w:sz="4" w:space="0"/>
              <w:left w:val="single" w:color="auto" w:sz="4" w:space="0"/>
              <w:bottom w:val="single" w:color="auto" w:sz="4" w:space="0"/>
              <w:right w:val="single" w:color="auto" w:sz="4" w:space="0"/>
            </w:tcBorders>
            <w:vAlign w:val="center"/>
          </w:tcPr>
          <w:p w14:paraId="31066707">
            <w:pPr>
              <w:pStyle w:val="64"/>
            </w:pPr>
            <w:r>
              <w:t>1×10</w:t>
            </w:r>
            <w:r>
              <w:rPr>
                <w:vertAlign w:val="superscript"/>
              </w:rPr>
              <w:t>-4</w:t>
            </w:r>
            <w:r>
              <w:t>/a</w:t>
            </w:r>
          </w:p>
        </w:tc>
      </w:tr>
      <w:tr w14:paraId="52D729A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363" w:type="pct"/>
            <w:tcBorders>
              <w:top w:val="single" w:color="auto" w:sz="4" w:space="0"/>
              <w:left w:val="single" w:color="auto" w:sz="4" w:space="0"/>
              <w:bottom w:val="single" w:color="auto" w:sz="4" w:space="0"/>
              <w:right w:val="single" w:color="auto" w:sz="4" w:space="0"/>
            </w:tcBorders>
            <w:vAlign w:val="center"/>
          </w:tcPr>
          <w:p w14:paraId="0E55A5AF">
            <w:pPr>
              <w:pStyle w:val="64"/>
            </w:pPr>
            <w:r>
              <w:rPr>
                <w:rFonts w:hint="eastAsia"/>
              </w:rPr>
              <w:t>2</w:t>
            </w:r>
          </w:p>
        </w:tc>
        <w:tc>
          <w:tcPr>
            <w:tcW w:w="840" w:type="pct"/>
            <w:tcBorders>
              <w:top w:val="single" w:color="auto" w:sz="4" w:space="0"/>
              <w:left w:val="single" w:color="auto" w:sz="4" w:space="0"/>
              <w:bottom w:val="single" w:color="auto" w:sz="4" w:space="0"/>
              <w:right w:val="single" w:color="auto" w:sz="4" w:space="0"/>
            </w:tcBorders>
            <w:vAlign w:val="center"/>
          </w:tcPr>
          <w:p w14:paraId="06C1EE9D">
            <w:pPr>
              <w:pStyle w:val="64"/>
            </w:pPr>
            <w:r>
              <w:t>原料罐区储罐、</w:t>
            </w:r>
            <w:r>
              <w:rPr>
                <w:rFonts w:hint="eastAsia"/>
              </w:rPr>
              <w:t>装置区</w:t>
            </w:r>
            <w:r>
              <w:t>管线等</w:t>
            </w:r>
          </w:p>
        </w:tc>
        <w:tc>
          <w:tcPr>
            <w:tcW w:w="611" w:type="pct"/>
            <w:tcBorders>
              <w:top w:val="single" w:color="auto" w:sz="4" w:space="0"/>
              <w:left w:val="single" w:color="auto" w:sz="4" w:space="0"/>
              <w:bottom w:val="single" w:color="auto" w:sz="4" w:space="0"/>
              <w:right w:val="single" w:color="auto" w:sz="4" w:space="0"/>
            </w:tcBorders>
            <w:vAlign w:val="center"/>
          </w:tcPr>
          <w:p w14:paraId="58EBADD0">
            <w:pPr>
              <w:pStyle w:val="64"/>
            </w:pPr>
            <w:r>
              <w:rPr>
                <w:rFonts w:hint="eastAsia"/>
              </w:rPr>
              <w:t>异丁烯</w:t>
            </w:r>
          </w:p>
        </w:tc>
        <w:tc>
          <w:tcPr>
            <w:tcW w:w="1145" w:type="pct"/>
            <w:tcBorders>
              <w:top w:val="single" w:color="auto" w:sz="4" w:space="0"/>
              <w:left w:val="single" w:color="auto" w:sz="4" w:space="0"/>
              <w:bottom w:val="single" w:color="auto" w:sz="4" w:space="0"/>
              <w:right w:val="single" w:color="auto" w:sz="4" w:space="0"/>
            </w:tcBorders>
            <w:vAlign w:val="center"/>
          </w:tcPr>
          <w:p w14:paraId="6477E7EA">
            <w:pPr>
              <w:pStyle w:val="64"/>
            </w:pPr>
            <w:r>
              <w:rPr>
                <w:rFonts w:hint="eastAsia"/>
              </w:rPr>
              <w:t>发生火灾爆炸事故伴生的</w:t>
            </w:r>
            <w:r>
              <w:t>有毒物质泄漏到大气中，未完全燃烧产生的CO</w:t>
            </w:r>
          </w:p>
        </w:tc>
        <w:tc>
          <w:tcPr>
            <w:tcW w:w="687" w:type="pct"/>
            <w:tcBorders>
              <w:top w:val="single" w:color="auto" w:sz="4" w:space="0"/>
              <w:left w:val="single" w:color="auto" w:sz="4" w:space="0"/>
              <w:bottom w:val="single" w:color="auto" w:sz="4" w:space="0"/>
              <w:right w:val="single" w:color="auto" w:sz="4" w:space="0"/>
            </w:tcBorders>
            <w:vAlign w:val="center"/>
          </w:tcPr>
          <w:p w14:paraId="6708F6AA">
            <w:pPr>
              <w:pStyle w:val="64"/>
            </w:pPr>
            <w:r>
              <w:rPr>
                <w:rFonts w:hint="eastAsia"/>
              </w:rPr>
              <w:t>10</w:t>
            </w:r>
          </w:p>
        </w:tc>
        <w:tc>
          <w:tcPr>
            <w:tcW w:w="687" w:type="pct"/>
            <w:tcBorders>
              <w:top w:val="single" w:color="auto" w:sz="4" w:space="0"/>
              <w:left w:val="single" w:color="auto" w:sz="4" w:space="0"/>
              <w:bottom w:val="single" w:color="auto" w:sz="4" w:space="0"/>
              <w:right w:val="single" w:color="auto" w:sz="4" w:space="0"/>
            </w:tcBorders>
            <w:vAlign w:val="center"/>
          </w:tcPr>
          <w:p w14:paraId="5DEBBEDC">
            <w:pPr>
              <w:pStyle w:val="64"/>
            </w:pPr>
            <w:r>
              <w:t>30</w:t>
            </w:r>
          </w:p>
        </w:tc>
        <w:tc>
          <w:tcPr>
            <w:tcW w:w="667" w:type="pct"/>
            <w:tcBorders>
              <w:top w:val="single" w:color="auto" w:sz="4" w:space="0"/>
              <w:left w:val="single" w:color="auto" w:sz="4" w:space="0"/>
              <w:bottom w:val="single" w:color="auto" w:sz="4" w:space="0"/>
              <w:right w:val="single" w:color="auto" w:sz="4" w:space="0"/>
            </w:tcBorders>
            <w:vAlign w:val="center"/>
          </w:tcPr>
          <w:p w14:paraId="3805D55D">
            <w:pPr>
              <w:pStyle w:val="64"/>
            </w:pPr>
            <w:r>
              <w:t>5×10</w:t>
            </w:r>
            <w:r>
              <w:rPr>
                <w:vertAlign w:val="superscript"/>
              </w:rPr>
              <w:t>-6</w:t>
            </w:r>
            <w:r>
              <w:t>/a</w:t>
            </w:r>
          </w:p>
        </w:tc>
      </w:tr>
    </w:tbl>
    <w:p w14:paraId="2365AF7B">
      <w:pPr>
        <w:rPr>
          <w:rFonts w:cs="Times New Roman"/>
          <w:spacing w:val="-3"/>
        </w:rPr>
      </w:pPr>
    </w:p>
    <w:p w14:paraId="0F09C3EC">
      <w:pPr>
        <w:pStyle w:val="4"/>
        <w:rPr>
          <w:rFonts w:hint="eastAsia"/>
        </w:rPr>
      </w:pPr>
      <w:bookmarkStart w:id="132" w:name="_Toc221056441"/>
      <w:r>
        <w:rPr>
          <w:rFonts w:hint="eastAsia"/>
        </w:rPr>
        <w:t>6.8.6源项分析</w:t>
      </w:r>
      <w:bookmarkEnd w:id="132"/>
    </w:p>
    <w:p w14:paraId="04ADFE18">
      <w:pPr>
        <w:ind w:firstLine="480" w:firstLineChars="200"/>
      </w:pPr>
      <w:r>
        <w:t>1、事故源强计算方法</w:t>
      </w:r>
    </w:p>
    <w:p w14:paraId="21F98B87">
      <w:pPr>
        <w:ind w:firstLine="480" w:firstLineChars="200"/>
      </w:pPr>
      <w:r>
        <w:t>(1)液体泄漏</w:t>
      </w:r>
    </w:p>
    <w:p w14:paraId="7D6A8558">
      <w:pPr>
        <w:ind w:firstLine="480" w:firstLineChars="200"/>
      </w:pPr>
      <w:r>
        <w:t>液体泄露速率Q</w:t>
      </w:r>
      <w:r>
        <w:rPr>
          <w:vertAlign w:val="subscript"/>
        </w:rPr>
        <w:t>L</w:t>
      </w:r>
      <w:r>
        <w:t>用伯努利方程计算：</w:t>
      </w:r>
    </w:p>
    <w:p w14:paraId="7A8A6FDC">
      <w:pPr>
        <w:spacing w:line="240" w:lineRule="auto"/>
        <w:jc w:val="center"/>
      </w:pPr>
      <m:oMathPara>
        <m:oMath>
          <m:r>
            <m:rPr/>
            <w:rPr>
              <w:rFonts w:ascii="Cambria Math"/>
            </w:rPr>
            <m:t>QL=</m:t>
          </m:r>
          <m:sSub>
            <m:sSubPr>
              <m:ctrlPr>
                <w:rPr>
                  <w:rFonts w:ascii="Cambria Math" w:hAnsi="Cambria Math"/>
                  <w:i/>
                </w:rPr>
              </m:ctrlPr>
            </m:sSubPr>
            <m:e>
              <m:r>
                <m:rPr/>
                <w:rPr>
                  <w:rFonts w:ascii="Cambria Math"/>
                </w:rPr>
                <m:t>C</m:t>
              </m:r>
              <m:ctrlPr>
                <w:rPr>
                  <w:rFonts w:ascii="Cambria Math" w:hAnsi="Cambria Math"/>
                  <w:i/>
                </w:rPr>
              </m:ctrlPr>
            </m:e>
            <m:sub>
              <m:r>
                <m:rPr/>
                <w:rPr>
                  <w:rFonts w:ascii="Cambria Math"/>
                </w:rPr>
                <m:t>d</m:t>
              </m:r>
              <m:ctrlPr>
                <w:rPr>
                  <w:rFonts w:ascii="Cambria Math" w:hAnsi="Cambria Math"/>
                  <w:i/>
                </w:rPr>
              </m:ctrlPr>
            </m:sub>
          </m:sSub>
          <m:sSub>
            <m:sSubPr>
              <m:ctrlPr>
                <w:rPr>
                  <w:rFonts w:ascii="Cambria Math" w:hAnsi="Cambria Math"/>
                  <w:i/>
                </w:rPr>
              </m:ctrlPr>
            </m:sSubPr>
            <m:e>
              <m:r>
                <m:rPr/>
                <w:rPr>
                  <w:rFonts w:ascii="Cambria Math"/>
                </w:rPr>
                <m:t>A</m:t>
              </m:r>
              <m:ctrlPr>
                <w:rPr>
                  <w:rFonts w:ascii="Cambria Math" w:hAnsi="Cambria Math"/>
                  <w:i/>
                </w:rPr>
              </m:ctrlPr>
            </m:e>
            <m:sub>
              <m:r>
                <m:rPr/>
                <w:rPr>
                  <w:rFonts w:ascii="Cambria Math"/>
                </w:rPr>
                <m:t>r</m:t>
              </m:r>
              <m:ctrlPr>
                <w:rPr>
                  <w:rFonts w:ascii="Cambria Math" w:hAnsi="Cambria Math"/>
                  <w:i/>
                </w:rPr>
              </m:ctrlPr>
            </m:sub>
          </m:sSub>
          <m:r>
            <m:rPr/>
            <w:rPr>
              <w:rFonts w:ascii="Cambria Math"/>
            </w:rPr>
            <m:t>ρ</m:t>
          </m:r>
          <m:rad>
            <m:radPr>
              <m:degHide m:val="1"/>
              <m:ctrlPr>
                <w:rPr>
                  <w:rFonts w:ascii="Cambria Math" w:hAnsi="Cambria Math"/>
                  <w:i/>
                </w:rPr>
              </m:ctrlPr>
            </m:radPr>
            <m:deg>
              <m:ctrlPr>
                <w:rPr>
                  <w:rFonts w:ascii="Cambria Math" w:hAnsi="Cambria Math"/>
                  <w:i/>
                </w:rPr>
              </m:ctrlPr>
            </m:deg>
            <m:e>
              <m:f>
                <m:fPr>
                  <m:ctrlPr>
                    <w:rPr>
                      <w:rFonts w:ascii="Cambria Math" w:hAnsi="Cambria Math"/>
                      <w:i/>
                    </w:rPr>
                  </m:ctrlPr>
                </m:fPr>
                <m:num>
                  <m:r>
                    <m:rPr/>
                    <w:rPr>
                      <w:rFonts w:ascii="Cambria Math"/>
                    </w:rPr>
                    <m:t>2(</m:t>
                  </m:r>
                  <m:sSub>
                    <m:sSubPr>
                      <m:ctrlPr>
                        <w:rPr>
                          <w:rFonts w:ascii="Cambria Math" w:hAnsi="Cambria Math"/>
                          <w:i/>
                        </w:rPr>
                      </m:ctrlPr>
                    </m:sSubPr>
                    <m:e>
                      <m:r>
                        <m:rPr/>
                        <w:rPr>
                          <w:rFonts w:ascii="Cambria Math"/>
                        </w:rPr>
                        <m:t>P</m:t>
                      </m:r>
                      <m:ctrlPr>
                        <w:rPr>
                          <w:rFonts w:ascii="Cambria Math" w:hAnsi="Cambria Math"/>
                          <w:i/>
                        </w:rPr>
                      </m:ctrlPr>
                    </m:e>
                    <m:sub>
                      <m:r>
                        <m:rPr/>
                        <w:rPr>
                          <w:rFonts w:ascii="Cambria Math"/>
                        </w:rPr>
                        <m:t>1</m:t>
                      </m:r>
                      <m:ctrlPr>
                        <w:rPr>
                          <w:rFonts w:ascii="Cambria Math" w:hAnsi="Cambria Math"/>
                          <w:i/>
                        </w:rPr>
                      </m:ctrlPr>
                    </m:sub>
                  </m:sSub>
                  <m:r>
                    <m:rPr/>
                    <w:rPr>
                      <w:rFonts w:ascii="Cambria Math"/>
                    </w:rPr>
                    <m:t>−</m:t>
                  </m:r>
                  <m:sSub>
                    <m:sSubPr>
                      <m:ctrlPr>
                        <w:rPr>
                          <w:rFonts w:ascii="Cambria Math" w:hAnsi="Cambria Math"/>
                          <w:i/>
                        </w:rPr>
                      </m:ctrlPr>
                    </m:sSubPr>
                    <m:e>
                      <m:r>
                        <m:rPr/>
                        <w:rPr>
                          <w:rFonts w:ascii="Cambria Math"/>
                        </w:rPr>
                        <m:t>P</m:t>
                      </m:r>
                      <m:ctrlPr>
                        <w:rPr>
                          <w:rFonts w:ascii="Cambria Math" w:hAnsi="Cambria Math"/>
                          <w:i/>
                        </w:rPr>
                      </m:ctrlPr>
                    </m:e>
                    <m:sub>
                      <m:r>
                        <m:rPr/>
                        <w:rPr>
                          <w:rFonts w:ascii="Cambria Math"/>
                        </w:rPr>
                        <m:t>a</m:t>
                      </m:r>
                      <m:ctrlPr>
                        <w:rPr>
                          <w:rFonts w:ascii="Cambria Math" w:hAnsi="Cambria Math"/>
                          <w:i/>
                        </w:rPr>
                      </m:ctrlPr>
                    </m:sub>
                  </m:sSub>
                  <m:r>
                    <m:rPr/>
                    <w:rPr>
                      <w:rFonts w:ascii="Cambria Math"/>
                    </w:rPr>
                    <m:t>)</m:t>
                  </m:r>
                  <m:ctrlPr>
                    <w:rPr>
                      <w:rFonts w:ascii="Cambria Math" w:hAnsi="Cambria Math"/>
                      <w:i/>
                    </w:rPr>
                  </m:ctrlPr>
                </m:num>
                <m:den>
                  <m:r>
                    <m:rPr/>
                    <w:rPr>
                      <w:rFonts w:ascii="Cambria Math"/>
                    </w:rPr>
                    <m:t>ρ</m:t>
                  </m:r>
                  <m:ctrlPr>
                    <w:rPr>
                      <w:rFonts w:ascii="Cambria Math" w:hAnsi="Cambria Math"/>
                      <w:i/>
                    </w:rPr>
                  </m:ctrlPr>
                </m:den>
              </m:f>
              <m:r>
                <m:rPr/>
                <w:rPr>
                  <w:rFonts w:ascii="Cambria Math"/>
                </w:rPr>
                <m:t>+2gh</m:t>
              </m:r>
              <m:ctrlPr>
                <w:rPr>
                  <w:rFonts w:ascii="Cambria Math" w:hAnsi="Cambria Math"/>
                  <w:i/>
                </w:rPr>
              </m:ctrlPr>
            </m:e>
          </m:rad>
        </m:oMath>
      </m:oMathPara>
    </w:p>
    <w:p w14:paraId="2BF24488">
      <w:pPr>
        <w:pStyle w:val="30"/>
        <w:spacing w:after="0"/>
        <w:ind w:left="0" w:leftChars="0" w:firstLine="480"/>
        <w:rPr>
          <w:sz w:val="24"/>
          <w:szCs w:val="24"/>
        </w:rPr>
      </w:pPr>
      <w:r>
        <w:rPr>
          <w:sz w:val="24"/>
          <w:szCs w:val="24"/>
        </w:rPr>
        <w:t>式中：Q</w:t>
      </w:r>
      <w:r>
        <w:rPr>
          <w:sz w:val="24"/>
          <w:szCs w:val="24"/>
          <w:vertAlign w:val="subscript"/>
        </w:rPr>
        <w:t>L</w:t>
      </w:r>
      <w:r>
        <w:rPr>
          <w:sz w:val="24"/>
          <w:szCs w:val="24"/>
        </w:rPr>
        <w:t>——液体泄漏速度，kg/s；</w:t>
      </w:r>
    </w:p>
    <w:p w14:paraId="083BE7C2">
      <w:pPr>
        <w:pStyle w:val="30"/>
        <w:spacing w:after="0"/>
        <w:ind w:left="0" w:leftChars="0" w:firstLine="1200" w:firstLineChars="500"/>
        <w:rPr>
          <w:sz w:val="24"/>
          <w:szCs w:val="24"/>
        </w:rPr>
      </w:pPr>
      <w:r>
        <w:rPr>
          <w:sz w:val="24"/>
          <w:szCs w:val="24"/>
        </w:rPr>
        <w:t>C</w:t>
      </w:r>
      <w:r>
        <w:rPr>
          <w:sz w:val="24"/>
          <w:szCs w:val="24"/>
          <w:vertAlign w:val="subscript"/>
        </w:rPr>
        <w:t>d</w:t>
      </w:r>
      <w:r>
        <w:rPr>
          <w:sz w:val="24"/>
          <w:szCs w:val="24"/>
        </w:rPr>
        <w:t>——液体的泄漏系数，按《建设项目环境风险评价技术导则》(HJ169-2018)中表F.1选取；</w:t>
      </w:r>
    </w:p>
    <w:p w14:paraId="7D36A27D">
      <w:pPr>
        <w:pStyle w:val="30"/>
        <w:spacing w:after="0"/>
        <w:ind w:left="0" w:leftChars="0" w:firstLine="1200" w:firstLineChars="500"/>
        <w:rPr>
          <w:sz w:val="24"/>
          <w:szCs w:val="24"/>
        </w:rPr>
      </w:pPr>
      <w:r>
        <w:rPr>
          <w:sz w:val="24"/>
          <w:szCs w:val="24"/>
        </w:rPr>
        <w:t>A——裂口面积，m</w:t>
      </w:r>
      <w:r>
        <w:rPr>
          <w:sz w:val="24"/>
          <w:szCs w:val="24"/>
          <w:vertAlign w:val="superscript"/>
        </w:rPr>
        <w:t>2</w:t>
      </w:r>
      <w:r>
        <w:rPr>
          <w:sz w:val="24"/>
          <w:szCs w:val="24"/>
        </w:rPr>
        <w:t>；</w:t>
      </w:r>
    </w:p>
    <w:p w14:paraId="34048B46">
      <w:pPr>
        <w:pStyle w:val="30"/>
        <w:spacing w:after="0"/>
        <w:ind w:left="0" w:leftChars="0" w:firstLine="1200" w:firstLineChars="500"/>
        <w:rPr>
          <w:sz w:val="24"/>
          <w:szCs w:val="24"/>
        </w:rPr>
      </w:pPr>
      <w:r>
        <w:rPr>
          <w:sz w:val="24"/>
          <w:szCs w:val="24"/>
        </w:rPr>
        <w:t>ρ——泄漏液体密度，kg/m</w:t>
      </w:r>
      <w:r>
        <w:rPr>
          <w:sz w:val="24"/>
          <w:szCs w:val="24"/>
          <w:vertAlign w:val="superscript"/>
        </w:rPr>
        <w:t>3</w:t>
      </w:r>
      <w:r>
        <w:rPr>
          <w:sz w:val="24"/>
          <w:szCs w:val="24"/>
        </w:rPr>
        <w:t>；</w:t>
      </w:r>
    </w:p>
    <w:p w14:paraId="2D5FCBA1">
      <w:pPr>
        <w:pStyle w:val="30"/>
        <w:spacing w:after="0"/>
        <w:ind w:left="0" w:leftChars="0" w:firstLine="1200" w:firstLineChars="500"/>
        <w:rPr>
          <w:sz w:val="24"/>
          <w:szCs w:val="24"/>
        </w:rPr>
      </w:pPr>
      <w:r>
        <w:rPr>
          <w:sz w:val="24"/>
          <w:szCs w:val="24"/>
        </w:rPr>
        <w:t>P-P</w:t>
      </w:r>
      <w:r>
        <w:rPr>
          <w:sz w:val="24"/>
          <w:szCs w:val="24"/>
          <w:vertAlign w:val="subscript"/>
        </w:rPr>
        <w:t>0</w:t>
      </w:r>
      <w:r>
        <w:rPr>
          <w:sz w:val="24"/>
          <w:szCs w:val="24"/>
        </w:rPr>
        <w:t>——介质与环境压力之差，Pa；</w:t>
      </w:r>
    </w:p>
    <w:p w14:paraId="4F13B91A">
      <w:pPr>
        <w:pStyle w:val="30"/>
        <w:spacing w:after="0"/>
        <w:ind w:left="0" w:leftChars="0" w:firstLine="1200" w:firstLineChars="500"/>
        <w:rPr>
          <w:sz w:val="24"/>
          <w:szCs w:val="24"/>
        </w:rPr>
      </w:pPr>
      <w:r>
        <w:rPr>
          <w:sz w:val="24"/>
          <w:szCs w:val="24"/>
        </w:rPr>
        <w:t>g——重力加速度，9.81m/s</w:t>
      </w:r>
      <w:r>
        <w:rPr>
          <w:sz w:val="24"/>
          <w:szCs w:val="24"/>
          <w:vertAlign w:val="superscript"/>
        </w:rPr>
        <w:t>2</w:t>
      </w:r>
      <w:r>
        <w:rPr>
          <w:sz w:val="24"/>
          <w:szCs w:val="24"/>
        </w:rPr>
        <w:t>；</w:t>
      </w:r>
    </w:p>
    <w:p w14:paraId="42B0FD93">
      <w:pPr>
        <w:pStyle w:val="30"/>
        <w:spacing w:after="0"/>
        <w:ind w:left="0" w:leftChars="0" w:firstLine="1200" w:firstLineChars="500"/>
        <w:rPr>
          <w:sz w:val="24"/>
          <w:szCs w:val="24"/>
        </w:rPr>
      </w:pPr>
      <w:r>
        <w:rPr>
          <w:sz w:val="24"/>
          <w:szCs w:val="24"/>
        </w:rPr>
        <w:t>h——裂口之上液位高度</w:t>
      </w:r>
    </w:p>
    <w:p w14:paraId="1AFCD628">
      <w:pPr>
        <w:ind w:firstLine="424" w:firstLineChars="177"/>
        <w:rPr>
          <w:kern w:val="0"/>
        </w:rPr>
      </w:pPr>
      <w:r>
        <w:rPr>
          <w:kern w:val="0"/>
        </w:rPr>
        <w:t>(2)气体泄漏</w:t>
      </w:r>
    </w:p>
    <w:p w14:paraId="70B089A1">
      <w:pPr>
        <w:ind w:firstLine="424" w:firstLineChars="177"/>
        <w:rPr>
          <w:kern w:val="0"/>
        </w:rPr>
      </w:pPr>
      <w:r>
        <w:rPr>
          <w:kern w:val="0"/>
        </w:rPr>
        <w:t>当下式成立时，气体流动属于音速流动(临界流)</w:t>
      </w:r>
    </w:p>
    <w:p w14:paraId="3F9CE22B">
      <w:pPr>
        <w:spacing w:line="240" w:lineRule="auto"/>
        <w:ind w:firstLine="424" w:firstLineChars="177"/>
        <w:jc w:val="center"/>
        <w:rPr>
          <w:kern w:val="0"/>
        </w:rPr>
      </w:pPr>
      <w:r>
        <w:rPr>
          <w:kern w:val="0"/>
        </w:rPr>
        <w:drawing>
          <wp:inline distT="0" distB="0" distL="0" distR="0">
            <wp:extent cx="1375410" cy="570865"/>
            <wp:effectExtent l="0" t="0" r="0" b="635"/>
            <wp:docPr id="1874282613" name="图片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282613" name="图片 16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a:xfrm>
                      <a:off x="0" y="0"/>
                      <a:ext cx="1375410" cy="570865"/>
                    </a:xfrm>
                    <a:prstGeom prst="rect">
                      <a:avLst/>
                    </a:prstGeom>
                    <a:noFill/>
                    <a:ln>
                      <a:noFill/>
                    </a:ln>
                  </pic:spPr>
                </pic:pic>
              </a:graphicData>
            </a:graphic>
          </wp:inline>
        </w:drawing>
      </w:r>
    </w:p>
    <w:p w14:paraId="009D6F0E">
      <w:pPr>
        <w:ind w:firstLine="424" w:firstLineChars="177"/>
        <w:rPr>
          <w:kern w:val="0"/>
        </w:rPr>
      </w:pPr>
      <w:r>
        <w:rPr>
          <w:kern w:val="0"/>
        </w:rPr>
        <w:t>当下式成立时，气体流动属于亚音速流动(次临界流)</w:t>
      </w:r>
    </w:p>
    <w:p w14:paraId="32BA20FD">
      <w:pPr>
        <w:spacing w:line="240" w:lineRule="auto"/>
        <w:ind w:firstLine="424" w:firstLineChars="177"/>
        <w:jc w:val="center"/>
        <w:rPr>
          <w:kern w:val="0"/>
        </w:rPr>
      </w:pPr>
      <w:r>
        <w:rPr>
          <w:kern w:val="0"/>
        </w:rPr>
        <w:drawing>
          <wp:inline distT="0" distB="0" distL="0" distR="0">
            <wp:extent cx="1316990" cy="607060"/>
            <wp:effectExtent l="0" t="0" r="0" b="2540"/>
            <wp:docPr id="953201008"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201008" name="图片 16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a:xfrm>
                      <a:off x="0" y="0"/>
                      <a:ext cx="1316990" cy="607060"/>
                    </a:xfrm>
                    <a:prstGeom prst="rect">
                      <a:avLst/>
                    </a:prstGeom>
                    <a:noFill/>
                    <a:ln>
                      <a:noFill/>
                    </a:ln>
                  </pic:spPr>
                </pic:pic>
              </a:graphicData>
            </a:graphic>
          </wp:inline>
        </w:drawing>
      </w:r>
    </w:p>
    <w:p w14:paraId="29904688">
      <w:pPr>
        <w:ind w:firstLine="424" w:firstLineChars="177"/>
        <w:rPr>
          <w:kern w:val="0"/>
        </w:rPr>
      </w:pPr>
      <w:r>
        <w:rPr>
          <w:kern w:val="0"/>
        </w:rPr>
        <w:t>式中：P—容器压力，Pa；</w:t>
      </w:r>
    </w:p>
    <w:p w14:paraId="1EEE8C5D">
      <w:pPr>
        <w:ind w:firstLine="1144" w:firstLineChars="477"/>
        <w:rPr>
          <w:kern w:val="0"/>
        </w:rPr>
      </w:pPr>
      <w:r>
        <w:rPr>
          <w:kern w:val="0"/>
        </w:rPr>
        <w:t>P</w:t>
      </w:r>
      <w:r>
        <w:rPr>
          <w:kern w:val="0"/>
          <w:vertAlign w:val="subscript"/>
        </w:rPr>
        <w:t>0</w:t>
      </w:r>
      <w:r>
        <w:rPr>
          <w:kern w:val="0"/>
        </w:rPr>
        <w:t>—环境压力，Pa；</w:t>
      </w:r>
    </w:p>
    <w:p w14:paraId="408B896A">
      <w:pPr>
        <w:ind w:firstLine="1144" w:firstLineChars="477"/>
        <w:rPr>
          <w:kern w:val="0"/>
        </w:rPr>
      </w:pPr>
      <w:r>
        <w:rPr>
          <w:kern w:val="0"/>
        </w:rPr>
        <w:t>γ—气体的绝热指数(比热容比)，即定压比热容Cp与定容比热容Cv之比。</w:t>
      </w:r>
    </w:p>
    <w:p w14:paraId="44237D7D">
      <w:pPr>
        <w:ind w:firstLine="465"/>
        <w:rPr>
          <w:kern w:val="0"/>
        </w:rPr>
      </w:pPr>
      <w:r>
        <w:rPr>
          <w:kern w:val="0"/>
        </w:rPr>
        <w:t>假定气体特性为理想气体，其泄漏速率Q</w:t>
      </w:r>
      <w:r>
        <w:rPr>
          <w:kern w:val="0"/>
          <w:vertAlign w:val="subscript"/>
        </w:rPr>
        <w:t>G</w:t>
      </w:r>
      <w:r>
        <w:rPr>
          <w:kern w:val="0"/>
        </w:rPr>
        <w:t>按下式计算：</w:t>
      </w:r>
    </w:p>
    <w:p w14:paraId="2091FBA1">
      <w:pPr>
        <w:spacing w:line="240" w:lineRule="auto"/>
        <w:ind w:firstLine="465"/>
        <w:jc w:val="center"/>
        <w:rPr>
          <w:kern w:val="0"/>
        </w:rPr>
      </w:pPr>
      <w:r>
        <w:rPr>
          <w:kern w:val="0"/>
        </w:rPr>
        <w:drawing>
          <wp:inline distT="0" distB="0" distL="0" distR="0">
            <wp:extent cx="2877820" cy="795020"/>
            <wp:effectExtent l="0" t="0" r="0" b="5080"/>
            <wp:docPr id="747386073"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386073" name="图片 15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a:xfrm>
                      <a:off x="0" y="0"/>
                      <a:ext cx="2890439" cy="798917"/>
                    </a:xfrm>
                    <a:prstGeom prst="rect">
                      <a:avLst/>
                    </a:prstGeom>
                    <a:noFill/>
                    <a:ln>
                      <a:noFill/>
                    </a:ln>
                  </pic:spPr>
                </pic:pic>
              </a:graphicData>
            </a:graphic>
          </wp:inline>
        </w:drawing>
      </w:r>
    </w:p>
    <w:p w14:paraId="1B6F1373">
      <w:pPr>
        <w:ind w:firstLine="465"/>
        <w:rPr>
          <w:kern w:val="0"/>
        </w:rPr>
      </w:pPr>
      <w:r>
        <w:rPr>
          <w:kern w:val="0"/>
        </w:rPr>
        <w:t>式中：Q</w:t>
      </w:r>
      <w:r>
        <w:rPr>
          <w:kern w:val="0"/>
          <w:vertAlign w:val="subscript"/>
        </w:rPr>
        <w:t>G</w:t>
      </w:r>
      <w:r>
        <w:rPr>
          <w:kern w:val="0"/>
        </w:rPr>
        <w:t>—气体泄漏速率，kg/s；</w:t>
      </w:r>
    </w:p>
    <w:p w14:paraId="0F49F2F4">
      <w:pPr>
        <w:ind w:firstLine="1180" w:firstLineChars="492"/>
        <w:rPr>
          <w:kern w:val="0"/>
        </w:rPr>
      </w:pPr>
      <w:r>
        <w:rPr>
          <w:kern w:val="0"/>
        </w:rPr>
        <w:t>P—容器压力，Pa；</w:t>
      </w:r>
    </w:p>
    <w:p w14:paraId="22FA3BC1">
      <w:pPr>
        <w:ind w:firstLine="1180" w:firstLineChars="492"/>
        <w:rPr>
          <w:kern w:val="0"/>
        </w:rPr>
      </w:pPr>
      <w:r>
        <w:rPr>
          <w:kern w:val="0"/>
        </w:rPr>
        <w:t>C</w:t>
      </w:r>
      <w:r>
        <w:rPr>
          <w:kern w:val="0"/>
          <w:vertAlign w:val="subscript"/>
        </w:rPr>
        <w:t>d</w:t>
      </w:r>
      <w:r>
        <w:rPr>
          <w:kern w:val="0"/>
        </w:rPr>
        <w:t>—气体泄漏系数；当裂口形状为圆形时取1.00，三角形时取0.95，长方形时取0.9；</w:t>
      </w:r>
    </w:p>
    <w:p w14:paraId="74D32F08">
      <w:pPr>
        <w:ind w:firstLine="1180" w:firstLineChars="492"/>
        <w:rPr>
          <w:kern w:val="0"/>
        </w:rPr>
      </w:pPr>
      <w:r>
        <w:rPr>
          <w:kern w:val="0"/>
        </w:rPr>
        <w:t>M—物质的摩尔质量，kg/mol；</w:t>
      </w:r>
    </w:p>
    <w:p w14:paraId="64C03087">
      <w:pPr>
        <w:ind w:firstLine="1180" w:firstLineChars="492"/>
        <w:rPr>
          <w:kern w:val="0"/>
        </w:rPr>
      </w:pPr>
      <w:r>
        <w:rPr>
          <w:kern w:val="0"/>
        </w:rPr>
        <w:t>R—气体常数，J/(mol.K)；</w:t>
      </w:r>
    </w:p>
    <w:p w14:paraId="3C12972A">
      <w:pPr>
        <w:ind w:firstLine="1180" w:firstLineChars="492"/>
        <w:rPr>
          <w:kern w:val="0"/>
        </w:rPr>
      </w:pPr>
      <w:r>
        <w:rPr>
          <w:kern w:val="0"/>
        </w:rPr>
        <w:t>T—气体温度，K；</w:t>
      </w:r>
    </w:p>
    <w:p w14:paraId="303E0438">
      <w:pPr>
        <w:ind w:firstLine="1180" w:firstLineChars="492"/>
        <w:rPr>
          <w:kern w:val="0"/>
        </w:rPr>
      </w:pPr>
      <w:r>
        <w:rPr>
          <w:kern w:val="0"/>
        </w:rPr>
        <w:t>A—裂口面积，m</w:t>
      </w:r>
      <w:r>
        <w:rPr>
          <w:kern w:val="0"/>
          <w:vertAlign w:val="superscript"/>
        </w:rPr>
        <w:t>2</w:t>
      </w:r>
      <w:r>
        <w:rPr>
          <w:kern w:val="0"/>
        </w:rPr>
        <w:t>；</w:t>
      </w:r>
    </w:p>
    <w:p w14:paraId="5634A9A4">
      <w:pPr>
        <w:ind w:firstLine="1180" w:firstLineChars="492"/>
        <w:rPr>
          <w:kern w:val="0"/>
        </w:rPr>
      </w:pPr>
      <w:r>
        <w:rPr>
          <w:kern w:val="0"/>
        </w:rPr>
        <w:t>Y—流出系数，对于临界流Y=1.0，对于次临界流按下式计算；</w:t>
      </w:r>
    </w:p>
    <w:p w14:paraId="3D5CD57D">
      <w:pPr>
        <w:spacing w:line="240" w:lineRule="auto"/>
        <w:jc w:val="center"/>
        <w:rPr>
          <w:kern w:val="0"/>
        </w:rPr>
      </w:pPr>
      <w:r>
        <w:rPr>
          <w:kern w:val="0"/>
        </w:rPr>
        <w:drawing>
          <wp:inline distT="0" distB="0" distL="0" distR="0">
            <wp:extent cx="4206240" cy="662305"/>
            <wp:effectExtent l="0" t="0" r="3810" b="4445"/>
            <wp:docPr id="1009146927"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146927" name="图片 15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a:xfrm>
                      <a:off x="0" y="0"/>
                      <a:ext cx="4250188" cy="669311"/>
                    </a:xfrm>
                    <a:prstGeom prst="rect">
                      <a:avLst/>
                    </a:prstGeom>
                    <a:noFill/>
                    <a:ln>
                      <a:noFill/>
                    </a:ln>
                  </pic:spPr>
                </pic:pic>
              </a:graphicData>
            </a:graphic>
          </wp:inline>
        </w:drawing>
      </w:r>
    </w:p>
    <w:p w14:paraId="2D76FF3E">
      <w:pPr>
        <w:ind w:firstLine="465"/>
        <w:rPr>
          <w:kern w:val="0"/>
        </w:rPr>
      </w:pPr>
      <w:r>
        <w:rPr>
          <w:kern w:val="0"/>
        </w:rPr>
        <w:t>(3)泄漏液体蒸发量计算</w:t>
      </w:r>
    </w:p>
    <w:p w14:paraId="492AB767">
      <w:pPr>
        <w:ind w:firstLine="465"/>
        <w:rPr>
          <w:kern w:val="0"/>
        </w:rPr>
      </w:pPr>
      <w:r>
        <w:rPr>
          <w:rFonts w:hint="eastAsia"/>
          <w:kern w:val="0"/>
        </w:rPr>
        <w:t>泄漏液体的蒸发分为闪蒸蒸发、热量蒸发和质量蒸发三种，其蒸发总量为这三种蒸发之和。</w:t>
      </w:r>
    </w:p>
    <w:p w14:paraId="06CAC802">
      <w:pPr>
        <w:ind w:firstLine="465"/>
        <w:rPr>
          <w:rFonts w:hint="eastAsia" w:ascii="宋体" w:hAnsi="宋体"/>
          <w:kern w:val="0"/>
        </w:rPr>
      </w:pPr>
      <w:r>
        <w:rPr>
          <w:rFonts w:hint="eastAsia" w:ascii="宋体" w:hAnsi="宋体"/>
          <w:kern w:val="0"/>
        </w:rPr>
        <w:t>①闪蒸蒸发估算</w:t>
      </w:r>
    </w:p>
    <w:p w14:paraId="2C67A32F">
      <w:pPr>
        <w:ind w:firstLine="465"/>
        <w:rPr>
          <w:rFonts w:hint="eastAsia" w:ascii="宋体" w:hAnsi="宋体"/>
          <w:kern w:val="0"/>
        </w:rPr>
      </w:pPr>
      <w:r>
        <w:rPr>
          <w:rFonts w:hint="eastAsia" w:ascii="宋体" w:hAnsi="宋体"/>
          <w:kern w:val="0"/>
        </w:rPr>
        <w:t>液体中闪蒸部分：</w:t>
      </w:r>
    </w:p>
    <w:p w14:paraId="1EEC0D3B">
      <w:pPr>
        <w:spacing w:line="240" w:lineRule="auto"/>
        <w:ind w:firstLine="465"/>
        <w:jc w:val="center"/>
        <w:rPr>
          <w:rFonts w:hint="eastAsia" w:ascii="宋体" w:hAnsi="宋体"/>
          <w:kern w:val="0"/>
        </w:rPr>
      </w:pPr>
      <w:r>
        <w:drawing>
          <wp:inline distT="0" distB="0" distL="0" distR="0">
            <wp:extent cx="1414780" cy="519430"/>
            <wp:effectExtent l="0" t="0" r="0" b="0"/>
            <wp:docPr id="205524265"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24265" name="图片 15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a:xfrm>
                      <a:off x="0" y="0"/>
                      <a:ext cx="1418733" cy="521094"/>
                    </a:xfrm>
                    <a:prstGeom prst="rect">
                      <a:avLst/>
                    </a:prstGeom>
                    <a:noFill/>
                    <a:ln>
                      <a:noFill/>
                    </a:ln>
                  </pic:spPr>
                </pic:pic>
              </a:graphicData>
            </a:graphic>
          </wp:inline>
        </w:drawing>
      </w:r>
    </w:p>
    <w:p w14:paraId="60C44B07">
      <w:pPr>
        <w:ind w:firstLine="465"/>
        <w:rPr>
          <w:rFonts w:hint="eastAsia" w:ascii="宋体" w:hAnsi="宋体"/>
          <w:kern w:val="0"/>
        </w:rPr>
      </w:pPr>
      <w:r>
        <w:rPr>
          <w:rFonts w:hint="eastAsia" w:ascii="宋体" w:hAnsi="宋体"/>
          <w:kern w:val="0"/>
        </w:rPr>
        <w:t>过热液体闪蒸蒸发速率可按下式估算：</w:t>
      </w:r>
    </w:p>
    <w:p w14:paraId="657F2707">
      <w:pPr>
        <w:spacing w:line="240" w:lineRule="auto"/>
        <w:ind w:firstLine="465"/>
        <w:jc w:val="center"/>
        <w:rPr>
          <w:rFonts w:hint="eastAsia" w:ascii="宋体" w:hAnsi="宋体"/>
          <w:kern w:val="0"/>
        </w:rPr>
      </w:pPr>
      <w:r>
        <w:drawing>
          <wp:inline distT="0" distB="0" distL="0" distR="0">
            <wp:extent cx="1271905" cy="321310"/>
            <wp:effectExtent l="0" t="0" r="4445" b="2540"/>
            <wp:docPr id="1580989303"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0989303" name="图片 15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a:xfrm>
                      <a:off x="0" y="0"/>
                      <a:ext cx="1274089" cy="322015"/>
                    </a:xfrm>
                    <a:prstGeom prst="rect">
                      <a:avLst/>
                    </a:prstGeom>
                    <a:noFill/>
                    <a:ln>
                      <a:noFill/>
                    </a:ln>
                  </pic:spPr>
                </pic:pic>
              </a:graphicData>
            </a:graphic>
          </wp:inline>
        </w:drawing>
      </w:r>
    </w:p>
    <w:p w14:paraId="5A092F6D">
      <w:pPr>
        <w:ind w:firstLine="465"/>
        <w:rPr>
          <w:kern w:val="0"/>
        </w:rPr>
      </w:pPr>
      <w:r>
        <w:rPr>
          <w:rFonts w:hint="eastAsia" w:ascii="宋体" w:hAnsi="宋体"/>
          <w:kern w:val="0"/>
        </w:rPr>
        <w:t>式中：</w:t>
      </w:r>
      <w:r>
        <w:rPr>
          <w:kern w:val="0"/>
        </w:rPr>
        <w:t>F</w:t>
      </w:r>
      <w:r>
        <w:rPr>
          <w:kern w:val="0"/>
          <w:vertAlign w:val="subscript"/>
        </w:rPr>
        <w:t>V</w:t>
      </w:r>
      <w:r>
        <w:rPr>
          <w:kern w:val="0"/>
        </w:rPr>
        <w:t>—泄漏液体的闪蒸比例；</w:t>
      </w:r>
    </w:p>
    <w:p w14:paraId="2D6D5A6A">
      <w:pPr>
        <w:ind w:firstLine="1200" w:firstLineChars="500"/>
        <w:rPr>
          <w:kern w:val="0"/>
        </w:rPr>
      </w:pPr>
      <w:r>
        <w:rPr>
          <w:kern w:val="0"/>
        </w:rPr>
        <w:t>T</w:t>
      </w:r>
      <w:r>
        <w:rPr>
          <w:kern w:val="0"/>
          <w:vertAlign w:val="subscript"/>
        </w:rPr>
        <w:t>T</w:t>
      </w:r>
      <w:r>
        <w:rPr>
          <w:kern w:val="0"/>
        </w:rPr>
        <w:t>—储存温度，K；</w:t>
      </w:r>
    </w:p>
    <w:p w14:paraId="57326AF9">
      <w:pPr>
        <w:ind w:firstLine="1200" w:firstLineChars="500"/>
        <w:rPr>
          <w:kern w:val="0"/>
        </w:rPr>
      </w:pPr>
      <w:r>
        <w:rPr>
          <w:kern w:val="0"/>
        </w:rPr>
        <w:t>T</w:t>
      </w:r>
      <w:r>
        <w:rPr>
          <w:kern w:val="0"/>
          <w:vertAlign w:val="subscript"/>
        </w:rPr>
        <w:t>b</w:t>
      </w:r>
      <w:r>
        <w:rPr>
          <w:kern w:val="0"/>
        </w:rPr>
        <w:t>—泄漏液体的沸点，K；</w:t>
      </w:r>
    </w:p>
    <w:p w14:paraId="443EC3D3">
      <w:pPr>
        <w:ind w:firstLine="1200" w:firstLineChars="500"/>
        <w:rPr>
          <w:kern w:val="0"/>
        </w:rPr>
      </w:pPr>
      <w:r>
        <w:rPr>
          <w:kern w:val="0"/>
        </w:rPr>
        <w:t>H</w:t>
      </w:r>
      <w:r>
        <w:rPr>
          <w:kern w:val="0"/>
          <w:vertAlign w:val="subscript"/>
        </w:rPr>
        <w:t>V</w:t>
      </w:r>
      <w:r>
        <w:rPr>
          <w:kern w:val="0"/>
        </w:rPr>
        <w:t>—泄漏液体的蒸发热，L/kg；</w:t>
      </w:r>
    </w:p>
    <w:p w14:paraId="36EB48AC">
      <w:pPr>
        <w:ind w:firstLine="1200" w:firstLineChars="500"/>
        <w:rPr>
          <w:kern w:val="0"/>
        </w:rPr>
      </w:pPr>
      <w:r>
        <w:rPr>
          <w:kern w:val="0"/>
        </w:rPr>
        <w:t>C</w:t>
      </w:r>
      <w:r>
        <w:rPr>
          <w:kern w:val="0"/>
          <w:vertAlign w:val="subscript"/>
        </w:rPr>
        <w:t>P</w:t>
      </w:r>
      <w:r>
        <w:rPr>
          <w:kern w:val="0"/>
        </w:rPr>
        <w:t>—泄漏液体的定压比热容，J/kg.K；</w:t>
      </w:r>
    </w:p>
    <w:p w14:paraId="7B4FD236">
      <w:pPr>
        <w:ind w:firstLine="1200" w:firstLineChars="500"/>
        <w:rPr>
          <w:kern w:val="0"/>
        </w:rPr>
      </w:pPr>
      <w:r>
        <w:rPr>
          <w:kern w:val="0"/>
        </w:rPr>
        <w:t>Q</w:t>
      </w:r>
      <w:r>
        <w:rPr>
          <w:kern w:val="0"/>
          <w:vertAlign w:val="subscript"/>
        </w:rPr>
        <w:t>1</w:t>
      </w:r>
      <w:r>
        <w:rPr>
          <w:kern w:val="0"/>
        </w:rPr>
        <w:t>—过热液体闪蒸蒸发速率，kg/s；</w:t>
      </w:r>
    </w:p>
    <w:p w14:paraId="404058C1">
      <w:pPr>
        <w:ind w:firstLine="1200" w:firstLineChars="500"/>
        <w:rPr>
          <w:kern w:val="0"/>
        </w:rPr>
      </w:pPr>
      <w:r>
        <w:rPr>
          <w:kern w:val="0"/>
        </w:rPr>
        <w:t>Q</w:t>
      </w:r>
      <w:r>
        <w:rPr>
          <w:kern w:val="0"/>
          <w:vertAlign w:val="subscript"/>
        </w:rPr>
        <w:t>L</w:t>
      </w:r>
      <w:r>
        <w:rPr>
          <w:kern w:val="0"/>
        </w:rPr>
        <w:t>—物质泄漏速率，kg/s；</w:t>
      </w:r>
    </w:p>
    <w:p w14:paraId="7F99B6C1">
      <w:pPr>
        <w:ind w:firstLine="465"/>
        <w:rPr>
          <w:kern w:val="0"/>
        </w:rPr>
      </w:pPr>
      <w:r>
        <w:rPr>
          <w:rFonts w:hint="eastAsia" w:ascii="宋体" w:hAnsi="宋体"/>
          <w:kern w:val="0"/>
        </w:rPr>
        <w:t>②热量蒸发估算</w:t>
      </w:r>
    </w:p>
    <w:p w14:paraId="470517BA">
      <w:pPr>
        <w:ind w:firstLine="465"/>
        <w:rPr>
          <w:kern w:val="0"/>
        </w:rPr>
      </w:pPr>
      <w:r>
        <w:rPr>
          <w:rFonts w:hint="eastAsia"/>
          <w:kern w:val="0"/>
        </w:rPr>
        <w:t>当液体闪蒸不完全，有一部分液体在地面形成液池，并吸收地面热量而汽化，其蒸发速率按下式计算，并应考虑对流传热系数。</w:t>
      </w:r>
    </w:p>
    <w:p w14:paraId="296C201A">
      <w:pPr>
        <w:spacing w:line="240" w:lineRule="auto"/>
        <w:ind w:firstLine="465"/>
        <w:jc w:val="center"/>
        <w:rPr>
          <w:kern w:val="0"/>
        </w:rPr>
      </w:pPr>
      <w:r>
        <w:drawing>
          <wp:inline distT="0" distB="0" distL="0" distR="0">
            <wp:extent cx="1711960" cy="570865"/>
            <wp:effectExtent l="0" t="0" r="2540" b="635"/>
            <wp:docPr id="1522544533"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544533" name="图片 15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a:xfrm>
                      <a:off x="0" y="0"/>
                      <a:ext cx="1711960" cy="570865"/>
                    </a:xfrm>
                    <a:prstGeom prst="rect">
                      <a:avLst/>
                    </a:prstGeom>
                    <a:noFill/>
                    <a:ln>
                      <a:noFill/>
                    </a:ln>
                  </pic:spPr>
                </pic:pic>
              </a:graphicData>
            </a:graphic>
          </wp:inline>
        </w:drawing>
      </w:r>
    </w:p>
    <w:p w14:paraId="34183DA5">
      <w:pPr>
        <w:ind w:firstLine="465"/>
        <w:rPr>
          <w:kern w:val="0"/>
        </w:rPr>
      </w:pPr>
      <w:r>
        <w:rPr>
          <w:rFonts w:hint="eastAsia"/>
          <w:kern w:val="0"/>
        </w:rPr>
        <w:t>式中：Q</w:t>
      </w:r>
      <w:r>
        <w:rPr>
          <w:rFonts w:hint="eastAsia"/>
          <w:kern w:val="0"/>
          <w:vertAlign w:val="subscript"/>
        </w:rPr>
        <w:t>2</w:t>
      </w:r>
      <w:r>
        <w:rPr>
          <w:rFonts w:hint="eastAsia"/>
          <w:kern w:val="0"/>
        </w:rPr>
        <w:t>—热量蒸发速率，</w:t>
      </w:r>
      <w:r>
        <w:rPr>
          <w:kern w:val="0"/>
        </w:rPr>
        <w:t>kg/s；</w:t>
      </w:r>
    </w:p>
    <w:p w14:paraId="21019F43">
      <w:pPr>
        <w:ind w:firstLine="1200" w:firstLineChars="500"/>
        <w:rPr>
          <w:kern w:val="0"/>
        </w:rPr>
      </w:pPr>
      <w:r>
        <w:rPr>
          <w:rFonts w:hint="eastAsia"/>
          <w:kern w:val="0"/>
        </w:rPr>
        <w:t>T</w:t>
      </w:r>
      <w:r>
        <w:rPr>
          <w:rFonts w:hint="eastAsia"/>
          <w:kern w:val="0"/>
          <w:vertAlign w:val="subscript"/>
        </w:rPr>
        <w:t>0</w:t>
      </w:r>
      <w:r>
        <w:rPr>
          <w:rFonts w:hint="eastAsia"/>
          <w:kern w:val="0"/>
        </w:rPr>
        <w:t>—环境温度，</w:t>
      </w:r>
      <w:r>
        <w:rPr>
          <w:kern w:val="0"/>
        </w:rPr>
        <w:t>K</w:t>
      </w:r>
      <w:r>
        <w:rPr>
          <w:rFonts w:hint="eastAsia"/>
          <w:kern w:val="0"/>
        </w:rPr>
        <w:t>；</w:t>
      </w:r>
    </w:p>
    <w:p w14:paraId="56478948">
      <w:pPr>
        <w:ind w:firstLine="1200" w:firstLineChars="500"/>
        <w:rPr>
          <w:kern w:val="0"/>
        </w:rPr>
      </w:pPr>
      <w:r>
        <w:rPr>
          <w:kern w:val="0"/>
        </w:rPr>
        <w:t>T</w:t>
      </w:r>
      <w:r>
        <w:rPr>
          <w:kern w:val="0"/>
          <w:vertAlign w:val="subscript"/>
        </w:rPr>
        <w:t>b</w:t>
      </w:r>
      <w:r>
        <w:rPr>
          <w:kern w:val="0"/>
        </w:rPr>
        <w:t>—泄漏液体的沸点，K；</w:t>
      </w:r>
    </w:p>
    <w:p w14:paraId="116A74FD">
      <w:pPr>
        <w:ind w:firstLine="1200" w:firstLineChars="500"/>
        <w:rPr>
          <w:kern w:val="0"/>
        </w:rPr>
      </w:pPr>
      <w:r>
        <w:rPr>
          <w:rFonts w:hint="eastAsia"/>
          <w:kern w:val="0"/>
        </w:rPr>
        <w:t>H—液体汽化热，</w:t>
      </w:r>
      <w:r>
        <w:rPr>
          <w:kern w:val="0"/>
        </w:rPr>
        <w:t>J/kg；</w:t>
      </w:r>
    </w:p>
    <w:p w14:paraId="3C16BB9E">
      <w:pPr>
        <w:ind w:firstLine="1200" w:firstLineChars="500"/>
        <w:rPr>
          <w:kern w:val="0"/>
        </w:rPr>
      </w:pPr>
      <w:r>
        <w:rPr>
          <w:rFonts w:hint="eastAsia"/>
          <w:kern w:val="0"/>
        </w:rPr>
        <w:t>t—蒸发时间；s；</w:t>
      </w:r>
    </w:p>
    <w:p w14:paraId="4F286E98">
      <w:pPr>
        <w:ind w:firstLine="1200" w:firstLineChars="500"/>
        <w:rPr>
          <w:kern w:val="0"/>
        </w:rPr>
      </w:pPr>
      <w:r>
        <w:rPr>
          <w:rFonts w:hint="eastAsia" w:ascii="宋体" w:hAnsi="宋体"/>
          <w:kern w:val="0"/>
        </w:rPr>
        <w:t>λ</w:t>
      </w:r>
      <w:r>
        <w:rPr>
          <w:rFonts w:hint="eastAsia"/>
          <w:kern w:val="0"/>
        </w:rPr>
        <w:t>—表面导热系数(取值见导则中表F.2)，W/m.K；</w:t>
      </w:r>
    </w:p>
    <w:p w14:paraId="5D27A106">
      <w:pPr>
        <w:ind w:firstLine="1200" w:firstLineChars="500"/>
        <w:rPr>
          <w:kern w:val="0"/>
        </w:rPr>
      </w:pPr>
      <w:r>
        <w:rPr>
          <w:rFonts w:hint="eastAsia"/>
          <w:kern w:val="0"/>
        </w:rPr>
        <w:t>S—液池面积，m</w:t>
      </w:r>
      <w:r>
        <w:rPr>
          <w:rFonts w:hint="eastAsia"/>
          <w:kern w:val="0"/>
          <w:vertAlign w:val="superscript"/>
        </w:rPr>
        <w:t>2</w:t>
      </w:r>
      <w:r>
        <w:rPr>
          <w:rFonts w:hint="eastAsia"/>
          <w:kern w:val="0"/>
        </w:rPr>
        <w:t>；</w:t>
      </w:r>
    </w:p>
    <w:p w14:paraId="54593AEB">
      <w:pPr>
        <w:ind w:firstLine="1200" w:firstLineChars="500"/>
        <w:rPr>
          <w:kern w:val="0"/>
        </w:rPr>
      </w:pPr>
      <w:r>
        <w:rPr>
          <w:rFonts w:hint="eastAsia" w:ascii="宋体" w:hAnsi="宋体"/>
          <w:kern w:val="0"/>
        </w:rPr>
        <w:t>α</w:t>
      </w:r>
      <w:r>
        <w:rPr>
          <w:rFonts w:hint="eastAsia"/>
          <w:kern w:val="0"/>
        </w:rPr>
        <w:t>—表面热扩散系数(取值见导则中表F.2)，m</w:t>
      </w:r>
      <w:r>
        <w:rPr>
          <w:rFonts w:hint="eastAsia"/>
          <w:kern w:val="0"/>
          <w:vertAlign w:val="superscript"/>
        </w:rPr>
        <w:t>2</w:t>
      </w:r>
      <w:r>
        <w:rPr>
          <w:rFonts w:hint="eastAsia"/>
          <w:kern w:val="0"/>
        </w:rPr>
        <w:t>/s。</w:t>
      </w:r>
    </w:p>
    <w:p w14:paraId="7E363E1B">
      <w:pPr>
        <w:ind w:firstLine="465"/>
        <w:rPr>
          <w:kern w:val="0"/>
        </w:rPr>
      </w:pPr>
      <w:r>
        <w:rPr>
          <w:rFonts w:hint="eastAsia" w:ascii="宋体" w:hAnsi="宋体"/>
          <w:kern w:val="0"/>
        </w:rPr>
        <w:t>③质量蒸发估算</w:t>
      </w:r>
    </w:p>
    <w:p w14:paraId="01F991DD">
      <w:pPr>
        <w:ind w:firstLine="465"/>
        <w:rPr>
          <w:kern w:val="0"/>
        </w:rPr>
      </w:pPr>
      <w:r>
        <w:rPr>
          <w:kern w:val="0"/>
        </w:rPr>
        <w:t>泄漏后在周围形成液池，表面气流运动使液体蒸发造成大气污染。依据风险评价导则，质量蒸发速率计算公式如下：</w:t>
      </w:r>
    </w:p>
    <w:p w14:paraId="5E5D8F18">
      <w:pPr>
        <w:spacing w:line="360" w:lineRule="auto"/>
        <w:ind w:firstLine="465"/>
        <w:jc w:val="center"/>
        <w:rPr>
          <w:kern w:val="0"/>
        </w:rPr>
      </w:pPr>
      <w:r>
        <w:rPr>
          <w:kern w:val="0"/>
        </w:rPr>
        <w:drawing>
          <wp:inline distT="0" distB="0" distL="0" distR="0">
            <wp:extent cx="2138680" cy="637540"/>
            <wp:effectExtent l="0" t="0" r="0" b="0"/>
            <wp:docPr id="1515125769"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125769" name="图片 15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a:xfrm>
                      <a:off x="0" y="0"/>
                      <a:ext cx="2143211" cy="638836"/>
                    </a:xfrm>
                    <a:prstGeom prst="rect">
                      <a:avLst/>
                    </a:prstGeom>
                    <a:noFill/>
                    <a:ln>
                      <a:noFill/>
                    </a:ln>
                  </pic:spPr>
                </pic:pic>
              </a:graphicData>
            </a:graphic>
          </wp:inline>
        </w:drawing>
      </w:r>
    </w:p>
    <w:p w14:paraId="46477452">
      <w:pPr>
        <w:ind w:firstLine="480" w:firstLineChars="200"/>
        <w:rPr>
          <w:kern w:val="0"/>
        </w:rPr>
      </w:pPr>
      <w:r>
        <w:rPr>
          <w:kern w:val="0"/>
        </w:rPr>
        <w:t>式中：Q</w:t>
      </w:r>
      <w:r>
        <w:rPr>
          <w:kern w:val="0"/>
          <w:vertAlign w:val="subscript"/>
        </w:rPr>
        <w:t>3</w:t>
      </w:r>
      <w:r>
        <w:rPr>
          <w:kern w:val="0"/>
        </w:rPr>
        <w:t>—质量蒸发速率，kg/s；</w:t>
      </w:r>
    </w:p>
    <w:p w14:paraId="3E464E26">
      <w:pPr>
        <w:ind w:firstLine="1200" w:firstLineChars="500"/>
        <w:rPr>
          <w:kern w:val="0"/>
        </w:rPr>
      </w:pPr>
      <w:r>
        <w:rPr>
          <w:kern w:val="0"/>
        </w:rPr>
        <w:t>P—液体表面蒸气压，Pa；</w:t>
      </w:r>
    </w:p>
    <w:p w14:paraId="2A30D1E9">
      <w:pPr>
        <w:ind w:firstLine="1200" w:firstLineChars="500"/>
        <w:rPr>
          <w:kern w:val="0"/>
        </w:rPr>
      </w:pPr>
      <w:r>
        <w:rPr>
          <w:kern w:val="0"/>
        </w:rPr>
        <w:t>R—气体常数，J/(mol·K)；</w:t>
      </w:r>
    </w:p>
    <w:p w14:paraId="2DF1A3C6">
      <w:pPr>
        <w:ind w:firstLine="1200" w:firstLineChars="500"/>
        <w:rPr>
          <w:kern w:val="0"/>
        </w:rPr>
      </w:pPr>
      <w:r>
        <w:rPr>
          <w:kern w:val="0"/>
        </w:rPr>
        <w:t>To—环境温度，K；</w:t>
      </w:r>
    </w:p>
    <w:p w14:paraId="2A24AB63">
      <w:pPr>
        <w:ind w:firstLine="1200" w:firstLineChars="500"/>
        <w:rPr>
          <w:kern w:val="0"/>
        </w:rPr>
      </w:pPr>
      <w:r>
        <w:rPr>
          <w:kern w:val="0"/>
        </w:rPr>
        <w:t>M—物质的摩尔质量，kg/mol；</w:t>
      </w:r>
    </w:p>
    <w:p w14:paraId="5BCFC13E">
      <w:pPr>
        <w:ind w:firstLine="1200" w:firstLineChars="500"/>
        <w:rPr>
          <w:kern w:val="0"/>
        </w:rPr>
      </w:pPr>
      <w:r>
        <w:rPr>
          <w:kern w:val="0"/>
        </w:rPr>
        <w:t>u—风速，m/s；</w:t>
      </w:r>
    </w:p>
    <w:p w14:paraId="4C353DEA">
      <w:pPr>
        <w:ind w:firstLine="1200" w:firstLineChars="500"/>
        <w:rPr>
          <w:kern w:val="0"/>
        </w:rPr>
      </w:pPr>
      <w:r>
        <w:rPr>
          <w:kern w:val="0"/>
        </w:rPr>
        <w:t>r—液池半径，m；</w:t>
      </w:r>
    </w:p>
    <w:p w14:paraId="31952468">
      <w:pPr>
        <w:ind w:firstLine="1200" w:firstLineChars="500"/>
        <w:rPr>
          <w:kern w:val="0"/>
        </w:rPr>
      </w:pPr>
      <w:r>
        <w:rPr>
          <w:kern w:val="0"/>
        </w:rPr>
        <w:t>α，n—大气稳定度系数，取值见下表。</w:t>
      </w:r>
    </w:p>
    <w:p w14:paraId="41A280EC">
      <w:pPr>
        <w:pStyle w:val="28"/>
        <w:rPr>
          <w:rFonts w:hint="eastAsia"/>
        </w:rPr>
      </w:pPr>
      <w:r>
        <w:t>表6.</w:t>
      </w:r>
      <w:r>
        <w:rPr>
          <w:rFonts w:hint="eastAsia"/>
        </w:rPr>
        <w:t>8</w:t>
      </w:r>
      <w:r>
        <w:t>-</w:t>
      </w:r>
      <w:r>
        <w:rPr>
          <w:rFonts w:hint="eastAsia"/>
        </w:rPr>
        <w:t>25</w:t>
      </w:r>
      <w:r>
        <w:t xml:space="preserve">  液池蒸发模式参数</w:t>
      </w:r>
    </w:p>
    <w:tbl>
      <w:tblPr>
        <w:tblStyle w:val="3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18"/>
        <w:gridCol w:w="3021"/>
        <w:gridCol w:w="3021"/>
      </w:tblGrid>
      <w:tr w14:paraId="55B873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tcBorders>
              <w:top w:val="single" w:color="auto" w:sz="4" w:space="0"/>
              <w:left w:val="single" w:color="auto" w:sz="4" w:space="0"/>
              <w:bottom w:val="single" w:color="auto" w:sz="4" w:space="0"/>
              <w:right w:val="single" w:color="auto" w:sz="4" w:space="0"/>
            </w:tcBorders>
          </w:tcPr>
          <w:p w14:paraId="1238C118">
            <w:pPr>
              <w:pStyle w:val="64"/>
              <w:rPr>
                <w:sz w:val="24"/>
              </w:rPr>
            </w:pPr>
            <w:r>
              <w:t>大气稳定度</w:t>
            </w:r>
          </w:p>
        </w:tc>
        <w:tc>
          <w:tcPr>
            <w:tcW w:w="1667" w:type="pct"/>
            <w:tcBorders>
              <w:top w:val="single" w:color="auto" w:sz="4" w:space="0"/>
              <w:left w:val="single" w:color="auto" w:sz="4" w:space="0"/>
              <w:bottom w:val="single" w:color="auto" w:sz="4" w:space="0"/>
              <w:right w:val="single" w:color="auto" w:sz="4" w:space="0"/>
            </w:tcBorders>
          </w:tcPr>
          <w:p w14:paraId="265463A7">
            <w:pPr>
              <w:pStyle w:val="64"/>
              <w:rPr>
                <w:sz w:val="24"/>
              </w:rPr>
            </w:pPr>
            <w:r>
              <w:rPr>
                <w:i/>
                <w:iCs/>
              </w:rPr>
              <w:t>n</w:t>
            </w:r>
          </w:p>
        </w:tc>
        <w:tc>
          <w:tcPr>
            <w:tcW w:w="1667" w:type="pct"/>
            <w:tcBorders>
              <w:top w:val="single" w:color="auto" w:sz="4" w:space="0"/>
              <w:left w:val="single" w:color="auto" w:sz="4" w:space="0"/>
              <w:bottom w:val="single" w:color="auto" w:sz="4" w:space="0"/>
              <w:right w:val="single" w:color="auto" w:sz="4" w:space="0"/>
            </w:tcBorders>
          </w:tcPr>
          <w:p w14:paraId="0E7FBE69">
            <w:pPr>
              <w:pStyle w:val="64"/>
              <w:rPr>
                <w:sz w:val="24"/>
              </w:rPr>
            </w:pPr>
            <w:r>
              <w:rPr>
                <w:i/>
                <w:iCs/>
              </w:rPr>
              <w:t>α</w:t>
            </w:r>
          </w:p>
        </w:tc>
      </w:tr>
      <w:tr w14:paraId="6A8462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tcBorders>
              <w:top w:val="single" w:color="auto" w:sz="4" w:space="0"/>
              <w:left w:val="single" w:color="auto" w:sz="4" w:space="0"/>
              <w:bottom w:val="single" w:color="auto" w:sz="4" w:space="0"/>
              <w:right w:val="single" w:color="auto" w:sz="4" w:space="0"/>
            </w:tcBorders>
          </w:tcPr>
          <w:p w14:paraId="20292A93">
            <w:pPr>
              <w:pStyle w:val="64"/>
              <w:rPr>
                <w:sz w:val="24"/>
              </w:rPr>
            </w:pPr>
            <w:r>
              <w:t>不稳定(A，B)</w:t>
            </w:r>
          </w:p>
        </w:tc>
        <w:tc>
          <w:tcPr>
            <w:tcW w:w="1667" w:type="pct"/>
            <w:tcBorders>
              <w:top w:val="single" w:color="auto" w:sz="4" w:space="0"/>
              <w:left w:val="single" w:color="auto" w:sz="4" w:space="0"/>
              <w:bottom w:val="single" w:color="auto" w:sz="4" w:space="0"/>
              <w:right w:val="single" w:color="auto" w:sz="4" w:space="0"/>
            </w:tcBorders>
          </w:tcPr>
          <w:p w14:paraId="66530D36">
            <w:pPr>
              <w:pStyle w:val="64"/>
              <w:rPr>
                <w:sz w:val="24"/>
              </w:rPr>
            </w:pPr>
            <w:r>
              <w:t>0.2</w:t>
            </w:r>
          </w:p>
        </w:tc>
        <w:tc>
          <w:tcPr>
            <w:tcW w:w="1667" w:type="pct"/>
            <w:tcBorders>
              <w:top w:val="single" w:color="auto" w:sz="4" w:space="0"/>
              <w:left w:val="single" w:color="auto" w:sz="4" w:space="0"/>
              <w:bottom w:val="single" w:color="auto" w:sz="4" w:space="0"/>
              <w:right w:val="single" w:color="auto" w:sz="4" w:space="0"/>
            </w:tcBorders>
          </w:tcPr>
          <w:p w14:paraId="1B2EB938">
            <w:pPr>
              <w:pStyle w:val="64"/>
              <w:rPr>
                <w:sz w:val="24"/>
              </w:rPr>
            </w:pPr>
            <w:r>
              <w:t>3.846x10</w:t>
            </w:r>
            <w:r>
              <w:rPr>
                <w:vertAlign w:val="superscript"/>
              </w:rPr>
              <w:t>-3</w:t>
            </w:r>
          </w:p>
        </w:tc>
      </w:tr>
      <w:tr w14:paraId="13F80B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tcBorders>
              <w:top w:val="single" w:color="auto" w:sz="4" w:space="0"/>
              <w:left w:val="single" w:color="auto" w:sz="4" w:space="0"/>
              <w:bottom w:val="single" w:color="auto" w:sz="4" w:space="0"/>
              <w:right w:val="single" w:color="auto" w:sz="4" w:space="0"/>
            </w:tcBorders>
          </w:tcPr>
          <w:p w14:paraId="73CB4032">
            <w:pPr>
              <w:pStyle w:val="64"/>
              <w:rPr>
                <w:sz w:val="24"/>
              </w:rPr>
            </w:pPr>
            <w:r>
              <w:t>中性(D)</w:t>
            </w:r>
          </w:p>
        </w:tc>
        <w:tc>
          <w:tcPr>
            <w:tcW w:w="1667" w:type="pct"/>
            <w:tcBorders>
              <w:top w:val="single" w:color="auto" w:sz="4" w:space="0"/>
              <w:left w:val="single" w:color="auto" w:sz="4" w:space="0"/>
              <w:bottom w:val="single" w:color="auto" w:sz="4" w:space="0"/>
              <w:right w:val="single" w:color="auto" w:sz="4" w:space="0"/>
            </w:tcBorders>
          </w:tcPr>
          <w:p w14:paraId="576AAFD4">
            <w:pPr>
              <w:pStyle w:val="64"/>
              <w:rPr>
                <w:sz w:val="24"/>
              </w:rPr>
            </w:pPr>
            <w:r>
              <w:t>0.25</w:t>
            </w:r>
          </w:p>
        </w:tc>
        <w:tc>
          <w:tcPr>
            <w:tcW w:w="1667" w:type="pct"/>
            <w:tcBorders>
              <w:top w:val="single" w:color="auto" w:sz="4" w:space="0"/>
              <w:left w:val="single" w:color="auto" w:sz="4" w:space="0"/>
              <w:bottom w:val="single" w:color="auto" w:sz="4" w:space="0"/>
              <w:right w:val="single" w:color="auto" w:sz="4" w:space="0"/>
            </w:tcBorders>
          </w:tcPr>
          <w:p w14:paraId="32E846FC">
            <w:pPr>
              <w:pStyle w:val="64"/>
              <w:rPr>
                <w:sz w:val="24"/>
              </w:rPr>
            </w:pPr>
            <w:r>
              <w:t>4.685x10</w:t>
            </w:r>
            <w:r>
              <w:rPr>
                <w:vertAlign w:val="superscript"/>
              </w:rPr>
              <w:t>-3</w:t>
            </w:r>
          </w:p>
        </w:tc>
      </w:tr>
      <w:tr w14:paraId="416EA4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tcBorders>
              <w:top w:val="single" w:color="auto" w:sz="4" w:space="0"/>
              <w:left w:val="single" w:color="auto" w:sz="4" w:space="0"/>
              <w:bottom w:val="single" w:color="auto" w:sz="4" w:space="0"/>
              <w:right w:val="single" w:color="auto" w:sz="4" w:space="0"/>
            </w:tcBorders>
          </w:tcPr>
          <w:p w14:paraId="2DE805FE">
            <w:pPr>
              <w:pStyle w:val="64"/>
              <w:rPr>
                <w:sz w:val="24"/>
              </w:rPr>
            </w:pPr>
            <w:r>
              <w:t>稳定(E，F)</w:t>
            </w:r>
          </w:p>
        </w:tc>
        <w:tc>
          <w:tcPr>
            <w:tcW w:w="1667" w:type="pct"/>
            <w:tcBorders>
              <w:top w:val="single" w:color="auto" w:sz="4" w:space="0"/>
              <w:left w:val="single" w:color="auto" w:sz="4" w:space="0"/>
              <w:bottom w:val="single" w:color="auto" w:sz="4" w:space="0"/>
              <w:right w:val="single" w:color="auto" w:sz="4" w:space="0"/>
            </w:tcBorders>
          </w:tcPr>
          <w:p w14:paraId="393AA60F">
            <w:pPr>
              <w:pStyle w:val="64"/>
              <w:rPr>
                <w:sz w:val="24"/>
              </w:rPr>
            </w:pPr>
            <w:r>
              <w:t>0.3</w:t>
            </w:r>
          </w:p>
        </w:tc>
        <w:tc>
          <w:tcPr>
            <w:tcW w:w="1667" w:type="pct"/>
            <w:tcBorders>
              <w:top w:val="single" w:color="auto" w:sz="4" w:space="0"/>
              <w:left w:val="single" w:color="auto" w:sz="4" w:space="0"/>
              <w:bottom w:val="single" w:color="auto" w:sz="4" w:space="0"/>
              <w:right w:val="single" w:color="auto" w:sz="4" w:space="0"/>
            </w:tcBorders>
          </w:tcPr>
          <w:p w14:paraId="1A015D8D">
            <w:pPr>
              <w:pStyle w:val="64"/>
              <w:rPr>
                <w:sz w:val="24"/>
              </w:rPr>
            </w:pPr>
            <w:r>
              <w:t>5.285x10</w:t>
            </w:r>
            <w:r>
              <w:rPr>
                <w:vertAlign w:val="superscript"/>
              </w:rPr>
              <w:t>-3</w:t>
            </w:r>
          </w:p>
        </w:tc>
      </w:tr>
    </w:tbl>
    <w:p w14:paraId="4CA48230">
      <w:pPr>
        <w:ind w:firstLine="424" w:firstLineChars="177"/>
        <w:rPr>
          <w:kern w:val="0"/>
        </w:rPr>
      </w:pPr>
    </w:p>
    <w:p w14:paraId="5E2355AF">
      <w:pPr>
        <w:ind w:firstLine="424" w:firstLineChars="177"/>
        <w:rPr>
          <w:kern w:val="0"/>
        </w:rPr>
      </w:pPr>
      <w:r>
        <w:rPr>
          <w:kern w:val="0"/>
        </w:rPr>
        <w:t>(4)火灾伴生/次生污染物产生量估算</w:t>
      </w:r>
    </w:p>
    <w:p w14:paraId="0C9B0A25">
      <w:pPr>
        <w:pStyle w:val="226"/>
        <w:spacing w:before="0" w:line="480" w:lineRule="exact"/>
        <w:jc w:val="left"/>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火灾伴生/次生事故中，CO产生量计算公式如下：</w:t>
      </w:r>
    </w:p>
    <w:p w14:paraId="32E0F2AD">
      <w:pPr>
        <w:pStyle w:val="226"/>
        <w:spacing w:before="0" w:line="480" w:lineRule="exact"/>
        <w:jc w:val="left"/>
        <w:rPr>
          <w:rFonts w:cs="Times New Roman"/>
          <w:color w:val="000000" w:themeColor="text1"/>
          <w14:textFill>
            <w14:solidFill>
              <w14:schemeClr w14:val="tx1"/>
            </w14:solidFill>
          </w14:textFill>
        </w:rPr>
      </w:pPr>
    </w:p>
    <w:p w14:paraId="7ACAAA64">
      <w:pPr>
        <w:pStyle w:val="226"/>
        <w:spacing w:before="0" w:line="480" w:lineRule="exact"/>
        <w:ind w:firstLine="0"/>
        <w:jc w:val="center"/>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Gco=2330×q×C×Q</w:t>
      </w:r>
    </w:p>
    <w:p w14:paraId="4BF7AC79">
      <w:pPr>
        <w:pStyle w:val="226"/>
        <w:spacing w:before="0" w:line="480" w:lineRule="exact"/>
        <w:jc w:val="left"/>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式中：Gco—CO产生量，kg/s；</w:t>
      </w:r>
    </w:p>
    <w:p w14:paraId="77A07864">
      <w:pPr>
        <w:pStyle w:val="226"/>
        <w:spacing w:before="0" w:line="480" w:lineRule="exact"/>
        <w:ind w:firstLine="1200" w:firstLineChars="500"/>
        <w:jc w:val="left"/>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q—物质中碳的质量百分比含量，%，取</w:t>
      </w:r>
      <w:r>
        <w:rPr>
          <w:rFonts w:hint="eastAsia" w:cs="Times New Roman"/>
          <w:color w:val="000000" w:themeColor="text1"/>
          <w14:textFill>
            <w14:solidFill>
              <w14:schemeClr w14:val="tx1"/>
            </w14:solidFill>
          </w14:textFill>
        </w:rPr>
        <w:t>77.7</w:t>
      </w:r>
      <w:r>
        <w:rPr>
          <w:rFonts w:cs="Times New Roman"/>
          <w:color w:val="000000" w:themeColor="text1"/>
          <w14:textFill>
            <w14:solidFill>
              <w14:schemeClr w14:val="tx1"/>
            </w14:solidFill>
          </w14:textFill>
        </w:rPr>
        <w:t>%；</w:t>
      </w:r>
    </w:p>
    <w:p w14:paraId="62379DBF">
      <w:pPr>
        <w:pStyle w:val="226"/>
        <w:spacing w:before="0" w:line="480" w:lineRule="exact"/>
        <w:ind w:firstLine="1200" w:firstLineChars="500"/>
        <w:jc w:val="left"/>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C—化学不完全燃烧值，1.5%~6.0%，取5%；</w:t>
      </w:r>
    </w:p>
    <w:p w14:paraId="0AAB8753">
      <w:pPr>
        <w:ind w:firstLine="1144" w:firstLineChars="477"/>
        <w:rPr>
          <w:kern w:val="0"/>
        </w:rPr>
      </w:pPr>
      <w:r>
        <w:t>Q—参与燃烧的物质量，t/s。</w:t>
      </w:r>
    </w:p>
    <w:p w14:paraId="717333F2">
      <w:pPr>
        <w:ind w:firstLine="424" w:firstLineChars="177"/>
        <w:rPr>
          <w:kern w:val="0"/>
        </w:rPr>
      </w:pPr>
      <w:r>
        <w:rPr>
          <w:kern w:val="0"/>
        </w:rPr>
        <w:t>火灾爆炸事故中未参与燃烧有毒有害物质的释放比例取值参照《建设项目环境风险评价技术导则》(HJ169-2018)附录F中表F.4中的比例取值。</w:t>
      </w:r>
    </w:p>
    <w:p w14:paraId="6B9CBEFA">
      <w:pPr>
        <w:ind w:firstLine="424" w:firstLineChars="177"/>
        <w:rPr>
          <w:bCs/>
          <w:kern w:val="0"/>
        </w:rPr>
      </w:pPr>
      <w:r>
        <w:rPr>
          <w:bCs/>
          <w:kern w:val="0"/>
        </w:rPr>
        <w:t>2、事故源强计算结果</w:t>
      </w:r>
    </w:p>
    <w:p w14:paraId="77576498">
      <w:pPr>
        <w:ind w:firstLine="424" w:firstLineChars="177"/>
        <w:rPr>
          <w:kern w:val="0"/>
        </w:rPr>
      </w:pPr>
      <w:r>
        <w:rPr>
          <w:kern w:val="0"/>
        </w:rPr>
        <w:t>(1)</w:t>
      </w:r>
      <w:r>
        <w:rPr>
          <w:rFonts w:hint="eastAsia"/>
          <w:kern w:val="0"/>
        </w:rPr>
        <w:t>间甲酚</w:t>
      </w:r>
      <w:r>
        <w:rPr>
          <w:kern w:val="0"/>
        </w:rPr>
        <w:t>储罐泄漏源强计算</w:t>
      </w:r>
    </w:p>
    <w:p w14:paraId="6EBB0B16">
      <w:pPr>
        <w:ind w:firstLine="424" w:firstLineChars="177"/>
        <w:rPr>
          <w:kern w:val="0"/>
        </w:rPr>
      </w:pPr>
      <w:r>
        <w:rPr>
          <w:kern w:val="0"/>
        </w:rPr>
        <w:t>根据项目罐区设计方案，项目设</w:t>
      </w:r>
      <w:r>
        <w:rPr>
          <w:rFonts w:hint="eastAsia"/>
          <w:kern w:val="0"/>
        </w:rPr>
        <w:t>2</w:t>
      </w:r>
      <w:r>
        <w:rPr>
          <w:kern w:val="0"/>
        </w:rPr>
        <w:t>个</w:t>
      </w:r>
      <w:r>
        <w:rPr>
          <w:rFonts w:hint="eastAsia"/>
          <w:kern w:val="0"/>
        </w:rPr>
        <w:t>1000</w:t>
      </w:r>
      <w:r>
        <w:rPr>
          <w:kern w:val="0"/>
        </w:rPr>
        <w:t>m</w:t>
      </w:r>
      <w:r>
        <w:rPr>
          <w:kern w:val="0"/>
          <w:vertAlign w:val="superscript"/>
        </w:rPr>
        <w:t>3</w:t>
      </w:r>
      <w:r>
        <w:rPr>
          <w:kern w:val="0"/>
        </w:rPr>
        <w:t>的</w:t>
      </w:r>
      <w:r>
        <w:rPr>
          <w:rFonts w:hint="eastAsia"/>
          <w:kern w:val="0"/>
        </w:rPr>
        <w:t>间甲酚</w:t>
      </w:r>
      <w:r>
        <w:rPr>
          <w:kern w:val="0"/>
        </w:rPr>
        <w:t>储罐，常温常压储存，储罐规格为Φ10000*H12000。项目按照泄漏时间持续30min，泄漏孔径为10mm孔径，常温常压下储存，其沸点为</w:t>
      </w:r>
      <w:r>
        <w:rPr>
          <w:rFonts w:hint="eastAsia"/>
          <w:kern w:val="0"/>
        </w:rPr>
        <w:t>202.8</w:t>
      </w:r>
      <w:r>
        <w:rPr>
          <w:kern w:val="0"/>
        </w:rPr>
        <w:t>℃高于储罐储存温度，当</w:t>
      </w:r>
      <w:r>
        <w:rPr>
          <w:rFonts w:hint="eastAsia"/>
          <w:kern w:val="0"/>
        </w:rPr>
        <w:t>间甲酚</w:t>
      </w:r>
      <w:r>
        <w:rPr>
          <w:kern w:val="0"/>
        </w:rPr>
        <w:t>发生泄漏事故后</w:t>
      </w:r>
      <w:r>
        <w:rPr>
          <w:rFonts w:hint="eastAsia"/>
          <w:kern w:val="0"/>
        </w:rPr>
        <w:t>，</w:t>
      </w:r>
      <w:r>
        <w:rPr>
          <w:kern w:val="0"/>
        </w:rPr>
        <w:t>不发生闪蒸，根据近20年蚌埠市气象统计数据，极端最高气温为</w:t>
      </w:r>
      <w:r>
        <w:rPr>
          <w:rFonts w:hint="eastAsia"/>
          <w:kern w:val="0"/>
        </w:rPr>
        <w:t>39.9</w:t>
      </w:r>
      <w:r>
        <w:rPr>
          <w:kern w:val="0"/>
        </w:rPr>
        <w:t>℃，低于</w:t>
      </w:r>
      <w:r>
        <w:rPr>
          <w:rFonts w:hint="eastAsia"/>
          <w:kern w:val="0"/>
        </w:rPr>
        <w:t>间甲酚</w:t>
      </w:r>
      <w:r>
        <w:rPr>
          <w:kern w:val="0"/>
        </w:rPr>
        <w:t>常温常压下沸点，因此泄漏后也不会发生热量蒸发，所以泄漏后的质量蒸发即为本项目蒸发量。</w:t>
      </w:r>
    </w:p>
    <w:p w14:paraId="18A52C2D">
      <w:pPr>
        <w:ind w:firstLine="424" w:firstLineChars="177"/>
        <w:rPr>
          <w:kern w:val="0"/>
        </w:rPr>
      </w:pPr>
      <w:r>
        <w:rPr>
          <w:rFonts w:hint="eastAsia"/>
          <w:kern w:val="0"/>
        </w:rPr>
        <w:t>间甲酚</w:t>
      </w:r>
      <w:r>
        <w:rPr>
          <w:kern w:val="0"/>
        </w:rPr>
        <w:t>泄漏源强计算参数见表6.</w:t>
      </w:r>
      <w:r>
        <w:rPr>
          <w:rFonts w:hint="eastAsia"/>
          <w:kern w:val="0"/>
        </w:rPr>
        <w:t>8</w:t>
      </w:r>
      <w:r>
        <w:rPr>
          <w:kern w:val="0"/>
        </w:rPr>
        <w:t>-</w:t>
      </w:r>
      <w:r>
        <w:rPr>
          <w:rFonts w:hint="eastAsia"/>
          <w:kern w:val="0"/>
        </w:rPr>
        <w:t>26</w:t>
      </w:r>
      <w:r>
        <w:rPr>
          <w:kern w:val="0"/>
        </w:rPr>
        <w:t>，</w:t>
      </w:r>
      <w:r>
        <w:rPr>
          <w:rFonts w:hint="eastAsia"/>
          <w:kern w:val="0"/>
        </w:rPr>
        <w:t>间甲酚</w:t>
      </w:r>
      <w:r>
        <w:rPr>
          <w:kern w:val="0"/>
        </w:rPr>
        <w:t>泄漏量和蒸发量计算结果见表6.</w:t>
      </w:r>
      <w:r>
        <w:rPr>
          <w:rFonts w:hint="eastAsia"/>
          <w:kern w:val="0"/>
        </w:rPr>
        <w:t>8</w:t>
      </w:r>
      <w:r>
        <w:rPr>
          <w:kern w:val="0"/>
        </w:rPr>
        <w:t>-</w:t>
      </w:r>
      <w:r>
        <w:rPr>
          <w:rFonts w:hint="eastAsia"/>
          <w:kern w:val="0"/>
        </w:rPr>
        <w:t>27</w:t>
      </w:r>
      <w:r>
        <w:rPr>
          <w:kern w:val="0"/>
        </w:rPr>
        <w:t>。</w:t>
      </w:r>
    </w:p>
    <w:p w14:paraId="139C8474">
      <w:pPr>
        <w:pStyle w:val="28"/>
        <w:rPr>
          <w:rFonts w:hint="eastAsia"/>
        </w:rPr>
      </w:pPr>
      <w:r>
        <w:t>表6.</w:t>
      </w:r>
      <w:r>
        <w:rPr>
          <w:rFonts w:hint="eastAsia"/>
        </w:rPr>
        <w:t>8</w:t>
      </w:r>
      <w:r>
        <w:t>-</w:t>
      </w:r>
      <w:r>
        <w:rPr>
          <w:rFonts w:hint="eastAsia"/>
        </w:rPr>
        <w:t>26</w:t>
      </w:r>
      <w:r>
        <w:t xml:space="preserve">  </w:t>
      </w:r>
      <w:r>
        <w:rPr>
          <w:rFonts w:hint="eastAsia"/>
        </w:rPr>
        <w:t>间甲酚</w:t>
      </w:r>
      <w:r>
        <w:t>泄漏源强计算参数选取一览表</w:t>
      </w:r>
    </w:p>
    <w:tbl>
      <w:tblPr>
        <w:tblStyle w:val="3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24"/>
        <w:gridCol w:w="2562"/>
        <w:gridCol w:w="1959"/>
        <w:gridCol w:w="2615"/>
      </w:tblGrid>
      <w:tr w14:paraId="7527EC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1" w:type="pct"/>
            <w:tcBorders>
              <w:top w:val="single" w:color="auto" w:sz="4" w:space="0"/>
              <w:left w:val="single" w:color="auto" w:sz="4" w:space="0"/>
              <w:bottom w:val="single" w:color="auto" w:sz="4" w:space="0"/>
              <w:right w:val="single" w:color="auto" w:sz="4" w:space="0"/>
            </w:tcBorders>
            <w:vAlign w:val="center"/>
          </w:tcPr>
          <w:p w14:paraId="76922244">
            <w:pPr>
              <w:pStyle w:val="64"/>
            </w:pPr>
            <w:r>
              <w:t>类别</w:t>
            </w:r>
          </w:p>
        </w:tc>
        <w:tc>
          <w:tcPr>
            <w:tcW w:w="1414" w:type="pct"/>
            <w:tcBorders>
              <w:top w:val="single" w:color="auto" w:sz="4" w:space="0"/>
              <w:left w:val="single" w:color="auto" w:sz="4" w:space="0"/>
              <w:bottom w:val="single" w:color="auto" w:sz="4" w:space="0"/>
              <w:right w:val="single" w:color="auto" w:sz="4" w:space="0"/>
            </w:tcBorders>
            <w:vAlign w:val="center"/>
          </w:tcPr>
          <w:p w14:paraId="5F397985">
            <w:pPr>
              <w:pStyle w:val="64"/>
            </w:pPr>
            <w:r>
              <w:t>参数名称</w:t>
            </w:r>
          </w:p>
        </w:tc>
        <w:tc>
          <w:tcPr>
            <w:tcW w:w="1081" w:type="pct"/>
            <w:tcBorders>
              <w:top w:val="single" w:color="auto" w:sz="4" w:space="0"/>
              <w:left w:val="single" w:color="auto" w:sz="4" w:space="0"/>
              <w:bottom w:val="single" w:color="auto" w:sz="4" w:space="0"/>
              <w:right w:val="single" w:color="auto" w:sz="4" w:space="0"/>
            </w:tcBorders>
            <w:vAlign w:val="center"/>
          </w:tcPr>
          <w:p w14:paraId="3AF7D608">
            <w:pPr>
              <w:pStyle w:val="64"/>
            </w:pPr>
            <w:r>
              <w:t>单位</w:t>
            </w:r>
          </w:p>
        </w:tc>
        <w:tc>
          <w:tcPr>
            <w:tcW w:w="1443" w:type="pct"/>
            <w:tcBorders>
              <w:top w:val="single" w:color="auto" w:sz="4" w:space="0"/>
              <w:left w:val="single" w:color="auto" w:sz="4" w:space="0"/>
              <w:bottom w:val="single" w:color="auto" w:sz="4" w:space="0"/>
              <w:right w:val="single" w:color="auto" w:sz="4" w:space="0"/>
            </w:tcBorders>
            <w:vAlign w:val="center"/>
          </w:tcPr>
          <w:p w14:paraId="50DACE44">
            <w:pPr>
              <w:pStyle w:val="64"/>
            </w:pPr>
            <w:r>
              <w:t>参数值</w:t>
            </w:r>
          </w:p>
        </w:tc>
      </w:tr>
      <w:tr w14:paraId="77F663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1" w:type="pct"/>
            <w:vMerge w:val="restart"/>
            <w:tcBorders>
              <w:top w:val="single" w:color="auto" w:sz="4" w:space="0"/>
              <w:left w:val="single" w:color="auto" w:sz="4" w:space="0"/>
              <w:right w:val="single" w:color="auto" w:sz="4" w:space="0"/>
            </w:tcBorders>
            <w:vAlign w:val="center"/>
          </w:tcPr>
          <w:p w14:paraId="17BB30B4">
            <w:pPr>
              <w:pStyle w:val="64"/>
            </w:pPr>
            <w:r>
              <w:t>泄漏物质参数</w:t>
            </w:r>
          </w:p>
        </w:tc>
        <w:tc>
          <w:tcPr>
            <w:tcW w:w="1414" w:type="pct"/>
            <w:tcBorders>
              <w:top w:val="single" w:color="auto" w:sz="4" w:space="0"/>
              <w:left w:val="single" w:color="auto" w:sz="4" w:space="0"/>
              <w:bottom w:val="single" w:color="auto" w:sz="4" w:space="0"/>
              <w:right w:val="single" w:color="auto" w:sz="4" w:space="0"/>
            </w:tcBorders>
            <w:vAlign w:val="center"/>
          </w:tcPr>
          <w:p w14:paraId="034822DD">
            <w:pPr>
              <w:pStyle w:val="64"/>
            </w:pPr>
            <w:r>
              <w:t>摩尔质量</w:t>
            </w:r>
          </w:p>
        </w:tc>
        <w:tc>
          <w:tcPr>
            <w:tcW w:w="1081" w:type="pct"/>
            <w:tcBorders>
              <w:top w:val="single" w:color="auto" w:sz="4" w:space="0"/>
              <w:left w:val="single" w:color="auto" w:sz="4" w:space="0"/>
              <w:bottom w:val="single" w:color="auto" w:sz="4" w:space="0"/>
              <w:right w:val="single" w:color="auto" w:sz="4" w:space="0"/>
            </w:tcBorders>
            <w:vAlign w:val="center"/>
          </w:tcPr>
          <w:p w14:paraId="016E37FA">
            <w:pPr>
              <w:pStyle w:val="64"/>
            </w:pPr>
            <w:r>
              <w:t>kg/mol</w:t>
            </w:r>
          </w:p>
        </w:tc>
        <w:tc>
          <w:tcPr>
            <w:tcW w:w="1443" w:type="pct"/>
            <w:tcBorders>
              <w:top w:val="single" w:color="auto" w:sz="4" w:space="0"/>
              <w:left w:val="single" w:color="auto" w:sz="4" w:space="0"/>
              <w:bottom w:val="single" w:color="auto" w:sz="4" w:space="0"/>
              <w:right w:val="single" w:color="auto" w:sz="4" w:space="0"/>
            </w:tcBorders>
            <w:vAlign w:val="center"/>
          </w:tcPr>
          <w:p w14:paraId="7C66346E">
            <w:pPr>
              <w:pStyle w:val="64"/>
            </w:pPr>
            <w:r>
              <w:rPr>
                <w:rFonts w:hint="eastAsia"/>
              </w:rPr>
              <w:t>0.108</w:t>
            </w:r>
          </w:p>
        </w:tc>
      </w:tr>
      <w:tr w14:paraId="58FF54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1" w:type="pct"/>
            <w:vMerge w:val="continue"/>
            <w:tcBorders>
              <w:left w:val="single" w:color="auto" w:sz="4" w:space="0"/>
              <w:right w:val="single" w:color="auto" w:sz="4" w:space="0"/>
            </w:tcBorders>
            <w:vAlign w:val="center"/>
          </w:tcPr>
          <w:p w14:paraId="4246BE49">
            <w:pPr>
              <w:pStyle w:val="64"/>
            </w:pPr>
          </w:p>
        </w:tc>
        <w:tc>
          <w:tcPr>
            <w:tcW w:w="1414" w:type="pct"/>
            <w:tcBorders>
              <w:top w:val="single" w:color="auto" w:sz="4" w:space="0"/>
              <w:left w:val="single" w:color="auto" w:sz="4" w:space="0"/>
              <w:bottom w:val="single" w:color="auto" w:sz="4" w:space="0"/>
              <w:right w:val="single" w:color="auto" w:sz="4" w:space="0"/>
            </w:tcBorders>
            <w:vAlign w:val="center"/>
          </w:tcPr>
          <w:p w14:paraId="2EFEDEBF">
            <w:pPr>
              <w:pStyle w:val="64"/>
            </w:pPr>
            <w:r>
              <w:t>密度</w:t>
            </w:r>
          </w:p>
        </w:tc>
        <w:tc>
          <w:tcPr>
            <w:tcW w:w="1081" w:type="pct"/>
            <w:tcBorders>
              <w:top w:val="single" w:color="auto" w:sz="4" w:space="0"/>
              <w:left w:val="single" w:color="auto" w:sz="4" w:space="0"/>
              <w:bottom w:val="single" w:color="auto" w:sz="4" w:space="0"/>
              <w:right w:val="single" w:color="auto" w:sz="4" w:space="0"/>
            </w:tcBorders>
            <w:vAlign w:val="center"/>
          </w:tcPr>
          <w:p w14:paraId="02B41244">
            <w:pPr>
              <w:pStyle w:val="64"/>
            </w:pPr>
            <w:r>
              <w:t>kg/m</w:t>
            </w:r>
            <w:r>
              <w:rPr>
                <w:vertAlign w:val="superscript"/>
              </w:rPr>
              <w:t>3</w:t>
            </w:r>
          </w:p>
        </w:tc>
        <w:tc>
          <w:tcPr>
            <w:tcW w:w="1443" w:type="pct"/>
            <w:tcBorders>
              <w:top w:val="single" w:color="auto" w:sz="4" w:space="0"/>
              <w:left w:val="single" w:color="auto" w:sz="4" w:space="0"/>
              <w:bottom w:val="single" w:color="auto" w:sz="4" w:space="0"/>
              <w:right w:val="single" w:color="auto" w:sz="4" w:space="0"/>
            </w:tcBorders>
            <w:vAlign w:val="center"/>
          </w:tcPr>
          <w:p w14:paraId="512D7C1D">
            <w:pPr>
              <w:pStyle w:val="64"/>
            </w:pPr>
            <w:r>
              <w:rPr>
                <w:rFonts w:hint="eastAsia"/>
              </w:rPr>
              <w:t>1030</w:t>
            </w:r>
          </w:p>
        </w:tc>
      </w:tr>
      <w:tr w14:paraId="48A40D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1" w:type="pct"/>
            <w:vMerge w:val="continue"/>
            <w:tcBorders>
              <w:left w:val="single" w:color="auto" w:sz="4" w:space="0"/>
              <w:right w:val="single" w:color="auto" w:sz="4" w:space="0"/>
            </w:tcBorders>
            <w:vAlign w:val="center"/>
          </w:tcPr>
          <w:p w14:paraId="56530BA8">
            <w:pPr>
              <w:pStyle w:val="64"/>
            </w:pPr>
          </w:p>
        </w:tc>
        <w:tc>
          <w:tcPr>
            <w:tcW w:w="1414" w:type="pct"/>
            <w:tcBorders>
              <w:top w:val="single" w:color="auto" w:sz="4" w:space="0"/>
              <w:left w:val="single" w:color="auto" w:sz="4" w:space="0"/>
              <w:bottom w:val="single" w:color="auto" w:sz="4" w:space="0"/>
              <w:right w:val="single" w:color="auto" w:sz="4" w:space="0"/>
            </w:tcBorders>
            <w:vAlign w:val="center"/>
          </w:tcPr>
          <w:p w14:paraId="4AF31082">
            <w:pPr>
              <w:pStyle w:val="64"/>
            </w:pPr>
            <w:r>
              <w:t>表面蒸气压</w:t>
            </w:r>
          </w:p>
        </w:tc>
        <w:tc>
          <w:tcPr>
            <w:tcW w:w="1081" w:type="pct"/>
            <w:tcBorders>
              <w:top w:val="single" w:color="auto" w:sz="4" w:space="0"/>
              <w:left w:val="single" w:color="auto" w:sz="4" w:space="0"/>
              <w:bottom w:val="single" w:color="auto" w:sz="4" w:space="0"/>
              <w:right w:val="single" w:color="auto" w:sz="4" w:space="0"/>
            </w:tcBorders>
            <w:vAlign w:val="center"/>
          </w:tcPr>
          <w:p w14:paraId="69CD3B51">
            <w:pPr>
              <w:pStyle w:val="64"/>
            </w:pPr>
            <w:r>
              <w:t>Pa</w:t>
            </w:r>
          </w:p>
        </w:tc>
        <w:tc>
          <w:tcPr>
            <w:tcW w:w="1443" w:type="pct"/>
            <w:tcBorders>
              <w:top w:val="single" w:color="auto" w:sz="4" w:space="0"/>
              <w:left w:val="single" w:color="auto" w:sz="4" w:space="0"/>
              <w:bottom w:val="single" w:color="auto" w:sz="4" w:space="0"/>
              <w:right w:val="single" w:color="auto" w:sz="4" w:space="0"/>
            </w:tcBorders>
            <w:vAlign w:val="center"/>
          </w:tcPr>
          <w:p w14:paraId="01698871">
            <w:pPr>
              <w:pStyle w:val="64"/>
            </w:pPr>
            <w:r>
              <w:t>130(52℃)</w:t>
            </w:r>
          </w:p>
        </w:tc>
      </w:tr>
      <w:tr w14:paraId="258004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1" w:type="pct"/>
            <w:vMerge w:val="continue"/>
            <w:tcBorders>
              <w:left w:val="single" w:color="auto" w:sz="4" w:space="0"/>
              <w:bottom w:val="single" w:color="auto" w:sz="4" w:space="0"/>
              <w:right w:val="single" w:color="auto" w:sz="4" w:space="0"/>
            </w:tcBorders>
            <w:vAlign w:val="center"/>
          </w:tcPr>
          <w:p w14:paraId="58B04927">
            <w:pPr>
              <w:pStyle w:val="64"/>
            </w:pPr>
          </w:p>
        </w:tc>
        <w:tc>
          <w:tcPr>
            <w:tcW w:w="1414" w:type="pct"/>
            <w:tcBorders>
              <w:top w:val="single" w:color="auto" w:sz="4" w:space="0"/>
              <w:left w:val="single" w:color="auto" w:sz="4" w:space="0"/>
              <w:bottom w:val="single" w:color="auto" w:sz="4" w:space="0"/>
              <w:right w:val="single" w:color="auto" w:sz="4" w:space="0"/>
            </w:tcBorders>
            <w:vAlign w:val="center"/>
          </w:tcPr>
          <w:p w14:paraId="7DF350A1">
            <w:pPr>
              <w:pStyle w:val="64"/>
            </w:pPr>
            <w:r>
              <w:t>气体常数</w:t>
            </w:r>
          </w:p>
        </w:tc>
        <w:tc>
          <w:tcPr>
            <w:tcW w:w="1081" w:type="pct"/>
            <w:tcBorders>
              <w:top w:val="single" w:color="auto" w:sz="4" w:space="0"/>
              <w:left w:val="single" w:color="auto" w:sz="4" w:space="0"/>
              <w:bottom w:val="single" w:color="auto" w:sz="4" w:space="0"/>
              <w:right w:val="single" w:color="auto" w:sz="4" w:space="0"/>
            </w:tcBorders>
            <w:vAlign w:val="center"/>
          </w:tcPr>
          <w:p w14:paraId="7A692D2A">
            <w:pPr>
              <w:pStyle w:val="64"/>
            </w:pPr>
            <w:r>
              <w:t>J/mol.K</w:t>
            </w:r>
          </w:p>
        </w:tc>
        <w:tc>
          <w:tcPr>
            <w:tcW w:w="1443" w:type="pct"/>
            <w:tcBorders>
              <w:top w:val="single" w:color="auto" w:sz="4" w:space="0"/>
              <w:left w:val="single" w:color="auto" w:sz="4" w:space="0"/>
              <w:bottom w:val="single" w:color="auto" w:sz="4" w:space="0"/>
              <w:right w:val="single" w:color="auto" w:sz="4" w:space="0"/>
            </w:tcBorders>
            <w:vAlign w:val="center"/>
          </w:tcPr>
          <w:p w14:paraId="2FF6AE0D">
            <w:pPr>
              <w:pStyle w:val="64"/>
            </w:pPr>
            <w:r>
              <w:t>8.314</w:t>
            </w:r>
          </w:p>
        </w:tc>
      </w:tr>
      <w:tr w14:paraId="0C9D4E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1" w:type="pct"/>
            <w:vMerge w:val="restart"/>
            <w:tcBorders>
              <w:top w:val="single" w:color="auto" w:sz="4" w:space="0"/>
              <w:left w:val="single" w:color="auto" w:sz="4" w:space="0"/>
              <w:right w:val="single" w:color="auto" w:sz="4" w:space="0"/>
            </w:tcBorders>
            <w:vAlign w:val="center"/>
          </w:tcPr>
          <w:p w14:paraId="3B289D66">
            <w:pPr>
              <w:pStyle w:val="64"/>
            </w:pPr>
            <w:r>
              <w:t>储存参数</w:t>
            </w:r>
          </w:p>
        </w:tc>
        <w:tc>
          <w:tcPr>
            <w:tcW w:w="1414" w:type="pct"/>
            <w:tcBorders>
              <w:top w:val="single" w:color="auto" w:sz="4" w:space="0"/>
              <w:left w:val="single" w:color="auto" w:sz="4" w:space="0"/>
              <w:bottom w:val="single" w:color="auto" w:sz="4" w:space="0"/>
              <w:right w:val="single" w:color="auto" w:sz="4" w:space="0"/>
            </w:tcBorders>
            <w:vAlign w:val="center"/>
          </w:tcPr>
          <w:p w14:paraId="202B25C0">
            <w:pPr>
              <w:pStyle w:val="64"/>
            </w:pPr>
            <w:r>
              <w:t>容器压力</w:t>
            </w:r>
          </w:p>
        </w:tc>
        <w:tc>
          <w:tcPr>
            <w:tcW w:w="1081" w:type="pct"/>
            <w:tcBorders>
              <w:top w:val="single" w:color="auto" w:sz="4" w:space="0"/>
              <w:left w:val="single" w:color="auto" w:sz="4" w:space="0"/>
              <w:bottom w:val="single" w:color="auto" w:sz="4" w:space="0"/>
              <w:right w:val="single" w:color="auto" w:sz="4" w:space="0"/>
            </w:tcBorders>
            <w:vAlign w:val="center"/>
          </w:tcPr>
          <w:p w14:paraId="32540C78">
            <w:pPr>
              <w:pStyle w:val="64"/>
            </w:pPr>
            <w:r>
              <w:t>Pa</w:t>
            </w:r>
          </w:p>
        </w:tc>
        <w:tc>
          <w:tcPr>
            <w:tcW w:w="1443" w:type="pct"/>
            <w:tcBorders>
              <w:top w:val="single" w:color="auto" w:sz="4" w:space="0"/>
              <w:left w:val="single" w:color="auto" w:sz="4" w:space="0"/>
              <w:bottom w:val="single" w:color="auto" w:sz="4" w:space="0"/>
              <w:right w:val="single" w:color="auto" w:sz="4" w:space="0"/>
            </w:tcBorders>
            <w:vAlign w:val="center"/>
          </w:tcPr>
          <w:p w14:paraId="5D6F29A4">
            <w:pPr>
              <w:pStyle w:val="64"/>
            </w:pPr>
            <w:r>
              <w:t>101325</w:t>
            </w:r>
          </w:p>
        </w:tc>
      </w:tr>
      <w:tr w14:paraId="4615FC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1" w:type="pct"/>
            <w:vMerge w:val="continue"/>
            <w:tcBorders>
              <w:left w:val="single" w:color="auto" w:sz="4" w:space="0"/>
              <w:right w:val="single" w:color="auto" w:sz="4" w:space="0"/>
            </w:tcBorders>
            <w:vAlign w:val="center"/>
          </w:tcPr>
          <w:p w14:paraId="09D74B67">
            <w:pPr>
              <w:pStyle w:val="64"/>
            </w:pPr>
          </w:p>
        </w:tc>
        <w:tc>
          <w:tcPr>
            <w:tcW w:w="1414" w:type="pct"/>
            <w:tcBorders>
              <w:top w:val="single" w:color="auto" w:sz="4" w:space="0"/>
              <w:left w:val="single" w:color="auto" w:sz="4" w:space="0"/>
              <w:bottom w:val="single" w:color="auto" w:sz="4" w:space="0"/>
              <w:right w:val="single" w:color="auto" w:sz="4" w:space="0"/>
            </w:tcBorders>
            <w:vAlign w:val="center"/>
          </w:tcPr>
          <w:p w14:paraId="237455AF">
            <w:pPr>
              <w:pStyle w:val="64"/>
            </w:pPr>
            <w:r>
              <w:t>泄漏系数Cd</w:t>
            </w:r>
          </w:p>
        </w:tc>
        <w:tc>
          <w:tcPr>
            <w:tcW w:w="1081" w:type="pct"/>
            <w:tcBorders>
              <w:top w:val="single" w:color="auto" w:sz="4" w:space="0"/>
              <w:left w:val="single" w:color="auto" w:sz="4" w:space="0"/>
              <w:bottom w:val="single" w:color="auto" w:sz="4" w:space="0"/>
              <w:right w:val="single" w:color="auto" w:sz="4" w:space="0"/>
            </w:tcBorders>
            <w:vAlign w:val="center"/>
          </w:tcPr>
          <w:p w14:paraId="4107D4F2">
            <w:pPr>
              <w:pStyle w:val="64"/>
            </w:pPr>
            <w:r>
              <w:t>/</w:t>
            </w:r>
          </w:p>
        </w:tc>
        <w:tc>
          <w:tcPr>
            <w:tcW w:w="1443" w:type="pct"/>
            <w:tcBorders>
              <w:top w:val="single" w:color="auto" w:sz="4" w:space="0"/>
              <w:left w:val="single" w:color="auto" w:sz="4" w:space="0"/>
              <w:bottom w:val="single" w:color="auto" w:sz="4" w:space="0"/>
              <w:right w:val="single" w:color="auto" w:sz="4" w:space="0"/>
            </w:tcBorders>
            <w:vAlign w:val="center"/>
          </w:tcPr>
          <w:p w14:paraId="64810E7F">
            <w:pPr>
              <w:pStyle w:val="64"/>
            </w:pPr>
            <w:r>
              <w:t>0.65(圆形)</w:t>
            </w:r>
          </w:p>
        </w:tc>
      </w:tr>
      <w:tr w14:paraId="2D4C3C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1" w:type="pct"/>
            <w:vMerge w:val="continue"/>
            <w:tcBorders>
              <w:left w:val="single" w:color="auto" w:sz="4" w:space="0"/>
              <w:right w:val="single" w:color="auto" w:sz="4" w:space="0"/>
            </w:tcBorders>
            <w:vAlign w:val="center"/>
          </w:tcPr>
          <w:p w14:paraId="54723C82">
            <w:pPr>
              <w:pStyle w:val="64"/>
            </w:pPr>
          </w:p>
        </w:tc>
        <w:tc>
          <w:tcPr>
            <w:tcW w:w="1414" w:type="pct"/>
            <w:tcBorders>
              <w:top w:val="single" w:color="auto" w:sz="4" w:space="0"/>
              <w:left w:val="single" w:color="auto" w:sz="4" w:space="0"/>
              <w:bottom w:val="single" w:color="auto" w:sz="4" w:space="0"/>
              <w:right w:val="single" w:color="auto" w:sz="4" w:space="0"/>
            </w:tcBorders>
            <w:vAlign w:val="center"/>
          </w:tcPr>
          <w:p w14:paraId="3D882842">
            <w:pPr>
              <w:pStyle w:val="64"/>
            </w:pPr>
            <w:r>
              <w:t>裂开面积</w:t>
            </w:r>
          </w:p>
        </w:tc>
        <w:tc>
          <w:tcPr>
            <w:tcW w:w="1081" w:type="pct"/>
            <w:tcBorders>
              <w:top w:val="single" w:color="auto" w:sz="4" w:space="0"/>
              <w:left w:val="single" w:color="auto" w:sz="4" w:space="0"/>
              <w:bottom w:val="single" w:color="auto" w:sz="4" w:space="0"/>
              <w:right w:val="single" w:color="auto" w:sz="4" w:space="0"/>
            </w:tcBorders>
            <w:vAlign w:val="center"/>
          </w:tcPr>
          <w:p w14:paraId="2B7D4E6F">
            <w:pPr>
              <w:pStyle w:val="64"/>
            </w:pPr>
            <w:r>
              <w:t>m</w:t>
            </w:r>
            <w:r>
              <w:rPr>
                <w:vertAlign w:val="superscript"/>
              </w:rPr>
              <w:t>2</w:t>
            </w:r>
          </w:p>
        </w:tc>
        <w:tc>
          <w:tcPr>
            <w:tcW w:w="1443" w:type="pct"/>
            <w:tcBorders>
              <w:top w:val="single" w:color="auto" w:sz="4" w:space="0"/>
              <w:left w:val="single" w:color="auto" w:sz="4" w:space="0"/>
              <w:bottom w:val="single" w:color="auto" w:sz="4" w:space="0"/>
              <w:right w:val="single" w:color="auto" w:sz="4" w:space="0"/>
            </w:tcBorders>
            <w:vAlign w:val="center"/>
          </w:tcPr>
          <w:p w14:paraId="0136C5BB">
            <w:pPr>
              <w:pStyle w:val="64"/>
            </w:pPr>
            <w:r>
              <w:t>0.0000785</w:t>
            </w:r>
          </w:p>
        </w:tc>
      </w:tr>
      <w:tr w14:paraId="306BF6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1" w:type="pct"/>
            <w:vMerge w:val="continue"/>
            <w:tcBorders>
              <w:left w:val="single" w:color="auto" w:sz="4" w:space="0"/>
              <w:right w:val="single" w:color="auto" w:sz="4" w:space="0"/>
            </w:tcBorders>
            <w:vAlign w:val="center"/>
          </w:tcPr>
          <w:p w14:paraId="60B5E800">
            <w:pPr>
              <w:pStyle w:val="64"/>
            </w:pPr>
          </w:p>
        </w:tc>
        <w:tc>
          <w:tcPr>
            <w:tcW w:w="1414" w:type="pct"/>
            <w:tcBorders>
              <w:top w:val="single" w:color="auto" w:sz="4" w:space="0"/>
              <w:left w:val="single" w:color="auto" w:sz="4" w:space="0"/>
              <w:bottom w:val="single" w:color="auto" w:sz="4" w:space="0"/>
              <w:right w:val="single" w:color="auto" w:sz="4" w:space="0"/>
            </w:tcBorders>
            <w:vAlign w:val="center"/>
          </w:tcPr>
          <w:p w14:paraId="3D923043">
            <w:pPr>
              <w:pStyle w:val="64"/>
            </w:pPr>
            <w:r>
              <w:t>裂开之上液位高度</w:t>
            </w:r>
          </w:p>
        </w:tc>
        <w:tc>
          <w:tcPr>
            <w:tcW w:w="1081" w:type="pct"/>
            <w:tcBorders>
              <w:top w:val="single" w:color="auto" w:sz="4" w:space="0"/>
              <w:left w:val="single" w:color="auto" w:sz="4" w:space="0"/>
              <w:bottom w:val="single" w:color="auto" w:sz="4" w:space="0"/>
              <w:right w:val="single" w:color="auto" w:sz="4" w:space="0"/>
            </w:tcBorders>
            <w:vAlign w:val="center"/>
          </w:tcPr>
          <w:p w14:paraId="2C525DD9">
            <w:pPr>
              <w:pStyle w:val="64"/>
            </w:pPr>
            <w:r>
              <w:t>m</w:t>
            </w:r>
          </w:p>
        </w:tc>
        <w:tc>
          <w:tcPr>
            <w:tcW w:w="1443" w:type="pct"/>
            <w:tcBorders>
              <w:top w:val="single" w:color="auto" w:sz="4" w:space="0"/>
              <w:left w:val="single" w:color="auto" w:sz="4" w:space="0"/>
              <w:bottom w:val="single" w:color="auto" w:sz="4" w:space="0"/>
              <w:right w:val="single" w:color="auto" w:sz="4" w:space="0"/>
            </w:tcBorders>
            <w:vAlign w:val="center"/>
          </w:tcPr>
          <w:p w14:paraId="6EE709B2">
            <w:pPr>
              <w:pStyle w:val="64"/>
            </w:pPr>
            <w:r>
              <w:t>6.0</w:t>
            </w:r>
          </w:p>
        </w:tc>
      </w:tr>
      <w:tr w14:paraId="39D319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1" w:type="pct"/>
            <w:vMerge w:val="continue"/>
            <w:tcBorders>
              <w:left w:val="single" w:color="auto" w:sz="4" w:space="0"/>
              <w:bottom w:val="single" w:color="auto" w:sz="4" w:space="0"/>
              <w:right w:val="single" w:color="auto" w:sz="4" w:space="0"/>
            </w:tcBorders>
            <w:vAlign w:val="center"/>
          </w:tcPr>
          <w:p w14:paraId="38EB3ACE">
            <w:pPr>
              <w:pStyle w:val="64"/>
            </w:pPr>
          </w:p>
        </w:tc>
        <w:tc>
          <w:tcPr>
            <w:tcW w:w="1414" w:type="pct"/>
            <w:tcBorders>
              <w:top w:val="single" w:color="auto" w:sz="4" w:space="0"/>
              <w:left w:val="single" w:color="auto" w:sz="4" w:space="0"/>
              <w:bottom w:val="single" w:color="auto" w:sz="4" w:space="0"/>
              <w:right w:val="single" w:color="auto" w:sz="4" w:space="0"/>
            </w:tcBorders>
            <w:vAlign w:val="center"/>
          </w:tcPr>
          <w:p w14:paraId="333BD098">
            <w:pPr>
              <w:pStyle w:val="64"/>
            </w:pPr>
            <w:r>
              <w:t>液池半径</w:t>
            </w:r>
          </w:p>
        </w:tc>
        <w:tc>
          <w:tcPr>
            <w:tcW w:w="1081" w:type="pct"/>
            <w:tcBorders>
              <w:top w:val="single" w:color="auto" w:sz="4" w:space="0"/>
              <w:left w:val="single" w:color="auto" w:sz="4" w:space="0"/>
              <w:bottom w:val="single" w:color="auto" w:sz="4" w:space="0"/>
              <w:right w:val="single" w:color="auto" w:sz="4" w:space="0"/>
            </w:tcBorders>
            <w:vAlign w:val="center"/>
          </w:tcPr>
          <w:p w14:paraId="18BE364E">
            <w:pPr>
              <w:pStyle w:val="64"/>
            </w:pPr>
            <w:r>
              <w:t>m</w:t>
            </w:r>
          </w:p>
        </w:tc>
        <w:tc>
          <w:tcPr>
            <w:tcW w:w="1443" w:type="pct"/>
            <w:tcBorders>
              <w:top w:val="single" w:color="auto" w:sz="4" w:space="0"/>
              <w:left w:val="single" w:color="auto" w:sz="4" w:space="0"/>
              <w:bottom w:val="single" w:color="auto" w:sz="4" w:space="0"/>
              <w:right w:val="single" w:color="auto" w:sz="4" w:space="0"/>
            </w:tcBorders>
            <w:vAlign w:val="center"/>
          </w:tcPr>
          <w:p w14:paraId="54361511">
            <w:pPr>
              <w:pStyle w:val="64"/>
            </w:pPr>
            <w:r>
              <w:t>6.</w:t>
            </w:r>
            <w:r>
              <w:rPr>
                <w:rFonts w:hint="eastAsia"/>
              </w:rPr>
              <w:t>0</w:t>
            </w:r>
          </w:p>
        </w:tc>
      </w:tr>
      <w:tr w14:paraId="75BD87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1" w:type="pct"/>
            <w:vMerge w:val="restart"/>
            <w:tcBorders>
              <w:top w:val="single" w:color="auto" w:sz="4" w:space="0"/>
              <w:left w:val="single" w:color="auto" w:sz="4" w:space="0"/>
              <w:right w:val="single" w:color="auto" w:sz="4" w:space="0"/>
            </w:tcBorders>
            <w:vAlign w:val="center"/>
          </w:tcPr>
          <w:p w14:paraId="7272D716">
            <w:pPr>
              <w:pStyle w:val="64"/>
            </w:pPr>
            <w:r>
              <w:t>环境参数</w:t>
            </w:r>
          </w:p>
        </w:tc>
        <w:tc>
          <w:tcPr>
            <w:tcW w:w="1414" w:type="pct"/>
            <w:tcBorders>
              <w:top w:val="single" w:color="auto" w:sz="4" w:space="0"/>
              <w:left w:val="single" w:color="auto" w:sz="4" w:space="0"/>
              <w:bottom w:val="single" w:color="auto" w:sz="4" w:space="0"/>
              <w:right w:val="single" w:color="auto" w:sz="4" w:space="0"/>
            </w:tcBorders>
            <w:vAlign w:val="center"/>
          </w:tcPr>
          <w:p w14:paraId="3AB248C6">
            <w:pPr>
              <w:pStyle w:val="64"/>
            </w:pPr>
            <w:r>
              <w:t>环境压力</w:t>
            </w:r>
          </w:p>
        </w:tc>
        <w:tc>
          <w:tcPr>
            <w:tcW w:w="1081" w:type="pct"/>
            <w:tcBorders>
              <w:top w:val="single" w:color="auto" w:sz="4" w:space="0"/>
              <w:left w:val="single" w:color="auto" w:sz="4" w:space="0"/>
              <w:bottom w:val="single" w:color="auto" w:sz="4" w:space="0"/>
              <w:right w:val="single" w:color="auto" w:sz="4" w:space="0"/>
            </w:tcBorders>
            <w:vAlign w:val="center"/>
          </w:tcPr>
          <w:p w14:paraId="649EAF6A">
            <w:pPr>
              <w:pStyle w:val="64"/>
            </w:pPr>
            <w:r>
              <w:t>Pa</w:t>
            </w:r>
          </w:p>
        </w:tc>
        <w:tc>
          <w:tcPr>
            <w:tcW w:w="1443" w:type="pct"/>
            <w:tcBorders>
              <w:top w:val="single" w:color="auto" w:sz="4" w:space="0"/>
              <w:left w:val="single" w:color="auto" w:sz="4" w:space="0"/>
              <w:bottom w:val="single" w:color="auto" w:sz="4" w:space="0"/>
              <w:right w:val="single" w:color="auto" w:sz="4" w:space="0"/>
            </w:tcBorders>
            <w:vAlign w:val="center"/>
          </w:tcPr>
          <w:p w14:paraId="36BC6D65">
            <w:pPr>
              <w:pStyle w:val="64"/>
            </w:pPr>
            <w:r>
              <w:t>101325</w:t>
            </w:r>
          </w:p>
        </w:tc>
      </w:tr>
      <w:tr w14:paraId="7F782E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1" w:type="pct"/>
            <w:vMerge w:val="continue"/>
            <w:tcBorders>
              <w:left w:val="single" w:color="auto" w:sz="4" w:space="0"/>
              <w:right w:val="single" w:color="auto" w:sz="4" w:space="0"/>
            </w:tcBorders>
            <w:vAlign w:val="center"/>
          </w:tcPr>
          <w:p w14:paraId="02F66CEA">
            <w:pPr>
              <w:pStyle w:val="64"/>
            </w:pPr>
          </w:p>
        </w:tc>
        <w:tc>
          <w:tcPr>
            <w:tcW w:w="1414" w:type="pct"/>
            <w:tcBorders>
              <w:top w:val="single" w:color="auto" w:sz="4" w:space="0"/>
              <w:left w:val="single" w:color="auto" w:sz="4" w:space="0"/>
              <w:bottom w:val="single" w:color="auto" w:sz="4" w:space="0"/>
              <w:right w:val="single" w:color="auto" w:sz="4" w:space="0"/>
            </w:tcBorders>
            <w:vAlign w:val="center"/>
          </w:tcPr>
          <w:p w14:paraId="42BCF1CC">
            <w:pPr>
              <w:pStyle w:val="64"/>
            </w:pPr>
            <w:r>
              <w:t>风速</w:t>
            </w:r>
          </w:p>
        </w:tc>
        <w:tc>
          <w:tcPr>
            <w:tcW w:w="1081" w:type="pct"/>
            <w:tcBorders>
              <w:top w:val="single" w:color="auto" w:sz="4" w:space="0"/>
              <w:left w:val="single" w:color="auto" w:sz="4" w:space="0"/>
              <w:bottom w:val="single" w:color="auto" w:sz="4" w:space="0"/>
              <w:right w:val="single" w:color="auto" w:sz="4" w:space="0"/>
            </w:tcBorders>
            <w:vAlign w:val="center"/>
          </w:tcPr>
          <w:p w14:paraId="65950011">
            <w:pPr>
              <w:pStyle w:val="64"/>
            </w:pPr>
            <w:r>
              <w:t>m/s</w:t>
            </w:r>
          </w:p>
        </w:tc>
        <w:tc>
          <w:tcPr>
            <w:tcW w:w="1443" w:type="pct"/>
            <w:tcBorders>
              <w:top w:val="single" w:color="auto" w:sz="4" w:space="0"/>
              <w:left w:val="single" w:color="auto" w:sz="4" w:space="0"/>
              <w:bottom w:val="single" w:color="auto" w:sz="4" w:space="0"/>
              <w:right w:val="single" w:color="auto" w:sz="4" w:space="0"/>
            </w:tcBorders>
            <w:vAlign w:val="center"/>
          </w:tcPr>
          <w:p w14:paraId="20307EAB">
            <w:pPr>
              <w:pStyle w:val="64"/>
            </w:pPr>
            <w:r>
              <w:t>2.8</w:t>
            </w:r>
          </w:p>
        </w:tc>
      </w:tr>
      <w:tr w14:paraId="07C7D1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1" w:type="pct"/>
            <w:vMerge w:val="continue"/>
            <w:tcBorders>
              <w:left w:val="single" w:color="auto" w:sz="4" w:space="0"/>
              <w:bottom w:val="single" w:color="auto" w:sz="4" w:space="0"/>
              <w:right w:val="single" w:color="auto" w:sz="4" w:space="0"/>
            </w:tcBorders>
            <w:vAlign w:val="center"/>
          </w:tcPr>
          <w:p w14:paraId="409FB00B">
            <w:pPr>
              <w:pStyle w:val="64"/>
            </w:pPr>
          </w:p>
        </w:tc>
        <w:tc>
          <w:tcPr>
            <w:tcW w:w="1414" w:type="pct"/>
            <w:tcBorders>
              <w:top w:val="single" w:color="auto" w:sz="4" w:space="0"/>
              <w:left w:val="single" w:color="auto" w:sz="4" w:space="0"/>
              <w:bottom w:val="single" w:color="auto" w:sz="4" w:space="0"/>
              <w:right w:val="single" w:color="auto" w:sz="4" w:space="0"/>
            </w:tcBorders>
            <w:vAlign w:val="center"/>
          </w:tcPr>
          <w:p w14:paraId="49316C8A">
            <w:pPr>
              <w:pStyle w:val="64"/>
            </w:pPr>
            <w:r>
              <w:t>环境温度</w:t>
            </w:r>
          </w:p>
        </w:tc>
        <w:tc>
          <w:tcPr>
            <w:tcW w:w="1081" w:type="pct"/>
            <w:tcBorders>
              <w:top w:val="single" w:color="auto" w:sz="4" w:space="0"/>
              <w:left w:val="single" w:color="auto" w:sz="4" w:space="0"/>
              <w:bottom w:val="single" w:color="auto" w:sz="4" w:space="0"/>
              <w:right w:val="single" w:color="auto" w:sz="4" w:space="0"/>
            </w:tcBorders>
            <w:vAlign w:val="center"/>
          </w:tcPr>
          <w:p w14:paraId="081DBC1C">
            <w:pPr>
              <w:pStyle w:val="64"/>
            </w:pPr>
            <w:r>
              <w:t>℃</w:t>
            </w:r>
          </w:p>
        </w:tc>
        <w:tc>
          <w:tcPr>
            <w:tcW w:w="1443" w:type="pct"/>
            <w:tcBorders>
              <w:top w:val="single" w:color="auto" w:sz="4" w:space="0"/>
              <w:left w:val="single" w:color="auto" w:sz="4" w:space="0"/>
              <w:bottom w:val="single" w:color="auto" w:sz="4" w:space="0"/>
              <w:right w:val="single" w:color="auto" w:sz="4" w:space="0"/>
            </w:tcBorders>
            <w:vAlign w:val="center"/>
          </w:tcPr>
          <w:p w14:paraId="77C626B4">
            <w:pPr>
              <w:pStyle w:val="64"/>
            </w:pPr>
            <w:r>
              <w:t>40</w:t>
            </w:r>
          </w:p>
        </w:tc>
      </w:tr>
    </w:tbl>
    <w:p w14:paraId="17CAB22D">
      <w:pPr>
        <w:spacing w:line="360" w:lineRule="auto"/>
        <w:jc w:val="center"/>
        <w:rPr>
          <w:rFonts w:eastAsia="黑体"/>
          <w:kern w:val="1"/>
        </w:rPr>
      </w:pPr>
    </w:p>
    <w:p w14:paraId="5622263D">
      <w:pPr>
        <w:spacing w:line="360" w:lineRule="auto"/>
        <w:jc w:val="center"/>
        <w:rPr>
          <w:rFonts w:eastAsia="黑体"/>
          <w:kern w:val="1"/>
        </w:rPr>
      </w:pPr>
    </w:p>
    <w:p w14:paraId="7721CD58">
      <w:pPr>
        <w:spacing w:line="360" w:lineRule="auto"/>
        <w:jc w:val="center"/>
        <w:rPr>
          <w:rFonts w:eastAsia="黑体"/>
          <w:kern w:val="1"/>
        </w:rPr>
      </w:pPr>
    </w:p>
    <w:p w14:paraId="66CFAB58">
      <w:pPr>
        <w:spacing w:line="360" w:lineRule="auto"/>
        <w:jc w:val="center"/>
        <w:rPr>
          <w:rFonts w:eastAsia="黑体"/>
          <w:kern w:val="1"/>
        </w:rPr>
      </w:pPr>
    </w:p>
    <w:p w14:paraId="47ED2AE8">
      <w:pPr>
        <w:spacing w:line="360" w:lineRule="auto"/>
        <w:jc w:val="center"/>
        <w:rPr>
          <w:rFonts w:hint="eastAsia" w:ascii="黑体" w:hAnsi="黑体" w:eastAsia="黑体"/>
          <w:kern w:val="1"/>
        </w:rPr>
      </w:pPr>
      <w:r>
        <w:rPr>
          <w:rFonts w:ascii="黑体" w:hAnsi="黑体" w:eastAsia="黑体"/>
          <w:kern w:val="1"/>
        </w:rPr>
        <w:t>表6.</w:t>
      </w:r>
      <w:r>
        <w:rPr>
          <w:rFonts w:hint="eastAsia" w:ascii="黑体" w:hAnsi="黑体" w:eastAsia="黑体"/>
          <w:kern w:val="1"/>
        </w:rPr>
        <w:t>8</w:t>
      </w:r>
      <w:r>
        <w:rPr>
          <w:rFonts w:ascii="黑体" w:hAnsi="黑体" w:eastAsia="黑体"/>
          <w:kern w:val="1"/>
        </w:rPr>
        <w:t>-</w:t>
      </w:r>
      <w:r>
        <w:rPr>
          <w:rFonts w:hint="eastAsia" w:ascii="黑体" w:hAnsi="黑体" w:eastAsia="黑体"/>
          <w:kern w:val="1"/>
        </w:rPr>
        <w:t>27</w:t>
      </w:r>
      <w:r>
        <w:rPr>
          <w:rFonts w:ascii="黑体" w:hAnsi="黑体" w:eastAsia="黑体"/>
          <w:kern w:val="1"/>
        </w:rPr>
        <w:t xml:space="preserve">  </w:t>
      </w:r>
      <w:r>
        <w:rPr>
          <w:rFonts w:hint="eastAsia" w:ascii="黑体" w:hAnsi="黑体" w:eastAsia="黑体"/>
          <w:kern w:val="1"/>
        </w:rPr>
        <w:t>间甲酚</w:t>
      </w:r>
      <w:r>
        <w:rPr>
          <w:rFonts w:ascii="黑体" w:hAnsi="黑体" w:eastAsia="黑体"/>
          <w:kern w:val="1"/>
        </w:rPr>
        <w:t>泄漏源强计算结果一览表</w:t>
      </w:r>
    </w:p>
    <w:tbl>
      <w:tblPr>
        <w:tblStyle w:val="3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45"/>
        <w:gridCol w:w="1321"/>
        <w:gridCol w:w="772"/>
        <w:gridCol w:w="888"/>
        <w:gridCol w:w="975"/>
        <w:gridCol w:w="881"/>
        <w:gridCol w:w="1134"/>
        <w:gridCol w:w="1417"/>
        <w:gridCol w:w="1127"/>
      </w:tblGrid>
      <w:tr w14:paraId="1ADC81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0" w:type="pct"/>
            <w:tcBorders>
              <w:top w:val="single" w:color="auto" w:sz="4" w:space="0"/>
              <w:left w:val="single" w:color="auto" w:sz="4" w:space="0"/>
              <w:bottom w:val="single" w:color="auto" w:sz="4" w:space="0"/>
              <w:right w:val="single" w:color="auto" w:sz="4" w:space="0"/>
            </w:tcBorders>
            <w:vAlign w:val="center"/>
          </w:tcPr>
          <w:p w14:paraId="7093DB3F">
            <w:pPr>
              <w:pStyle w:val="64"/>
            </w:pPr>
            <w:r>
              <w:t>序号</w:t>
            </w:r>
          </w:p>
        </w:tc>
        <w:tc>
          <w:tcPr>
            <w:tcW w:w="729" w:type="pct"/>
            <w:tcBorders>
              <w:top w:val="single" w:color="auto" w:sz="4" w:space="0"/>
              <w:left w:val="single" w:color="auto" w:sz="4" w:space="0"/>
              <w:bottom w:val="single" w:color="auto" w:sz="4" w:space="0"/>
              <w:right w:val="single" w:color="auto" w:sz="4" w:space="0"/>
            </w:tcBorders>
            <w:vAlign w:val="center"/>
          </w:tcPr>
          <w:p w14:paraId="734EFF56">
            <w:pPr>
              <w:pStyle w:val="64"/>
            </w:pPr>
            <w:r>
              <w:t>风险事故情形描述</w:t>
            </w:r>
          </w:p>
        </w:tc>
        <w:tc>
          <w:tcPr>
            <w:tcW w:w="426" w:type="pct"/>
            <w:tcBorders>
              <w:top w:val="single" w:color="auto" w:sz="4" w:space="0"/>
              <w:left w:val="single" w:color="auto" w:sz="4" w:space="0"/>
              <w:bottom w:val="single" w:color="auto" w:sz="4" w:space="0"/>
              <w:right w:val="single" w:color="auto" w:sz="4" w:space="0"/>
            </w:tcBorders>
            <w:vAlign w:val="center"/>
          </w:tcPr>
          <w:p w14:paraId="38A68565">
            <w:pPr>
              <w:pStyle w:val="64"/>
            </w:pPr>
            <w:r>
              <w:t>危险单位</w:t>
            </w:r>
          </w:p>
        </w:tc>
        <w:tc>
          <w:tcPr>
            <w:tcW w:w="490" w:type="pct"/>
            <w:tcBorders>
              <w:top w:val="single" w:color="auto" w:sz="4" w:space="0"/>
              <w:left w:val="single" w:color="auto" w:sz="4" w:space="0"/>
              <w:bottom w:val="single" w:color="auto" w:sz="4" w:space="0"/>
              <w:right w:val="single" w:color="auto" w:sz="4" w:space="0"/>
            </w:tcBorders>
            <w:vAlign w:val="center"/>
          </w:tcPr>
          <w:p w14:paraId="675856F8">
            <w:pPr>
              <w:pStyle w:val="64"/>
            </w:pPr>
            <w:r>
              <w:t>危险物质</w:t>
            </w:r>
          </w:p>
        </w:tc>
        <w:tc>
          <w:tcPr>
            <w:tcW w:w="538" w:type="pct"/>
            <w:tcBorders>
              <w:top w:val="single" w:color="auto" w:sz="4" w:space="0"/>
              <w:left w:val="single" w:color="auto" w:sz="4" w:space="0"/>
              <w:bottom w:val="single" w:color="auto" w:sz="4" w:space="0"/>
              <w:right w:val="single" w:color="auto" w:sz="4" w:space="0"/>
            </w:tcBorders>
            <w:vAlign w:val="center"/>
          </w:tcPr>
          <w:p w14:paraId="430D5BC8">
            <w:pPr>
              <w:pStyle w:val="64"/>
            </w:pPr>
            <w:r>
              <w:t>影响途径</w:t>
            </w:r>
          </w:p>
        </w:tc>
        <w:tc>
          <w:tcPr>
            <w:tcW w:w="486" w:type="pct"/>
            <w:tcBorders>
              <w:top w:val="single" w:color="auto" w:sz="4" w:space="0"/>
              <w:left w:val="single" w:color="auto" w:sz="4" w:space="0"/>
              <w:bottom w:val="single" w:color="auto" w:sz="4" w:space="0"/>
              <w:right w:val="single" w:color="auto" w:sz="4" w:space="0"/>
            </w:tcBorders>
            <w:vAlign w:val="center"/>
          </w:tcPr>
          <w:p w14:paraId="7286F2E0">
            <w:pPr>
              <w:pStyle w:val="64"/>
            </w:pPr>
            <w:r>
              <w:t>泄漏速率/kg/s</w:t>
            </w:r>
          </w:p>
        </w:tc>
        <w:tc>
          <w:tcPr>
            <w:tcW w:w="626" w:type="pct"/>
            <w:tcBorders>
              <w:top w:val="single" w:color="auto" w:sz="4" w:space="0"/>
              <w:left w:val="single" w:color="auto" w:sz="4" w:space="0"/>
              <w:bottom w:val="single" w:color="auto" w:sz="4" w:space="0"/>
              <w:right w:val="single" w:color="auto" w:sz="4" w:space="0"/>
            </w:tcBorders>
            <w:vAlign w:val="center"/>
          </w:tcPr>
          <w:p w14:paraId="3E2078CE">
            <w:pPr>
              <w:pStyle w:val="64"/>
            </w:pPr>
            <w:r>
              <w:t>泄漏时间/min</w:t>
            </w:r>
          </w:p>
        </w:tc>
        <w:tc>
          <w:tcPr>
            <w:tcW w:w="782" w:type="pct"/>
            <w:tcBorders>
              <w:top w:val="single" w:color="auto" w:sz="4" w:space="0"/>
              <w:left w:val="single" w:color="auto" w:sz="4" w:space="0"/>
              <w:bottom w:val="single" w:color="auto" w:sz="4" w:space="0"/>
              <w:right w:val="single" w:color="auto" w:sz="4" w:space="0"/>
            </w:tcBorders>
            <w:vAlign w:val="center"/>
          </w:tcPr>
          <w:p w14:paraId="7EC7535E">
            <w:pPr>
              <w:pStyle w:val="64"/>
            </w:pPr>
            <w:r>
              <w:t>最大释放或泄漏量/kg</w:t>
            </w:r>
          </w:p>
        </w:tc>
        <w:tc>
          <w:tcPr>
            <w:tcW w:w="622" w:type="pct"/>
            <w:tcBorders>
              <w:top w:val="single" w:color="auto" w:sz="4" w:space="0"/>
              <w:left w:val="single" w:color="auto" w:sz="4" w:space="0"/>
              <w:bottom w:val="single" w:color="auto" w:sz="4" w:space="0"/>
              <w:right w:val="single" w:color="auto" w:sz="4" w:space="0"/>
            </w:tcBorders>
            <w:vAlign w:val="center"/>
          </w:tcPr>
          <w:p w14:paraId="3FD649DD">
            <w:pPr>
              <w:pStyle w:val="64"/>
            </w:pPr>
            <w:r>
              <w:t>液体蒸发量/kg/s</w:t>
            </w:r>
          </w:p>
        </w:tc>
      </w:tr>
      <w:tr w14:paraId="26FA8D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0" w:type="pct"/>
            <w:tcBorders>
              <w:top w:val="single" w:color="auto" w:sz="4" w:space="0"/>
              <w:left w:val="single" w:color="auto" w:sz="4" w:space="0"/>
              <w:bottom w:val="single" w:color="auto" w:sz="4" w:space="0"/>
              <w:right w:val="single" w:color="auto" w:sz="4" w:space="0"/>
            </w:tcBorders>
            <w:vAlign w:val="center"/>
          </w:tcPr>
          <w:p w14:paraId="1870FE06">
            <w:pPr>
              <w:pStyle w:val="64"/>
            </w:pPr>
            <w:r>
              <w:t>1</w:t>
            </w:r>
          </w:p>
        </w:tc>
        <w:tc>
          <w:tcPr>
            <w:tcW w:w="729" w:type="pct"/>
            <w:tcBorders>
              <w:top w:val="single" w:color="auto" w:sz="4" w:space="0"/>
              <w:left w:val="single" w:color="auto" w:sz="4" w:space="0"/>
              <w:right w:val="single" w:color="auto" w:sz="4" w:space="0"/>
            </w:tcBorders>
            <w:vAlign w:val="center"/>
          </w:tcPr>
          <w:p w14:paraId="41CDE400">
            <w:pPr>
              <w:pStyle w:val="64"/>
            </w:pPr>
            <w:r>
              <w:rPr>
                <w:rFonts w:hint="eastAsia"/>
              </w:rPr>
              <w:t>间甲酚</w:t>
            </w:r>
            <w:r>
              <w:t>储罐罐体或管道破损</w:t>
            </w:r>
          </w:p>
        </w:tc>
        <w:tc>
          <w:tcPr>
            <w:tcW w:w="426" w:type="pct"/>
            <w:tcBorders>
              <w:top w:val="single" w:color="auto" w:sz="4" w:space="0"/>
              <w:left w:val="single" w:color="auto" w:sz="4" w:space="0"/>
              <w:right w:val="single" w:color="auto" w:sz="4" w:space="0"/>
            </w:tcBorders>
            <w:vAlign w:val="center"/>
          </w:tcPr>
          <w:p w14:paraId="12B0BA35">
            <w:pPr>
              <w:pStyle w:val="64"/>
            </w:pPr>
            <w:r>
              <w:t>原料罐区</w:t>
            </w:r>
          </w:p>
        </w:tc>
        <w:tc>
          <w:tcPr>
            <w:tcW w:w="490" w:type="pct"/>
            <w:tcBorders>
              <w:top w:val="single" w:color="auto" w:sz="4" w:space="0"/>
              <w:left w:val="single" w:color="auto" w:sz="4" w:space="0"/>
              <w:right w:val="single" w:color="auto" w:sz="4" w:space="0"/>
            </w:tcBorders>
            <w:vAlign w:val="center"/>
          </w:tcPr>
          <w:p w14:paraId="20E42D71">
            <w:pPr>
              <w:pStyle w:val="64"/>
            </w:pPr>
            <w:r>
              <w:rPr>
                <w:rFonts w:hint="eastAsia"/>
              </w:rPr>
              <w:t>间甲酚</w:t>
            </w:r>
          </w:p>
        </w:tc>
        <w:tc>
          <w:tcPr>
            <w:tcW w:w="538" w:type="pct"/>
            <w:tcBorders>
              <w:top w:val="single" w:color="auto" w:sz="4" w:space="0"/>
              <w:left w:val="single" w:color="auto" w:sz="4" w:space="0"/>
              <w:right w:val="single" w:color="auto" w:sz="4" w:space="0"/>
            </w:tcBorders>
            <w:vAlign w:val="center"/>
          </w:tcPr>
          <w:p w14:paraId="6CB005A4">
            <w:pPr>
              <w:pStyle w:val="64"/>
            </w:pPr>
            <w:r>
              <w:t>泄漏后挥发到大气中</w:t>
            </w:r>
          </w:p>
        </w:tc>
        <w:tc>
          <w:tcPr>
            <w:tcW w:w="486" w:type="pct"/>
            <w:tcBorders>
              <w:top w:val="single" w:color="auto" w:sz="4" w:space="0"/>
              <w:left w:val="single" w:color="auto" w:sz="4" w:space="0"/>
              <w:right w:val="single" w:color="auto" w:sz="4" w:space="0"/>
            </w:tcBorders>
            <w:vAlign w:val="center"/>
          </w:tcPr>
          <w:p w14:paraId="37D54A42">
            <w:pPr>
              <w:pStyle w:val="64"/>
            </w:pPr>
            <w:r>
              <w:t>0.</w:t>
            </w:r>
            <w:r>
              <w:rPr>
                <w:rFonts w:hint="eastAsia"/>
              </w:rPr>
              <w:t>57</w:t>
            </w:r>
          </w:p>
        </w:tc>
        <w:tc>
          <w:tcPr>
            <w:tcW w:w="626" w:type="pct"/>
            <w:tcBorders>
              <w:top w:val="single" w:color="auto" w:sz="4" w:space="0"/>
              <w:left w:val="single" w:color="auto" w:sz="4" w:space="0"/>
              <w:right w:val="single" w:color="auto" w:sz="4" w:space="0"/>
            </w:tcBorders>
            <w:vAlign w:val="center"/>
          </w:tcPr>
          <w:p w14:paraId="0C8E8C30">
            <w:pPr>
              <w:pStyle w:val="64"/>
            </w:pPr>
            <w:r>
              <w:t>30min</w:t>
            </w:r>
          </w:p>
        </w:tc>
        <w:tc>
          <w:tcPr>
            <w:tcW w:w="782" w:type="pct"/>
            <w:tcBorders>
              <w:top w:val="single" w:color="auto" w:sz="4" w:space="0"/>
              <w:left w:val="single" w:color="auto" w:sz="4" w:space="0"/>
              <w:right w:val="single" w:color="auto" w:sz="4" w:space="0"/>
            </w:tcBorders>
            <w:vAlign w:val="center"/>
          </w:tcPr>
          <w:p w14:paraId="53A4C87B">
            <w:pPr>
              <w:pStyle w:val="64"/>
            </w:pPr>
            <w:r>
              <w:rPr>
                <w:rFonts w:hint="eastAsia"/>
              </w:rPr>
              <w:t>1025</w:t>
            </w:r>
          </w:p>
        </w:tc>
        <w:tc>
          <w:tcPr>
            <w:tcW w:w="622" w:type="pct"/>
            <w:tcBorders>
              <w:top w:val="single" w:color="auto" w:sz="4" w:space="0"/>
              <w:left w:val="single" w:color="auto" w:sz="4" w:space="0"/>
              <w:bottom w:val="single" w:color="auto" w:sz="4" w:space="0"/>
              <w:right w:val="single" w:color="auto" w:sz="4" w:space="0"/>
            </w:tcBorders>
            <w:vAlign w:val="center"/>
          </w:tcPr>
          <w:p w14:paraId="73ABF59D">
            <w:pPr>
              <w:pStyle w:val="64"/>
            </w:pPr>
            <w:r>
              <w:t>0.0</w:t>
            </w:r>
            <w:r>
              <w:rPr>
                <w:rFonts w:hint="eastAsia"/>
              </w:rPr>
              <w:t>0011</w:t>
            </w:r>
          </w:p>
        </w:tc>
      </w:tr>
    </w:tbl>
    <w:p w14:paraId="751574CC">
      <w:pPr>
        <w:ind w:firstLine="480" w:firstLineChars="200"/>
        <w:rPr>
          <w:kern w:val="0"/>
        </w:rPr>
      </w:pPr>
    </w:p>
    <w:p w14:paraId="532EABBF">
      <w:pPr>
        <w:ind w:firstLine="480" w:firstLineChars="200"/>
        <w:rPr>
          <w:kern w:val="0"/>
        </w:rPr>
      </w:pPr>
      <w:r>
        <w:rPr>
          <w:rFonts w:hint="eastAsia"/>
          <w:kern w:val="0"/>
        </w:rPr>
        <w:t>(2)火灾伴生/次生污染物源强计算</w:t>
      </w:r>
    </w:p>
    <w:p w14:paraId="407F9F1F">
      <w:pPr>
        <w:ind w:firstLine="480" w:firstLineChars="200"/>
        <w:rPr>
          <w:kern w:val="0"/>
        </w:rPr>
      </w:pPr>
      <w:r>
        <w:rPr>
          <w:rFonts w:hint="eastAsia"/>
          <w:kern w:val="0"/>
        </w:rPr>
        <w:t>根据项目物料理化性质，间对甲酚为易燃物质</w:t>
      </w:r>
      <w:r>
        <w:rPr>
          <w:kern w:val="0"/>
        </w:rPr>
        <w:t>，存在</w:t>
      </w:r>
      <w:r>
        <w:rPr>
          <w:rFonts w:hint="eastAsia"/>
          <w:kern w:val="0"/>
        </w:rPr>
        <w:t>原料罐区</w:t>
      </w:r>
      <w:r>
        <w:rPr>
          <w:kern w:val="0"/>
        </w:rPr>
        <w:t>内，</w:t>
      </w:r>
      <w:r>
        <w:rPr>
          <w:rFonts w:hint="eastAsia"/>
          <w:kern w:val="0"/>
        </w:rPr>
        <w:t>泄漏时容易引起</w:t>
      </w:r>
      <w:r>
        <w:rPr>
          <w:kern w:val="0"/>
        </w:rPr>
        <w:t>火灾、爆炸事故</w:t>
      </w:r>
      <w:r>
        <w:rPr>
          <w:rFonts w:hint="eastAsia"/>
          <w:kern w:val="0"/>
        </w:rPr>
        <w:t>，</w:t>
      </w:r>
      <w:r>
        <w:rPr>
          <w:kern w:val="0"/>
        </w:rPr>
        <w:t>不完全燃烧挥发到大气中同时燃烧过程中伴生的CO量较大对周围环境也产生一定的影响</w:t>
      </w:r>
      <w:r>
        <w:rPr>
          <w:rFonts w:hint="eastAsia"/>
          <w:kern w:val="0"/>
        </w:rPr>
        <w:t>。根据气体泄漏计算公式及一氧化碳产生量计算公式进行计算。</w:t>
      </w:r>
    </w:p>
    <w:p w14:paraId="7B082ED7">
      <w:pPr>
        <w:ind w:firstLine="480" w:firstLineChars="200"/>
        <w:rPr>
          <w:kern w:val="0"/>
        </w:rPr>
      </w:pPr>
      <w:r>
        <w:rPr>
          <w:rFonts w:hint="eastAsia"/>
          <w:kern w:val="0"/>
        </w:rPr>
        <w:t>间对甲酚发生燃烧时，在不完全燃烧情况下产生次生污染物一氧化碳。参与燃烧的物质量按间对甲酚储罐的最大泄露量约1.11t计，平均泄露速率0.616kg/s。</w:t>
      </w:r>
    </w:p>
    <w:p w14:paraId="03F9F25C">
      <w:pPr>
        <w:ind w:firstLine="480" w:firstLineChars="200"/>
        <w:rPr>
          <w:rFonts w:eastAsia="黑体"/>
          <w:kern w:val="1"/>
        </w:rPr>
      </w:pPr>
      <w:r>
        <w:rPr>
          <w:rFonts w:hint="eastAsia"/>
          <w:kern w:val="0"/>
        </w:rPr>
        <w:t>项目火灾伴生源强计算结果见表6.8-28。</w:t>
      </w:r>
    </w:p>
    <w:p w14:paraId="26D35777">
      <w:pPr>
        <w:pStyle w:val="28"/>
        <w:rPr>
          <w:rFonts w:hint="eastAsia"/>
          <w:kern w:val="0"/>
        </w:rPr>
      </w:pPr>
      <w:r>
        <w:rPr>
          <w:rFonts w:hint="eastAsia"/>
        </w:rPr>
        <w:t>表6.8</w:t>
      </w:r>
      <w:r>
        <w:t>-</w:t>
      </w:r>
      <w:r>
        <w:rPr>
          <w:rFonts w:hint="eastAsia"/>
        </w:rPr>
        <w:t>28  火灾伴生源强源强计算结果一览表</w:t>
      </w:r>
    </w:p>
    <w:tbl>
      <w:tblPr>
        <w:tblStyle w:val="3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34"/>
        <w:gridCol w:w="1528"/>
        <w:gridCol w:w="1277"/>
        <w:gridCol w:w="850"/>
        <w:gridCol w:w="1276"/>
        <w:gridCol w:w="1129"/>
        <w:gridCol w:w="1133"/>
        <w:gridCol w:w="1133"/>
      </w:tblGrid>
      <w:tr w14:paraId="3358BF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05" w:type="pct"/>
            <w:tcBorders>
              <w:top w:val="single" w:color="auto" w:sz="4" w:space="0"/>
              <w:left w:val="single" w:color="auto" w:sz="4" w:space="0"/>
              <w:bottom w:val="single" w:color="auto" w:sz="4" w:space="0"/>
              <w:right w:val="single" w:color="auto" w:sz="4" w:space="0"/>
            </w:tcBorders>
            <w:vAlign w:val="center"/>
          </w:tcPr>
          <w:p w14:paraId="14CF31DF">
            <w:pPr>
              <w:spacing w:line="240" w:lineRule="auto"/>
              <w:jc w:val="center"/>
              <w:rPr>
                <w:rFonts w:cs="Times New Roman"/>
                <w:sz w:val="21"/>
                <w:szCs w:val="21"/>
              </w:rPr>
            </w:pPr>
            <w:r>
              <w:rPr>
                <w:rFonts w:cs="Times New Roman"/>
                <w:sz w:val="21"/>
                <w:szCs w:val="21"/>
              </w:rPr>
              <w:t>序号</w:t>
            </w:r>
          </w:p>
        </w:tc>
        <w:tc>
          <w:tcPr>
            <w:tcW w:w="843" w:type="pct"/>
            <w:tcBorders>
              <w:top w:val="single" w:color="auto" w:sz="4" w:space="0"/>
              <w:left w:val="single" w:color="auto" w:sz="4" w:space="0"/>
              <w:bottom w:val="single" w:color="auto" w:sz="4" w:space="0"/>
              <w:right w:val="single" w:color="auto" w:sz="4" w:space="0"/>
            </w:tcBorders>
            <w:vAlign w:val="center"/>
          </w:tcPr>
          <w:p w14:paraId="6BB8EFFB">
            <w:pPr>
              <w:spacing w:line="240" w:lineRule="auto"/>
              <w:jc w:val="center"/>
              <w:rPr>
                <w:rFonts w:cs="Times New Roman"/>
                <w:sz w:val="21"/>
                <w:szCs w:val="21"/>
              </w:rPr>
            </w:pPr>
            <w:r>
              <w:rPr>
                <w:rFonts w:cs="Times New Roman"/>
                <w:sz w:val="21"/>
                <w:szCs w:val="21"/>
              </w:rPr>
              <w:t>风险事故情形描述</w:t>
            </w:r>
          </w:p>
        </w:tc>
        <w:tc>
          <w:tcPr>
            <w:tcW w:w="705" w:type="pct"/>
            <w:tcBorders>
              <w:top w:val="single" w:color="auto" w:sz="4" w:space="0"/>
              <w:left w:val="single" w:color="auto" w:sz="4" w:space="0"/>
              <w:bottom w:val="single" w:color="auto" w:sz="4" w:space="0"/>
              <w:right w:val="single" w:color="auto" w:sz="4" w:space="0"/>
            </w:tcBorders>
            <w:vAlign w:val="center"/>
          </w:tcPr>
          <w:p w14:paraId="30DB6453">
            <w:pPr>
              <w:spacing w:line="240" w:lineRule="auto"/>
              <w:jc w:val="center"/>
              <w:rPr>
                <w:rFonts w:cs="Times New Roman"/>
                <w:sz w:val="21"/>
                <w:szCs w:val="21"/>
              </w:rPr>
            </w:pPr>
            <w:r>
              <w:rPr>
                <w:rFonts w:cs="Times New Roman"/>
                <w:sz w:val="21"/>
                <w:szCs w:val="21"/>
              </w:rPr>
              <w:t>危险单位</w:t>
            </w:r>
          </w:p>
        </w:tc>
        <w:tc>
          <w:tcPr>
            <w:tcW w:w="469" w:type="pct"/>
            <w:tcBorders>
              <w:top w:val="single" w:color="auto" w:sz="4" w:space="0"/>
              <w:left w:val="single" w:color="auto" w:sz="4" w:space="0"/>
              <w:bottom w:val="single" w:color="auto" w:sz="4" w:space="0"/>
              <w:right w:val="single" w:color="auto" w:sz="4" w:space="0"/>
            </w:tcBorders>
            <w:vAlign w:val="center"/>
          </w:tcPr>
          <w:p w14:paraId="6BA48C9B">
            <w:pPr>
              <w:spacing w:line="240" w:lineRule="auto"/>
              <w:jc w:val="center"/>
              <w:rPr>
                <w:rFonts w:cs="Times New Roman"/>
                <w:sz w:val="21"/>
                <w:szCs w:val="21"/>
              </w:rPr>
            </w:pPr>
            <w:r>
              <w:rPr>
                <w:rFonts w:cs="Times New Roman"/>
                <w:sz w:val="21"/>
                <w:szCs w:val="21"/>
              </w:rPr>
              <w:t>危险物质</w:t>
            </w:r>
          </w:p>
        </w:tc>
        <w:tc>
          <w:tcPr>
            <w:tcW w:w="704" w:type="pct"/>
            <w:tcBorders>
              <w:top w:val="single" w:color="auto" w:sz="4" w:space="0"/>
              <w:left w:val="single" w:color="auto" w:sz="4" w:space="0"/>
              <w:bottom w:val="single" w:color="auto" w:sz="4" w:space="0"/>
              <w:right w:val="single" w:color="auto" w:sz="4" w:space="0"/>
            </w:tcBorders>
            <w:vAlign w:val="center"/>
          </w:tcPr>
          <w:p w14:paraId="22B308F3">
            <w:pPr>
              <w:spacing w:line="240" w:lineRule="auto"/>
              <w:jc w:val="center"/>
              <w:rPr>
                <w:rFonts w:cs="Times New Roman"/>
                <w:sz w:val="21"/>
                <w:szCs w:val="21"/>
              </w:rPr>
            </w:pPr>
            <w:r>
              <w:rPr>
                <w:rFonts w:cs="Times New Roman"/>
                <w:sz w:val="21"/>
                <w:szCs w:val="21"/>
              </w:rPr>
              <w:t>影响途径</w:t>
            </w:r>
          </w:p>
        </w:tc>
        <w:tc>
          <w:tcPr>
            <w:tcW w:w="623" w:type="pct"/>
            <w:tcBorders>
              <w:top w:val="single" w:color="auto" w:sz="4" w:space="0"/>
              <w:left w:val="single" w:color="auto" w:sz="4" w:space="0"/>
              <w:bottom w:val="single" w:color="auto" w:sz="4" w:space="0"/>
              <w:right w:val="single" w:color="auto" w:sz="4" w:space="0"/>
            </w:tcBorders>
            <w:vAlign w:val="center"/>
          </w:tcPr>
          <w:p w14:paraId="496B28D2">
            <w:pPr>
              <w:spacing w:line="240" w:lineRule="auto"/>
              <w:jc w:val="center"/>
              <w:rPr>
                <w:rFonts w:cs="Times New Roman"/>
                <w:sz w:val="21"/>
                <w:szCs w:val="21"/>
              </w:rPr>
            </w:pPr>
            <w:r>
              <w:rPr>
                <w:rFonts w:cs="Times New Roman"/>
                <w:sz w:val="21"/>
                <w:szCs w:val="21"/>
              </w:rPr>
              <w:t>产生速率/kg/s</w:t>
            </w:r>
          </w:p>
        </w:tc>
        <w:tc>
          <w:tcPr>
            <w:tcW w:w="625" w:type="pct"/>
            <w:tcBorders>
              <w:top w:val="single" w:color="auto" w:sz="4" w:space="0"/>
              <w:left w:val="single" w:color="auto" w:sz="4" w:space="0"/>
              <w:bottom w:val="single" w:color="auto" w:sz="4" w:space="0"/>
              <w:right w:val="single" w:color="auto" w:sz="4" w:space="0"/>
            </w:tcBorders>
            <w:vAlign w:val="center"/>
          </w:tcPr>
          <w:p w14:paraId="2F09D243">
            <w:pPr>
              <w:spacing w:line="240" w:lineRule="auto"/>
              <w:jc w:val="center"/>
              <w:rPr>
                <w:rFonts w:cs="Times New Roman"/>
                <w:sz w:val="21"/>
                <w:szCs w:val="21"/>
              </w:rPr>
            </w:pPr>
            <w:r>
              <w:rPr>
                <w:rFonts w:cs="Times New Roman"/>
                <w:sz w:val="21"/>
                <w:szCs w:val="21"/>
              </w:rPr>
              <w:t>火灾时间/min</w:t>
            </w:r>
          </w:p>
        </w:tc>
        <w:tc>
          <w:tcPr>
            <w:tcW w:w="625" w:type="pct"/>
            <w:tcBorders>
              <w:top w:val="single" w:color="auto" w:sz="4" w:space="0"/>
              <w:left w:val="single" w:color="auto" w:sz="4" w:space="0"/>
              <w:bottom w:val="single" w:color="auto" w:sz="4" w:space="0"/>
              <w:right w:val="single" w:color="auto" w:sz="4" w:space="0"/>
            </w:tcBorders>
            <w:vAlign w:val="center"/>
          </w:tcPr>
          <w:p w14:paraId="26D4233E">
            <w:pPr>
              <w:spacing w:line="240" w:lineRule="auto"/>
              <w:jc w:val="center"/>
              <w:rPr>
                <w:rFonts w:cs="Times New Roman"/>
                <w:sz w:val="21"/>
                <w:szCs w:val="21"/>
              </w:rPr>
            </w:pPr>
            <w:r>
              <w:rPr>
                <w:rFonts w:cs="Times New Roman"/>
                <w:sz w:val="21"/>
                <w:szCs w:val="21"/>
              </w:rPr>
              <w:t>伴生产生量/kg</w:t>
            </w:r>
          </w:p>
        </w:tc>
      </w:tr>
      <w:tr w14:paraId="19B0A3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05" w:type="pct"/>
            <w:tcBorders>
              <w:top w:val="single" w:color="auto" w:sz="4" w:space="0"/>
              <w:left w:val="single" w:color="auto" w:sz="4" w:space="0"/>
              <w:right w:val="single" w:color="auto" w:sz="4" w:space="0"/>
            </w:tcBorders>
            <w:vAlign w:val="center"/>
          </w:tcPr>
          <w:p w14:paraId="6EAE60F4">
            <w:pPr>
              <w:spacing w:line="240" w:lineRule="auto"/>
              <w:jc w:val="center"/>
              <w:rPr>
                <w:rFonts w:cs="Times New Roman"/>
                <w:sz w:val="21"/>
                <w:szCs w:val="21"/>
              </w:rPr>
            </w:pPr>
            <w:r>
              <w:rPr>
                <w:rFonts w:cs="Times New Roman"/>
                <w:sz w:val="21"/>
                <w:szCs w:val="21"/>
              </w:rPr>
              <w:t>1</w:t>
            </w:r>
          </w:p>
        </w:tc>
        <w:tc>
          <w:tcPr>
            <w:tcW w:w="843" w:type="pct"/>
            <w:tcBorders>
              <w:top w:val="single" w:color="auto" w:sz="4" w:space="0"/>
              <w:left w:val="single" w:color="auto" w:sz="4" w:space="0"/>
              <w:right w:val="single" w:color="auto" w:sz="4" w:space="0"/>
            </w:tcBorders>
            <w:vAlign w:val="center"/>
          </w:tcPr>
          <w:p w14:paraId="32CA54E5">
            <w:pPr>
              <w:spacing w:line="240" w:lineRule="auto"/>
              <w:jc w:val="center"/>
              <w:rPr>
                <w:rFonts w:cs="Times New Roman"/>
                <w:sz w:val="21"/>
                <w:szCs w:val="21"/>
              </w:rPr>
            </w:pPr>
            <w:r>
              <w:rPr>
                <w:rFonts w:cs="Times New Roman"/>
                <w:sz w:val="21"/>
                <w:szCs w:val="21"/>
              </w:rPr>
              <w:t>发生火灾伴生CO</w:t>
            </w:r>
          </w:p>
        </w:tc>
        <w:tc>
          <w:tcPr>
            <w:tcW w:w="705" w:type="pct"/>
            <w:tcBorders>
              <w:top w:val="single" w:color="auto" w:sz="4" w:space="0"/>
              <w:left w:val="single" w:color="auto" w:sz="4" w:space="0"/>
              <w:right w:val="single" w:color="auto" w:sz="4" w:space="0"/>
            </w:tcBorders>
            <w:vAlign w:val="center"/>
          </w:tcPr>
          <w:p w14:paraId="1727B088">
            <w:pPr>
              <w:spacing w:line="240" w:lineRule="auto"/>
              <w:jc w:val="center"/>
              <w:rPr>
                <w:rFonts w:cs="Times New Roman"/>
                <w:sz w:val="21"/>
                <w:szCs w:val="21"/>
              </w:rPr>
            </w:pPr>
            <w:r>
              <w:rPr>
                <w:rFonts w:hint="eastAsia" w:cs="Times New Roman"/>
                <w:sz w:val="21"/>
                <w:szCs w:val="21"/>
              </w:rPr>
              <w:t>成品储罐</w:t>
            </w:r>
            <w:r>
              <w:rPr>
                <w:rFonts w:cs="Times New Roman"/>
                <w:sz w:val="21"/>
                <w:szCs w:val="21"/>
              </w:rPr>
              <w:t>区</w:t>
            </w:r>
          </w:p>
        </w:tc>
        <w:tc>
          <w:tcPr>
            <w:tcW w:w="469" w:type="pct"/>
            <w:tcBorders>
              <w:top w:val="single" w:color="auto" w:sz="4" w:space="0"/>
              <w:left w:val="single" w:color="auto" w:sz="4" w:space="0"/>
              <w:bottom w:val="single" w:color="auto" w:sz="4" w:space="0"/>
              <w:right w:val="single" w:color="auto" w:sz="4" w:space="0"/>
            </w:tcBorders>
            <w:vAlign w:val="center"/>
          </w:tcPr>
          <w:p w14:paraId="68AC14FD">
            <w:pPr>
              <w:spacing w:line="240" w:lineRule="auto"/>
              <w:jc w:val="center"/>
              <w:rPr>
                <w:rFonts w:cs="Times New Roman"/>
                <w:sz w:val="21"/>
                <w:szCs w:val="21"/>
              </w:rPr>
            </w:pPr>
            <w:r>
              <w:rPr>
                <w:rFonts w:cs="Times New Roman"/>
                <w:sz w:val="21"/>
                <w:szCs w:val="21"/>
              </w:rPr>
              <w:t>CO</w:t>
            </w:r>
          </w:p>
        </w:tc>
        <w:tc>
          <w:tcPr>
            <w:tcW w:w="704" w:type="pct"/>
            <w:tcBorders>
              <w:top w:val="single" w:color="auto" w:sz="4" w:space="0"/>
              <w:left w:val="single" w:color="auto" w:sz="4" w:space="0"/>
              <w:right w:val="single" w:color="auto" w:sz="4" w:space="0"/>
            </w:tcBorders>
            <w:vAlign w:val="center"/>
          </w:tcPr>
          <w:p w14:paraId="2CAE27F8">
            <w:pPr>
              <w:spacing w:line="240" w:lineRule="auto"/>
              <w:jc w:val="center"/>
              <w:rPr>
                <w:rFonts w:cs="Times New Roman"/>
                <w:sz w:val="21"/>
                <w:szCs w:val="21"/>
              </w:rPr>
            </w:pPr>
            <w:r>
              <w:rPr>
                <w:rFonts w:hint="eastAsia" w:cs="Times New Roman"/>
                <w:sz w:val="21"/>
                <w:szCs w:val="21"/>
              </w:rPr>
              <w:t>发散</w:t>
            </w:r>
            <w:r>
              <w:rPr>
                <w:rFonts w:cs="Times New Roman"/>
                <w:sz w:val="21"/>
                <w:szCs w:val="21"/>
              </w:rPr>
              <w:t>到大气中</w:t>
            </w:r>
          </w:p>
        </w:tc>
        <w:tc>
          <w:tcPr>
            <w:tcW w:w="623" w:type="pct"/>
            <w:tcBorders>
              <w:top w:val="single" w:color="auto" w:sz="4" w:space="0"/>
              <w:left w:val="single" w:color="auto" w:sz="4" w:space="0"/>
              <w:bottom w:val="single" w:color="auto" w:sz="4" w:space="0"/>
              <w:right w:val="single" w:color="auto" w:sz="4" w:space="0"/>
            </w:tcBorders>
            <w:vAlign w:val="center"/>
          </w:tcPr>
          <w:p w14:paraId="30402AD0">
            <w:pPr>
              <w:spacing w:line="240" w:lineRule="auto"/>
              <w:jc w:val="center"/>
              <w:rPr>
                <w:rFonts w:cs="Times New Roman"/>
                <w:sz w:val="21"/>
                <w:szCs w:val="21"/>
              </w:rPr>
            </w:pPr>
            <w:r>
              <w:rPr>
                <w:rFonts w:cs="Times New Roman"/>
                <w:sz w:val="21"/>
                <w:szCs w:val="21"/>
              </w:rPr>
              <w:t>0.</w:t>
            </w:r>
            <w:r>
              <w:rPr>
                <w:rFonts w:hint="eastAsia" w:cs="Times New Roman"/>
                <w:sz w:val="21"/>
                <w:szCs w:val="21"/>
              </w:rPr>
              <w:t>558</w:t>
            </w:r>
          </w:p>
        </w:tc>
        <w:tc>
          <w:tcPr>
            <w:tcW w:w="625" w:type="pct"/>
            <w:tcBorders>
              <w:top w:val="single" w:color="auto" w:sz="4" w:space="0"/>
              <w:left w:val="single" w:color="auto" w:sz="4" w:space="0"/>
              <w:right w:val="single" w:color="auto" w:sz="4" w:space="0"/>
            </w:tcBorders>
            <w:vAlign w:val="center"/>
          </w:tcPr>
          <w:p w14:paraId="28B73F9C">
            <w:pPr>
              <w:spacing w:line="240" w:lineRule="auto"/>
              <w:jc w:val="center"/>
              <w:rPr>
                <w:rFonts w:cs="Times New Roman"/>
                <w:sz w:val="21"/>
                <w:szCs w:val="21"/>
              </w:rPr>
            </w:pPr>
            <w:r>
              <w:rPr>
                <w:rFonts w:cs="Times New Roman"/>
                <w:sz w:val="21"/>
                <w:szCs w:val="21"/>
              </w:rPr>
              <w:t>30min</w:t>
            </w:r>
          </w:p>
        </w:tc>
        <w:tc>
          <w:tcPr>
            <w:tcW w:w="625" w:type="pct"/>
            <w:tcBorders>
              <w:top w:val="single" w:color="auto" w:sz="4" w:space="0"/>
              <w:left w:val="single" w:color="auto" w:sz="4" w:space="0"/>
              <w:bottom w:val="single" w:color="auto" w:sz="4" w:space="0"/>
              <w:right w:val="single" w:color="auto" w:sz="4" w:space="0"/>
            </w:tcBorders>
            <w:vAlign w:val="center"/>
          </w:tcPr>
          <w:p w14:paraId="1910198B">
            <w:pPr>
              <w:spacing w:line="240" w:lineRule="auto"/>
              <w:jc w:val="center"/>
              <w:rPr>
                <w:rFonts w:cs="Times New Roman"/>
                <w:sz w:val="21"/>
                <w:szCs w:val="21"/>
              </w:rPr>
            </w:pPr>
            <w:r>
              <w:rPr>
                <w:rFonts w:hint="eastAsia" w:cs="Times New Roman"/>
                <w:sz w:val="21"/>
                <w:szCs w:val="21"/>
              </w:rPr>
              <w:t>1004.4</w:t>
            </w:r>
          </w:p>
        </w:tc>
      </w:tr>
    </w:tbl>
    <w:p w14:paraId="286E8387">
      <w:pPr>
        <w:spacing w:line="360" w:lineRule="auto"/>
        <w:ind w:firstLine="424" w:firstLineChars="177"/>
      </w:pPr>
    </w:p>
    <w:p w14:paraId="32B88C6A">
      <w:pPr>
        <w:pStyle w:val="4"/>
        <w:rPr>
          <w:rFonts w:hint="eastAsia"/>
        </w:rPr>
      </w:pPr>
      <w:bookmarkStart w:id="133" w:name="_Toc221056442"/>
      <w:r>
        <w:rPr>
          <w:rFonts w:hint="eastAsia"/>
        </w:rPr>
        <w:t>6.8.7大气环境风险预测与评价</w:t>
      </w:r>
      <w:bookmarkEnd w:id="133"/>
    </w:p>
    <w:p w14:paraId="6CEF8516">
      <w:pPr>
        <w:pStyle w:val="82"/>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(1)预测范围与计算点</w:t>
      </w:r>
    </w:p>
    <w:p w14:paraId="3BD1A13E">
      <w:pPr>
        <w:pStyle w:val="82"/>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本项目预测范围为距离厂区边界外5km区域。特殊计算点为大气环境敏感目标，一般计算点位下风向不同距离处，间距为50m。</w:t>
      </w:r>
    </w:p>
    <w:p w14:paraId="742391ED">
      <w:pPr>
        <w:pStyle w:val="82"/>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(2)气象参数</w:t>
      </w:r>
    </w:p>
    <w:p w14:paraId="13A2191A">
      <w:pPr>
        <w:pStyle w:val="82"/>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本项目选取最不利气象条件</w:t>
      </w:r>
      <w:r>
        <w:rPr>
          <w:rFonts w:hint="eastAsia" w:ascii="Times New Roman" w:hAnsi="Times New Roman" w:cs="Times New Roman"/>
          <w:color w:val="000000" w:themeColor="text1"/>
          <w14:textFill>
            <w14:solidFill>
              <w14:schemeClr w14:val="tx1"/>
            </w14:solidFill>
          </w14:textFill>
        </w:rPr>
        <w:t>和最常见气象条件</w:t>
      </w:r>
      <w:r>
        <w:rPr>
          <w:rFonts w:ascii="Times New Roman" w:hAnsi="Times New Roman" w:cs="Times New Roman"/>
          <w:color w:val="000000" w:themeColor="text1"/>
          <w14:textFill>
            <w14:solidFill>
              <w14:schemeClr w14:val="tx1"/>
            </w14:solidFill>
          </w14:textFill>
        </w:rPr>
        <w:t>进行后果预测，最不利气象条件取F类稳定度，1.5m/s风速，温度25℃，相对湿度50%</w:t>
      </w:r>
      <w:r>
        <w:rPr>
          <w:rFonts w:hint="eastAsia" w:ascii="Times New Roman" w:hAnsi="Times New Roman" w:cs="Times New Roman"/>
          <w:color w:val="000000" w:themeColor="text1"/>
          <w14:textFill>
            <w14:solidFill>
              <w14:schemeClr w14:val="tx1"/>
            </w14:solidFill>
          </w14:textFill>
        </w:rPr>
        <w:t>，最常见气象条件取D类稳定度，平均风速2.05m/s，最高气温28.19</w:t>
      </w:r>
      <w:r>
        <w:rPr>
          <w:rFonts w:ascii="Times New Roman" w:hAnsi="Times New Roman" w:cs="Times New Roman"/>
          <w:color w:val="000000" w:themeColor="text1"/>
          <w14:textFill>
            <w14:solidFill>
              <w14:schemeClr w14:val="tx1"/>
            </w14:solidFill>
          </w14:textFill>
        </w:rPr>
        <w:t>℃</w:t>
      </w:r>
      <w:r>
        <w:rPr>
          <w:rFonts w:hint="eastAsia" w:ascii="Times New Roman" w:hAnsi="Times New Roman" w:cs="Times New Roman"/>
          <w:color w:val="000000" w:themeColor="text1"/>
          <w14:textFill>
            <w14:solidFill>
              <w14:schemeClr w14:val="tx1"/>
            </w14:solidFill>
          </w14:textFill>
        </w:rPr>
        <w:t>，相对湿度70.28%</w:t>
      </w:r>
      <w:r>
        <w:rPr>
          <w:rFonts w:ascii="Times New Roman" w:hAnsi="Times New Roman" w:cs="Times New Roman"/>
          <w:color w:val="000000" w:themeColor="text1"/>
          <w14:textFill>
            <w14:solidFill>
              <w14:schemeClr w14:val="tx1"/>
            </w14:solidFill>
          </w14:textFill>
        </w:rPr>
        <w:t>。</w:t>
      </w:r>
    </w:p>
    <w:p w14:paraId="4CA9B26B">
      <w:pPr>
        <w:pStyle w:val="82"/>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(3)大气毒性终点浓度值选取</w:t>
      </w:r>
    </w:p>
    <w:p w14:paraId="252E80A6">
      <w:pPr>
        <w:pStyle w:val="82"/>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根据《建设项目环境风险评价技术导则》(HJ169-2018)附录H，</w:t>
      </w:r>
      <w:r>
        <w:rPr>
          <w:rFonts w:hint="eastAsia" w:ascii="Times New Roman" w:hAnsi="Times New Roman" w:cs="Times New Roman"/>
          <w:color w:val="000000" w:themeColor="text1"/>
          <w14:textFill>
            <w14:solidFill>
              <w14:schemeClr w14:val="tx1"/>
            </w14:solidFill>
          </w14:textFill>
        </w:rPr>
        <w:t>间甲酚、CO</w:t>
      </w:r>
      <w:r>
        <w:rPr>
          <w:rFonts w:ascii="Times New Roman" w:hAnsi="Times New Roman" w:cs="Times New Roman"/>
          <w:color w:val="000000" w:themeColor="text1"/>
          <w14:textFill>
            <w14:solidFill>
              <w14:schemeClr w14:val="tx1"/>
            </w14:solidFill>
          </w14:textFill>
        </w:rPr>
        <w:t>的大气毒性终点浓度值如下表所示。</w:t>
      </w:r>
    </w:p>
    <w:p w14:paraId="040A289D">
      <w:pPr>
        <w:pStyle w:val="28"/>
        <w:rPr>
          <w:rFonts w:hint="eastAsia"/>
        </w:rPr>
      </w:pPr>
      <w:r>
        <w:t>表</w:t>
      </w:r>
      <w:r>
        <w:rPr>
          <w:rFonts w:hint="eastAsia"/>
        </w:rPr>
        <w:t>6.9-29</w:t>
      </w:r>
      <w:r>
        <w:t xml:space="preserve">  大气毒性终点浓度值</w:t>
      </w:r>
    </w:p>
    <w:tbl>
      <w:tblPr>
        <w:tblStyle w:val="37"/>
        <w:tblW w:w="5082"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4"/>
        <w:gridCol w:w="902"/>
        <w:gridCol w:w="1133"/>
        <w:gridCol w:w="2551"/>
        <w:gridCol w:w="2411"/>
        <w:gridCol w:w="1558"/>
      </w:tblGrid>
      <w:tr w14:paraId="39E44D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55" w:type="pct"/>
            <w:tcBorders>
              <w:top w:val="single" w:color="auto" w:sz="4" w:space="0"/>
              <w:left w:val="single" w:color="auto" w:sz="4" w:space="0"/>
              <w:bottom w:val="single" w:color="auto" w:sz="4" w:space="0"/>
              <w:right w:val="single" w:color="auto" w:sz="4" w:space="0"/>
            </w:tcBorders>
            <w:vAlign w:val="center"/>
          </w:tcPr>
          <w:p w14:paraId="14C4CD6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序号</w:t>
            </w:r>
          </w:p>
        </w:tc>
        <w:tc>
          <w:tcPr>
            <w:tcW w:w="490" w:type="pct"/>
            <w:tcBorders>
              <w:top w:val="single" w:color="auto" w:sz="4" w:space="0"/>
              <w:left w:val="single" w:color="auto" w:sz="4" w:space="0"/>
              <w:bottom w:val="single" w:color="auto" w:sz="4" w:space="0"/>
              <w:right w:val="single" w:color="auto" w:sz="4" w:space="0"/>
            </w:tcBorders>
            <w:vAlign w:val="center"/>
          </w:tcPr>
          <w:p w14:paraId="5D07BA8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物质</w:t>
            </w:r>
          </w:p>
        </w:tc>
        <w:tc>
          <w:tcPr>
            <w:tcW w:w="615" w:type="pct"/>
            <w:tcBorders>
              <w:top w:val="single" w:color="auto" w:sz="4" w:space="0"/>
              <w:left w:val="single" w:color="auto" w:sz="4" w:space="0"/>
              <w:bottom w:val="single" w:color="auto" w:sz="4" w:space="0"/>
              <w:right w:val="single" w:color="auto" w:sz="4" w:space="0"/>
            </w:tcBorders>
            <w:vAlign w:val="center"/>
          </w:tcPr>
          <w:p w14:paraId="0C8AF6E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CAS号</w:t>
            </w:r>
          </w:p>
        </w:tc>
        <w:tc>
          <w:tcPr>
            <w:tcW w:w="1385" w:type="pct"/>
            <w:tcBorders>
              <w:top w:val="single" w:color="auto" w:sz="4" w:space="0"/>
              <w:left w:val="single" w:color="auto" w:sz="4" w:space="0"/>
              <w:bottom w:val="single" w:color="auto" w:sz="4" w:space="0"/>
              <w:right w:val="single" w:color="auto" w:sz="4" w:space="0"/>
            </w:tcBorders>
            <w:vAlign w:val="center"/>
          </w:tcPr>
          <w:p w14:paraId="4A2DCD8F">
            <w:pPr>
              <w:pStyle w:val="82"/>
              <w:wordWrap w:val="0"/>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毒性终点浓度-1/(mg/m</w:t>
            </w:r>
            <w:r>
              <w:rPr>
                <w:rFonts w:ascii="Times New Roman" w:hAnsi="Times New Roman" w:cs="Times New Roman"/>
                <w:color w:val="000000" w:themeColor="text1"/>
                <w:sz w:val="21"/>
                <w:szCs w:val="21"/>
                <w:vertAlign w:val="superscript"/>
                <w14:textFill>
                  <w14:solidFill>
                    <w14:schemeClr w14:val="tx1"/>
                  </w14:solidFill>
                </w14:textFill>
              </w:rPr>
              <w:t>3</w:t>
            </w:r>
            <w:r>
              <w:rPr>
                <w:rFonts w:ascii="Times New Roman" w:hAnsi="Times New Roman" w:cs="Times New Roman"/>
                <w:color w:val="000000" w:themeColor="text1"/>
                <w:sz w:val="21"/>
                <w:szCs w:val="21"/>
                <w14:textFill>
                  <w14:solidFill>
                    <w14:schemeClr w14:val="tx1"/>
                  </w14:solidFill>
                </w14:textFill>
              </w:rPr>
              <w:t>)</w:t>
            </w:r>
          </w:p>
        </w:tc>
        <w:tc>
          <w:tcPr>
            <w:tcW w:w="1309" w:type="pct"/>
            <w:tcBorders>
              <w:top w:val="single" w:color="auto" w:sz="4" w:space="0"/>
              <w:left w:val="single" w:color="auto" w:sz="4" w:space="0"/>
              <w:bottom w:val="single" w:color="auto" w:sz="4" w:space="0"/>
              <w:right w:val="single" w:color="auto" w:sz="4" w:space="0"/>
            </w:tcBorders>
            <w:vAlign w:val="center"/>
          </w:tcPr>
          <w:p w14:paraId="5A33CD26">
            <w:pPr>
              <w:pStyle w:val="82"/>
              <w:wordWrap w:val="0"/>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毒性终点浓度-2/(mg/m</w:t>
            </w:r>
            <w:r>
              <w:rPr>
                <w:rFonts w:ascii="Times New Roman" w:hAnsi="Times New Roman" w:cs="Times New Roman"/>
                <w:color w:val="000000" w:themeColor="text1"/>
                <w:sz w:val="21"/>
                <w:szCs w:val="21"/>
                <w:vertAlign w:val="superscript"/>
                <w14:textFill>
                  <w14:solidFill>
                    <w14:schemeClr w14:val="tx1"/>
                  </w14:solidFill>
                </w14:textFill>
              </w:rPr>
              <w:t>3</w:t>
            </w:r>
            <w:r>
              <w:rPr>
                <w:rFonts w:ascii="Times New Roman" w:hAnsi="Times New Roman" w:cs="Times New Roman"/>
                <w:color w:val="000000" w:themeColor="text1"/>
                <w:sz w:val="21"/>
                <w:szCs w:val="21"/>
                <w14:textFill>
                  <w14:solidFill>
                    <w14:schemeClr w14:val="tx1"/>
                  </w14:solidFill>
                </w14:textFill>
              </w:rPr>
              <w:t>)</w:t>
            </w:r>
          </w:p>
        </w:tc>
        <w:tc>
          <w:tcPr>
            <w:tcW w:w="846" w:type="pct"/>
          </w:tcPr>
          <w:p w14:paraId="105221B8">
            <w:pPr>
              <w:pStyle w:val="82"/>
              <w:wordWrap w:val="0"/>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备注</w:t>
            </w:r>
          </w:p>
        </w:tc>
      </w:tr>
      <w:tr w14:paraId="6AB711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55" w:type="pct"/>
            <w:tcBorders>
              <w:top w:val="single" w:color="auto" w:sz="4" w:space="0"/>
              <w:left w:val="single" w:color="auto" w:sz="4" w:space="0"/>
              <w:bottom w:val="single" w:color="auto" w:sz="4" w:space="0"/>
              <w:right w:val="single" w:color="auto" w:sz="4" w:space="0"/>
            </w:tcBorders>
            <w:vAlign w:val="center"/>
          </w:tcPr>
          <w:p w14:paraId="067B810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w:t>
            </w:r>
          </w:p>
        </w:tc>
        <w:tc>
          <w:tcPr>
            <w:tcW w:w="490" w:type="pct"/>
            <w:tcBorders>
              <w:top w:val="single" w:color="auto" w:sz="4" w:space="0"/>
              <w:left w:val="single" w:color="auto" w:sz="4" w:space="0"/>
              <w:bottom w:val="single" w:color="auto" w:sz="4" w:space="0"/>
              <w:right w:val="single" w:color="auto" w:sz="4" w:space="0"/>
            </w:tcBorders>
            <w:vAlign w:val="center"/>
          </w:tcPr>
          <w:p w14:paraId="4B10C97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间甲酚</w:t>
            </w:r>
          </w:p>
        </w:tc>
        <w:tc>
          <w:tcPr>
            <w:tcW w:w="615" w:type="pct"/>
            <w:tcBorders>
              <w:top w:val="single" w:color="auto" w:sz="4" w:space="0"/>
              <w:left w:val="single" w:color="auto" w:sz="4" w:space="0"/>
              <w:bottom w:val="single" w:color="auto" w:sz="4" w:space="0"/>
              <w:right w:val="single" w:color="auto" w:sz="4" w:space="0"/>
            </w:tcBorders>
            <w:vAlign w:val="center"/>
          </w:tcPr>
          <w:p w14:paraId="5E0EE79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olor w:val="000000" w:themeColor="text1"/>
                <w:kern w:val="2"/>
                <w:sz w:val="21"/>
                <w:szCs w:val="21"/>
                <w14:textFill>
                  <w14:solidFill>
                    <w14:schemeClr w14:val="tx1"/>
                  </w14:solidFill>
                </w14:textFill>
              </w:rPr>
              <w:t>108</w:t>
            </w:r>
            <w:r>
              <w:rPr>
                <w:rFonts w:ascii="Times New Roman" w:hAnsi="Times New Roman"/>
                <w:color w:val="000000" w:themeColor="text1"/>
                <w:kern w:val="2"/>
                <w:sz w:val="21"/>
                <w:szCs w:val="21"/>
                <w14:textFill>
                  <w14:solidFill>
                    <w14:schemeClr w14:val="tx1"/>
                  </w14:solidFill>
                </w14:textFill>
              </w:rPr>
              <w:t>-</w:t>
            </w:r>
            <w:r>
              <w:rPr>
                <w:rFonts w:hint="eastAsia" w:ascii="Times New Roman" w:hAnsi="Times New Roman"/>
                <w:color w:val="000000" w:themeColor="text1"/>
                <w:kern w:val="2"/>
                <w:sz w:val="21"/>
                <w:szCs w:val="21"/>
                <w14:textFill>
                  <w14:solidFill>
                    <w14:schemeClr w14:val="tx1"/>
                  </w14:solidFill>
                </w14:textFill>
              </w:rPr>
              <w:t>39</w:t>
            </w:r>
            <w:r>
              <w:rPr>
                <w:rFonts w:ascii="Times New Roman" w:hAnsi="Times New Roman"/>
                <w:color w:val="000000" w:themeColor="text1"/>
                <w:kern w:val="2"/>
                <w:sz w:val="21"/>
                <w:szCs w:val="21"/>
                <w14:textFill>
                  <w14:solidFill>
                    <w14:schemeClr w14:val="tx1"/>
                  </w14:solidFill>
                </w14:textFill>
              </w:rPr>
              <w:t>-</w:t>
            </w:r>
            <w:r>
              <w:rPr>
                <w:rFonts w:hint="eastAsia" w:ascii="Times New Roman" w:hAnsi="Times New Roman"/>
                <w:color w:val="000000" w:themeColor="text1"/>
                <w:kern w:val="2"/>
                <w:sz w:val="21"/>
                <w:szCs w:val="21"/>
                <w14:textFill>
                  <w14:solidFill>
                    <w14:schemeClr w14:val="tx1"/>
                  </w14:solidFill>
                </w14:textFill>
              </w:rPr>
              <w:t>4</w:t>
            </w:r>
          </w:p>
        </w:tc>
        <w:tc>
          <w:tcPr>
            <w:tcW w:w="1385" w:type="pct"/>
            <w:tcBorders>
              <w:top w:val="single" w:color="auto" w:sz="4" w:space="0"/>
              <w:left w:val="single" w:color="auto" w:sz="4" w:space="0"/>
              <w:bottom w:val="single" w:color="auto" w:sz="4" w:space="0"/>
              <w:right w:val="single" w:color="auto" w:sz="4" w:space="0"/>
            </w:tcBorders>
            <w:vAlign w:val="center"/>
          </w:tcPr>
          <w:p w14:paraId="7CD6D57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770</w:t>
            </w:r>
          </w:p>
        </w:tc>
        <w:tc>
          <w:tcPr>
            <w:tcW w:w="1309" w:type="pct"/>
            <w:tcBorders>
              <w:top w:val="single" w:color="auto" w:sz="4" w:space="0"/>
              <w:left w:val="single" w:color="auto" w:sz="4" w:space="0"/>
              <w:bottom w:val="single" w:color="auto" w:sz="4" w:space="0"/>
              <w:right w:val="single" w:color="auto" w:sz="4" w:space="0"/>
            </w:tcBorders>
            <w:vAlign w:val="center"/>
          </w:tcPr>
          <w:p w14:paraId="58C7C84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88</w:t>
            </w:r>
          </w:p>
        </w:tc>
        <w:tc>
          <w:tcPr>
            <w:tcW w:w="846" w:type="pct"/>
            <w:vAlign w:val="center"/>
          </w:tcPr>
          <w:p w14:paraId="035B902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参考苯酚执行</w:t>
            </w:r>
          </w:p>
        </w:tc>
      </w:tr>
      <w:tr w14:paraId="797493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55" w:type="pct"/>
            <w:tcBorders>
              <w:top w:val="single" w:color="auto" w:sz="4" w:space="0"/>
              <w:left w:val="single" w:color="auto" w:sz="4" w:space="0"/>
              <w:bottom w:val="single" w:color="auto" w:sz="4" w:space="0"/>
              <w:right w:val="single" w:color="auto" w:sz="4" w:space="0"/>
            </w:tcBorders>
            <w:vAlign w:val="center"/>
          </w:tcPr>
          <w:p w14:paraId="0C2BE39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w:t>
            </w:r>
          </w:p>
        </w:tc>
        <w:tc>
          <w:tcPr>
            <w:tcW w:w="490" w:type="pct"/>
            <w:tcBorders>
              <w:top w:val="single" w:color="auto" w:sz="4" w:space="0"/>
              <w:left w:val="single" w:color="auto" w:sz="4" w:space="0"/>
              <w:bottom w:val="single" w:color="auto" w:sz="4" w:space="0"/>
              <w:right w:val="single" w:color="auto" w:sz="4" w:space="0"/>
            </w:tcBorders>
            <w:vAlign w:val="center"/>
          </w:tcPr>
          <w:p w14:paraId="0AC7081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CO</w:t>
            </w:r>
          </w:p>
        </w:tc>
        <w:tc>
          <w:tcPr>
            <w:tcW w:w="615" w:type="pct"/>
            <w:tcBorders>
              <w:top w:val="single" w:color="auto" w:sz="4" w:space="0"/>
              <w:left w:val="single" w:color="auto" w:sz="4" w:space="0"/>
              <w:bottom w:val="single" w:color="auto" w:sz="4" w:space="0"/>
              <w:right w:val="single" w:color="auto" w:sz="4" w:space="0"/>
            </w:tcBorders>
            <w:vAlign w:val="center"/>
          </w:tcPr>
          <w:p w14:paraId="108E84A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olor w:val="000000" w:themeColor="text1"/>
                <w:kern w:val="2"/>
                <w:sz w:val="21"/>
                <w:szCs w:val="21"/>
                <w14:textFill>
                  <w14:solidFill>
                    <w14:schemeClr w14:val="tx1"/>
                  </w14:solidFill>
                </w14:textFill>
              </w:rPr>
              <w:t>630-08-0</w:t>
            </w:r>
          </w:p>
        </w:tc>
        <w:tc>
          <w:tcPr>
            <w:tcW w:w="1385" w:type="pct"/>
            <w:tcBorders>
              <w:top w:val="single" w:color="auto" w:sz="4" w:space="0"/>
              <w:left w:val="single" w:color="auto" w:sz="4" w:space="0"/>
              <w:bottom w:val="single" w:color="auto" w:sz="4" w:space="0"/>
              <w:right w:val="single" w:color="auto" w:sz="4" w:space="0"/>
            </w:tcBorders>
            <w:vAlign w:val="center"/>
          </w:tcPr>
          <w:p w14:paraId="468468F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olor w:val="000000" w:themeColor="text1"/>
                <w:kern w:val="2"/>
                <w:sz w:val="21"/>
                <w:szCs w:val="21"/>
                <w14:textFill>
                  <w14:solidFill>
                    <w14:schemeClr w14:val="tx1"/>
                  </w14:solidFill>
                </w14:textFill>
              </w:rPr>
              <w:t>380</w:t>
            </w:r>
          </w:p>
        </w:tc>
        <w:tc>
          <w:tcPr>
            <w:tcW w:w="1309" w:type="pct"/>
            <w:tcBorders>
              <w:top w:val="single" w:color="auto" w:sz="4" w:space="0"/>
              <w:left w:val="single" w:color="auto" w:sz="4" w:space="0"/>
              <w:bottom w:val="single" w:color="auto" w:sz="4" w:space="0"/>
              <w:right w:val="single" w:color="auto" w:sz="4" w:space="0"/>
            </w:tcBorders>
            <w:vAlign w:val="center"/>
          </w:tcPr>
          <w:p w14:paraId="60BAB0B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olor w:val="000000" w:themeColor="text1"/>
                <w:kern w:val="2"/>
                <w:sz w:val="21"/>
                <w:szCs w:val="21"/>
                <w14:textFill>
                  <w14:solidFill>
                    <w14:schemeClr w14:val="tx1"/>
                  </w14:solidFill>
                </w14:textFill>
              </w:rPr>
              <w:t>95</w:t>
            </w:r>
          </w:p>
        </w:tc>
        <w:tc>
          <w:tcPr>
            <w:tcW w:w="846" w:type="pct"/>
            <w:vAlign w:val="center"/>
          </w:tcPr>
          <w:p w14:paraId="7519CA5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w:t>
            </w:r>
          </w:p>
        </w:tc>
      </w:tr>
    </w:tbl>
    <w:p w14:paraId="0857B0E4">
      <w:pPr>
        <w:rPr>
          <w:rFonts w:cs="Times New Roman"/>
          <w:spacing w:val="-3"/>
        </w:rPr>
      </w:pPr>
    </w:p>
    <w:p w14:paraId="2729C6F6">
      <w:pPr>
        <w:pStyle w:val="82"/>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(4)预测模型</w:t>
      </w:r>
    </w:p>
    <w:p w14:paraId="08C2A4AF">
      <w:pPr>
        <w:pStyle w:val="82"/>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根据《建设项目环境风险评价技术导则》</w:t>
      </w:r>
      <w:r>
        <w:rPr>
          <w:rFonts w:hint="eastAsia" w:ascii="Times New Roman" w:hAnsi="Times New Roman" w:cs="Times New Roman"/>
          <w:color w:val="000000" w:themeColor="text1"/>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HJ169-2018</w:t>
      </w:r>
      <w:r>
        <w:rPr>
          <w:rFonts w:hint="eastAsia" w:ascii="Times New Roman" w:hAnsi="Times New Roman" w:cs="Times New Roman"/>
          <w:color w:val="000000" w:themeColor="text1"/>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中附录G的规定，本项目</w:t>
      </w:r>
      <w:r>
        <w:rPr>
          <w:rFonts w:hint="eastAsia" w:ascii="Times New Roman" w:hAnsi="Times New Roman" w:cs="Times New Roman"/>
          <w:color w:val="000000" w:themeColor="text1"/>
          <w14:textFill>
            <w14:solidFill>
              <w14:schemeClr w14:val="tx1"/>
            </w14:solidFill>
          </w14:textFill>
        </w:rPr>
        <w:t>间甲酚、CO</w:t>
      </w:r>
      <w:r>
        <w:rPr>
          <w:rFonts w:ascii="Times New Roman" w:hAnsi="Times New Roman" w:cs="Times New Roman"/>
          <w:color w:val="000000" w:themeColor="text1"/>
          <w14:textFill>
            <w14:solidFill>
              <w14:schemeClr w14:val="tx1"/>
            </w14:solidFill>
          </w14:textFill>
        </w:rPr>
        <w:t>预测采用AFTOX模型。</w:t>
      </w:r>
    </w:p>
    <w:p w14:paraId="2E3494D5">
      <w:pPr>
        <w:pStyle w:val="28"/>
        <w:rPr>
          <w:rFonts w:hint="eastAsia"/>
        </w:rPr>
      </w:pPr>
      <w:r>
        <w:t>表6.9-</w:t>
      </w:r>
      <w:r>
        <w:rPr>
          <w:rFonts w:hint="eastAsia"/>
        </w:rPr>
        <w:t>30</w:t>
      </w:r>
      <w:r>
        <w:t xml:space="preserve">  预测模型主要参数表</w:t>
      </w:r>
    </w:p>
    <w:tbl>
      <w:tblPr>
        <w:tblStyle w:val="3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65"/>
        <w:gridCol w:w="2122"/>
        <w:gridCol w:w="2336"/>
        <w:gridCol w:w="2337"/>
      </w:tblGrid>
      <w:tr w14:paraId="2F1BFE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50" w:type="pct"/>
            <w:tcBorders>
              <w:top w:val="single" w:color="auto" w:sz="4" w:space="0"/>
              <w:left w:val="single" w:color="auto" w:sz="4" w:space="0"/>
              <w:bottom w:val="single" w:color="auto" w:sz="4" w:space="0"/>
              <w:right w:val="single" w:color="auto" w:sz="4" w:space="0"/>
            </w:tcBorders>
            <w:vAlign w:val="center"/>
          </w:tcPr>
          <w:p w14:paraId="323E7F4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参数类型</w:t>
            </w:r>
          </w:p>
        </w:tc>
        <w:tc>
          <w:tcPr>
            <w:tcW w:w="1171" w:type="pct"/>
            <w:tcBorders>
              <w:top w:val="single" w:color="auto" w:sz="4" w:space="0"/>
              <w:left w:val="single" w:color="auto" w:sz="4" w:space="0"/>
              <w:bottom w:val="single" w:color="auto" w:sz="4" w:space="0"/>
              <w:right w:val="single" w:color="auto" w:sz="4" w:space="0"/>
            </w:tcBorders>
            <w:vAlign w:val="center"/>
          </w:tcPr>
          <w:p w14:paraId="22A4AC3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选项</w:t>
            </w:r>
          </w:p>
        </w:tc>
        <w:tc>
          <w:tcPr>
            <w:tcW w:w="2579" w:type="pct"/>
            <w:gridSpan w:val="2"/>
            <w:tcBorders>
              <w:top w:val="single" w:color="auto" w:sz="4" w:space="0"/>
              <w:left w:val="single" w:color="auto" w:sz="4" w:space="0"/>
              <w:bottom w:val="single" w:color="auto" w:sz="4" w:space="0"/>
              <w:right w:val="single" w:color="auto" w:sz="4" w:space="0"/>
            </w:tcBorders>
            <w:vAlign w:val="center"/>
          </w:tcPr>
          <w:p w14:paraId="226F9E6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参数</w:t>
            </w:r>
          </w:p>
        </w:tc>
      </w:tr>
      <w:tr w14:paraId="5A44E0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50" w:type="pct"/>
            <w:vMerge w:val="restart"/>
            <w:tcBorders>
              <w:top w:val="nil"/>
              <w:left w:val="single" w:color="auto" w:sz="4" w:space="0"/>
              <w:bottom w:val="single" w:color="auto" w:sz="4" w:space="0"/>
              <w:right w:val="single" w:color="auto" w:sz="4" w:space="0"/>
            </w:tcBorders>
            <w:vAlign w:val="center"/>
          </w:tcPr>
          <w:p w14:paraId="6007F95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基本情况</w:t>
            </w:r>
            <w:r>
              <w:rPr>
                <w:rFonts w:hint="eastAsia" w:ascii="Times New Roman" w:hAnsi="Times New Roman" w:cs="Times New Roman"/>
                <w:color w:val="000000" w:themeColor="text1"/>
                <w:sz w:val="21"/>
                <w:szCs w:val="21"/>
                <w14:textFill>
                  <w14:solidFill>
                    <w14:schemeClr w14:val="tx1"/>
                  </w14:solidFill>
                </w14:textFill>
              </w:rPr>
              <w:t>1</w:t>
            </w:r>
          </w:p>
        </w:tc>
        <w:tc>
          <w:tcPr>
            <w:tcW w:w="1171" w:type="pct"/>
            <w:tcBorders>
              <w:top w:val="single" w:color="auto" w:sz="4" w:space="0"/>
              <w:left w:val="single" w:color="auto" w:sz="4" w:space="0"/>
              <w:bottom w:val="single" w:color="auto" w:sz="4" w:space="0"/>
              <w:right w:val="single" w:color="auto" w:sz="4" w:space="0"/>
            </w:tcBorders>
            <w:vAlign w:val="center"/>
          </w:tcPr>
          <w:p w14:paraId="2CF55B4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事故源经度/(°)</w:t>
            </w:r>
          </w:p>
        </w:tc>
        <w:tc>
          <w:tcPr>
            <w:tcW w:w="2579" w:type="pct"/>
            <w:gridSpan w:val="2"/>
            <w:tcBorders>
              <w:top w:val="single" w:color="auto" w:sz="4" w:space="0"/>
              <w:left w:val="single" w:color="auto" w:sz="4" w:space="0"/>
              <w:bottom w:val="single" w:color="auto" w:sz="4" w:space="0"/>
              <w:right w:val="single" w:color="auto" w:sz="4" w:space="0"/>
            </w:tcBorders>
            <w:vAlign w:val="center"/>
          </w:tcPr>
          <w:p w14:paraId="5BBC1A2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117.597843</w:t>
            </w:r>
          </w:p>
        </w:tc>
      </w:tr>
      <w:tr w14:paraId="77F3D1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tcBorders>
              <w:top w:val="nil"/>
              <w:left w:val="single" w:color="auto" w:sz="4" w:space="0"/>
              <w:bottom w:val="single" w:color="auto" w:sz="4" w:space="0"/>
              <w:right w:val="single" w:color="auto" w:sz="4" w:space="0"/>
            </w:tcBorders>
            <w:vAlign w:val="center"/>
          </w:tcPr>
          <w:p w14:paraId="1F5AED8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c>
          <w:tcPr>
            <w:tcW w:w="1171" w:type="pct"/>
            <w:tcBorders>
              <w:top w:val="single" w:color="auto" w:sz="4" w:space="0"/>
              <w:left w:val="single" w:color="auto" w:sz="4" w:space="0"/>
              <w:bottom w:val="single" w:color="auto" w:sz="4" w:space="0"/>
              <w:right w:val="single" w:color="auto" w:sz="4" w:space="0"/>
            </w:tcBorders>
            <w:vAlign w:val="center"/>
          </w:tcPr>
          <w:p w14:paraId="7E5759C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事故源纬度/(°)</w:t>
            </w:r>
          </w:p>
        </w:tc>
        <w:tc>
          <w:tcPr>
            <w:tcW w:w="2579" w:type="pct"/>
            <w:gridSpan w:val="2"/>
            <w:tcBorders>
              <w:top w:val="single" w:color="auto" w:sz="4" w:space="0"/>
              <w:left w:val="single" w:color="auto" w:sz="4" w:space="0"/>
              <w:bottom w:val="single" w:color="auto" w:sz="4" w:space="0"/>
              <w:right w:val="single" w:color="auto" w:sz="4" w:space="0"/>
            </w:tcBorders>
            <w:vAlign w:val="center"/>
          </w:tcPr>
          <w:p w14:paraId="781C7CF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32.990090</w:t>
            </w:r>
          </w:p>
        </w:tc>
      </w:tr>
      <w:tr w14:paraId="751AB7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tcBorders>
              <w:top w:val="nil"/>
              <w:left w:val="single" w:color="auto" w:sz="4" w:space="0"/>
              <w:bottom w:val="single" w:color="auto" w:sz="4" w:space="0"/>
              <w:right w:val="single" w:color="auto" w:sz="4" w:space="0"/>
            </w:tcBorders>
            <w:vAlign w:val="center"/>
          </w:tcPr>
          <w:p w14:paraId="5FAF47E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c>
          <w:tcPr>
            <w:tcW w:w="1171" w:type="pct"/>
            <w:tcBorders>
              <w:top w:val="single" w:color="auto" w:sz="4" w:space="0"/>
              <w:left w:val="single" w:color="auto" w:sz="4" w:space="0"/>
              <w:bottom w:val="single" w:color="auto" w:sz="4" w:space="0"/>
              <w:right w:val="single" w:color="auto" w:sz="4" w:space="0"/>
            </w:tcBorders>
            <w:vAlign w:val="center"/>
          </w:tcPr>
          <w:p w14:paraId="6266906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事故源类型</w:t>
            </w:r>
          </w:p>
        </w:tc>
        <w:tc>
          <w:tcPr>
            <w:tcW w:w="2579" w:type="pct"/>
            <w:gridSpan w:val="2"/>
            <w:tcBorders>
              <w:top w:val="single" w:color="auto" w:sz="4" w:space="0"/>
              <w:left w:val="single" w:color="auto" w:sz="4" w:space="0"/>
              <w:bottom w:val="single" w:color="auto" w:sz="4" w:space="0"/>
              <w:right w:val="single" w:color="auto" w:sz="4" w:space="0"/>
            </w:tcBorders>
            <w:vAlign w:val="center"/>
          </w:tcPr>
          <w:p w14:paraId="13BDD82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间甲酚储罐</w:t>
            </w:r>
            <w:r>
              <w:rPr>
                <w:rFonts w:ascii="Times New Roman" w:hAnsi="Times New Roman" w:cs="Times New Roman"/>
                <w:color w:val="000000" w:themeColor="text1"/>
                <w:sz w:val="21"/>
                <w:szCs w:val="21"/>
                <w14:textFill>
                  <w14:solidFill>
                    <w14:schemeClr w14:val="tx1"/>
                  </w14:solidFill>
                </w14:textFill>
              </w:rPr>
              <w:t>泄漏</w:t>
            </w:r>
          </w:p>
        </w:tc>
      </w:tr>
      <w:tr w14:paraId="3CD0CD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restart"/>
            <w:tcBorders>
              <w:top w:val="nil"/>
              <w:left w:val="single" w:color="auto" w:sz="4" w:space="0"/>
              <w:right w:val="single" w:color="auto" w:sz="4" w:space="0"/>
            </w:tcBorders>
            <w:vAlign w:val="center"/>
          </w:tcPr>
          <w:p w14:paraId="1D0EAB7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基本情况</w:t>
            </w:r>
            <w:r>
              <w:rPr>
                <w:rFonts w:hint="eastAsia" w:ascii="Times New Roman" w:hAnsi="Times New Roman" w:cs="Times New Roman"/>
                <w:color w:val="000000" w:themeColor="text1"/>
                <w:sz w:val="21"/>
                <w:szCs w:val="21"/>
                <w14:textFill>
                  <w14:solidFill>
                    <w14:schemeClr w14:val="tx1"/>
                  </w14:solidFill>
                </w14:textFill>
              </w:rPr>
              <w:t>2</w:t>
            </w:r>
          </w:p>
        </w:tc>
        <w:tc>
          <w:tcPr>
            <w:tcW w:w="1171" w:type="pct"/>
            <w:tcBorders>
              <w:top w:val="single" w:color="auto" w:sz="4" w:space="0"/>
              <w:left w:val="single" w:color="auto" w:sz="4" w:space="0"/>
              <w:bottom w:val="single" w:color="auto" w:sz="4" w:space="0"/>
              <w:right w:val="single" w:color="auto" w:sz="4" w:space="0"/>
            </w:tcBorders>
            <w:vAlign w:val="center"/>
          </w:tcPr>
          <w:p w14:paraId="56D46F5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事故源经度/(°)</w:t>
            </w:r>
          </w:p>
        </w:tc>
        <w:tc>
          <w:tcPr>
            <w:tcW w:w="2579" w:type="pct"/>
            <w:gridSpan w:val="2"/>
            <w:tcBorders>
              <w:top w:val="single" w:color="auto" w:sz="4" w:space="0"/>
              <w:left w:val="single" w:color="auto" w:sz="4" w:space="0"/>
              <w:bottom w:val="single" w:color="auto" w:sz="4" w:space="0"/>
              <w:right w:val="single" w:color="auto" w:sz="4" w:space="0"/>
            </w:tcBorders>
            <w:vAlign w:val="center"/>
          </w:tcPr>
          <w:p w14:paraId="2EC0FDA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117.597398</w:t>
            </w:r>
          </w:p>
        </w:tc>
      </w:tr>
      <w:tr w14:paraId="3EEF04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tcBorders>
              <w:left w:val="single" w:color="auto" w:sz="4" w:space="0"/>
              <w:right w:val="single" w:color="auto" w:sz="4" w:space="0"/>
            </w:tcBorders>
            <w:vAlign w:val="center"/>
          </w:tcPr>
          <w:p w14:paraId="315D51A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c>
          <w:tcPr>
            <w:tcW w:w="1171" w:type="pct"/>
            <w:tcBorders>
              <w:top w:val="single" w:color="auto" w:sz="4" w:space="0"/>
              <w:left w:val="single" w:color="auto" w:sz="4" w:space="0"/>
              <w:bottom w:val="single" w:color="auto" w:sz="4" w:space="0"/>
              <w:right w:val="single" w:color="auto" w:sz="4" w:space="0"/>
            </w:tcBorders>
            <w:vAlign w:val="center"/>
          </w:tcPr>
          <w:p w14:paraId="641266F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事故源纬度/(°)</w:t>
            </w:r>
          </w:p>
        </w:tc>
        <w:tc>
          <w:tcPr>
            <w:tcW w:w="2579" w:type="pct"/>
            <w:gridSpan w:val="2"/>
            <w:tcBorders>
              <w:top w:val="single" w:color="auto" w:sz="4" w:space="0"/>
              <w:left w:val="single" w:color="auto" w:sz="4" w:space="0"/>
              <w:bottom w:val="single" w:color="auto" w:sz="4" w:space="0"/>
              <w:right w:val="single" w:color="auto" w:sz="4" w:space="0"/>
            </w:tcBorders>
            <w:vAlign w:val="center"/>
          </w:tcPr>
          <w:p w14:paraId="310599E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32.990099</w:t>
            </w:r>
          </w:p>
        </w:tc>
      </w:tr>
      <w:tr w14:paraId="24B24E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tcBorders>
              <w:left w:val="single" w:color="auto" w:sz="4" w:space="0"/>
              <w:bottom w:val="single" w:color="auto" w:sz="4" w:space="0"/>
              <w:right w:val="single" w:color="auto" w:sz="4" w:space="0"/>
            </w:tcBorders>
            <w:vAlign w:val="center"/>
          </w:tcPr>
          <w:p w14:paraId="7296D41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c>
          <w:tcPr>
            <w:tcW w:w="1171" w:type="pct"/>
            <w:tcBorders>
              <w:top w:val="single" w:color="auto" w:sz="4" w:space="0"/>
              <w:left w:val="single" w:color="auto" w:sz="4" w:space="0"/>
              <w:bottom w:val="single" w:color="auto" w:sz="4" w:space="0"/>
              <w:right w:val="single" w:color="auto" w:sz="4" w:space="0"/>
            </w:tcBorders>
            <w:vAlign w:val="center"/>
          </w:tcPr>
          <w:p w14:paraId="1F52ED4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事故源类型</w:t>
            </w:r>
          </w:p>
        </w:tc>
        <w:tc>
          <w:tcPr>
            <w:tcW w:w="2579" w:type="pct"/>
            <w:gridSpan w:val="2"/>
            <w:tcBorders>
              <w:top w:val="single" w:color="auto" w:sz="4" w:space="0"/>
              <w:left w:val="single" w:color="auto" w:sz="4" w:space="0"/>
              <w:bottom w:val="single" w:color="auto" w:sz="4" w:space="0"/>
              <w:right w:val="single" w:color="auto" w:sz="4" w:space="0"/>
            </w:tcBorders>
            <w:vAlign w:val="center"/>
          </w:tcPr>
          <w:p w14:paraId="4B660A9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间对甲酚储罐泄露火灾次生影响</w:t>
            </w:r>
          </w:p>
        </w:tc>
      </w:tr>
      <w:tr w14:paraId="2EC64D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50" w:type="pct"/>
            <w:vMerge w:val="restart"/>
            <w:tcBorders>
              <w:top w:val="nil"/>
              <w:left w:val="single" w:color="auto" w:sz="4" w:space="0"/>
              <w:bottom w:val="single" w:color="auto" w:sz="4" w:space="0"/>
              <w:right w:val="single" w:color="auto" w:sz="4" w:space="0"/>
            </w:tcBorders>
            <w:vAlign w:val="center"/>
          </w:tcPr>
          <w:p w14:paraId="6773BAD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气象参数</w:t>
            </w:r>
          </w:p>
        </w:tc>
        <w:tc>
          <w:tcPr>
            <w:tcW w:w="1171" w:type="pct"/>
            <w:tcBorders>
              <w:top w:val="single" w:color="auto" w:sz="4" w:space="0"/>
              <w:left w:val="single" w:color="auto" w:sz="4" w:space="0"/>
              <w:bottom w:val="single" w:color="auto" w:sz="4" w:space="0"/>
              <w:right w:val="single" w:color="auto" w:sz="4" w:space="0"/>
            </w:tcBorders>
            <w:vAlign w:val="center"/>
          </w:tcPr>
          <w:p w14:paraId="5DD2B6A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气象条件类型</w:t>
            </w:r>
          </w:p>
        </w:tc>
        <w:tc>
          <w:tcPr>
            <w:tcW w:w="1289" w:type="pct"/>
            <w:tcBorders>
              <w:top w:val="single" w:color="auto" w:sz="4" w:space="0"/>
              <w:left w:val="single" w:color="auto" w:sz="4" w:space="0"/>
              <w:bottom w:val="single" w:color="auto" w:sz="4" w:space="0"/>
              <w:right w:val="single" w:color="auto" w:sz="4" w:space="0"/>
            </w:tcBorders>
            <w:vAlign w:val="center"/>
          </w:tcPr>
          <w:p w14:paraId="77B5C62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最不利气象</w:t>
            </w:r>
          </w:p>
        </w:tc>
        <w:tc>
          <w:tcPr>
            <w:tcW w:w="1290" w:type="pct"/>
            <w:tcBorders>
              <w:top w:val="single" w:color="auto" w:sz="4" w:space="0"/>
              <w:left w:val="single" w:color="auto" w:sz="4" w:space="0"/>
              <w:bottom w:val="single" w:color="auto" w:sz="4" w:space="0"/>
              <w:right w:val="single" w:color="auto" w:sz="4" w:space="0"/>
            </w:tcBorders>
            <w:vAlign w:val="center"/>
          </w:tcPr>
          <w:p w14:paraId="137FF42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最常见气象</w:t>
            </w:r>
          </w:p>
        </w:tc>
      </w:tr>
      <w:tr w14:paraId="7B28BB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tcBorders>
              <w:top w:val="nil"/>
              <w:left w:val="single" w:color="auto" w:sz="4" w:space="0"/>
              <w:bottom w:val="single" w:color="auto" w:sz="4" w:space="0"/>
              <w:right w:val="single" w:color="auto" w:sz="4" w:space="0"/>
            </w:tcBorders>
            <w:vAlign w:val="center"/>
          </w:tcPr>
          <w:p w14:paraId="0890EB6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c>
          <w:tcPr>
            <w:tcW w:w="1171" w:type="pct"/>
            <w:tcBorders>
              <w:top w:val="single" w:color="auto" w:sz="4" w:space="0"/>
              <w:left w:val="single" w:color="auto" w:sz="4" w:space="0"/>
              <w:bottom w:val="single" w:color="auto" w:sz="4" w:space="0"/>
              <w:right w:val="single" w:color="auto" w:sz="4" w:space="0"/>
            </w:tcBorders>
            <w:vAlign w:val="center"/>
          </w:tcPr>
          <w:p w14:paraId="3AA3932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风速/(m/s)</w:t>
            </w:r>
          </w:p>
        </w:tc>
        <w:tc>
          <w:tcPr>
            <w:tcW w:w="1289" w:type="pct"/>
            <w:tcBorders>
              <w:top w:val="single" w:color="auto" w:sz="4" w:space="0"/>
              <w:left w:val="single" w:color="auto" w:sz="4" w:space="0"/>
              <w:bottom w:val="single" w:color="auto" w:sz="4" w:space="0"/>
              <w:right w:val="single" w:color="auto" w:sz="4" w:space="0"/>
            </w:tcBorders>
            <w:vAlign w:val="center"/>
          </w:tcPr>
          <w:p w14:paraId="3050221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1.5</w:t>
            </w:r>
          </w:p>
        </w:tc>
        <w:tc>
          <w:tcPr>
            <w:tcW w:w="1290" w:type="pct"/>
            <w:tcBorders>
              <w:top w:val="single" w:color="auto" w:sz="4" w:space="0"/>
              <w:left w:val="single" w:color="auto" w:sz="4" w:space="0"/>
              <w:bottom w:val="single" w:color="auto" w:sz="4" w:space="0"/>
              <w:right w:val="single" w:color="auto" w:sz="4" w:space="0"/>
            </w:tcBorders>
            <w:vAlign w:val="center"/>
          </w:tcPr>
          <w:p w14:paraId="0D39BD8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2.05</w:t>
            </w:r>
          </w:p>
        </w:tc>
      </w:tr>
      <w:tr w14:paraId="0ED873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tcBorders>
              <w:top w:val="nil"/>
              <w:left w:val="single" w:color="auto" w:sz="4" w:space="0"/>
              <w:bottom w:val="single" w:color="auto" w:sz="4" w:space="0"/>
              <w:right w:val="single" w:color="auto" w:sz="4" w:space="0"/>
            </w:tcBorders>
            <w:vAlign w:val="center"/>
          </w:tcPr>
          <w:p w14:paraId="64B5FC8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c>
          <w:tcPr>
            <w:tcW w:w="1171" w:type="pct"/>
            <w:tcBorders>
              <w:top w:val="single" w:color="auto" w:sz="4" w:space="0"/>
              <w:left w:val="single" w:color="auto" w:sz="4" w:space="0"/>
              <w:bottom w:val="single" w:color="auto" w:sz="4" w:space="0"/>
              <w:right w:val="single" w:color="auto" w:sz="4" w:space="0"/>
            </w:tcBorders>
            <w:vAlign w:val="center"/>
          </w:tcPr>
          <w:p w14:paraId="34A57E9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环境温度/℃</w:t>
            </w:r>
          </w:p>
        </w:tc>
        <w:tc>
          <w:tcPr>
            <w:tcW w:w="1289" w:type="pct"/>
            <w:tcBorders>
              <w:top w:val="single" w:color="auto" w:sz="4" w:space="0"/>
              <w:left w:val="single" w:color="auto" w:sz="4" w:space="0"/>
              <w:bottom w:val="single" w:color="auto" w:sz="4" w:space="0"/>
              <w:right w:val="single" w:color="auto" w:sz="4" w:space="0"/>
            </w:tcBorders>
            <w:vAlign w:val="center"/>
          </w:tcPr>
          <w:p w14:paraId="4BF54B0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25</w:t>
            </w:r>
          </w:p>
        </w:tc>
        <w:tc>
          <w:tcPr>
            <w:tcW w:w="1290" w:type="pct"/>
            <w:tcBorders>
              <w:top w:val="single" w:color="auto" w:sz="4" w:space="0"/>
              <w:left w:val="single" w:color="auto" w:sz="4" w:space="0"/>
              <w:bottom w:val="single" w:color="auto" w:sz="4" w:space="0"/>
              <w:right w:val="single" w:color="auto" w:sz="4" w:space="0"/>
            </w:tcBorders>
            <w:vAlign w:val="center"/>
          </w:tcPr>
          <w:p w14:paraId="1C4B466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28.19</w:t>
            </w:r>
          </w:p>
        </w:tc>
      </w:tr>
      <w:tr w14:paraId="005563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tcBorders>
              <w:top w:val="nil"/>
              <w:left w:val="single" w:color="auto" w:sz="4" w:space="0"/>
              <w:bottom w:val="single" w:color="auto" w:sz="4" w:space="0"/>
              <w:right w:val="single" w:color="auto" w:sz="4" w:space="0"/>
            </w:tcBorders>
            <w:vAlign w:val="center"/>
          </w:tcPr>
          <w:p w14:paraId="20C6463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c>
          <w:tcPr>
            <w:tcW w:w="1171" w:type="pct"/>
            <w:tcBorders>
              <w:top w:val="single" w:color="auto" w:sz="4" w:space="0"/>
              <w:left w:val="single" w:color="auto" w:sz="4" w:space="0"/>
              <w:bottom w:val="single" w:color="auto" w:sz="4" w:space="0"/>
              <w:right w:val="single" w:color="auto" w:sz="4" w:space="0"/>
            </w:tcBorders>
            <w:vAlign w:val="center"/>
          </w:tcPr>
          <w:p w14:paraId="71802B1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相对湿度/%</w:t>
            </w:r>
          </w:p>
        </w:tc>
        <w:tc>
          <w:tcPr>
            <w:tcW w:w="1289" w:type="pct"/>
            <w:tcBorders>
              <w:top w:val="single" w:color="auto" w:sz="4" w:space="0"/>
              <w:left w:val="single" w:color="auto" w:sz="4" w:space="0"/>
              <w:bottom w:val="single" w:color="auto" w:sz="4" w:space="0"/>
              <w:right w:val="single" w:color="auto" w:sz="4" w:space="0"/>
            </w:tcBorders>
            <w:vAlign w:val="center"/>
          </w:tcPr>
          <w:p w14:paraId="5D01979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50</w:t>
            </w:r>
          </w:p>
        </w:tc>
        <w:tc>
          <w:tcPr>
            <w:tcW w:w="1290" w:type="pct"/>
            <w:tcBorders>
              <w:top w:val="single" w:color="auto" w:sz="4" w:space="0"/>
              <w:left w:val="single" w:color="auto" w:sz="4" w:space="0"/>
              <w:bottom w:val="single" w:color="auto" w:sz="4" w:space="0"/>
              <w:right w:val="single" w:color="auto" w:sz="4" w:space="0"/>
            </w:tcBorders>
            <w:vAlign w:val="center"/>
          </w:tcPr>
          <w:p w14:paraId="2120BF3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70.28</w:t>
            </w:r>
          </w:p>
        </w:tc>
      </w:tr>
      <w:tr w14:paraId="253B3B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tcBorders>
              <w:top w:val="nil"/>
              <w:left w:val="single" w:color="auto" w:sz="4" w:space="0"/>
              <w:bottom w:val="single" w:color="auto" w:sz="4" w:space="0"/>
              <w:right w:val="single" w:color="auto" w:sz="4" w:space="0"/>
            </w:tcBorders>
            <w:vAlign w:val="center"/>
          </w:tcPr>
          <w:p w14:paraId="66C4AB2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c>
          <w:tcPr>
            <w:tcW w:w="1171" w:type="pct"/>
            <w:tcBorders>
              <w:top w:val="single" w:color="auto" w:sz="4" w:space="0"/>
              <w:left w:val="single" w:color="auto" w:sz="4" w:space="0"/>
              <w:bottom w:val="single" w:color="auto" w:sz="4" w:space="0"/>
              <w:right w:val="single" w:color="auto" w:sz="4" w:space="0"/>
            </w:tcBorders>
            <w:vAlign w:val="center"/>
          </w:tcPr>
          <w:p w14:paraId="21E7E0E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稳定度</w:t>
            </w:r>
          </w:p>
        </w:tc>
        <w:tc>
          <w:tcPr>
            <w:tcW w:w="1289" w:type="pct"/>
            <w:tcBorders>
              <w:top w:val="single" w:color="auto" w:sz="4" w:space="0"/>
              <w:left w:val="single" w:color="auto" w:sz="4" w:space="0"/>
              <w:bottom w:val="single" w:color="auto" w:sz="4" w:space="0"/>
              <w:right w:val="single" w:color="auto" w:sz="4" w:space="0"/>
            </w:tcBorders>
            <w:vAlign w:val="center"/>
          </w:tcPr>
          <w:p w14:paraId="57ACA47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F</w:t>
            </w:r>
          </w:p>
        </w:tc>
        <w:tc>
          <w:tcPr>
            <w:tcW w:w="1290" w:type="pct"/>
            <w:tcBorders>
              <w:top w:val="single" w:color="auto" w:sz="4" w:space="0"/>
              <w:left w:val="single" w:color="auto" w:sz="4" w:space="0"/>
              <w:bottom w:val="single" w:color="auto" w:sz="4" w:space="0"/>
              <w:right w:val="single" w:color="auto" w:sz="4" w:space="0"/>
            </w:tcBorders>
            <w:vAlign w:val="center"/>
          </w:tcPr>
          <w:p w14:paraId="152E1DD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D</w:t>
            </w:r>
          </w:p>
        </w:tc>
      </w:tr>
      <w:tr w14:paraId="7F2D92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50" w:type="pct"/>
            <w:vMerge w:val="restart"/>
            <w:tcBorders>
              <w:top w:val="nil"/>
              <w:left w:val="single" w:color="auto" w:sz="4" w:space="0"/>
              <w:bottom w:val="single" w:color="auto" w:sz="4" w:space="0"/>
              <w:right w:val="single" w:color="auto" w:sz="4" w:space="0"/>
            </w:tcBorders>
            <w:vAlign w:val="center"/>
          </w:tcPr>
          <w:p w14:paraId="6C65EC5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其他参数</w:t>
            </w:r>
          </w:p>
        </w:tc>
        <w:tc>
          <w:tcPr>
            <w:tcW w:w="1171" w:type="pct"/>
            <w:tcBorders>
              <w:top w:val="single" w:color="auto" w:sz="4" w:space="0"/>
              <w:left w:val="single" w:color="auto" w:sz="4" w:space="0"/>
              <w:bottom w:val="single" w:color="auto" w:sz="4" w:space="0"/>
              <w:right w:val="single" w:color="auto" w:sz="4" w:space="0"/>
            </w:tcBorders>
            <w:vAlign w:val="center"/>
          </w:tcPr>
          <w:p w14:paraId="1D28E62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地表粗糙度/m</w:t>
            </w:r>
          </w:p>
        </w:tc>
        <w:tc>
          <w:tcPr>
            <w:tcW w:w="1289" w:type="pct"/>
            <w:tcBorders>
              <w:top w:val="single" w:color="auto" w:sz="4" w:space="0"/>
              <w:left w:val="single" w:color="auto" w:sz="4" w:space="0"/>
              <w:bottom w:val="single" w:color="auto" w:sz="4" w:space="0"/>
              <w:right w:val="single" w:color="auto" w:sz="4" w:space="0"/>
            </w:tcBorders>
            <w:vAlign w:val="center"/>
          </w:tcPr>
          <w:p w14:paraId="4513301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0.03</w:t>
            </w:r>
          </w:p>
        </w:tc>
        <w:tc>
          <w:tcPr>
            <w:tcW w:w="1290" w:type="pct"/>
            <w:tcBorders>
              <w:top w:val="single" w:color="auto" w:sz="4" w:space="0"/>
              <w:left w:val="single" w:color="auto" w:sz="4" w:space="0"/>
              <w:bottom w:val="single" w:color="auto" w:sz="4" w:space="0"/>
              <w:right w:val="single" w:color="auto" w:sz="4" w:space="0"/>
            </w:tcBorders>
            <w:vAlign w:val="center"/>
          </w:tcPr>
          <w:p w14:paraId="0C28400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0.03</w:t>
            </w:r>
          </w:p>
        </w:tc>
      </w:tr>
      <w:tr w14:paraId="696060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tcBorders>
              <w:top w:val="nil"/>
              <w:left w:val="single" w:color="auto" w:sz="4" w:space="0"/>
              <w:bottom w:val="single" w:color="auto" w:sz="4" w:space="0"/>
              <w:right w:val="single" w:color="auto" w:sz="4" w:space="0"/>
            </w:tcBorders>
            <w:vAlign w:val="center"/>
          </w:tcPr>
          <w:p w14:paraId="124BD54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c>
          <w:tcPr>
            <w:tcW w:w="1171" w:type="pct"/>
            <w:tcBorders>
              <w:top w:val="single" w:color="auto" w:sz="4" w:space="0"/>
              <w:left w:val="single" w:color="auto" w:sz="4" w:space="0"/>
              <w:bottom w:val="single" w:color="auto" w:sz="4" w:space="0"/>
              <w:right w:val="single" w:color="auto" w:sz="4" w:space="0"/>
            </w:tcBorders>
            <w:vAlign w:val="center"/>
          </w:tcPr>
          <w:p w14:paraId="0242D89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是否考虑地形</w:t>
            </w:r>
          </w:p>
        </w:tc>
        <w:tc>
          <w:tcPr>
            <w:tcW w:w="1289" w:type="pct"/>
            <w:tcBorders>
              <w:top w:val="single" w:color="auto" w:sz="4" w:space="0"/>
              <w:left w:val="single" w:color="auto" w:sz="4" w:space="0"/>
              <w:bottom w:val="single" w:color="auto" w:sz="4" w:space="0"/>
              <w:right w:val="single" w:color="auto" w:sz="4" w:space="0"/>
            </w:tcBorders>
            <w:vAlign w:val="center"/>
          </w:tcPr>
          <w:p w14:paraId="597C0F1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是</w:t>
            </w:r>
          </w:p>
        </w:tc>
        <w:tc>
          <w:tcPr>
            <w:tcW w:w="1290" w:type="pct"/>
            <w:tcBorders>
              <w:top w:val="single" w:color="auto" w:sz="4" w:space="0"/>
              <w:left w:val="single" w:color="auto" w:sz="4" w:space="0"/>
              <w:bottom w:val="single" w:color="auto" w:sz="4" w:space="0"/>
              <w:right w:val="single" w:color="auto" w:sz="4" w:space="0"/>
            </w:tcBorders>
            <w:vAlign w:val="center"/>
          </w:tcPr>
          <w:p w14:paraId="075BD75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是</w:t>
            </w:r>
          </w:p>
        </w:tc>
      </w:tr>
      <w:tr w14:paraId="3ED742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tcBorders>
              <w:top w:val="nil"/>
              <w:left w:val="single" w:color="auto" w:sz="4" w:space="0"/>
              <w:bottom w:val="single" w:color="auto" w:sz="4" w:space="0"/>
              <w:right w:val="single" w:color="auto" w:sz="4" w:space="0"/>
            </w:tcBorders>
            <w:vAlign w:val="center"/>
          </w:tcPr>
          <w:p w14:paraId="31573E3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c>
          <w:tcPr>
            <w:tcW w:w="1171" w:type="pct"/>
            <w:tcBorders>
              <w:top w:val="single" w:color="auto" w:sz="4" w:space="0"/>
              <w:left w:val="single" w:color="auto" w:sz="4" w:space="0"/>
              <w:bottom w:val="single" w:color="auto" w:sz="4" w:space="0"/>
              <w:right w:val="single" w:color="auto" w:sz="4" w:space="0"/>
            </w:tcBorders>
            <w:vAlign w:val="center"/>
          </w:tcPr>
          <w:p w14:paraId="7AFAE54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地形数据精度/m</w:t>
            </w:r>
          </w:p>
        </w:tc>
        <w:tc>
          <w:tcPr>
            <w:tcW w:w="1289" w:type="pct"/>
            <w:tcBorders>
              <w:top w:val="single" w:color="auto" w:sz="4" w:space="0"/>
              <w:left w:val="single" w:color="auto" w:sz="4" w:space="0"/>
              <w:bottom w:val="single" w:color="auto" w:sz="4" w:space="0"/>
              <w:right w:val="single" w:color="auto" w:sz="4" w:space="0"/>
            </w:tcBorders>
            <w:vAlign w:val="center"/>
          </w:tcPr>
          <w:p w14:paraId="063B979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w:t>
            </w:r>
          </w:p>
        </w:tc>
        <w:tc>
          <w:tcPr>
            <w:tcW w:w="1290" w:type="pct"/>
            <w:tcBorders>
              <w:top w:val="single" w:color="auto" w:sz="4" w:space="0"/>
              <w:left w:val="single" w:color="auto" w:sz="4" w:space="0"/>
              <w:bottom w:val="single" w:color="auto" w:sz="4" w:space="0"/>
              <w:right w:val="single" w:color="auto" w:sz="4" w:space="0"/>
            </w:tcBorders>
            <w:vAlign w:val="center"/>
          </w:tcPr>
          <w:p w14:paraId="37331C7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w:t>
            </w:r>
          </w:p>
        </w:tc>
      </w:tr>
    </w:tbl>
    <w:p w14:paraId="63113B2A">
      <w:pPr>
        <w:pStyle w:val="82"/>
        <w:ind w:firstLine="480"/>
        <w:jc w:val="both"/>
        <w:rPr>
          <w:rFonts w:ascii="Times New Roman" w:hAnsi="Times New Roman" w:cs="Times New Roman"/>
          <w:color w:val="000000" w:themeColor="text1"/>
          <w14:textFill>
            <w14:solidFill>
              <w14:schemeClr w14:val="tx1"/>
            </w14:solidFill>
          </w14:textFill>
        </w:rPr>
      </w:pPr>
    </w:p>
    <w:p w14:paraId="27179D2A">
      <w:pPr>
        <w:pStyle w:val="82"/>
        <w:ind w:firstLine="480"/>
        <w:jc w:val="both"/>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(5)预测结果</w:t>
      </w:r>
    </w:p>
    <w:p w14:paraId="4FF5251B">
      <w:pPr>
        <w:pStyle w:val="82"/>
        <w:ind w:firstLine="480"/>
        <w:jc w:val="both"/>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1)间甲酚储罐泄露情景</w:t>
      </w:r>
    </w:p>
    <w:p w14:paraId="0A9D5647">
      <w:pPr>
        <w:ind w:firstLine="468" w:firstLineChars="200"/>
        <w:rPr>
          <w:rFonts w:cs="Times New Roman"/>
          <w:spacing w:val="-3"/>
        </w:rPr>
      </w:pPr>
      <w:r>
        <w:rPr>
          <w:rFonts w:cs="Times New Roman"/>
          <w:spacing w:val="-3"/>
        </w:rPr>
        <w:t>根据以上预测情形和事故源强数据，估算间甲酚发生泄漏事故情况下，在最不利气象条件下间甲酚下风向不同距离处的最大浓度，及达到不同毒性的最大影响范围具体见表6.9-31，各关心点的有毒有害物质浓度随时间的变化见表6.9-3</w:t>
      </w:r>
      <w:r>
        <w:rPr>
          <w:rFonts w:hint="eastAsia" w:cs="Times New Roman"/>
          <w:spacing w:val="-3"/>
        </w:rPr>
        <w:t>1</w:t>
      </w:r>
      <w:r>
        <w:rPr>
          <w:rFonts w:cs="Times New Roman"/>
          <w:spacing w:val="-3"/>
        </w:rPr>
        <w:t>。</w:t>
      </w:r>
    </w:p>
    <w:p w14:paraId="5103909F">
      <w:pPr>
        <w:pStyle w:val="28"/>
        <w:rPr>
          <w:rFonts w:hint="eastAsia"/>
        </w:rPr>
      </w:pPr>
      <w:r>
        <w:t>表6.9-</w:t>
      </w:r>
      <w:r>
        <w:rPr>
          <w:rFonts w:hint="eastAsia"/>
        </w:rPr>
        <w:t>31</w:t>
      </w:r>
      <w:r>
        <w:t xml:space="preserve">  </w:t>
      </w:r>
      <w:r>
        <w:rPr>
          <w:rFonts w:hint="eastAsia"/>
        </w:rPr>
        <w:t>间甲酚</w:t>
      </w:r>
      <w:r>
        <w:t>储罐泄露情景下</w:t>
      </w:r>
      <w:r>
        <w:rPr>
          <w:rFonts w:hint="eastAsia"/>
        </w:rPr>
        <w:t>间甲酚</w:t>
      </w:r>
      <w:r>
        <w:t>预测结果一览表</w:t>
      </w:r>
    </w:p>
    <w:tbl>
      <w:tblPr>
        <w:tblStyle w:val="37"/>
        <w:tblW w:w="508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52"/>
        <w:gridCol w:w="1943"/>
        <w:gridCol w:w="1756"/>
        <w:gridCol w:w="2068"/>
        <w:gridCol w:w="1790"/>
      </w:tblGrid>
      <w:tr w14:paraId="5D7BC6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897" w:type="pct"/>
            <w:vMerge w:val="restart"/>
            <w:noWrap/>
            <w:vAlign w:val="center"/>
          </w:tcPr>
          <w:p w14:paraId="10D011C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距离(m)</w:t>
            </w:r>
          </w:p>
        </w:tc>
        <w:tc>
          <w:tcPr>
            <w:tcW w:w="2008" w:type="pct"/>
            <w:gridSpan w:val="2"/>
            <w:noWrap/>
            <w:vAlign w:val="center"/>
          </w:tcPr>
          <w:p w14:paraId="19460BD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最不利气象条件</w:t>
            </w:r>
          </w:p>
        </w:tc>
        <w:tc>
          <w:tcPr>
            <w:tcW w:w="2095" w:type="pct"/>
            <w:gridSpan w:val="2"/>
          </w:tcPr>
          <w:p w14:paraId="2F40A16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最常见气象条件</w:t>
            </w:r>
          </w:p>
        </w:tc>
      </w:tr>
      <w:tr w14:paraId="76A0C4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897" w:type="pct"/>
            <w:vMerge w:val="continue"/>
            <w:noWrap/>
            <w:vAlign w:val="center"/>
          </w:tcPr>
          <w:p w14:paraId="706D9DA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c>
          <w:tcPr>
            <w:tcW w:w="1055" w:type="pct"/>
            <w:noWrap/>
            <w:vAlign w:val="center"/>
          </w:tcPr>
          <w:p w14:paraId="3847226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浓度出现时间(min)</w:t>
            </w:r>
          </w:p>
        </w:tc>
        <w:tc>
          <w:tcPr>
            <w:tcW w:w="953" w:type="pct"/>
            <w:noWrap/>
            <w:vAlign w:val="center"/>
          </w:tcPr>
          <w:p w14:paraId="1BFFD5E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高峰浓度(mg/m</w:t>
            </w:r>
            <w:r>
              <w:rPr>
                <w:rFonts w:ascii="Times New Roman" w:hAnsi="Times New Roman" w:cs="Times New Roman"/>
                <w:color w:val="000000" w:themeColor="text1"/>
                <w:sz w:val="21"/>
                <w:szCs w:val="21"/>
                <w:vertAlign w:val="superscript"/>
                <w14:textFill>
                  <w14:solidFill>
                    <w14:schemeClr w14:val="tx1"/>
                  </w14:solidFill>
                </w14:textFill>
              </w:rPr>
              <w:t>3</w:t>
            </w:r>
            <w:r>
              <w:rPr>
                <w:rFonts w:ascii="Times New Roman" w:hAnsi="Times New Roman" w:cs="Times New Roman"/>
                <w:color w:val="000000" w:themeColor="text1"/>
                <w:sz w:val="21"/>
                <w:szCs w:val="21"/>
                <w14:textFill>
                  <w14:solidFill>
                    <w14:schemeClr w14:val="tx1"/>
                  </w14:solidFill>
                </w14:textFill>
              </w:rPr>
              <w:t>)</w:t>
            </w:r>
          </w:p>
        </w:tc>
        <w:tc>
          <w:tcPr>
            <w:tcW w:w="1123" w:type="pct"/>
            <w:vAlign w:val="center"/>
          </w:tcPr>
          <w:p w14:paraId="40BE153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浓度出现时间(min)</w:t>
            </w:r>
          </w:p>
        </w:tc>
        <w:tc>
          <w:tcPr>
            <w:tcW w:w="972" w:type="pct"/>
            <w:vAlign w:val="center"/>
          </w:tcPr>
          <w:p w14:paraId="574113C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高峰浓度(mg/m</w:t>
            </w:r>
            <w:r>
              <w:rPr>
                <w:rFonts w:ascii="Times New Roman" w:hAnsi="Times New Roman" w:cs="Times New Roman"/>
                <w:color w:val="000000" w:themeColor="text1"/>
                <w:sz w:val="21"/>
                <w:szCs w:val="21"/>
                <w:vertAlign w:val="superscript"/>
                <w14:textFill>
                  <w14:solidFill>
                    <w14:schemeClr w14:val="tx1"/>
                  </w14:solidFill>
                </w14:textFill>
              </w:rPr>
              <w:t>3</w:t>
            </w:r>
            <w:r>
              <w:rPr>
                <w:rFonts w:ascii="Times New Roman" w:hAnsi="Times New Roman" w:cs="Times New Roman"/>
                <w:color w:val="000000" w:themeColor="text1"/>
                <w:sz w:val="21"/>
                <w:szCs w:val="21"/>
                <w14:textFill>
                  <w14:solidFill>
                    <w14:schemeClr w14:val="tx1"/>
                  </w14:solidFill>
                </w14:textFill>
              </w:rPr>
              <w:t>)</w:t>
            </w:r>
          </w:p>
        </w:tc>
      </w:tr>
      <w:tr w14:paraId="5DCBD8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897" w:type="pct"/>
            <w:noWrap/>
            <w:vAlign w:val="center"/>
          </w:tcPr>
          <w:p w14:paraId="10B0DB0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10</w:t>
            </w:r>
          </w:p>
        </w:tc>
        <w:tc>
          <w:tcPr>
            <w:tcW w:w="1055" w:type="pct"/>
            <w:noWrap/>
            <w:vAlign w:val="center"/>
          </w:tcPr>
          <w:p w14:paraId="6BCF3DE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0.11</w:t>
            </w:r>
          </w:p>
        </w:tc>
        <w:tc>
          <w:tcPr>
            <w:tcW w:w="953" w:type="pct"/>
            <w:noWrap/>
            <w:vAlign w:val="center"/>
          </w:tcPr>
          <w:p w14:paraId="0887E1F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0.29</w:t>
            </w:r>
          </w:p>
        </w:tc>
        <w:tc>
          <w:tcPr>
            <w:tcW w:w="1123" w:type="pct"/>
            <w:vAlign w:val="center"/>
          </w:tcPr>
          <w:p w14:paraId="5FF4F9E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0.08</w:t>
            </w:r>
          </w:p>
        </w:tc>
        <w:tc>
          <w:tcPr>
            <w:tcW w:w="972" w:type="pct"/>
            <w:vAlign w:val="center"/>
          </w:tcPr>
          <w:p w14:paraId="5423003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0.21</w:t>
            </w:r>
          </w:p>
        </w:tc>
      </w:tr>
      <w:tr w14:paraId="24EF49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897" w:type="pct"/>
            <w:noWrap/>
            <w:vAlign w:val="center"/>
          </w:tcPr>
          <w:p w14:paraId="703AD25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20</w:t>
            </w:r>
          </w:p>
        </w:tc>
        <w:tc>
          <w:tcPr>
            <w:tcW w:w="1055" w:type="pct"/>
            <w:noWrap/>
            <w:vAlign w:val="center"/>
          </w:tcPr>
          <w:p w14:paraId="1BA55B4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0.22</w:t>
            </w:r>
          </w:p>
        </w:tc>
        <w:tc>
          <w:tcPr>
            <w:tcW w:w="953" w:type="pct"/>
            <w:noWrap/>
            <w:vAlign w:val="center"/>
          </w:tcPr>
          <w:p w14:paraId="31AAB73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0.73</w:t>
            </w:r>
          </w:p>
        </w:tc>
        <w:tc>
          <w:tcPr>
            <w:tcW w:w="1123" w:type="pct"/>
            <w:vAlign w:val="center"/>
          </w:tcPr>
          <w:p w14:paraId="7D4464D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0.16</w:t>
            </w:r>
          </w:p>
        </w:tc>
        <w:tc>
          <w:tcPr>
            <w:tcW w:w="972" w:type="pct"/>
            <w:vAlign w:val="center"/>
          </w:tcPr>
          <w:p w14:paraId="43DD897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0.54</w:t>
            </w:r>
          </w:p>
        </w:tc>
      </w:tr>
      <w:tr w14:paraId="6EAA25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897" w:type="pct"/>
            <w:noWrap/>
            <w:vAlign w:val="center"/>
          </w:tcPr>
          <w:p w14:paraId="0ADE31E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30</w:t>
            </w:r>
          </w:p>
        </w:tc>
        <w:tc>
          <w:tcPr>
            <w:tcW w:w="1055" w:type="pct"/>
            <w:noWrap/>
            <w:vAlign w:val="center"/>
          </w:tcPr>
          <w:p w14:paraId="092E335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0.33</w:t>
            </w:r>
          </w:p>
        </w:tc>
        <w:tc>
          <w:tcPr>
            <w:tcW w:w="953" w:type="pct"/>
            <w:noWrap/>
            <w:vAlign w:val="center"/>
          </w:tcPr>
          <w:p w14:paraId="4C73FC6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0.43</w:t>
            </w:r>
          </w:p>
        </w:tc>
        <w:tc>
          <w:tcPr>
            <w:tcW w:w="1123" w:type="pct"/>
            <w:vAlign w:val="center"/>
          </w:tcPr>
          <w:p w14:paraId="18A5C71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0.24</w:t>
            </w:r>
          </w:p>
        </w:tc>
        <w:tc>
          <w:tcPr>
            <w:tcW w:w="972" w:type="pct"/>
            <w:vAlign w:val="center"/>
          </w:tcPr>
          <w:p w14:paraId="2AD2A90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0.31</w:t>
            </w:r>
          </w:p>
        </w:tc>
      </w:tr>
      <w:tr w14:paraId="121A2A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897" w:type="pct"/>
            <w:noWrap/>
            <w:vAlign w:val="center"/>
          </w:tcPr>
          <w:p w14:paraId="107F3AB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40</w:t>
            </w:r>
          </w:p>
        </w:tc>
        <w:tc>
          <w:tcPr>
            <w:tcW w:w="1055" w:type="pct"/>
            <w:noWrap/>
            <w:vAlign w:val="center"/>
          </w:tcPr>
          <w:p w14:paraId="7BFC4B2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0.44</w:t>
            </w:r>
          </w:p>
        </w:tc>
        <w:tc>
          <w:tcPr>
            <w:tcW w:w="953" w:type="pct"/>
            <w:noWrap/>
            <w:vAlign w:val="center"/>
          </w:tcPr>
          <w:p w14:paraId="18DB2A3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0.25</w:t>
            </w:r>
          </w:p>
        </w:tc>
        <w:tc>
          <w:tcPr>
            <w:tcW w:w="1123" w:type="pct"/>
            <w:vAlign w:val="center"/>
          </w:tcPr>
          <w:p w14:paraId="2AEFA2A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0.33</w:t>
            </w:r>
          </w:p>
        </w:tc>
        <w:tc>
          <w:tcPr>
            <w:tcW w:w="972" w:type="pct"/>
            <w:vAlign w:val="center"/>
          </w:tcPr>
          <w:p w14:paraId="463FA14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0.19</w:t>
            </w:r>
          </w:p>
        </w:tc>
      </w:tr>
      <w:tr w14:paraId="67A2C8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897" w:type="pct"/>
            <w:noWrap/>
            <w:vAlign w:val="center"/>
          </w:tcPr>
          <w:p w14:paraId="10DC91C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50</w:t>
            </w:r>
          </w:p>
        </w:tc>
        <w:tc>
          <w:tcPr>
            <w:tcW w:w="1055" w:type="pct"/>
            <w:noWrap/>
            <w:vAlign w:val="center"/>
          </w:tcPr>
          <w:p w14:paraId="78D1DBC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0.56</w:t>
            </w:r>
          </w:p>
        </w:tc>
        <w:tc>
          <w:tcPr>
            <w:tcW w:w="953" w:type="pct"/>
            <w:noWrap/>
            <w:vAlign w:val="center"/>
          </w:tcPr>
          <w:p w14:paraId="25EA5D7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0.16</w:t>
            </w:r>
          </w:p>
        </w:tc>
        <w:tc>
          <w:tcPr>
            <w:tcW w:w="1123" w:type="pct"/>
            <w:vAlign w:val="center"/>
          </w:tcPr>
          <w:p w14:paraId="2B11040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0.41</w:t>
            </w:r>
          </w:p>
        </w:tc>
        <w:tc>
          <w:tcPr>
            <w:tcW w:w="972" w:type="pct"/>
            <w:vAlign w:val="center"/>
          </w:tcPr>
          <w:p w14:paraId="46D4AAA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0.12</w:t>
            </w:r>
          </w:p>
        </w:tc>
      </w:tr>
      <w:tr w14:paraId="21930E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897" w:type="pct"/>
            <w:noWrap/>
            <w:vAlign w:val="center"/>
          </w:tcPr>
          <w:p w14:paraId="6AFCDEB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100</w:t>
            </w:r>
          </w:p>
        </w:tc>
        <w:tc>
          <w:tcPr>
            <w:tcW w:w="1055" w:type="pct"/>
            <w:noWrap/>
            <w:vAlign w:val="center"/>
          </w:tcPr>
          <w:p w14:paraId="01F918A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1.11</w:t>
            </w:r>
          </w:p>
        </w:tc>
        <w:tc>
          <w:tcPr>
            <w:tcW w:w="953" w:type="pct"/>
            <w:noWrap/>
            <w:vAlign w:val="center"/>
          </w:tcPr>
          <w:p w14:paraId="4C348AF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0.04</w:t>
            </w:r>
          </w:p>
        </w:tc>
        <w:tc>
          <w:tcPr>
            <w:tcW w:w="1123" w:type="pct"/>
            <w:vAlign w:val="center"/>
          </w:tcPr>
          <w:p w14:paraId="16C4626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0.81</w:t>
            </w:r>
          </w:p>
        </w:tc>
        <w:tc>
          <w:tcPr>
            <w:tcW w:w="972" w:type="pct"/>
            <w:vAlign w:val="center"/>
          </w:tcPr>
          <w:p w14:paraId="06FFE22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0.03</w:t>
            </w:r>
          </w:p>
        </w:tc>
      </w:tr>
      <w:tr w14:paraId="31240D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897" w:type="pct"/>
            <w:noWrap/>
            <w:vAlign w:val="center"/>
          </w:tcPr>
          <w:p w14:paraId="21A3815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200</w:t>
            </w:r>
          </w:p>
        </w:tc>
        <w:tc>
          <w:tcPr>
            <w:tcW w:w="1055" w:type="pct"/>
            <w:noWrap/>
            <w:vAlign w:val="center"/>
          </w:tcPr>
          <w:p w14:paraId="18A588D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2.22</w:t>
            </w:r>
          </w:p>
        </w:tc>
        <w:tc>
          <w:tcPr>
            <w:tcW w:w="953" w:type="pct"/>
            <w:noWrap/>
            <w:vAlign w:val="center"/>
          </w:tcPr>
          <w:p w14:paraId="217FC70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0.01</w:t>
            </w:r>
          </w:p>
        </w:tc>
        <w:tc>
          <w:tcPr>
            <w:tcW w:w="1123" w:type="pct"/>
            <w:vAlign w:val="center"/>
          </w:tcPr>
          <w:p w14:paraId="3E03E58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1.63</w:t>
            </w:r>
          </w:p>
        </w:tc>
        <w:tc>
          <w:tcPr>
            <w:tcW w:w="972" w:type="pct"/>
            <w:vAlign w:val="center"/>
          </w:tcPr>
          <w:p w14:paraId="3688976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0.01</w:t>
            </w:r>
          </w:p>
        </w:tc>
      </w:tr>
      <w:tr w14:paraId="712A54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897" w:type="pct"/>
            <w:noWrap/>
            <w:vAlign w:val="center"/>
          </w:tcPr>
          <w:p w14:paraId="4F38E9F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300</w:t>
            </w:r>
          </w:p>
        </w:tc>
        <w:tc>
          <w:tcPr>
            <w:tcW w:w="1055" w:type="pct"/>
            <w:noWrap/>
            <w:vAlign w:val="center"/>
          </w:tcPr>
          <w:p w14:paraId="557480C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3.33</w:t>
            </w:r>
          </w:p>
        </w:tc>
        <w:tc>
          <w:tcPr>
            <w:tcW w:w="953" w:type="pct"/>
            <w:noWrap/>
            <w:vAlign w:val="center"/>
          </w:tcPr>
          <w:p w14:paraId="717CEFD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w:t>
            </w:r>
          </w:p>
        </w:tc>
        <w:tc>
          <w:tcPr>
            <w:tcW w:w="1123" w:type="pct"/>
            <w:vAlign w:val="center"/>
          </w:tcPr>
          <w:p w14:paraId="6108EE2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2.44</w:t>
            </w:r>
          </w:p>
        </w:tc>
        <w:tc>
          <w:tcPr>
            <w:tcW w:w="972" w:type="pct"/>
            <w:vAlign w:val="center"/>
          </w:tcPr>
          <w:p w14:paraId="2EA453A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w:t>
            </w:r>
          </w:p>
        </w:tc>
      </w:tr>
      <w:tr w14:paraId="70FFC2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897" w:type="pct"/>
            <w:noWrap/>
            <w:vAlign w:val="center"/>
          </w:tcPr>
          <w:p w14:paraId="0008324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400</w:t>
            </w:r>
          </w:p>
        </w:tc>
        <w:tc>
          <w:tcPr>
            <w:tcW w:w="1055" w:type="pct"/>
            <w:noWrap/>
            <w:vAlign w:val="center"/>
          </w:tcPr>
          <w:p w14:paraId="557EB51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4.44</w:t>
            </w:r>
          </w:p>
        </w:tc>
        <w:tc>
          <w:tcPr>
            <w:tcW w:w="953" w:type="pct"/>
            <w:noWrap/>
            <w:vAlign w:val="center"/>
          </w:tcPr>
          <w:p w14:paraId="78F5727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w:t>
            </w:r>
          </w:p>
        </w:tc>
        <w:tc>
          <w:tcPr>
            <w:tcW w:w="1123" w:type="pct"/>
            <w:vAlign w:val="center"/>
          </w:tcPr>
          <w:p w14:paraId="7B35418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3.25</w:t>
            </w:r>
          </w:p>
        </w:tc>
        <w:tc>
          <w:tcPr>
            <w:tcW w:w="972" w:type="pct"/>
            <w:vAlign w:val="center"/>
          </w:tcPr>
          <w:p w14:paraId="451FD37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w:t>
            </w:r>
          </w:p>
        </w:tc>
      </w:tr>
      <w:tr w14:paraId="54338F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897" w:type="pct"/>
            <w:noWrap/>
            <w:vAlign w:val="center"/>
          </w:tcPr>
          <w:p w14:paraId="1EE5403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500</w:t>
            </w:r>
          </w:p>
        </w:tc>
        <w:tc>
          <w:tcPr>
            <w:tcW w:w="1055" w:type="pct"/>
            <w:noWrap/>
            <w:vAlign w:val="center"/>
          </w:tcPr>
          <w:p w14:paraId="5BDD09E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5.56</w:t>
            </w:r>
          </w:p>
        </w:tc>
        <w:tc>
          <w:tcPr>
            <w:tcW w:w="953" w:type="pct"/>
            <w:noWrap/>
            <w:vAlign w:val="center"/>
          </w:tcPr>
          <w:p w14:paraId="49D16B7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w:t>
            </w:r>
          </w:p>
        </w:tc>
        <w:tc>
          <w:tcPr>
            <w:tcW w:w="1123" w:type="pct"/>
            <w:vAlign w:val="center"/>
          </w:tcPr>
          <w:p w14:paraId="02145C7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4.07</w:t>
            </w:r>
          </w:p>
        </w:tc>
        <w:tc>
          <w:tcPr>
            <w:tcW w:w="972" w:type="pct"/>
            <w:vAlign w:val="center"/>
          </w:tcPr>
          <w:p w14:paraId="622C2FD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w:t>
            </w:r>
          </w:p>
        </w:tc>
      </w:tr>
      <w:tr w14:paraId="67C7B5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897" w:type="pct"/>
            <w:noWrap/>
            <w:vAlign w:val="center"/>
          </w:tcPr>
          <w:p w14:paraId="5910C2B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600</w:t>
            </w:r>
          </w:p>
        </w:tc>
        <w:tc>
          <w:tcPr>
            <w:tcW w:w="1055" w:type="pct"/>
            <w:noWrap/>
            <w:vAlign w:val="center"/>
          </w:tcPr>
          <w:p w14:paraId="730B136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6.67</w:t>
            </w:r>
          </w:p>
        </w:tc>
        <w:tc>
          <w:tcPr>
            <w:tcW w:w="953" w:type="pct"/>
            <w:noWrap/>
            <w:vAlign w:val="center"/>
          </w:tcPr>
          <w:p w14:paraId="0AF4AC0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w:t>
            </w:r>
          </w:p>
        </w:tc>
        <w:tc>
          <w:tcPr>
            <w:tcW w:w="1123" w:type="pct"/>
            <w:vAlign w:val="center"/>
          </w:tcPr>
          <w:p w14:paraId="6778D01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4.88</w:t>
            </w:r>
          </w:p>
        </w:tc>
        <w:tc>
          <w:tcPr>
            <w:tcW w:w="972" w:type="pct"/>
            <w:vAlign w:val="center"/>
          </w:tcPr>
          <w:p w14:paraId="20D35DF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w:t>
            </w:r>
          </w:p>
        </w:tc>
      </w:tr>
      <w:tr w14:paraId="7C63CC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897" w:type="pct"/>
            <w:noWrap/>
            <w:vAlign w:val="center"/>
          </w:tcPr>
          <w:p w14:paraId="7394605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700</w:t>
            </w:r>
          </w:p>
        </w:tc>
        <w:tc>
          <w:tcPr>
            <w:tcW w:w="1055" w:type="pct"/>
            <w:noWrap/>
            <w:vAlign w:val="center"/>
          </w:tcPr>
          <w:p w14:paraId="1E41B2E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7.78</w:t>
            </w:r>
          </w:p>
        </w:tc>
        <w:tc>
          <w:tcPr>
            <w:tcW w:w="953" w:type="pct"/>
            <w:noWrap/>
            <w:vAlign w:val="center"/>
          </w:tcPr>
          <w:p w14:paraId="5979A0D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w:t>
            </w:r>
          </w:p>
        </w:tc>
        <w:tc>
          <w:tcPr>
            <w:tcW w:w="1123" w:type="pct"/>
            <w:vAlign w:val="center"/>
          </w:tcPr>
          <w:p w14:paraId="2A1C05D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5.69</w:t>
            </w:r>
          </w:p>
        </w:tc>
        <w:tc>
          <w:tcPr>
            <w:tcW w:w="972" w:type="pct"/>
            <w:vAlign w:val="center"/>
          </w:tcPr>
          <w:p w14:paraId="1017CEC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w:t>
            </w:r>
          </w:p>
        </w:tc>
      </w:tr>
      <w:tr w14:paraId="59A84A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897" w:type="pct"/>
            <w:noWrap/>
            <w:vAlign w:val="center"/>
          </w:tcPr>
          <w:p w14:paraId="1BA0BDE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800</w:t>
            </w:r>
          </w:p>
        </w:tc>
        <w:tc>
          <w:tcPr>
            <w:tcW w:w="1055" w:type="pct"/>
            <w:noWrap/>
            <w:vAlign w:val="center"/>
          </w:tcPr>
          <w:p w14:paraId="00A1EF0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8.89</w:t>
            </w:r>
          </w:p>
        </w:tc>
        <w:tc>
          <w:tcPr>
            <w:tcW w:w="953" w:type="pct"/>
            <w:noWrap/>
            <w:vAlign w:val="center"/>
          </w:tcPr>
          <w:p w14:paraId="5F5ADA0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w:t>
            </w:r>
          </w:p>
        </w:tc>
        <w:tc>
          <w:tcPr>
            <w:tcW w:w="1123" w:type="pct"/>
            <w:vAlign w:val="center"/>
          </w:tcPr>
          <w:p w14:paraId="3B6AD7C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6.50</w:t>
            </w:r>
          </w:p>
        </w:tc>
        <w:tc>
          <w:tcPr>
            <w:tcW w:w="972" w:type="pct"/>
            <w:vAlign w:val="center"/>
          </w:tcPr>
          <w:p w14:paraId="0CE5743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w:t>
            </w:r>
          </w:p>
        </w:tc>
      </w:tr>
      <w:tr w14:paraId="549A5D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897" w:type="pct"/>
            <w:noWrap/>
            <w:vAlign w:val="center"/>
          </w:tcPr>
          <w:p w14:paraId="2836800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900</w:t>
            </w:r>
          </w:p>
        </w:tc>
        <w:tc>
          <w:tcPr>
            <w:tcW w:w="1055" w:type="pct"/>
            <w:noWrap/>
            <w:vAlign w:val="center"/>
          </w:tcPr>
          <w:p w14:paraId="4DD963A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10.00</w:t>
            </w:r>
          </w:p>
        </w:tc>
        <w:tc>
          <w:tcPr>
            <w:tcW w:w="953" w:type="pct"/>
            <w:noWrap/>
            <w:vAlign w:val="center"/>
          </w:tcPr>
          <w:p w14:paraId="27D0EDD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w:t>
            </w:r>
          </w:p>
        </w:tc>
        <w:tc>
          <w:tcPr>
            <w:tcW w:w="1123" w:type="pct"/>
            <w:vAlign w:val="center"/>
          </w:tcPr>
          <w:p w14:paraId="1541015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7.32</w:t>
            </w:r>
          </w:p>
        </w:tc>
        <w:tc>
          <w:tcPr>
            <w:tcW w:w="972" w:type="pct"/>
            <w:vAlign w:val="center"/>
          </w:tcPr>
          <w:p w14:paraId="79DDFF5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w:t>
            </w:r>
          </w:p>
        </w:tc>
      </w:tr>
      <w:tr w14:paraId="43CB4A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897" w:type="pct"/>
            <w:noWrap/>
            <w:vAlign w:val="center"/>
          </w:tcPr>
          <w:p w14:paraId="410441F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1000</w:t>
            </w:r>
          </w:p>
        </w:tc>
        <w:tc>
          <w:tcPr>
            <w:tcW w:w="1055" w:type="pct"/>
            <w:noWrap/>
            <w:vAlign w:val="center"/>
          </w:tcPr>
          <w:p w14:paraId="5B62923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11.11</w:t>
            </w:r>
          </w:p>
        </w:tc>
        <w:tc>
          <w:tcPr>
            <w:tcW w:w="953" w:type="pct"/>
            <w:noWrap/>
            <w:vAlign w:val="center"/>
          </w:tcPr>
          <w:p w14:paraId="6F9035B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w:t>
            </w:r>
          </w:p>
        </w:tc>
        <w:tc>
          <w:tcPr>
            <w:tcW w:w="1123" w:type="pct"/>
            <w:vAlign w:val="center"/>
          </w:tcPr>
          <w:p w14:paraId="0A6AE49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8.13</w:t>
            </w:r>
          </w:p>
        </w:tc>
        <w:tc>
          <w:tcPr>
            <w:tcW w:w="972" w:type="pct"/>
            <w:vAlign w:val="center"/>
          </w:tcPr>
          <w:p w14:paraId="41CF2BA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w:t>
            </w:r>
          </w:p>
        </w:tc>
      </w:tr>
      <w:tr w14:paraId="1181BE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897" w:type="pct"/>
            <w:noWrap/>
            <w:vAlign w:val="center"/>
          </w:tcPr>
          <w:p w14:paraId="68FB314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1100</w:t>
            </w:r>
          </w:p>
        </w:tc>
        <w:tc>
          <w:tcPr>
            <w:tcW w:w="1055" w:type="pct"/>
            <w:noWrap/>
            <w:vAlign w:val="center"/>
          </w:tcPr>
          <w:p w14:paraId="079F018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12.22</w:t>
            </w:r>
          </w:p>
        </w:tc>
        <w:tc>
          <w:tcPr>
            <w:tcW w:w="953" w:type="pct"/>
            <w:noWrap/>
            <w:vAlign w:val="center"/>
          </w:tcPr>
          <w:p w14:paraId="7A0A9ED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w:t>
            </w:r>
          </w:p>
        </w:tc>
        <w:tc>
          <w:tcPr>
            <w:tcW w:w="1123" w:type="pct"/>
            <w:vAlign w:val="center"/>
          </w:tcPr>
          <w:p w14:paraId="047C6F2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8.94</w:t>
            </w:r>
          </w:p>
        </w:tc>
        <w:tc>
          <w:tcPr>
            <w:tcW w:w="972" w:type="pct"/>
            <w:vAlign w:val="center"/>
          </w:tcPr>
          <w:p w14:paraId="34C1FFD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w:t>
            </w:r>
          </w:p>
        </w:tc>
      </w:tr>
      <w:tr w14:paraId="3A52B7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897" w:type="pct"/>
            <w:noWrap/>
            <w:vAlign w:val="center"/>
          </w:tcPr>
          <w:p w14:paraId="3972CF6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1200</w:t>
            </w:r>
          </w:p>
        </w:tc>
        <w:tc>
          <w:tcPr>
            <w:tcW w:w="1055" w:type="pct"/>
            <w:noWrap/>
            <w:vAlign w:val="center"/>
          </w:tcPr>
          <w:p w14:paraId="048ACB8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13.33</w:t>
            </w:r>
          </w:p>
        </w:tc>
        <w:tc>
          <w:tcPr>
            <w:tcW w:w="953" w:type="pct"/>
            <w:noWrap/>
            <w:vAlign w:val="center"/>
          </w:tcPr>
          <w:p w14:paraId="5BADD2B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w:t>
            </w:r>
          </w:p>
        </w:tc>
        <w:tc>
          <w:tcPr>
            <w:tcW w:w="1123" w:type="pct"/>
            <w:vAlign w:val="center"/>
          </w:tcPr>
          <w:p w14:paraId="367A129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9.76</w:t>
            </w:r>
          </w:p>
        </w:tc>
        <w:tc>
          <w:tcPr>
            <w:tcW w:w="972" w:type="pct"/>
            <w:vAlign w:val="center"/>
          </w:tcPr>
          <w:p w14:paraId="04292A9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w:t>
            </w:r>
          </w:p>
        </w:tc>
      </w:tr>
      <w:tr w14:paraId="4A1924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897" w:type="pct"/>
            <w:noWrap/>
            <w:vAlign w:val="center"/>
          </w:tcPr>
          <w:p w14:paraId="1247EDD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1300</w:t>
            </w:r>
          </w:p>
        </w:tc>
        <w:tc>
          <w:tcPr>
            <w:tcW w:w="1055" w:type="pct"/>
            <w:noWrap/>
            <w:vAlign w:val="center"/>
          </w:tcPr>
          <w:p w14:paraId="6C7B1E5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14.44</w:t>
            </w:r>
          </w:p>
        </w:tc>
        <w:tc>
          <w:tcPr>
            <w:tcW w:w="953" w:type="pct"/>
            <w:noWrap/>
            <w:vAlign w:val="center"/>
          </w:tcPr>
          <w:p w14:paraId="4A47473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w:t>
            </w:r>
          </w:p>
        </w:tc>
        <w:tc>
          <w:tcPr>
            <w:tcW w:w="1123" w:type="pct"/>
            <w:vAlign w:val="center"/>
          </w:tcPr>
          <w:p w14:paraId="2B840CE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10.57</w:t>
            </w:r>
          </w:p>
        </w:tc>
        <w:tc>
          <w:tcPr>
            <w:tcW w:w="972" w:type="pct"/>
            <w:vAlign w:val="center"/>
          </w:tcPr>
          <w:p w14:paraId="03F0DB4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w:t>
            </w:r>
          </w:p>
        </w:tc>
      </w:tr>
      <w:tr w14:paraId="5852F4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897" w:type="pct"/>
            <w:noWrap/>
            <w:vAlign w:val="center"/>
          </w:tcPr>
          <w:p w14:paraId="4192CBA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1400</w:t>
            </w:r>
          </w:p>
        </w:tc>
        <w:tc>
          <w:tcPr>
            <w:tcW w:w="1055" w:type="pct"/>
            <w:noWrap/>
            <w:vAlign w:val="center"/>
          </w:tcPr>
          <w:p w14:paraId="379BC78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15.56</w:t>
            </w:r>
          </w:p>
        </w:tc>
        <w:tc>
          <w:tcPr>
            <w:tcW w:w="953" w:type="pct"/>
            <w:noWrap/>
            <w:vAlign w:val="center"/>
          </w:tcPr>
          <w:p w14:paraId="6E420AD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w:t>
            </w:r>
          </w:p>
        </w:tc>
        <w:tc>
          <w:tcPr>
            <w:tcW w:w="1123" w:type="pct"/>
            <w:vAlign w:val="center"/>
          </w:tcPr>
          <w:p w14:paraId="76A6A58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11.38</w:t>
            </w:r>
          </w:p>
        </w:tc>
        <w:tc>
          <w:tcPr>
            <w:tcW w:w="972" w:type="pct"/>
            <w:vAlign w:val="center"/>
          </w:tcPr>
          <w:p w14:paraId="722A357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w:t>
            </w:r>
          </w:p>
        </w:tc>
      </w:tr>
      <w:tr w14:paraId="79EEF4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897" w:type="pct"/>
            <w:noWrap/>
            <w:vAlign w:val="center"/>
          </w:tcPr>
          <w:p w14:paraId="0186F23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1500</w:t>
            </w:r>
          </w:p>
        </w:tc>
        <w:tc>
          <w:tcPr>
            <w:tcW w:w="1055" w:type="pct"/>
            <w:noWrap/>
            <w:vAlign w:val="center"/>
          </w:tcPr>
          <w:p w14:paraId="3107A86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16.67</w:t>
            </w:r>
          </w:p>
        </w:tc>
        <w:tc>
          <w:tcPr>
            <w:tcW w:w="953" w:type="pct"/>
            <w:noWrap/>
            <w:vAlign w:val="center"/>
          </w:tcPr>
          <w:p w14:paraId="0DD3A77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w:t>
            </w:r>
          </w:p>
        </w:tc>
        <w:tc>
          <w:tcPr>
            <w:tcW w:w="1123" w:type="pct"/>
            <w:vAlign w:val="center"/>
          </w:tcPr>
          <w:p w14:paraId="0BCC933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12.20</w:t>
            </w:r>
          </w:p>
        </w:tc>
        <w:tc>
          <w:tcPr>
            <w:tcW w:w="972" w:type="pct"/>
            <w:vAlign w:val="center"/>
          </w:tcPr>
          <w:p w14:paraId="4238039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w:t>
            </w:r>
          </w:p>
        </w:tc>
      </w:tr>
      <w:tr w14:paraId="304FED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897" w:type="pct"/>
            <w:noWrap/>
            <w:vAlign w:val="center"/>
          </w:tcPr>
          <w:p w14:paraId="5F2BF08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1600</w:t>
            </w:r>
          </w:p>
        </w:tc>
        <w:tc>
          <w:tcPr>
            <w:tcW w:w="1055" w:type="pct"/>
            <w:noWrap/>
            <w:vAlign w:val="center"/>
          </w:tcPr>
          <w:p w14:paraId="33B7205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17.78</w:t>
            </w:r>
          </w:p>
        </w:tc>
        <w:tc>
          <w:tcPr>
            <w:tcW w:w="953" w:type="pct"/>
            <w:noWrap/>
            <w:vAlign w:val="center"/>
          </w:tcPr>
          <w:p w14:paraId="135FA2E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w:t>
            </w:r>
          </w:p>
        </w:tc>
        <w:tc>
          <w:tcPr>
            <w:tcW w:w="1123" w:type="pct"/>
            <w:vAlign w:val="center"/>
          </w:tcPr>
          <w:p w14:paraId="56F8A1A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13.01</w:t>
            </w:r>
          </w:p>
        </w:tc>
        <w:tc>
          <w:tcPr>
            <w:tcW w:w="972" w:type="pct"/>
            <w:vAlign w:val="center"/>
          </w:tcPr>
          <w:p w14:paraId="1B5F411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w:t>
            </w:r>
          </w:p>
        </w:tc>
      </w:tr>
      <w:tr w14:paraId="437F66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897" w:type="pct"/>
            <w:noWrap/>
            <w:vAlign w:val="center"/>
          </w:tcPr>
          <w:p w14:paraId="054927E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1700</w:t>
            </w:r>
          </w:p>
        </w:tc>
        <w:tc>
          <w:tcPr>
            <w:tcW w:w="1055" w:type="pct"/>
            <w:noWrap/>
            <w:vAlign w:val="center"/>
          </w:tcPr>
          <w:p w14:paraId="628C16F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18.89</w:t>
            </w:r>
          </w:p>
        </w:tc>
        <w:tc>
          <w:tcPr>
            <w:tcW w:w="953" w:type="pct"/>
            <w:noWrap/>
            <w:vAlign w:val="center"/>
          </w:tcPr>
          <w:p w14:paraId="3358EF7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w:t>
            </w:r>
          </w:p>
        </w:tc>
        <w:tc>
          <w:tcPr>
            <w:tcW w:w="1123" w:type="pct"/>
            <w:vAlign w:val="center"/>
          </w:tcPr>
          <w:p w14:paraId="75E7B93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13.82</w:t>
            </w:r>
          </w:p>
        </w:tc>
        <w:tc>
          <w:tcPr>
            <w:tcW w:w="972" w:type="pct"/>
            <w:vAlign w:val="center"/>
          </w:tcPr>
          <w:p w14:paraId="55B95F0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w:t>
            </w:r>
          </w:p>
        </w:tc>
      </w:tr>
      <w:tr w14:paraId="51E2ED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897" w:type="pct"/>
            <w:noWrap/>
            <w:vAlign w:val="center"/>
          </w:tcPr>
          <w:p w14:paraId="09932AE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1800</w:t>
            </w:r>
          </w:p>
        </w:tc>
        <w:tc>
          <w:tcPr>
            <w:tcW w:w="1055" w:type="pct"/>
            <w:noWrap/>
            <w:vAlign w:val="center"/>
          </w:tcPr>
          <w:p w14:paraId="6DE2C0C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20.00</w:t>
            </w:r>
          </w:p>
        </w:tc>
        <w:tc>
          <w:tcPr>
            <w:tcW w:w="953" w:type="pct"/>
            <w:noWrap/>
            <w:vAlign w:val="center"/>
          </w:tcPr>
          <w:p w14:paraId="2F09933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w:t>
            </w:r>
          </w:p>
        </w:tc>
        <w:tc>
          <w:tcPr>
            <w:tcW w:w="1123" w:type="pct"/>
            <w:vAlign w:val="center"/>
          </w:tcPr>
          <w:p w14:paraId="1D617C6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14.63</w:t>
            </w:r>
          </w:p>
        </w:tc>
        <w:tc>
          <w:tcPr>
            <w:tcW w:w="972" w:type="pct"/>
            <w:vAlign w:val="center"/>
          </w:tcPr>
          <w:p w14:paraId="3FEF141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w:t>
            </w:r>
          </w:p>
        </w:tc>
      </w:tr>
      <w:tr w14:paraId="014ED0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897" w:type="pct"/>
            <w:noWrap/>
            <w:vAlign w:val="center"/>
          </w:tcPr>
          <w:p w14:paraId="09B4BF3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1900</w:t>
            </w:r>
          </w:p>
        </w:tc>
        <w:tc>
          <w:tcPr>
            <w:tcW w:w="1055" w:type="pct"/>
            <w:noWrap/>
            <w:vAlign w:val="center"/>
          </w:tcPr>
          <w:p w14:paraId="76186A5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21.11</w:t>
            </w:r>
          </w:p>
        </w:tc>
        <w:tc>
          <w:tcPr>
            <w:tcW w:w="953" w:type="pct"/>
            <w:noWrap/>
            <w:vAlign w:val="center"/>
          </w:tcPr>
          <w:p w14:paraId="21B4386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w:t>
            </w:r>
          </w:p>
        </w:tc>
        <w:tc>
          <w:tcPr>
            <w:tcW w:w="1123" w:type="pct"/>
            <w:vAlign w:val="center"/>
          </w:tcPr>
          <w:p w14:paraId="19E505F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15.45</w:t>
            </w:r>
          </w:p>
        </w:tc>
        <w:tc>
          <w:tcPr>
            <w:tcW w:w="972" w:type="pct"/>
            <w:vAlign w:val="center"/>
          </w:tcPr>
          <w:p w14:paraId="022284D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w:t>
            </w:r>
          </w:p>
        </w:tc>
      </w:tr>
      <w:tr w14:paraId="25CA49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897" w:type="pct"/>
            <w:noWrap/>
            <w:vAlign w:val="center"/>
          </w:tcPr>
          <w:p w14:paraId="47AB026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2000</w:t>
            </w:r>
          </w:p>
        </w:tc>
        <w:tc>
          <w:tcPr>
            <w:tcW w:w="1055" w:type="pct"/>
            <w:noWrap/>
            <w:vAlign w:val="center"/>
          </w:tcPr>
          <w:p w14:paraId="06884A8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22.22</w:t>
            </w:r>
          </w:p>
        </w:tc>
        <w:tc>
          <w:tcPr>
            <w:tcW w:w="953" w:type="pct"/>
            <w:noWrap/>
            <w:vAlign w:val="center"/>
          </w:tcPr>
          <w:p w14:paraId="359F383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w:t>
            </w:r>
          </w:p>
        </w:tc>
        <w:tc>
          <w:tcPr>
            <w:tcW w:w="1123" w:type="pct"/>
            <w:vAlign w:val="center"/>
          </w:tcPr>
          <w:p w14:paraId="383B76E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16.26</w:t>
            </w:r>
          </w:p>
        </w:tc>
        <w:tc>
          <w:tcPr>
            <w:tcW w:w="972" w:type="pct"/>
            <w:vAlign w:val="center"/>
          </w:tcPr>
          <w:p w14:paraId="5C4D8A9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w:t>
            </w:r>
          </w:p>
        </w:tc>
      </w:tr>
      <w:tr w14:paraId="72EA4B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897" w:type="pct"/>
            <w:noWrap/>
            <w:vAlign w:val="center"/>
          </w:tcPr>
          <w:p w14:paraId="5C84B91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2100</w:t>
            </w:r>
          </w:p>
        </w:tc>
        <w:tc>
          <w:tcPr>
            <w:tcW w:w="1055" w:type="pct"/>
            <w:noWrap/>
            <w:vAlign w:val="center"/>
          </w:tcPr>
          <w:p w14:paraId="6ABE575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23.33</w:t>
            </w:r>
          </w:p>
        </w:tc>
        <w:tc>
          <w:tcPr>
            <w:tcW w:w="953" w:type="pct"/>
            <w:noWrap/>
            <w:vAlign w:val="center"/>
          </w:tcPr>
          <w:p w14:paraId="23297B3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w:t>
            </w:r>
          </w:p>
        </w:tc>
        <w:tc>
          <w:tcPr>
            <w:tcW w:w="1123" w:type="pct"/>
            <w:vAlign w:val="center"/>
          </w:tcPr>
          <w:p w14:paraId="096912A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17.07</w:t>
            </w:r>
          </w:p>
        </w:tc>
        <w:tc>
          <w:tcPr>
            <w:tcW w:w="972" w:type="pct"/>
            <w:vAlign w:val="center"/>
          </w:tcPr>
          <w:p w14:paraId="1EFD351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w:t>
            </w:r>
          </w:p>
        </w:tc>
      </w:tr>
      <w:tr w14:paraId="1CEF69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897" w:type="pct"/>
            <w:noWrap/>
            <w:vAlign w:val="center"/>
          </w:tcPr>
          <w:p w14:paraId="21503AE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2200</w:t>
            </w:r>
          </w:p>
        </w:tc>
        <w:tc>
          <w:tcPr>
            <w:tcW w:w="1055" w:type="pct"/>
            <w:noWrap/>
            <w:vAlign w:val="center"/>
          </w:tcPr>
          <w:p w14:paraId="1DF07F9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24.44</w:t>
            </w:r>
          </w:p>
        </w:tc>
        <w:tc>
          <w:tcPr>
            <w:tcW w:w="953" w:type="pct"/>
            <w:noWrap/>
            <w:vAlign w:val="center"/>
          </w:tcPr>
          <w:p w14:paraId="2E5ABAB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w:t>
            </w:r>
          </w:p>
        </w:tc>
        <w:tc>
          <w:tcPr>
            <w:tcW w:w="1123" w:type="pct"/>
            <w:vAlign w:val="center"/>
          </w:tcPr>
          <w:p w14:paraId="69BAAF1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17.89</w:t>
            </w:r>
          </w:p>
        </w:tc>
        <w:tc>
          <w:tcPr>
            <w:tcW w:w="972" w:type="pct"/>
            <w:vAlign w:val="center"/>
          </w:tcPr>
          <w:p w14:paraId="39DAE0D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w:t>
            </w:r>
          </w:p>
        </w:tc>
      </w:tr>
      <w:tr w14:paraId="1CF7A8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897" w:type="pct"/>
            <w:noWrap/>
            <w:vAlign w:val="center"/>
          </w:tcPr>
          <w:p w14:paraId="27BE6A5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2300</w:t>
            </w:r>
          </w:p>
        </w:tc>
        <w:tc>
          <w:tcPr>
            <w:tcW w:w="1055" w:type="pct"/>
            <w:noWrap/>
            <w:vAlign w:val="center"/>
          </w:tcPr>
          <w:p w14:paraId="4F02072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25.56</w:t>
            </w:r>
          </w:p>
        </w:tc>
        <w:tc>
          <w:tcPr>
            <w:tcW w:w="953" w:type="pct"/>
            <w:noWrap/>
            <w:vAlign w:val="center"/>
          </w:tcPr>
          <w:p w14:paraId="1BDA7AC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w:t>
            </w:r>
          </w:p>
        </w:tc>
        <w:tc>
          <w:tcPr>
            <w:tcW w:w="1123" w:type="pct"/>
            <w:vAlign w:val="center"/>
          </w:tcPr>
          <w:p w14:paraId="27A502E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18.70</w:t>
            </w:r>
          </w:p>
        </w:tc>
        <w:tc>
          <w:tcPr>
            <w:tcW w:w="972" w:type="pct"/>
            <w:vAlign w:val="center"/>
          </w:tcPr>
          <w:p w14:paraId="006E27C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w:t>
            </w:r>
          </w:p>
        </w:tc>
      </w:tr>
      <w:tr w14:paraId="5D5E06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897" w:type="pct"/>
            <w:noWrap/>
            <w:vAlign w:val="center"/>
          </w:tcPr>
          <w:p w14:paraId="640ACF3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2400</w:t>
            </w:r>
          </w:p>
        </w:tc>
        <w:tc>
          <w:tcPr>
            <w:tcW w:w="1055" w:type="pct"/>
            <w:noWrap/>
            <w:vAlign w:val="center"/>
          </w:tcPr>
          <w:p w14:paraId="0DBD599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26.67</w:t>
            </w:r>
          </w:p>
        </w:tc>
        <w:tc>
          <w:tcPr>
            <w:tcW w:w="953" w:type="pct"/>
            <w:noWrap/>
            <w:vAlign w:val="center"/>
          </w:tcPr>
          <w:p w14:paraId="342228A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w:t>
            </w:r>
          </w:p>
        </w:tc>
        <w:tc>
          <w:tcPr>
            <w:tcW w:w="1123" w:type="pct"/>
            <w:vAlign w:val="center"/>
          </w:tcPr>
          <w:p w14:paraId="1D7F719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19.51</w:t>
            </w:r>
          </w:p>
        </w:tc>
        <w:tc>
          <w:tcPr>
            <w:tcW w:w="972" w:type="pct"/>
            <w:vAlign w:val="center"/>
          </w:tcPr>
          <w:p w14:paraId="3D360B5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w:t>
            </w:r>
          </w:p>
        </w:tc>
      </w:tr>
      <w:tr w14:paraId="6D165F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897" w:type="pct"/>
            <w:noWrap/>
            <w:vAlign w:val="center"/>
          </w:tcPr>
          <w:p w14:paraId="7B1D438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2500</w:t>
            </w:r>
          </w:p>
        </w:tc>
        <w:tc>
          <w:tcPr>
            <w:tcW w:w="1055" w:type="pct"/>
            <w:noWrap/>
            <w:vAlign w:val="center"/>
          </w:tcPr>
          <w:p w14:paraId="2CB4665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27.78</w:t>
            </w:r>
          </w:p>
        </w:tc>
        <w:tc>
          <w:tcPr>
            <w:tcW w:w="953" w:type="pct"/>
            <w:noWrap/>
            <w:vAlign w:val="center"/>
          </w:tcPr>
          <w:p w14:paraId="1FC6D86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w:t>
            </w:r>
          </w:p>
        </w:tc>
        <w:tc>
          <w:tcPr>
            <w:tcW w:w="1123" w:type="pct"/>
            <w:vAlign w:val="center"/>
          </w:tcPr>
          <w:p w14:paraId="2A695F4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20.33</w:t>
            </w:r>
          </w:p>
        </w:tc>
        <w:tc>
          <w:tcPr>
            <w:tcW w:w="972" w:type="pct"/>
            <w:vAlign w:val="center"/>
          </w:tcPr>
          <w:p w14:paraId="277921E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w:t>
            </w:r>
          </w:p>
        </w:tc>
      </w:tr>
      <w:tr w14:paraId="66DFF9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897" w:type="pct"/>
            <w:noWrap/>
            <w:vAlign w:val="center"/>
          </w:tcPr>
          <w:p w14:paraId="0E4B4D8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2600</w:t>
            </w:r>
          </w:p>
        </w:tc>
        <w:tc>
          <w:tcPr>
            <w:tcW w:w="1055" w:type="pct"/>
            <w:noWrap/>
            <w:vAlign w:val="center"/>
          </w:tcPr>
          <w:p w14:paraId="79E9E8D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28.89</w:t>
            </w:r>
          </w:p>
        </w:tc>
        <w:tc>
          <w:tcPr>
            <w:tcW w:w="953" w:type="pct"/>
            <w:noWrap/>
            <w:vAlign w:val="center"/>
          </w:tcPr>
          <w:p w14:paraId="1D9768A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w:t>
            </w:r>
          </w:p>
        </w:tc>
        <w:tc>
          <w:tcPr>
            <w:tcW w:w="1123" w:type="pct"/>
            <w:vAlign w:val="center"/>
          </w:tcPr>
          <w:p w14:paraId="5496F75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21.14</w:t>
            </w:r>
          </w:p>
        </w:tc>
        <w:tc>
          <w:tcPr>
            <w:tcW w:w="972" w:type="pct"/>
            <w:vAlign w:val="center"/>
          </w:tcPr>
          <w:p w14:paraId="3E9B4CD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w:t>
            </w:r>
          </w:p>
        </w:tc>
      </w:tr>
      <w:tr w14:paraId="2FEAC1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897" w:type="pct"/>
            <w:noWrap/>
            <w:vAlign w:val="center"/>
          </w:tcPr>
          <w:p w14:paraId="3983AB7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2700</w:t>
            </w:r>
          </w:p>
        </w:tc>
        <w:tc>
          <w:tcPr>
            <w:tcW w:w="1055" w:type="pct"/>
            <w:noWrap/>
            <w:vAlign w:val="center"/>
          </w:tcPr>
          <w:p w14:paraId="0B55370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30.00</w:t>
            </w:r>
          </w:p>
        </w:tc>
        <w:tc>
          <w:tcPr>
            <w:tcW w:w="953" w:type="pct"/>
            <w:noWrap/>
            <w:vAlign w:val="center"/>
          </w:tcPr>
          <w:p w14:paraId="5F2C5EE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w:t>
            </w:r>
          </w:p>
        </w:tc>
        <w:tc>
          <w:tcPr>
            <w:tcW w:w="1123" w:type="pct"/>
            <w:vAlign w:val="center"/>
          </w:tcPr>
          <w:p w14:paraId="4442BF6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21.95</w:t>
            </w:r>
          </w:p>
        </w:tc>
        <w:tc>
          <w:tcPr>
            <w:tcW w:w="972" w:type="pct"/>
            <w:vAlign w:val="center"/>
          </w:tcPr>
          <w:p w14:paraId="4FB6B92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w:t>
            </w:r>
          </w:p>
        </w:tc>
      </w:tr>
      <w:tr w14:paraId="79C2F9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897" w:type="pct"/>
            <w:noWrap/>
            <w:vAlign w:val="center"/>
          </w:tcPr>
          <w:p w14:paraId="5C0E104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2800</w:t>
            </w:r>
          </w:p>
        </w:tc>
        <w:tc>
          <w:tcPr>
            <w:tcW w:w="1055" w:type="pct"/>
            <w:noWrap/>
            <w:vAlign w:val="center"/>
          </w:tcPr>
          <w:p w14:paraId="2293909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46.11</w:t>
            </w:r>
          </w:p>
        </w:tc>
        <w:tc>
          <w:tcPr>
            <w:tcW w:w="953" w:type="pct"/>
            <w:noWrap/>
            <w:vAlign w:val="center"/>
          </w:tcPr>
          <w:p w14:paraId="121FDDE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w:t>
            </w:r>
          </w:p>
        </w:tc>
        <w:tc>
          <w:tcPr>
            <w:tcW w:w="1123" w:type="pct"/>
            <w:vAlign w:val="center"/>
          </w:tcPr>
          <w:p w14:paraId="6B90E55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22.76</w:t>
            </w:r>
          </w:p>
        </w:tc>
        <w:tc>
          <w:tcPr>
            <w:tcW w:w="972" w:type="pct"/>
            <w:vAlign w:val="center"/>
          </w:tcPr>
          <w:p w14:paraId="30BA650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w:t>
            </w:r>
          </w:p>
        </w:tc>
      </w:tr>
      <w:tr w14:paraId="2CAAEA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897" w:type="pct"/>
            <w:noWrap/>
            <w:vAlign w:val="center"/>
          </w:tcPr>
          <w:p w14:paraId="47FD321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2900</w:t>
            </w:r>
          </w:p>
        </w:tc>
        <w:tc>
          <w:tcPr>
            <w:tcW w:w="1055" w:type="pct"/>
            <w:noWrap/>
            <w:vAlign w:val="center"/>
          </w:tcPr>
          <w:p w14:paraId="57771B1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47.22</w:t>
            </w:r>
          </w:p>
        </w:tc>
        <w:tc>
          <w:tcPr>
            <w:tcW w:w="953" w:type="pct"/>
            <w:noWrap/>
            <w:vAlign w:val="center"/>
          </w:tcPr>
          <w:p w14:paraId="0F56CB1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w:t>
            </w:r>
          </w:p>
        </w:tc>
        <w:tc>
          <w:tcPr>
            <w:tcW w:w="1123" w:type="pct"/>
            <w:vAlign w:val="center"/>
          </w:tcPr>
          <w:p w14:paraId="0FBA491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23.58</w:t>
            </w:r>
          </w:p>
        </w:tc>
        <w:tc>
          <w:tcPr>
            <w:tcW w:w="972" w:type="pct"/>
            <w:vAlign w:val="center"/>
          </w:tcPr>
          <w:p w14:paraId="7892A40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w:t>
            </w:r>
          </w:p>
        </w:tc>
      </w:tr>
      <w:tr w14:paraId="2203B6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897" w:type="pct"/>
            <w:noWrap/>
            <w:vAlign w:val="center"/>
          </w:tcPr>
          <w:p w14:paraId="33FF4B2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3000</w:t>
            </w:r>
          </w:p>
        </w:tc>
        <w:tc>
          <w:tcPr>
            <w:tcW w:w="1055" w:type="pct"/>
            <w:noWrap/>
            <w:vAlign w:val="center"/>
          </w:tcPr>
          <w:p w14:paraId="63F2572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48.33</w:t>
            </w:r>
          </w:p>
        </w:tc>
        <w:tc>
          <w:tcPr>
            <w:tcW w:w="953" w:type="pct"/>
            <w:noWrap/>
            <w:vAlign w:val="center"/>
          </w:tcPr>
          <w:p w14:paraId="630754E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w:t>
            </w:r>
          </w:p>
        </w:tc>
        <w:tc>
          <w:tcPr>
            <w:tcW w:w="1123" w:type="pct"/>
            <w:vAlign w:val="center"/>
          </w:tcPr>
          <w:p w14:paraId="2B510FE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24.39</w:t>
            </w:r>
          </w:p>
        </w:tc>
        <w:tc>
          <w:tcPr>
            <w:tcW w:w="972" w:type="pct"/>
            <w:vAlign w:val="center"/>
          </w:tcPr>
          <w:p w14:paraId="5FDC505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w:t>
            </w:r>
          </w:p>
        </w:tc>
      </w:tr>
      <w:tr w14:paraId="1E7441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897" w:type="pct"/>
            <w:noWrap/>
            <w:vAlign w:val="center"/>
          </w:tcPr>
          <w:p w14:paraId="0387FCF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3100</w:t>
            </w:r>
          </w:p>
        </w:tc>
        <w:tc>
          <w:tcPr>
            <w:tcW w:w="1055" w:type="pct"/>
            <w:noWrap/>
            <w:vAlign w:val="center"/>
          </w:tcPr>
          <w:p w14:paraId="12FF345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49.44</w:t>
            </w:r>
          </w:p>
        </w:tc>
        <w:tc>
          <w:tcPr>
            <w:tcW w:w="953" w:type="pct"/>
            <w:noWrap/>
            <w:vAlign w:val="center"/>
          </w:tcPr>
          <w:p w14:paraId="6387CD7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w:t>
            </w:r>
          </w:p>
        </w:tc>
        <w:tc>
          <w:tcPr>
            <w:tcW w:w="1123" w:type="pct"/>
            <w:vAlign w:val="center"/>
          </w:tcPr>
          <w:p w14:paraId="6BE127B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25.20</w:t>
            </w:r>
          </w:p>
        </w:tc>
        <w:tc>
          <w:tcPr>
            <w:tcW w:w="972" w:type="pct"/>
            <w:vAlign w:val="center"/>
          </w:tcPr>
          <w:p w14:paraId="37BE66A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w:t>
            </w:r>
          </w:p>
        </w:tc>
      </w:tr>
      <w:tr w14:paraId="224D5D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897" w:type="pct"/>
            <w:noWrap/>
            <w:vAlign w:val="center"/>
          </w:tcPr>
          <w:p w14:paraId="6CF32E2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3200</w:t>
            </w:r>
          </w:p>
        </w:tc>
        <w:tc>
          <w:tcPr>
            <w:tcW w:w="1055" w:type="pct"/>
            <w:noWrap/>
            <w:vAlign w:val="center"/>
          </w:tcPr>
          <w:p w14:paraId="483EA3F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50.56</w:t>
            </w:r>
          </w:p>
        </w:tc>
        <w:tc>
          <w:tcPr>
            <w:tcW w:w="953" w:type="pct"/>
            <w:noWrap/>
            <w:vAlign w:val="center"/>
          </w:tcPr>
          <w:p w14:paraId="26247F0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w:t>
            </w:r>
          </w:p>
        </w:tc>
        <w:tc>
          <w:tcPr>
            <w:tcW w:w="1123" w:type="pct"/>
            <w:vAlign w:val="center"/>
          </w:tcPr>
          <w:p w14:paraId="612978D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26.02</w:t>
            </w:r>
          </w:p>
        </w:tc>
        <w:tc>
          <w:tcPr>
            <w:tcW w:w="972" w:type="pct"/>
            <w:vAlign w:val="center"/>
          </w:tcPr>
          <w:p w14:paraId="0F0DDFB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w:t>
            </w:r>
          </w:p>
        </w:tc>
      </w:tr>
      <w:tr w14:paraId="7CBE34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897" w:type="pct"/>
            <w:noWrap/>
            <w:vAlign w:val="center"/>
          </w:tcPr>
          <w:p w14:paraId="0D11A36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3300</w:t>
            </w:r>
          </w:p>
        </w:tc>
        <w:tc>
          <w:tcPr>
            <w:tcW w:w="1055" w:type="pct"/>
            <w:noWrap/>
            <w:vAlign w:val="center"/>
          </w:tcPr>
          <w:p w14:paraId="78B58EE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51.67</w:t>
            </w:r>
          </w:p>
        </w:tc>
        <w:tc>
          <w:tcPr>
            <w:tcW w:w="953" w:type="pct"/>
            <w:noWrap/>
            <w:vAlign w:val="center"/>
          </w:tcPr>
          <w:p w14:paraId="6838763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w:t>
            </w:r>
          </w:p>
        </w:tc>
        <w:tc>
          <w:tcPr>
            <w:tcW w:w="1123" w:type="pct"/>
            <w:vAlign w:val="center"/>
          </w:tcPr>
          <w:p w14:paraId="591BA8F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26.83</w:t>
            </w:r>
          </w:p>
        </w:tc>
        <w:tc>
          <w:tcPr>
            <w:tcW w:w="972" w:type="pct"/>
            <w:vAlign w:val="center"/>
          </w:tcPr>
          <w:p w14:paraId="152D0FA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w:t>
            </w:r>
          </w:p>
        </w:tc>
      </w:tr>
      <w:tr w14:paraId="5CFC3F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897" w:type="pct"/>
            <w:noWrap/>
            <w:vAlign w:val="center"/>
          </w:tcPr>
          <w:p w14:paraId="2801A8A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3400</w:t>
            </w:r>
          </w:p>
        </w:tc>
        <w:tc>
          <w:tcPr>
            <w:tcW w:w="1055" w:type="pct"/>
            <w:noWrap/>
            <w:vAlign w:val="center"/>
          </w:tcPr>
          <w:p w14:paraId="62B054B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52.78</w:t>
            </w:r>
          </w:p>
        </w:tc>
        <w:tc>
          <w:tcPr>
            <w:tcW w:w="953" w:type="pct"/>
            <w:noWrap/>
            <w:vAlign w:val="center"/>
          </w:tcPr>
          <w:p w14:paraId="21AE5A2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w:t>
            </w:r>
          </w:p>
        </w:tc>
        <w:tc>
          <w:tcPr>
            <w:tcW w:w="1123" w:type="pct"/>
            <w:vAlign w:val="center"/>
          </w:tcPr>
          <w:p w14:paraId="38C55F1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27.64</w:t>
            </w:r>
          </w:p>
        </w:tc>
        <w:tc>
          <w:tcPr>
            <w:tcW w:w="972" w:type="pct"/>
            <w:vAlign w:val="center"/>
          </w:tcPr>
          <w:p w14:paraId="06DCBAF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w:t>
            </w:r>
          </w:p>
        </w:tc>
      </w:tr>
      <w:tr w14:paraId="694F1B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897" w:type="pct"/>
            <w:noWrap/>
            <w:vAlign w:val="center"/>
          </w:tcPr>
          <w:p w14:paraId="5423124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3500</w:t>
            </w:r>
          </w:p>
        </w:tc>
        <w:tc>
          <w:tcPr>
            <w:tcW w:w="1055" w:type="pct"/>
            <w:noWrap/>
            <w:vAlign w:val="center"/>
          </w:tcPr>
          <w:p w14:paraId="60803BF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53.89</w:t>
            </w:r>
          </w:p>
        </w:tc>
        <w:tc>
          <w:tcPr>
            <w:tcW w:w="953" w:type="pct"/>
            <w:noWrap/>
            <w:vAlign w:val="center"/>
          </w:tcPr>
          <w:p w14:paraId="3289C30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w:t>
            </w:r>
          </w:p>
        </w:tc>
        <w:tc>
          <w:tcPr>
            <w:tcW w:w="1123" w:type="pct"/>
            <w:vAlign w:val="center"/>
          </w:tcPr>
          <w:p w14:paraId="6A0BE23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28.46</w:t>
            </w:r>
          </w:p>
        </w:tc>
        <w:tc>
          <w:tcPr>
            <w:tcW w:w="972" w:type="pct"/>
            <w:vAlign w:val="center"/>
          </w:tcPr>
          <w:p w14:paraId="64F36AA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w:t>
            </w:r>
          </w:p>
        </w:tc>
      </w:tr>
      <w:tr w14:paraId="0ED333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897" w:type="pct"/>
            <w:noWrap/>
            <w:vAlign w:val="center"/>
          </w:tcPr>
          <w:p w14:paraId="1ACCA24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3600</w:t>
            </w:r>
          </w:p>
        </w:tc>
        <w:tc>
          <w:tcPr>
            <w:tcW w:w="1055" w:type="pct"/>
            <w:noWrap/>
            <w:vAlign w:val="center"/>
          </w:tcPr>
          <w:p w14:paraId="377A434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55.00</w:t>
            </w:r>
          </w:p>
        </w:tc>
        <w:tc>
          <w:tcPr>
            <w:tcW w:w="953" w:type="pct"/>
            <w:noWrap/>
            <w:vAlign w:val="center"/>
          </w:tcPr>
          <w:p w14:paraId="6872D6B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w:t>
            </w:r>
          </w:p>
        </w:tc>
        <w:tc>
          <w:tcPr>
            <w:tcW w:w="1123" w:type="pct"/>
            <w:vAlign w:val="center"/>
          </w:tcPr>
          <w:p w14:paraId="18A372D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29.27</w:t>
            </w:r>
          </w:p>
        </w:tc>
        <w:tc>
          <w:tcPr>
            <w:tcW w:w="972" w:type="pct"/>
            <w:vAlign w:val="center"/>
          </w:tcPr>
          <w:p w14:paraId="51784A9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w:t>
            </w:r>
          </w:p>
        </w:tc>
      </w:tr>
      <w:tr w14:paraId="6EA170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897" w:type="pct"/>
            <w:noWrap/>
            <w:vAlign w:val="center"/>
          </w:tcPr>
          <w:p w14:paraId="576EF76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3700</w:t>
            </w:r>
          </w:p>
        </w:tc>
        <w:tc>
          <w:tcPr>
            <w:tcW w:w="1055" w:type="pct"/>
            <w:noWrap/>
            <w:vAlign w:val="center"/>
          </w:tcPr>
          <w:p w14:paraId="57170D0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56.11</w:t>
            </w:r>
          </w:p>
        </w:tc>
        <w:tc>
          <w:tcPr>
            <w:tcW w:w="953" w:type="pct"/>
            <w:noWrap/>
            <w:vAlign w:val="center"/>
          </w:tcPr>
          <w:p w14:paraId="2A5CA09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w:t>
            </w:r>
          </w:p>
        </w:tc>
        <w:tc>
          <w:tcPr>
            <w:tcW w:w="1123" w:type="pct"/>
            <w:vAlign w:val="center"/>
          </w:tcPr>
          <w:p w14:paraId="3E8A684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45.08</w:t>
            </w:r>
          </w:p>
        </w:tc>
        <w:tc>
          <w:tcPr>
            <w:tcW w:w="972" w:type="pct"/>
            <w:vAlign w:val="center"/>
          </w:tcPr>
          <w:p w14:paraId="5ED00D7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w:t>
            </w:r>
          </w:p>
        </w:tc>
      </w:tr>
      <w:tr w14:paraId="334937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897" w:type="pct"/>
            <w:noWrap/>
            <w:vAlign w:val="center"/>
          </w:tcPr>
          <w:p w14:paraId="4269FD7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3800</w:t>
            </w:r>
          </w:p>
        </w:tc>
        <w:tc>
          <w:tcPr>
            <w:tcW w:w="1055" w:type="pct"/>
            <w:noWrap/>
            <w:vAlign w:val="center"/>
          </w:tcPr>
          <w:p w14:paraId="772DB48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57.22</w:t>
            </w:r>
          </w:p>
        </w:tc>
        <w:tc>
          <w:tcPr>
            <w:tcW w:w="953" w:type="pct"/>
            <w:noWrap/>
            <w:vAlign w:val="center"/>
          </w:tcPr>
          <w:p w14:paraId="2F740B1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w:t>
            </w:r>
          </w:p>
        </w:tc>
        <w:tc>
          <w:tcPr>
            <w:tcW w:w="1123" w:type="pct"/>
            <w:vAlign w:val="center"/>
          </w:tcPr>
          <w:p w14:paraId="11D96B9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45.89</w:t>
            </w:r>
          </w:p>
        </w:tc>
        <w:tc>
          <w:tcPr>
            <w:tcW w:w="972" w:type="pct"/>
            <w:vAlign w:val="center"/>
          </w:tcPr>
          <w:p w14:paraId="5D0210B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w:t>
            </w:r>
          </w:p>
        </w:tc>
      </w:tr>
      <w:tr w14:paraId="6BDE7D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897" w:type="pct"/>
            <w:noWrap/>
            <w:vAlign w:val="center"/>
          </w:tcPr>
          <w:p w14:paraId="1ADEE68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3900</w:t>
            </w:r>
          </w:p>
        </w:tc>
        <w:tc>
          <w:tcPr>
            <w:tcW w:w="1055" w:type="pct"/>
            <w:noWrap/>
            <w:vAlign w:val="center"/>
          </w:tcPr>
          <w:p w14:paraId="743E6B6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58.33</w:t>
            </w:r>
          </w:p>
        </w:tc>
        <w:tc>
          <w:tcPr>
            <w:tcW w:w="953" w:type="pct"/>
            <w:noWrap/>
            <w:vAlign w:val="center"/>
          </w:tcPr>
          <w:p w14:paraId="19AC697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w:t>
            </w:r>
          </w:p>
        </w:tc>
        <w:tc>
          <w:tcPr>
            <w:tcW w:w="1123" w:type="pct"/>
            <w:vAlign w:val="center"/>
          </w:tcPr>
          <w:p w14:paraId="0657336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46.71</w:t>
            </w:r>
          </w:p>
        </w:tc>
        <w:tc>
          <w:tcPr>
            <w:tcW w:w="972" w:type="pct"/>
            <w:vAlign w:val="center"/>
          </w:tcPr>
          <w:p w14:paraId="5A5AE3B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w:t>
            </w:r>
          </w:p>
        </w:tc>
      </w:tr>
      <w:tr w14:paraId="237002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897" w:type="pct"/>
            <w:noWrap/>
            <w:vAlign w:val="center"/>
          </w:tcPr>
          <w:p w14:paraId="5191F1D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4000</w:t>
            </w:r>
          </w:p>
        </w:tc>
        <w:tc>
          <w:tcPr>
            <w:tcW w:w="1055" w:type="pct"/>
            <w:noWrap/>
            <w:vAlign w:val="center"/>
          </w:tcPr>
          <w:p w14:paraId="66F8CCC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59.44</w:t>
            </w:r>
          </w:p>
        </w:tc>
        <w:tc>
          <w:tcPr>
            <w:tcW w:w="953" w:type="pct"/>
            <w:noWrap/>
            <w:vAlign w:val="center"/>
          </w:tcPr>
          <w:p w14:paraId="71D3F2A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w:t>
            </w:r>
          </w:p>
        </w:tc>
        <w:tc>
          <w:tcPr>
            <w:tcW w:w="1123" w:type="pct"/>
            <w:vAlign w:val="center"/>
          </w:tcPr>
          <w:p w14:paraId="6B11227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47.52</w:t>
            </w:r>
          </w:p>
        </w:tc>
        <w:tc>
          <w:tcPr>
            <w:tcW w:w="972" w:type="pct"/>
            <w:vAlign w:val="center"/>
          </w:tcPr>
          <w:p w14:paraId="0B64572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w:t>
            </w:r>
          </w:p>
        </w:tc>
      </w:tr>
      <w:tr w14:paraId="13D413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897" w:type="pct"/>
            <w:noWrap/>
            <w:vAlign w:val="center"/>
          </w:tcPr>
          <w:p w14:paraId="1B1DD7F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4100</w:t>
            </w:r>
          </w:p>
        </w:tc>
        <w:tc>
          <w:tcPr>
            <w:tcW w:w="1055" w:type="pct"/>
            <w:noWrap/>
            <w:vAlign w:val="center"/>
          </w:tcPr>
          <w:p w14:paraId="62F2562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60.56</w:t>
            </w:r>
          </w:p>
        </w:tc>
        <w:tc>
          <w:tcPr>
            <w:tcW w:w="953" w:type="pct"/>
            <w:noWrap/>
            <w:vAlign w:val="center"/>
          </w:tcPr>
          <w:p w14:paraId="05DEE31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w:t>
            </w:r>
          </w:p>
        </w:tc>
        <w:tc>
          <w:tcPr>
            <w:tcW w:w="1123" w:type="pct"/>
            <w:vAlign w:val="center"/>
          </w:tcPr>
          <w:p w14:paraId="52BABE8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48.33</w:t>
            </w:r>
          </w:p>
        </w:tc>
        <w:tc>
          <w:tcPr>
            <w:tcW w:w="972" w:type="pct"/>
            <w:vAlign w:val="center"/>
          </w:tcPr>
          <w:p w14:paraId="612CEED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w:t>
            </w:r>
          </w:p>
        </w:tc>
      </w:tr>
      <w:tr w14:paraId="0E16EF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897" w:type="pct"/>
            <w:noWrap/>
            <w:vAlign w:val="center"/>
          </w:tcPr>
          <w:p w14:paraId="4A0CAF0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4200</w:t>
            </w:r>
          </w:p>
        </w:tc>
        <w:tc>
          <w:tcPr>
            <w:tcW w:w="1055" w:type="pct"/>
            <w:noWrap/>
            <w:vAlign w:val="center"/>
          </w:tcPr>
          <w:p w14:paraId="63A29FA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61.67</w:t>
            </w:r>
          </w:p>
        </w:tc>
        <w:tc>
          <w:tcPr>
            <w:tcW w:w="953" w:type="pct"/>
            <w:noWrap/>
            <w:vAlign w:val="center"/>
          </w:tcPr>
          <w:p w14:paraId="70D32E1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w:t>
            </w:r>
          </w:p>
        </w:tc>
        <w:tc>
          <w:tcPr>
            <w:tcW w:w="1123" w:type="pct"/>
            <w:vAlign w:val="center"/>
          </w:tcPr>
          <w:p w14:paraId="709C2E8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49.15</w:t>
            </w:r>
          </w:p>
        </w:tc>
        <w:tc>
          <w:tcPr>
            <w:tcW w:w="972" w:type="pct"/>
            <w:vAlign w:val="center"/>
          </w:tcPr>
          <w:p w14:paraId="32B2BD5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w:t>
            </w:r>
          </w:p>
        </w:tc>
      </w:tr>
      <w:tr w14:paraId="505C2B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897" w:type="pct"/>
            <w:noWrap/>
            <w:vAlign w:val="center"/>
          </w:tcPr>
          <w:p w14:paraId="20E9186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4300</w:t>
            </w:r>
          </w:p>
        </w:tc>
        <w:tc>
          <w:tcPr>
            <w:tcW w:w="1055" w:type="pct"/>
            <w:noWrap/>
            <w:vAlign w:val="center"/>
          </w:tcPr>
          <w:p w14:paraId="2958FC0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62.78</w:t>
            </w:r>
          </w:p>
        </w:tc>
        <w:tc>
          <w:tcPr>
            <w:tcW w:w="953" w:type="pct"/>
            <w:noWrap/>
            <w:vAlign w:val="center"/>
          </w:tcPr>
          <w:p w14:paraId="55CA957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w:t>
            </w:r>
          </w:p>
        </w:tc>
        <w:tc>
          <w:tcPr>
            <w:tcW w:w="1123" w:type="pct"/>
            <w:vAlign w:val="center"/>
          </w:tcPr>
          <w:p w14:paraId="57D554D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49.96</w:t>
            </w:r>
          </w:p>
        </w:tc>
        <w:tc>
          <w:tcPr>
            <w:tcW w:w="972" w:type="pct"/>
            <w:vAlign w:val="center"/>
          </w:tcPr>
          <w:p w14:paraId="2E24AF0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w:t>
            </w:r>
          </w:p>
        </w:tc>
      </w:tr>
      <w:tr w14:paraId="6505C1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897" w:type="pct"/>
            <w:noWrap/>
            <w:vAlign w:val="center"/>
          </w:tcPr>
          <w:p w14:paraId="7AF4834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4400</w:t>
            </w:r>
          </w:p>
        </w:tc>
        <w:tc>
          <w:tcPr>
            <w:tcW w:w="1055" w:type="pct"/>
            <w:noWrap/>
            <w:vAlign w:val="center"/>
          </w:tcPr>
          <w:p w14:paraId="115C2D4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63.89</w:t>
            </w:r>
          </w:p>
        </w:tc>
        <w:tc>
          <w:tcPr>
            <w:tcW w:w="953" w:type="pct"/>
            <w:noWrap/>
            <w:vAlign w:val="center"/>
          </w:tcPr>
          <w:p w14:paraId="1840EBF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w:t>
            </w:r>
          </w:p>
        </w:tc>
        <w:tc>
          <w:tcPr>
            <w:tcW w:w="1123" w:type="pct"/>
            <w:vAlign w:val="center"/>
          </w:tcPr>
          <w:p w14:paraId="0DA8EB9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50.77</w:t>
            </w:r>
          </w:p>
        </w:tc>
        <w:tc>
          <w:tcPr>
            <w:tcW w:w="972" w:type="pct"/>
            <w:vAlign w:val="center"/>
          </w:tcPr>
          <w:p w14:paraId="24622A8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w:t>
            </w:r>
          </w:p>
        </w:tc>
      </w:tr>
      <w:tr w14:paraId="1B571A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897" w:type="pct"/>
            <w:noWrap/>
            <w:vAlign w:val="center"/>
          </w:tcPr>
          <w:p w14:paraId="28E4CF4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4500</w:t>
            </w:r>
          </w:p>
        </w:tc>
        <w:tc>
          <w:tcPr>
            <w:tcW w:w="1055" w:type="pct"/>
            <w:noWrap/>
            <w:vAlign w:val="center"/>
          </w:tcPr>
          <w:p w14:paraId="6CF0120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65.00</w:t>
            </w:r>
          </w:p>
        </w:tc>
        <w:tc>
          <w:tcPr>
            <w:tcW w:w="953" w:type="pct"/>
            <w:noWrap/>
            <w:vAlign w:val="center"/>
          </w:tcPr>
          <w:p w14:paraId="50EFBA4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w:t>
            </w:r>
          </w:p>
        </w:tc>
        <w:tc>
          <w:tcPr>
            <w:tcW w:w="1123" w:type="pct"/>
            <w:vAlign w:val="center"/>
          </w:tcPr>
          <w:p w14:paraId="17CB2B9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51.59</w:t>
            </w:r>
          </w:p>
        </w:tc>
        <w:tc>
          <w:tcPr>
            <w:tcW w:w="972" w:type="pct"/>
            <w:vAlign w:val="center"/>
          </w:tcPr>
          <w:p w14:paraId="6854E16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w:t>
            </w:r>
          </w:p>
        </w:tc>
      </w:tr>
      <w:tr w14:paraId="0F8619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897" w:type="pct"/>
            <w:noWrap/>
            <w:vAlign w:val="center"/>
          </w:tcPr>
          <w:p w14:paraId="77A77A3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4600</w:t>
            </w:r>
          </w:p>
        </w:tc>
        <w:tc>
          <w:tcPr>
            <w:tcW w:w="1055" w:type="pct"/>
            <w:noWrap/>
            <w:vAlign w:val="center"/>
          </w:tcPr>
          <w:p w14:paraId="6F09B87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66.11</w:t>
            </w:r>
          </w:p>
        </w:tc>
        <w:tc>
          <w:tcPr>
            <w:tcW w:w="953" w:type="pct"/>
            <w:noWrap/>
            <w:vAlign w:val="center"/>
          </w:tcPr>
          <w:p w14:paraId="62F5ED7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w:t>
            </w:r>
          </w:p>
        </w:tc>
        <w:tc>
          <w:tcPr>
            <w:tcW w:w="1123" w:type="pct"/>
            <w:vAlign w:val="center"/>
          </w:tcPr>
          <w:p w14:paraId="0FA3D86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52.40</w:t>
            </w:r>
          </w:p>
        </w:tc>
        <w:tc>
          <w:tcPr>
            <w:tcW w:w="972" w:type="pct"/>
            <w:vAlign w:val="center"/>
          </w:tcPr>
          <w:p w14:paraId="1BB1D00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w:t>
            </w:r>
          </w:p>
        </w:tc>
      </w:tr>
      <w:tr w14:paraId="703877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897" w:type="pct"/>
            <w:noWrap/>
            <w:vAlign w:val="center"/>
          </w:tcPr>
          <w:p w14:paraId="2680802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4700</w:t>
            </w:r>
          </w:p>
        </w:tc>
        <w:tc>
          <w:tcPr>
            <w:tcW w:w="1055" w:type="pct"/>
            <w:noWrap/>
            <w:vAlign w:val="center"/>
          </w:tcPr>
          <w:p w14:paraId="2AC149D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67.22</w:t>
            </w:r>
          </w:p>
        </w:tc>
        <w:tc>
          <w:tcPr>
            <w:tcW w:w="953" w:type="pct"/>
            <w:noWrap/>
            <w:vAlign w:val="center"/>
          </w:tcPr>
          <w:p w14:paraId="543A5F4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w:t>
            </w:r>
          </w:p>
        </w:tc>
        <w:tc>
          <w:tcPr>
            <w:tcW w:w="1123" w:type="pct"/>
            <w:vAlign w:val="center"/>
          </w:tcPr>
          <w:p w14:paraId="5E65D3A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53.21</w:t>
            </w:r>
          </w:p>
        </w:tc>
        <w:tc>
          <w:tcPr>
            <w:tcW w:w="972" w:type="pct"/>
            <w:vAlign w:val="center"/>
          </w:tcPr>
          <w:p w14:paraId="0376661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w:t>
            </w:r>
          </w:p>
        </w:tc>
      </w:tr>
      <w:tr w14:paraId="195143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897" w:type="pct"/>
            <w:noWrap/>
            <w:vAlign w:val="center"/>
          </w:tcPr>
          <w:p w14:paraId="4153D51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4800</w:t>
            </w:r>
          </w:p>
        </w:tc>
        <w:tc>
          <w:tcPr>
            <w:tcW w:w="1055" w:type="pct"/>
            <w:noWrap/>
            <w:vAlign w:val="center"/>
          </w:tcPr>
          <w:p w14:paraId="48233B8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68.33</w:t>
            </w:r>
          </w:p>
        </w:tc>
        <w:tc>
          <w:tcPr>
            <w:tcW w:w="953" w:type="pct"/>
            <w:noWrap/>
            <w:vAlign w:val="center"/>
          </w:tcPr>
          <w:p w14:paraId="0AB0B31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w:t>
            </w:r>
          </w:p>
        </w:tc>
        <w:tc>
          <w:tcPr>
            <w:tcW w:w="1123" w:type="pct"/>
            <w:vAlign w:val="center"/>
          </w:tcPr>
          <w:p w14:paraId="37D45B6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54.03</w:t>
            </w:r>
          </w:p>
        </w:tc>
        <w:tc>
          <w:tcPr>
            <w:tcW w:w="972" w:type="pct"/>
            <w:vAlign w:val="center"/>
          </w:tcPr>
          <w:p w14:paraId="68C2EED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w:t>
            </w:r>
          </w:p>
        </w:tc>
      </w:tr>
      <w:tr w14:paraId="620B62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897" w:type="pct"/>
            <w:noWrap/>
            <w:vAlign w:val="center"/>
          </w:tcPr>
          <w:p w14:paraId="5D9B968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4900</w:t>
            </w:r>
          </w:p>
        </w:tc>
        <w:tc>
          <w:tcPr>
            <w:tcW w:w="1055" w:type="pct"/>
            <w:noWrap/>
            <w:vAlign w:val="center"/>
          </w:tcPr>
          <w:p w14:paraId="34EAB79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69.44</w:t>
            </w:r>
          </w:p>
        </w:tc>
        <w:tc>
          <w:tcPr>
            <w:tcW w:w="953" w:type="pct"/>
            <w:noWrap/>
            <w:vAlign w:val="center"/>
          </w:tcPr>
          <w:p w14:paraId="2B923A6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w:t>
            </w:r>
          </w:p>
        </w:tc>
        <w:tc>
          <w:tcPr>
            <w:tcW w:w="1123" w:type="pct"/>
            <w:vAlign w:val="center"/>
          </w:tcPr>
          <w:p w14:paraId="23D768B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54.84</w:t>
            </w:r>
          </w:p>
        </w:tc>
        <w:tc>
          <w:tcPr>
            <w:tcW w:w="972" w:type="pct"/>
            <w:vAlign w:val="center"/>
          </w:tcPr>
          <w:p w14:paraId="19DA2D5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w:t>
            </w:r>
          </w:p>
        </w:tc>
      </w:tr>
      <w:tr w14:paraId="634B40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897" w:type="pct"/>
            <w:noWrap/>
            <w:vAlign w:val="center"/>
          </w:tcPr>
          <w:p w14:paraId="69BBF86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5000</w:t>
            </w:r>
          </w:p>
        </w:tc>
        <w:tc>
          <w:tcPr>
            <w:tcW w:w="1055" w:type="pct"/>
            <w:noWrap/>
            <w:vAlign w:val="center"/>
          </w:tcPr>
          <w:p w14:paraId="6B34CBF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70.56</w:t>
            </w:r>
          </w:p>
        </w:tc>
        <w:tc>
          <w:tcPr>
            <w:tcW w:w="953" w:type="pct"/>
            <w:noWrap/>
            <w:vAlign w:val="center"/>
          </w:tcPr>
          <w:p w14:paraId="6382F44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w:t>
            </w:r>
          </w:p>
        </w:tc>
        <w:tc>
          <w:tcPr>
            <w:tcW w:w="1123" w:type="pct"/>
            <w:vAlign w:val="center"/>
          </w:tcPr>
          <w:p w14:paraId="31E1ADA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55.65</w:t>
            </w:r>
          </w:p>
        </w:tc>
        <w:tc>
          <w:tcPr>
            <w:tcW w:w="972" w:type="pct"/>
            <w:vAlign w:val="center"/>
          </w:tcPr>
          <w:p w14:paraId="39CF5DB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w:t>
            </w:r>
          </w:p>
        </w:tc>
      </w:tr>
      <w:tr w14:paraId="73C3E0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897" w:type="pct"/>
            <w:vMerge w:val="restart"/>
            <w:noWrap/>
            <w:vAlign w:val="center"/>
          </w:tcPr>
          <w:p w14:paraId="58EF79E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毒性终点浓度-1</w:t>
            </w:r>
          </w:p>
        </w:tc>
        <w:tc>
          <w:tcPr>
            <w:tcW w:w="1055" w:type="pct"/>
            <w:noWrap/>
            <w:vAlign w:val="center"/>
          </w:tcPr>
          <w:p w14:paraId="7623A2B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阈值(mg/m</w:t>
            </w:r>
            <w:r>
              <w:rPr>
                <w:rFonts w:ascii="Times New Roman" w:hAnsi="Times New Roman" w:cs="Times New Roman"/>
                <w:color w:val="000000" w:themeColor="text1"/>
                <w:sz w:val="21"/>
                <w:szCs w:val="21"/>
                <w:vertAlign w:val="superscript"/>
                <w14:textFill>
                  <w14:solidFill>
                    <w14:schemeClr w14:val="tx1"/>
                  </w14:solidFill>
                </w14:textFill>
              </w:rPr>
              <w:t>3</w:t>
            </w:r>
            <w:r>
              <w:rPr>
                <w:rFonts w:ascii="Times New Roman" w:hAnsi="Times New Roman" w:cs="Times New Roman"/>
                <w:color w:val="000000" w:themeColor="text1"/>
                <w:sz w:val="21"/>
                <w:szCs w:val="21"/>
                <w14:textFill>
                  <w14:solidFill>
                    <w14:schemeClr w14:val="tx1"/>
                  </w14:solidFill>
                </w14:textFill>
              </w:rPr>
              <w:t>)</w:t>
            </w:r>
          </w:p>
        </w:tc>
        <w:tc>
          <w:tcPr>
            <w:tcW w:w="953" w:type="pct"/>
            <w:noWrap/>
            <w:vAlign w:val="center"/>
          </w:tcPr>
          <w:p w14:paraId="50277CC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770</w:t>
            </w:r>
          </w:p>
        </w:tc>
        <w:tc>
          <w:tcPr>
            <w:tcW w:w="1123" w:type="pct"/>
            <w:vAlign w:val="center"/>
          </w:tcPr>
          <w:p w14:paraId="15EC021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阈值(mg/m</w:t>
            </w:r>
            <w:r>
              <w:rPr>
                <w:rFonts w:ascii="Times New Roman" w:hAnsi="Times New Roman" w:cs="Times New Roman"/>
                <w:color w:val="000000" w:themeColor="text1"/>
                <w:sz w:val="21"/>
                <w:szCs w:val="21"/>
                <w:vertAlign w:val="superscript"/>
                <w14:textFill>
                  <w14:solidFill>
                    <w14:schemeClr w14:val="tx1"/>
                  </w14:solidFill>
                </w14:textFill>
              </w:rPr>
              <w:t>3</w:t>
            </w:r>
            <w:r>
              <w:rPr>
                <w:rFonts w:ascii="Times New Roman" w:hAnsi="Times New Roman" w:cs="Times New Roman"/>
                <w:color w:val="000000" w:themeColor="text1"/>
                <w:sz w:val="21"/>
                <w:szCs w:val="21"/>
                <w14:textFill>
                  <w14:solidFill>
                    <w14:schemeClr w14:val="tx1"/>
                  </w14:solidFill>
                </w14:textFill>
              </w:rPr>
              <w:t>)</w:t>
            </w:r>
          </w:p>
        </w:tc>
        <w:tc>
          <w:tcPr>
            <w:tcW w:w="972" w:type="pct"/>
            <w:vAlign w:val="center"/>
          </w:tcPr>
          <w:p w14:paraId="1A1A087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770</w:t>
            </w:r>
          </w:p>
        </w:tc>
      </w:tr>
      <w:tr w14:paraId="01F87F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897" w:type="pct"/>
            <w:vMerge w:val="continue"/>
            <w:noWrap/>
            <w:vAlign w:val="center"/>
          </w:tcPr>
          <w:p w14:paraId="3C77214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c>
          <w:tcPr>
            <w:tcW w:w="1055" w:type="pct"/>
            <w:noWrap/>
            <w:vAlign w:val="center"/>
          </w:tcPr>
          <w:p w14:paraId="4143558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下风向距离(m)</w:t>
            </w:r>
          </w:p>
        </w:tc>
        <w:tc>
          <w:tcPr>
            <w:tcW w:w="953" w:type="pct"/>
            <w:noWrap/>
            <w:vAlign w:val="center"/>
          </w:tcPr>
          <w:p w14:paraId="4F34647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w:t>
            </w:r>
          </w:p>
        </w:tc>
        <w:tc>
          <w:tcPr>
            <w:tcW w:w="1123" w:type="pct"/>
            <w:vAlign w:val="center"/>
          </w:tcPr>
          <w:p w14:paraId="27FE4BC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下风向距离(m)</w:t>
            </w:r>
          </w:p>
        </w:tc>
        <w:tc>
          <w:tcPr>
            <w:tcW w:w="972" w:type="pct"/>
            <w:vAlign w:val="center"/>
          </w:tcPr>
          <w:p w14:paraId="61AE978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w:t>
            </w:r>
          </w:p>
        </w:tc>
      </w:tr>
      <w:tr w14:paraId="2C2D6B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897" w:type="pct"/>
            <w:vMerge w:val="restart"/>
            <w:noWrap/>
            <w:vAlign w:val="center"/>
          </w:tcPr>
          <w:p w14:paraId="353E0AF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毒性终点浓度-2</w:t>
            </w:r>
          </w:p>
        </w:tc>
        <w:tc>
          <w:tcPr>
            <w:tcW w:w="1055" w:type="pct"/>
            <w:noWrap/>
            <w:vAlign w:val="center"/>
          </w:tcPr>
          <w:p w14:paraId="283845D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阈值(mg/m</w:t>
            </w:r>
            <w:r>
              <w:rPr>
                <w:rFonts w:ascii="Times New Roman" w:hAnsi="Times New Roman" w:cs="Times New Roman"/>
                <w:color w:val="000000" w:themeColor="text1"/>
                <w:sz w:val="21"/>
                <w:szCs w:val="21"/>
                <w:vertAlign w:val="superscript"/>
                <w14:textFill>
                  <w14:solidFill>
                    <w14:schemeClr w14:val="tx1"/>
                  </w14:solidFill>
                </w14:textFill>
              </w:rPr>
              <w:t>3</w:t>
            </w:r>
            <w:r>
              <w:rPr>
                <w:rFonts w:ascii="Times New Roman" w:hAnsi="Times New Roman" w:cs="Times New Roman"/>
                <w:color w:val="000000" w:themeColor="text1"/>
                <w:sz w:val="21"/>
                <w:szCs w:val="21"/>
                <w14:textFill>
                  <w14:solidFill>
                    <w14:schemeClr w14:val="tx1"/>
                  </w14:solidFill>
                </w14:textFill>
              </w:rPr>
              <w:t>)</w:t>
            </w:r>
          </w:p>
        </w:tc>
        <w:tc>
          <w:tcPr>
            <w:tcW w:w="953" w:type="pct"/>
            <w:noWrap/>
            <w:vAlign w:val="center"/>
          </w:tcPr>
          <w:p w14:paraId="11DBD68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88</w:t>
            </w:r>
          </w:p>
        </w:tc>
        <w:tc>
          <w:tcPr>
            <w:tcW w:w="1123" w:type="pct"/>
            <w:vAlign w:val="center"/>
          </w:tcPr>
          <w:p w14:paraId="39C1738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阈值(mg/m</w:t>
            </w:r>
            <w:r>
              <w:rPr>
                <w:rFonts w:ascii="Times New Roman" w:hAnsi="Times New Roman" w:cs="Times New Roman"/>
                <w:color w:val="000000" w:themeColor="text1"/>
                <w:sz w:val="21"/>
                <w:szCs w:val="21"/>
                <w:vertAlign w:val="superscript"/>
                <w14:textFill>
                  <w14:solidFill>
                    <w14:schemeClr w14:val="tx1"/>
                  </w14:solidFill>
                </w14:textFill>
              </w:rPr>
              <w:t>3</w:t>
            </w:r>
            <w:r>
              <w:rPr>
                <w:rFonts w:ascii="Times New Roman" w:hAnsi="Times New Roman" w:cs="Times New Roman"/>
                <w:color w:val="000000" w:themeColor="text1"/>
                <w:sz w:val="21"/>
                <w:szCs w:val="21"/>
                <w14:textFill>
                  <w14:solidFill>
                    <w14:schemeClr w14:val="tx1"/>
                  </w14:solidFill>
                </w14:textFill>
              </w:rPr>
              <w:t>)</w:t>
            </w:r>
          </w:p>
        </w:tc>
        <w:tc>
          <w:tcPr>
            <w:tcW w:w="972" w:type="pct"/>
            <w:vAlign w:val="center"/>
          </w:tcPr>
          <w:p w14:paraId="4D78BE6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88</w:t>
            </w:r>
          </w:p>
        </w:tc>
      </w:tr>
      <w:tr w14:paraId="537E5F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897" w:type="pct"/>
            <w:vMerge w:val="continue"/>
            <w:noWrap/>
            <w:vAlign w:val="center"/>
          </w:tcPr>
          <w:p w14:paraId="658217E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c>
          <w:tcPr>
            <w:tcW w:w="1055" w:type="pct"/>
            <w:noWrap/>
            <w:vAlign w:val="center"/>
          </w:tcPr>
          <w:p w14:paraId="4ADB727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下风向距离(m)</w:t>
            </w:r>
          </w:p>
        </w:tc>
        <w:tc>
          <w:tcPr>
            <w:tcW w:w="953" w:type="pct"/>
            <w:noWrap/>
            <w:vAlign w:val="center"/>
          </w:tcPr>
          <w:p w14:paraId="5FC3745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w:t>
            </w:r>
          </w:p>
        </w:tc>
        <w:tc>
          <w:tcPr>
            <w:tcW w:w="1123" w:type="pct"/>
            <w:vAlign w:val="center"/>
          </w:tcPr>
          <w:p w14:paraId="6852BBB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下风向距离(m)</w:t>
            </w:r>
          </w:p>
        </w:tc>
        <w:tc>
          <w:tcPr>
            <w:tcW w:w="972" w:type="pct"/>
            <w:vAlign w:val="center"/>
          </w:tcPr>
          <w:p w14:paraId="48F754D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w:t>
            </w:r>
          </w:p>
        </w:tc>
      </w:tr>
    </w:tbl>
    <w:p w14:paraId="3232B3D5">
      <w:pPr>
        <w:rPr>
          <w:rFonts w:cs="Times New Roman"/>
          <w:spacing w:val="-3"/>
        </w:rPr>
      </w:pPr>
    </w:p>
    <w:p w14:paraId="5E29B6B6">
      <w:pPr>
        <w:spacing w:line="240" w:lineRule="auto"/>
        <w:jc w:val="center"/>
        <w:rPr>
          <w:rFonts w:cs="Times New Roman"/>
          <w:spacing w:val="-3"/>
        </w:rPr>
      </w:pPr>
      <w:r>
        <w:rPr>
          <w:rFonts w:cs="Times New Roman"/>
          <w:spacing w:val="-3"/>
        </w:rPr>
        <w:drawing>
          <wp:inline distT="0" distB="0" distL="0" distR="0">
            <wp:extent cx="5399405" cy="2668270"/>
            <wp:effectExtent l="0" t="0" r="0" b="0"/>
            <wp:docPr id="1940824842"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0824842" name="图片 15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a:xfrm>
                      <a:off x="0" y="0"/>
                      <a:ext cx="5400000" cy="2668445"/>
                    </a:xfrm>
                    <a:prstGeom prst="rect">
                      <a:avLst/>
                    </a:prstGeom>
                    <a:noFill/>
                    <a:ln>
                      <a:noFill/>
                    </a:ln>
                  </pic:spPr>
                </pic:pic>
              </a:graphicData>
            </a:graphic>
          </wp:inline>
        </w:drawing>
      </w:r>
    </w:p>
    <w:p w14:paraId="01535723">
      <w:pPr>
        <w:pStyle w:val="82"/>
        <w:ind w:firstLine="0" w:firstLineChars="0"/>
        <w:jc w:val="center"/>
        <w:rPr>
          <w:rFonts w:ascii="Times New Roman" w:hAnsi="Times New Roman" w:eastAsia="黑体" w:cs="Times New Roman"/>
          <w:color w:val="000000" w:themeColor="text1"/>
          <w14:textFill>
            <w14:solidFill>
              <w14:schemeClr w14:val="tx1"/>
            </w14:solidFill>
          </w14:textFill>
        </w:rPr>
      </w:pPr>
      <w:r>
        <w:rPr>
          <w:rFonts w:ascii="Times New Roman" w:hAnsi="Times New Roman" w:eastAsia="黑体" w:cs="Times New Roman"/>
          <w:color w:val="000000" w:themeColor="text1"/>
          <w14:textFill>
            <w14:solidFill>
              <w14:schemeClr w14:val="tx1"/>
            </w14:solidFill>
          </w14:textFill>
        </w:rPr>
        <w:t xml:space="preserve">图6.9-4 </w:t>
      </w:r>
      <w:r>
        <w:rPr>
          <w:rFonts w:hint="eastAsia" w:ascii="Times New Roman" w:hAnsi="Times New Roman" w:eastAsia="黑体" w:cs="Times New Roman"/>
          <w:color w:val="000000" w:themeColor="text1"/>
          <w14:textFill>
            <w14:solidFill>
              <w14:schemeClr w14:val="tx1"/>
            </w14:solidFill>
          </w14:textFill>
        </w:rPr>
        <w:t>最不利气象条件下</w:t>
      </w:r>
      <w:r>
        <w:rPr>
          <w:rFonts w:ascii="Times New Roman" w:hAnsi="Times New Roman" w:eastAsia="黑体" w:cs="Times New Roman"/>
          <w:color w:val="000000" w:themeColor="text1"/>
          <w14:textFill>
            <w14:solidFill>
              <w14:schemeClr w14:val="tx1"/>
            </w14:solidFill>
          </w14:textFill>
        </w:rPr>
        <w:t>间甲酚储罐泄露情景下间甲酚</w:t>
      </w:r>
      <w:r>
        <w:rPr>
          <w:rFonts w:hint="eastAsia" w:ascii="Times New Roman" w:hAnsi="Times New Roman" w:eastAsia="黑体" w:cs="Times New Roman"/>
          <w:color w:val="000000" w:themeColor="text1"/>
          <w14:textFill>
            <w14:solidFill>
              <w14:schemeClr w14:val="tx1"/>
            </w14:solidFill>
          </w14:textFill>
        </w:rPr>
        <w:t>不同距离最大浓度变化图</w:t>
      </w:r>
    </w:p>
    <w:p w14:paraId="75428638">
      <w:pPr>
        <w:spacing w:line="240" w:lineRule="auto"/>
        <w:jc w:val="center"/>
        <w:rPr>
          <w:rFonts w:cs="Times New Roman"/>
          <w:spacing w:val="-3"/>
        </w:rPr>
      </w:pPr>
      <w:r>
        <w:rPr>
          <w:rFonts w:cs="Times New Roman"/>
          <w:spacing w:val="-3"/>
        </w:rPr>
        <w:drawing>
          <wp:inline distT="0" distB="0" distL="0" distR="0">
            <wp:extent cx="5399405" cy="2668270"/>
            <wp:effectExtent l="0" t="0" r="0" b="0"/>
            <wp:docPr id="2133543874"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543874" name="图片 15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a:xfrm>
                      <a:off x="0" y="0"/>
                      <a:ext cx="5400000" cy="2668445"/>
                    </a:xfrm>
                    <a:prstGeom prst="rect">
                      <a:avLst/>
                    </a:prstGeom>
                    <a:noFill/>
                    <a:ln>
                      <a:noFill/>
                    </a:ln>
                  </pic:spPr>
                </pic:pic>
              </a:graphicData>
            </a:graphic>
          </wp:inline>
        </w:drawing>
      </w:r>
    </w:p>
    <w:p w14:paraId="14240E81">
      <w:pPr>
        <w:pStyle w:val="82"/>
        <w:ind w:firstLine="0" w:firstLineChars="0"/>
        <w:jc w:val="center"/>
        <w:rPr>
          <w:rFonts w:ascii="Times New Roman" w:hAnsi="Times New Roman" w:eastAsia="黑体" w:cs="Times New Roman"/>
          <w:color w:val="000000" w:themeColor="text1"/>
          <w14:textFill>
            <w14:solidFill>
              <w14:schemeClr w14:val="tx1"/>
            </w14:solidFill>
          </w14:textFill>
        </w:rPr>
      </w:pPr>
      <w:r>
        <w:rPr>
          <w:rFonts w:ascii="Times New Roman" w:hAnsi="Times New Roman" w:eastAsia="黑体" w:cs="Times New Roman"/>
          <w:color w:val="000000" w:themeColor="text1"/>
          <w14:textFill>
            <w14:solidFill>
              <w14:schemeClr w14:val="tx1"/>
            </w14:solidFill>
          </w14:textFill>
        </w:rPr>
        <w:t>图6.9-</w:t>
      </w:r>
      <w:r>
        <w:rPr>
          <w:rFonts w:hint="eastAsia" w:ascii="Times New Roman" w:hAnsi="Times New Roman" w:eastAsia="黑体" w:cs="Times New Roman"/>
          <w:color w:val="000000" w:themeColor="text1"/>
          <w14:textFill>
            <w14:solidFill>
              <w14:schemeClr w14:val="tx1"/>
            </w14:solidFill>
          </w14:textFill>
        </w:rPr>
        <w:t>5</w:t>
      </w:r>
      <w:r>
        <w:rPr>
          <w:rFonts w:ascii="Times New Roman" w:hAnsi="Times New Roman" w:eastAsia="黑体" w:cs="Times New Roman"/>
          <w:color w:val="000000" w:themeColor="text1"/>
          <w14:textFill>
            <w14:solidFill>
              <w14:schemeClr w14:val="tx1"/>
            </w14:solidFill>
          </w14:textFill>
        </w:rPr>
        <w:t xml:space="preserve"> </w:t>
      </w:r>
      <w:r>
        <w:rPr>
          <w:rFonts w:hint="eastAsia" w:ascii="Times New Roman" w:hAnsi="Times New Roman" w:eastAsia="黑体" w:cs="Times New Roman"/>
          <w:color w:val="000000" w:themeColor="text1"/>
          <w14:textFill>
            <w14:solidFill>
              <w14:schemeClr w14:val="tx1"/>
            </w14:solidFill>
          </w14:textFill>
        </w:rPr>
        <w:t>最常见气象条件下</w:t>
      </w:r>
      <w:r>
        <w:rPr>
          <w:rFonts w:ascii="Times New Roman" w:hAnsi="Times New Roman" w:eastAsia="黑体" w:cs="Times New Roman"/>
          <w:color w:val="000000" w:themeColor="text1"/>
          <w14:textFill>
            <w14:solidFill>
              <w14:schemeClr w14:val="tx1"/>
            </w14:solidFill>
          </w14:textFill>
        </w:rPr>
        <w:t>间甲酚储罐泄露情景下间甲酚</w:t>
      </w:r>
      <w:r>
        <w:rPr>
          <w:rFonts w:hint="eastAsia" w:ascii="Times New Roman" w:hAnsi="Times New Roman" w:eastAsia="黑体" w:cs="Times New Roman"/>
          <w:color w:val="000000" w:themeColor="text1"/>
          <w14:textFill>
            <w14:solidFill>
              <w14:schemeClr w14:val="tx1"/>
            </w14:solidFill>
          </w14:textFill>
        </w:rPr>
        <w:t>不同距离最大浓度变化图</w:t>
      </w:r>
    </w:p>
    <w:p w14:paraId="464D2921">
      <w:pPr>
        <w:ind w:firstLine="480" w:firstLineChars="200"/>
        <w:rPr>
          <w:rFonts w:cs="Times New Roman"/>
        </w:rPr>
      </w:pPr>
      <w:r>
        <w:rPr>
          <w:rFonts w:cs="Times New Roman"/>
        </w:rPr>
        <w:t>根据以上预测结果可知，</w:t>
      </w:r>
      <w:r>
        <w:rPr>
          <w:rFonts w:hint="eastAsia" w:cs="Times New Roman"/>
        </w:rPr>
        <w:t>最不利气象条件下和最常见气象条件下</w:t>
      </w:r>
      <w:r>
        <w:rPr>
          <w:rFonts w:cs="Times New Roman"/>
        </w:rPr>
        <w:t>间甲酚储罐泄露情景下风向</w:t>
      </w:r>
      <w:r>
        <w:rPr>
          <w:rFonts w:hint="eastAsia" w:cs="Times New Roman"/>
        </w:rPr>
        <w:t>间甲酚均</w:t>
      </w:r>
      <w:r>
        <w:rPr>
          <w:rFonts w:cs="Times New Roman"/>
        </w:rPr>
        <w:t>未出现大气毒性终点浓度-1和大气毒性终点浓度-2。</w:t>
      </w:r>
    </w:p>
    <w:p w14:paraId="192FAEA8">
      <w:pPr>
        <w:pStyle w:val="82"/>
        <w:ind w:firstLine="480"/>
        <w:jc w:val="both"/>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1)间对甲酚储罐泄露发生火灾事故情景</w:t>
      </w:r>
    </w:p>
    <w:p w14:paraId="554C2A70">
      <w:pPr>
        <w:ind w:firstLine="468" w:firstLineChars="200"/>
        <w:rPr>
          <w:rFonts w:cs="Times New Roman"/>
          <w:spacing w:val="-3"/>
        </w:rPr>
      </w:pPr>
      <w:r>
        <w:rPr>
          <w:rFonts w:cs="Times New Roman"/>
          <w:spacing w:val="-3"/>
        </w:rPr>
        <w:t>根据以上预测情形和事故源强数据，估算间</w:t>
      </w:r>
      <w:r>
        <w:rPr>
          <w:rFonts w:hint="eastAsia" w:cs="Times New Roman"/>
          <w:spacing w:val="-3"/>
        </w:rPr>
        <w:t>对</w:t>
      </w:r>
      <w:r>
        <w:rPr>
          <w:rFonts w:cs="Times New Roman"/>
          <w:spacing w:val="-3"/>
        </w:rPr>
        <w:t>甲酚</w:t>
      </w:r>
      <w:r>
        <w:rPr>
          <w:rFonts w:hint="eastAsia" w:cs="Times New Roman"/>
          <w:spacing w:val="-3"/>
        </w:rPr>
        <w:t>储罐</w:t>
      </w:r>
      <w:r>
        <w:rPr>
          <w:rFonts w:cs="Times New Roman"/>
          <w:spacing w:val="-3"/>
        </w:rPr>
        <w:t>发生</w:t>
      </w:r>
      <w:r>
        <w:rPr>
          <w:rFonts w:hint="eastAsia" w:cs="Times New Roman"/>
          <w:spacing w:val="-3"/>
        </w:rPr>
        <w:t>火灾</w:t>
      </w:r>
      <w:r>
        <w:rPr>
          <w:rFonts w:cs="Times New Roman"/>
          <w:spacing w:val="-3"/>
        </w:rPr>
        <w:t>事故情况下，在最不利气象条件下</w:t>
      </w:r>
      <w:r>
        <w:rPr>
          <w:rFonts w:hint="eastAsia" w:cs="Times New Roman"/>
          <w:spacing w:val="-3"/>
        </w:rPr>
        <w:t>CO</w:t>
      </w:r>
      <w:r>
        <w:rPr>
          <w:rFonts w:cs="Times New Roman"/>
          <w:spacing w:val="-3"/>
        </w:rPr>
        <w:t>下风向不同距离处的最大浓度，及达到不同毒性的最大影响范围具体见表6.9-3</w:t>
      </w:r>
      <w:r>
        <w:rPr>
          <w:rFonts w:hint="eastAsia" w:cs="Times New Roman"/>
          <w:spacing w:val="-3"/>
        </w:rPr>
        <w:t>2</w:t>
      </w:r>
      <w:r>
        <w:rPr>
          <w:rFonts w:cs="Times New Roman"/>
          <w:spacing w:val="-3"/>
        </w:rPr>
        <w:t>，各关心点的有毒有害物质浓度随时间的变化见表6.9-3</w:t>
      </w:r>
      <w:r>
        <w:rPr>
          <w:rFonts w:hint="eastAsia" w:cs="Times New Roman"/>
          <w:spacing w:val="-3"/>
        </w:rPr>
        <w:t>3</w:t>
      </w:r>
      <w:r>
        <w:rPr>
          <w:rFonts w:cs="Times New Roman"/>
          <w:spacing w:val="-3"/>
        </w:rPr>
        <w:t>。</w:t>
      </w:r>
    </w:p>
    <w:p w14:paraId="6604E87F">
      <w:pPr>
        <w:pStyle w:val="28"/>
        <w:rPr>
          <w:rFonts w:hint="eastAsia"/>
        </w:rPr>
      </w:pPr>
      <w:r>
        <w:t>表6.9-</w:t>
      </w:r>
      <w:r>
        <w:rPr>
          <w:rFonts w:hint="eastAsia"/>
        </w:rPr>
        <w:t>32</w:t>
      </w:r>
      <w:r>
        <w:t xml:space="preserve">  间对甲酚储罐泄露发生火灾事故情景下</w:t>
      </w:r>
      <w:r>
        <w:rPr>
          <w:rFonts w:hint="eastAsia"/>
        </w:rPr>
        <w:t>CO</w:t>
      </w:r>
      <w:r>
        <w:t>预测结果一览表</w:t>
      </w:r>
    </w:p>
    <w:tbl>
      <w:tblPr>
        <w:tblStyle w:val="37"/>
        <w:tblW w:w="508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63"/>
        <w:gridCol w:w="1943"/>
        <w:gridCol w:w="1775"/>
        <w:gridCol w:w="1984"/>
        <w:gridCol w:w="1844"/>
      </w:tblGrid>
      <w:tr w14:paraId="3DF1C8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903" w:type="pct"/>
            <w:vMerge w:val="restart"/>
            <w:noWrap/>
            <w:vAlign w:val="center"/>
          </w:tcPr>
          <w:p w14:paraId="655839D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距离(m)</w:t>
            </w:r>
          </w:p>
        </w:tc>
        <w:tc>
          <w:tcPr>
            <w:tcW w:w="2019" w:type="pct"/>
            <w:gridSpan w:val="2"/>
            <w:noWrap/>
            <w:vAlign w:val="center"/>
          </w:tcPr>
          <w:p w14:paraId="04B0921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最不利气象条件</w:t>
            </w:r>
          </w:p>
        </w:tc>
        <w:tc>
          <w:tcPr>
            <w:tcW w:w="2078" w:type="pct"/>
            <w:gridSpan w:val="2"/>
          </w:tcPr>
          <w:p w14:paraId="04E0C4F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最常见气象条件</w:t>
            </w:r>
          </w:p>
        </w:tc>
      </w:tr>
      <w:tr w14:paraId="2EF338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903" w:type="pct"/>
            <w:vMerge w:val="continue"/>
            <w:noWrap/>
            <w:vAlign w:val="center"/>
          </w:tcPr>
          <w:p w14:paraId="7FA4840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c>
          <w:tcPr>
            <w:tcW w:w="1055" w:type="pct"/>
            <w:noWrap/>
            <w:vAlign w:val="center"/>
          </w:tcPr>
          <w:p w14:paraId="6569D19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浓度出现时间(min)</w:t>
            </w:r>
          </w:p>
        </w:tc>
        <w:tc>
          <w:tcPr>
            <w:tcW w:w="964" w:type="pct"/>
            <w:noWrap/>
            <w:vAlign w:val="center"/>
          </w:tcPr>
          <w:p w14:paraId="279B628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高峰浓度(mg/m</w:t>
            </w:r>
            <w:r>
              <w:rPr>
                <w:rFonts w:ascii="Times New Roman" w:hAnsi="Times New Roman" w:cs="Times New Roman"/>
                <w:color w:val="000000" w:themeColor="text1"/>
                <w:sz w:val="21"/>
                <w:szCs w:val="21"/>
                <w:vertAlign w:val="superscript"/>
                <w14:textFill>
                  <w14:solidFill>
                    <w14:schemeClr w14:val="tx1"/>
                  </w14:solidFill>
                </w14:textFill>
              </w:rPr>
              <w:t>3</w:t>
            </w:r>
            <w:r>
              <w:rPr>
                <w:rFonts w:ascii="Times New Roman" w:hAnsi="Times New Roman" w:cs="Times New Roman"/>
                <w:color w:val="000000" w:themeColor="text1"/>
                <w:sz w:val="21"/>
                <w:szCs w:val="21"/>
                <w14:textFill>
                  <w14:solidFill>
                    <w14:schemeClr w14:val="tx1"/>
                  </w14:solidFill>
                </w14:textFill>
              </w:rPr>
              <w:t>)</w:t>
            </w:r>
          </w:p>
        </w:tc>
        <w:tc>
          <w:tcPr>
            <w:tcW w:w="1077" w:type="pct"/>
            <w:vAlign w:val="center"/>
          </w:tcPr>
          <w:p w14:paraId="0F20B85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浓度出现时间(min)</w:t>
            </w:r>
          </w:p>
        </w:tc>
        <w:tc>
          <w:tcPr>
            <w:tcW w:w="1001" w:type="pct"/>
            <w:vAlign w:val="center"/>
          </w:tcPr>
          <w:p w14:paraId="754D3B9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高峰浓度(mg/m</w:t>
            </w:r>
            <w:r>
              <w:rPr>
                <w:rFonts w:ascii="Times New Roman" w:hAnsi="Times New Roman" w:cs="Times New Roman"/>
                <w:color w:val="000000" w:themeColor="text1"/>
                <w:sz w:val="21"/>
                <w:szCs w:val="21"/>
                <w:vertAlign w:val="superscript"/>
                <w14:textFill>
                  <w14:solidFill>
                    <w14:schemeClr w14:val="tx1"/>
                  </w14:solidFill>
                </w14:textFill>
              </w:rPr>
              <w:t>3</w:t>
            </w:r>
            <w:r>
              <w:rPr>
                <w:rFonts w:ascii="Times New Roman" w:hAnsi="Times New Roman" w:cs="Times New Roman"/>
                <w:color w:val="000000" w:themeColor="text1"/>
                <w:sz w:val="21"/>
                <w:szCs w:val="21"/>
                <w14:textFill>
                  <w14:solidFill>
                    <w14:schemeClr w14:val="tx1"/>
                  </w14:solidFill>
                </w14:textFill>
              </w:rPr>
              <w:t>)</w:t>
            </w:r>
          </w:p>
        </w:tc>
      </w:tr>
      <w:tr w14:paraId="730F38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903" w:type="pct"/>
            <w:noWrap/>
            <w:vAlign w:val="center"/>
          </w:tcPr>
          <w:p w14:paraId="43DC346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10</w:t>
            </w:r>
          </w:p>
        </w:tc>
        <w:tc>
          <w:tcPr>
            <w:tcW w:w="1055" w:type="pct"/>
            <w:noWrap/>
            <w:vAlign w:val="center"/>
          </w:tcPr>
          <w:p w14:paraId="71D3AF8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0.11</w:t>
            </w:r>
          </w:p>
        </w:tc>
        <w:tc>
          <w:tcPr>
            <w:tcW w:w="964" w:type="pct"/>
            <w:noWrap/>
            <w:vAlign w:val="center"/>
          </w:tcPr>
          <w:p w14:paraId="6102CDC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34.82</w:t>
            </w:r>
          </w:p>
        </w:tc>
        <w:tc>
          <w:tcPr>
            <w:tcW w:w="1077" w:type="pct"/>
            <w:vAlign w:val="center"/>
          </w:tcPr>
          <w:p w14:paraId="439C1FA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0.08</w:t>
            </w:r>
          </w:p>
        </w:tc>
        <w:tc>
          <w:tcPr>
            <w:tcW w:w="1001" w:type="pct"/>
            <w:vAlign w:val="center"/>
          </w:tcPr>
          <w:p w14:paraId="57765E5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25.48</w:t>
            </w:r>
          </w:p>
        </w:tc>
      </w:tr>
      <w:tr w14:paraId="7CD2B3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903" w:type="pct"/>
            <w:noWrap/>
            <w:vAlign w:val="center"/>
          </w:tcPr>
          <w:p w14:paraId="29EA219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20</w:t>
            </w:r>
          </w:p>
        </w:tc>
        <w:tc>
          <w:tcPr>
            <w:tcW w:w="1055" w:type="pct"/>
            <w:noWrap/>
            <w:vAlign w:val="center"/>
          </w:tcPr>
          <w:p w14:paraId="161837D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0.22</w:t>
            </w:r>
          </w:p>
        </w:tc>
        <w:tc>
          <w:tcPr>
            <w:tcW w:w="964" w:type="pct"/>
            <w:noWrap/>
            <w:vAlign w:val="center"/>
          </w:tcPr>
          <w:p w14:paraId="3A21EDB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1331.10</w:t>
            </w:r>
          </w:p>
        </w:tc>
        <w:tc>
          <w:tcPr>
            <w:tcW w:w="1077" w:type="pct"/>
            <w:vAlign w:val="center"/>
          </w:tcPr>
          <w:p w14:paraId="42AA814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0.16</w:t>
            </w:r>
          </w:p>
        </w:tc>
        <w:tc>
          <w:tcPr>
            <w:tcW w:w="1001" w:type="pct"/>
            <w:vAlign w:val="center"/>
          </w:tcPr>
          <w:p w14:paraId="222EE9F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973.98</w:t>
            </w:r>
          </w:p>
        </w:tc>
      </w:tr>
      <w:tr w14:paraId="2E1A7B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903" w:type="pct"/>
            <w:noWrap/>
            <w:vAlign w:val="center"/>
          </w:tcPr>
          <w:p w14:paraId="3A2E98E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30</w:t>
            </w:r>
          </w:p>
        </w:tc>
        <w:tc>
          <w:tcPr>
            <w:tcW w:w="1055" w:type="pct"/>
            <w:noWrap/>
            <w:vAlign w:val="center"/>
          </w:tcPr>
          <w:p w14:paraId="28ACE4C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0.33</w:t>
            </w:r>
          </w:p>
        </w:tc>
        <w:tc>
          <w:tcPr>
            <w:tcW w:w="964" w:type="pct"/>
            <w:noWrap/>
            <w:vAlign w:val="center"/>
          </w:tcPr>
          <w:p w14:paraId="0BD29B9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1259.00</w:t>
            </w:r>
          </w:p>
        </w:tc>
        <w:tc>
          <w:tcPr>
            <w:tcW w:w="1077" w:type="pct"/>
            <w:vAlign w:val="center"/>
          </w:tcPr>
          <w:p w14:paraId="29A7A0C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0.24</w:t>
            </w:r>
          </w:p>
        </w:tc>
        <w:tc>
          <w:tcPr>
            <w:tcW w:w="1001" w:type="pct"/>
            <w:vAlign w:val="center"/>
          </w:tcPr>
          <w:p w14:paraId="1ED009F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921.18</w:t>
            </w:r>
          </w:p>
        </w:tc>
      </w:tr>
      <w:tr w14:paraId="697EAF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903" w:type="pct"/>
            <w:noWrap/>
            <w:vAlign w:val="center"/>
          </w:tcPr>
          <w:p w14:paraId="48FA2D5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40</w:t>
            </w:r>
          </w:p>
        </w:tc>
        <w:tc>
          <w:tcPr>
            <w:tcW w:w="1055" w:type="pct"/>
            <w:noWrap/>
            <w:vAlign w:val="center"/>
          </w:tcPr>
          <w:p w14:paraId="40AB3F8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0.44</w:t>
            </w:r>
          </w:p>
        </w:tc>
        <w:tc>
          <w:tcPr>
            <w:tcW w:w="964" w:type="pct"/>
            <w:noWrap/>
            <w:vAlign w:val="center"/>
          </w:tcPr>
          <w:p w14:paraId="04B1B3E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978.26</w:t>
            </w:r>
          </w:p>
        </w:tc>
        <w:tc>
          <w:tcPr>
            <w:tcW w:w="1077" w:type="pct"/>
            <w:vAlign w:val="center"/>
          </w:tcPr>
          <w:p w14:paraId="304E864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0.33</w:t>
            </w:r>
          </w:p>
        </w:tc>
        <w:tc>
          <w:tcPr>
            <w:tcW w:w="1001" w:type="pct"/>
            <w:vAlign w:val="center"/>
          </w:tcPr>
          <w:p w14:paraId="4F82D6F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715.80</w:t>
            </w:r>
          </w:p>
        </w:tc>
      </w:tr>
      <w:tr w14:paraId="5F1E92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903" w:type="pct"/>
            <w:noWrap/>
            <w:vAlign w:val="center"/>
          </w:tcPr>
          <w:p w14:paraId="3C29650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50</w:t>
            </w:r>
          </w:p>
        </w:tc>
        <w:tc>
          <w:tcPr>
            <w:tcW w:w="1055" w:type="pct"/>
            <w:noWrap/>
            <w:vAlign w:val="center"/>
          </w:tcPr>
          <w:p w14:paraId="1B15257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0.56</w:t>
            </w:r>
          </w:p>
        </w:tc>
        <w:tc>
          <w:tcPr>
            <w:tcW w:w="964" w:type="pct"/>
            <w:noWrap/>
            <w:vAlign w:val="center"/>
          </w:tcPr>
          <w:p w14:paraId="154C20D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720.31</w:t>
            </w:r>
          </w:p>
        </w:tc>
        <w:tc>
          <w:tcPr>
            <w:tcW w:w="1077" w:type="pct"/>
            <w:vAlign w:val="center"/>
          </w:tcPr>
          <w:p w14:paraId="2495090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0.41</w:t>
            </w:r>
          </w:p>
        </w:tc>
        <w:tc>
          <w:tcPr>
            <w:tcW w:w="1001" w:type="pct"/>
            <w:vAlign w:val="center"/>
          </w:tcPr>
          <w:p w14:paraId="04878C5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527.05</w:t>
            </w:r>
          </w:p>
        </w:tc>
      </w:tr>
      <w:tr w14:paraId="2682CE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903" w:type="pct"/>
            <w:noWrap/>
            <w:vAlign w:val="center"/>
          </w:tcPr>
          <w:p w14:paraId="32F3D0F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100</w:t>
            </w:r>
          </w:p>
        </w:tc>
        <w:tc>
          <w:tcPr>
            <w:tcW w:w="1055" w:type="pct"/>
            <w:noWrap/>
            <w:vAlign w:val="center"/>
          </w:tcPr>
          <w:p w14:paraId="4EA3860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1.11</w:t>
            </w:r>
          </w:p>
        </w:tc>
        <w:tc>
          <w:tcPr>
            <w:tcW w:w="964" w:type="pct"/>
            <w:noWrap/>
            <w:vAlign w:val="center"/>
          </w:tcPr>
          <w:p w14:paraId="725A1B5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194.25</w:t>
            </w:r>
          </w:p>
        </w:tc>
        <w:tc>
          <w:tcPr>
            <w:tcW w:w="1077" w:type="pct"/>
            <w:vAlign w:val="center"/>
          </w:tcPr>
          <w:p w14:paraId="05D73C5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0.81</w:t>
            </w:r>
          </w:p>
        </w:tc>
        <w:tc>
          <w:tcPr>
            <w:tcW w:w="1001" w:type="pct"/>
            <w:vAlign w:val="center"/>
          </w:tcPr>
          <w:p w14:paraId="2D335CF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142.14</w:t>
            </w:r>
          </w:p>
        </w:tc>
      </w:tr>
      <w:tr w14:paraId="7E7E26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903" w:type="pct"/>
            <w:noWrap/>
            <w:vAlign w:val="center"/>
          </w:tcPr>
          <w:p w14:paraId="033B722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200</w:t>
            </w:r>
          </w:p>
        </w:tc>
        <w:tc>
          <w:tcPr>
            <w:tcW w:w="1055" w:type="pct"/>
            <w:noWrap/>
            <w:vAlign w:val="center"/>
          </w:tcPr>
          <w:p w14:paraId="1A974E7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2.22</w:t>
            </w:r>
          </w:p>
        </w:tc>
        <w:tc>
          <w:tcPr>
            <w:tcW w:w="964" w:type="pct"/>
            <w:noWrap/>
            <w:vAlign w:val="center"/>
          </w:tcPr>
          <w:p w14:paraId="39A8D35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43.54</w:t>
            </w:r>
          </w:p>
        </w:tc>
        <w:tc>
          <w:tcPr>
            <w:tcW w:w="1077" w:type="pct"/>
            <w:vAlign w:val="center"/>
          </w:tcPr>
          <w:p w14:paraId="1CC17BD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1.63</w:t>
            </w:r>
          </w:p>
        </w:tc>
        <w:tc>
          <w:tcPr>
            <w:tcW w:w="1001" w:type="pct"/>
            <w:vAlign w:val="center"/>
          </w:tcPr>
          <w:p w14:paraId="45B9A86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31.86</w:t>
            </w:r>
          </w:p>
        </w:tc>
      </w:tr>
      <w:tr w14:paraId="1609ED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903" w:type="pct"/>
            <w:noWrap/>
            <w:vAlign w:val="center"/>
          </w:tcPr>
          <w:p w14:paraId="48886D2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300</w:t>
            </w:r>
          </w:p>
        </w:tc>
        <w:tc>
          <w:tcPr>
            <w:tcW w:w="1055" w:type="pct"/>
            <w:noWrap/>
            <w:vAlign w:val="center"/>
          </w:tcPr>
          <w:p w14:paraId="34CFD2D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3.33</w:t>
            </w:r>
          </w:p>
        </w:tc>
        <w:tc>
          <w:tcPr>
            <w:tcW w:w="964" w:type="pct"/>
            <w:noWrap/>
            <w:vAlign w:val="center"/>
          </w:tcPr>
          <w:p w14:paraId="23D7ACD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17.83</w:t>
            </w:r>
          </w:p>
        </w:tc>
        <w:tc>
          <w:tcPr>
            <w:tcW w:w="1077" w:type="pct"/>
            <w:vAlign w:val="center"/>
          </w:tcPr>
          <w:p w14:paraId="240E72D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2.44</w:t>
            </w:r>
          </w:p>
        </w:tc>
        <w:tc>
          <w:tcPr>
            <w:tcW w:w="1001" w:type="pct"/>
            <w:vAlign w:val="center"/>
          </w:tcPr>
          <w:p w14:paraId="5957BD6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13.05</w:t>
            </w:r>
          </w:p>
        </w:tc>
      </w:tr>
      <w:tr w14:paraId="16BE26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903" w:type="pct"/>
            <w:noWrap/>
            <w:vAlign w:val="center"/>
          </w:tcPr>
          <w:p w14:paraId="15E7A7E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400</w:t>
            </w:r>
          </w:p>
        </w:tc>
        <w:tc>
          <w:tcPr>
            <w:tcW w:w="1055" w:type="pct"/>
            <w:noWrap/>
            <w:vAlign w:val="center"/>
          </w:tcPr>
          <w:p w14:paraId="732203B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4.44</w:t>
            </w:r>
          </w:p>
        </w:tc>
        <w:tc>
          <w:tcPr>
            <w:tcW w:w="964" w:type="pct"/>
            <w:noWrap/>
            <w:vAlign w:val="center"/>
          </w:tcPr>
          <w:p w14:paraId="7AF479E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9.44</w:t>
            </w:r>
          </w:p>
        </w:tc>
        <w:tc>
          <w:tcPr>
            <w:tcW w:w="1077" w:type="pct"/>
            <w:vAlign w:val="center"/>
          </w:tcPr>
          <w:p w14:paraId="0FF5CCF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3.25</w:t>
            </w:r>
          </w:p>
        </w:tc>
        <w:tc>
          <w:tcPr>
            <w:tcW w:w="1001" w:type="pct"/>
            <w:vAlign w:val="center"/>
          </w:tcPr>
          <w:p w14:paraId="63C4FA2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6.91</w:t>
            </w:r>
          </w:p>
        </w:tc>
      </w:tr>
      <w:tr w14:paraId="559A1B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903" w:type="pct"/>
            <w:noWrap/>
            <w:vAlign w:val="center"/>
          </w:tcPr>
          <w:p w14:paraId="17DE99A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500</w:t>
            </w:r>
          </w:p>
        </w:tc>
        <w:tc>
          <w:tcPr>
            <w:tcW w:w="1055" w:type="pct"/>
            <w:noWrap/>
            <w:vAlign w:val="center"/>
          </w:tcPr>
          <w:p w14:paraId="51B8AD1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5.56</w:t>
            </w:r>
          </w:p>
        </w:tc>
        <w:tc>
          <w:tcPr>
            <w:tcW w:w="964" w:type="pct"/>
            <w:noWrap/>
            <w:vAlign w:val="center"/>
          </w:tcPr>
          <w:p w14:paraId="34D487D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5.76</w:t>
            </w:r>
          </w:p>
        </w:tc>
        <w:tc>
          <w:tcPr>
            <w:tcW w:w="1077" w:type="pct"/>
            <w:vAlign w:val="center"/>
          </w:tcPr>
          <w:p w14:paraId="586C506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4.07</w:t>
            </w:r>
          </w:p>
        </w:tc>
        <w:tc>
          <w:tcPr>
            <w:tcW w:w="1001" w:type="pct"/>
            <w:vAlign w:val="center"/>
          </w:tcPr>
          <w:p w14:paraId="4E5608B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4.22</w:t>
            </w:r>
          </w:p>
        </w:tc>
      </w:tr>
      <w:tr w14:paraId="01E3D7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903" w:type="pct"/>
            <w:noWrap/>
            <w:vAlign w:val="center"/>
          </w:tcPr>
          <w:p w14:paraId="142817A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600</w:t>
            </w:r>
          </w:p>
        </w:tc>
        <w:tc>
          <w:tcPr>
            <w:tcW w:w="1055" w:type="pct"/>
            <w:noWrap/>
            <w:vAlign w:val="center"/>
          </w:tcPr>
          <w:p w14:paraId="611F44C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6.67</w:t>
            </w:r>
          </w:p>
        </w:tc>
        <w:tc>
          <w:tcPr>
            <w:tcW w:w="964" w:type="pct"/>
            <w:noWrap/>
            <w:vAlign w:val="center"/>
          </w:tcPr>
          <w:p w14:paraId="079E05C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3.85</w:t>
            </w:r>
          </w:p>
        </w:tc>
        <w:tc>
          <w:tcPr>
            <w:tcW w:w="1077" w:type="pct"/>
            <w:vAlign w:val="center"/>
          </w:tcPr>
          <w:p w14:paraId="545025F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4.88</w:t>
            </w:r>
          </w:p>
        </w:tc>
        <w:tc>
          <w:tcPr>
            <w:tcW w:w="1001" w:type="pct"/>
            <w:vAlign w:val="center"/>
          </w:tcPr>
          <w:p w14:paraId="21CE496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2.82</w:t>
            </w:r>
          </w:p>
        </w:tc>
      </w:tr>
      <w:tr w14:paraId="438C5E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903" w:type="pct"/>
            <w:noWrap/>
            <w:vAlign w:val="center"/>
          </w:tcPr>
          <w:p w14:paraId="1CD7E17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700</w:t>
            </w:r>
          </w:p>
        </w:tc>
        <w:tc>
          <w:tcPr>
            <w:tcW w:w="1055" w:type="pct"/>
            <w:noWrap/>
            <w:vAlign w:val="center"/>
          </w:tcPr>
          <w:p w14:paraId="20F0BB5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7.78</w:t>
            </w:r>
          </w:p>
        </w:tc>
        <w:tc>
          <w:tcPr>
            <w:tcW w:w="964" w:type="pct"/>
            <w:noWrap/>
            <w:vAlign w:val="center"/>
          </w:tcPr>
          <w:p w14:paraId="4E4EE84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2.74</w:t>
            </w:r>
          </w:p>
        </w:tc>
        <w:tc>
          <w:tcPr>
            <w:tcW w:w="1077" w:type="pct"/>
            <w:vAlign w:val="center"/>
          </w:tcPr>
          <w:p w14:paraId="4432653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5.69</w:t>
            </w:r>
          </w:p>
        </w:tc>
        <w:tc>
          <w:tcPr>
            <w:tcW w:w="1001" w:type="pct"/>
            <w:vAlign w:val="center"/>
          </w:tcPr>
          <w:p w14:paraId="5C62560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2.00</w:t>
            </w:r>
          </w:p>
        </w:tc>
      </w:tr>
      <w:tr w14:paraId="5BA70C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903" w:type="pct"/>
            <w:noWrap/>
            <w:vAlign w:val="center"/>
          </w:tcPr>
          <w:p w14:paraId="7B05F7A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800</w:t>
            </w:r>
          </w:p>
        </w:tc>
        <w:tc>
          <w:tcPr>
            <w:tcW w:w="1055" w:type="pct"/>
            <w:noWrap/>
            <w:vAlign w:val="center"/>
          </w:tcPr>
          <w:p w14:paraId="2EFAC5E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8.89</w:t>
            </w:r>
          </w:p>
        </w:tc>
        <w:tc>
          <w:tcPr>
            <w:tcW w:w="964" w:type="pct"/>
            <w:noWrap/>
            <w:vAlign w:val="center"/>
          </w:tcPr>
          <w:p w14:paraId="658792C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1.97</w:t>
            </w:r>
          </w:p>
        </w:tc>
        <w:tc>
          <w:tcPr>
            <w:tcW w:w="1077" w:type="pct"/>
            <w:vAlign w:val="center"/>
          </w:tcPr>
          <w:p w14:paraId="1D169DE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6.50</w:t>
            </w:r>
          </w:p>
        </w:tc>
        <w:tc>
          <w:tcPr>
            <w:tcW w:w="1001" w:type="pct"/>
            <w:vAlign w:val="center"/>
          </w:tcPr>
          <w:p w14:paraId="07B591C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1.44</w:t>
            </w:r>
          </w:p>
        </w:tc>
      </w:tr>
      <w:tr w14:paraId="159C0F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903" w:type="pct"/>
            <w:noWrap/>
            <w:vAlign w:val="center"/>
          </w:tcPr>
          <w:p w14:paraId="32A628C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900</w:t>
            </w:r>
          </w:p>
        </w:tc>
        <w:tc>
          <w:tcPr>
            <w:tcW w:w="1055" w:type="pct"/>
            <w:noWrap/>
            <w:vAlign w:val="center"/>
          </w:tcPr>
          <w:p w14:paraId="2B76F24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10.00</w:t>
            </w:r>
          </w:p>
        </w:tc>
        <w:tc>
          <w:tcPr>
            <w:tcW w:w="964" w:type="pct"/>
            <w:noWrap/>
            <w:vAlign w:val="center"/>
          </w:tcPr>
          <w:p w14:paraId="0D391FB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1.38</w:t>
            </w:r>
          </w:p>
        </w:tc>
        <w:tc>
          <w:tcPr>
            <w:tcW w:w="1077" w:type="pct"/>
            <w:vAlign w:val="center"/>
          </w:tcPr>
          <w:p w14:paraId="6381FFA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7.32</w:t>
            </w:r>
          </w:p>
        </w:tc>
        <w:tc>
          <w:tcPr>
            <w:tcW w:w="1001" w:type="pct"/>
            <w:vAlign w:val="center"/>
          </w:tcPr>
          <w:p w14:paraId="0D3A6E0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1.01</w:t>
            </w:r>
          </w:p>
        </w:tc>
      </w:tr>
      <w:tr w14:paraId="7FE556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903" w:type="pct"/>
            <w:noWrap/>
            <w:vAlign w:val="center"/>
          </w:tcPr>
          <w:p w14:paraId="1EFC75B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1000</w:t>
            </w:r>
          </w:p>
        </w:tc>
        <w:tc>
          <w:tcPr>
            <w:tcW w:w="1055" w:type="pct"/>
            <w:noWrap/>
            <w:vAlign w:val="center"/>
          </w:tcPr>
          <w:p w14:paraId="563CF7C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11.11</w:t>
            </w:r>
          </w:p>
        </w:tc>
        <w:tc>
          <w:tcPr>
            <w:tcW w:w="964" w:type="pct"/>
            <w:noWrap/>
            <w:vAlign w:val="center"/>
          </w:tcPr>
          <w:p w14:paraId="7BFB32C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1.01</w:t>
            </w:r>
          </w:p>
        </w:tc>
        <w:tc>
          <w:tcPr>
            <w:tcW w:w="1077" w:type="pct"/>
            <w:vAlign w:val="center"/>
          </w:tcPr>
          <w:p w14:paraId="6ED8358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8.13</w:t>
            </w:r>
          </w:p>
        </w:tc>
        <w:tc>
          <w:tcPr>
            <w:tcW w:w="1001" w:type="pct"/>
            <w:vAlign w:val="center"/>
          </w:tcPr>
          <w:p w14:paraId="7789E36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0.74</w:t>
            </w:r>
          </w:p>
        </w:tc>
      </w:tr>
      <w:tr w14:paraId="4055AE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903" w:type="pct"/>
            <w:noWrap/>
            <w:vAlign w:val="center"/>
          </w:tcPr>
          <w:p w14:paraId="1C32AC5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1100</w:t>
            </w:r>
          </w:p>
        </w:tc>
        <w:tc>
          <w:tcPr>
            <w:tcW w:w="1055" w:type="pct"/>
            <w:noWrap/>
            <w:vAlign w:val="center"/>
          </w:tcPr>
          <w:p w14:paraId="5F0A0D0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12.22</w:t>
            </w:r>
          </w:p>
        </w:tc>
        <w:tc>
          <w:tcPr>
            <w:tcW w:w="964" w:type="pct"/>
            <w:noWrap/>
            <w:vAlign w:val="center"/>
          </w:tcPr>
          <w:p w14:paraId="1FA2785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0.75</w:t>
            </w:r>
          </w:p>
        </w:tc>
        <w:tc>
          <w:tcPr>
            <w:tcW w:w="1077" w:type="pct"/>
            <w:vAlign w:val="center"/>
          </w:tcPr>
          <w:p w14:paraId="36EFA7A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8.94</w:t>
            </w:r>
          </w:p>
        </w:tc>
        <w:tc>
          <w:tcPr>
            <w:tcW w:w="1001" w:type="pct"/>
            <w:vAlign w:val="center"/>
          </w:tcPr>
          <w:p w14:paraId="22FF89C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0.55</w:t>
            </w:r>
          </w:p>
        </w:tc>
      </w:tr>
      <w:tr w14:paraId="698B33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903" w:type="pct"/>
            <w:noWrap/>
            <w:vAlign w:val="center"/>
          </w:tcPr>
          <w:p w14:paraId="32228C7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1200</w:t>
            </w:r>
          </w:p>
        </w:tc>
        <w:tc>
          <w:tcPr>
            <w:tcW w:w="1055" w:type="pct"/>
            <w:noWrap/>
            <w:vAlign w:val="center"/>
          </w:tcPr>
          <w:p w14:paraId="7273507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13.33</w:t>
            </w:r>
          </w:p>
        </w:tc>
        <w:tc>
          <w:tcPr>
            <w:tcW w:w="964" w:type="pct"/>
            <w:noWrap/>
            <w:vAlign w:val="center"/>
          </w:tcPr>
          <w:p w14:paraId="4CE3285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0.58</w:t>
            </w:r>
          </w:p>
        </w:tc>
        <w:tc>
          <w:tcPr>
            <w:tcW w:w="1077" w:type="pct"/>
            <w:vAlign w:val="center"/>
          </w:tcPr>
          <w:p w14:paraId="418F918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9.76</w:t>
            </w:r>
          </w:p>
        </w:tc>
        <w:tc>
          <w:tcPr>
            <w:tcW w:w="1001" w:type="pct"/>
            <w:vAlign w:val="center"/>
          </w:tcPr>
          <w:p w14:paraId="3BCE046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0.42</w:t>
            </w:r>
          </w:p>
        </w:tc>
      </w:tr>
      <w:tr w14:paraId="2CDF88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903" w:type="pct"/>
            <w:noWrap/>
            <w:vAlign w:val="center"/>
          </w:tcPr>
          <w:p w14:paraId="1C508BD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1300</w:t>
            </w:r>
          </w:p>
        </w:tc>
        <w:tc>
          <w:tcPr>
            <w:tcW w:w="1055" w:type="pct"/>
            <w:noWrap/>
            <w:vAlign w:val="center"/>
          </w:tcPr>
          <w:p w14:paraId="5911443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14.44</w:t>
            </w:r>
          </w:p>
        </w:tc>
        <w:tc>
          <w:tcPr>
            <w:tcW w:w="964" w:type="pct"/>
            <w:noWrap/>
            <w:vAlign w:val="center"/>
          </w:tcPr>
          <w:p w14:paraId="0672EA0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0.45</w:t>
            </w:r>
          </w:p>
        </w:tc>
        <w:tc>
          <w:tcPr>
            <w:tcW w:w="1077" w:type="pct"/>
            <w:vAlign w:val="center"/>
          </w:tcPr>
          <w:p w14:paraId="018874D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10.57</w:t>
            </w:r>
          </w:p>
        </w:tc>
        <w:tc>
          <w:tcPr>
            <w:tcW w:w="1001" w:type="pct"/>
            <w:vAlign w:val="center"/>
          </w:tcPr>
          <w:p w14:paraId="6AF750B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0.33</w:t>
            </w:r>
          </w:p>
        </w:tc>
      </w:tr>
      <w:tr w14:paraId="15EA5A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903" w:type="pct"/>
            <w:noWrap/>
            <w:vAlign w:val="center"/>
          </w:tcPr>
          <w:p w14:paraId="1681487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1400</w:t>
            </w:r>
          </w:p>
        </w:tc>
        <w:tc>
          <w:tcPr>
            <w:tcW w:w="1055" w:type="pct"/>
            <w:noWrap/>
            <w:vAlign w:val="center"/>
          </w:tcPr>
          <w:p w14:paraId="78C5BDA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15.56</w:t>
            </w:r>
          </w:p>
        </w:tc>
        <w:tc>
          <w:tcPr>
            <w:tcW w:w="964" w:type="pct"/>
            <w:noWrap/>
            <w:vAlign w:val="center"/>
          </w:tcPr>
          <w:p w14:paraId="550A2B0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0.36</w:t>
            </w:r>
          </w:p>
        </w:tc>
        <w:tc>
          <w:tcPr>
            <w:tcW w:w="1077" w:type="pct"/>
            <w:vAlign w:val="center"/>
          </w:tcPr>
          <w:p w14:paraId="02227B2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11.38</w:t>
            </w:r>
          </w:p>
        </w:tc>
        <w:tc>
          <w:tcPr>
            <w:tcW w:w="1001" w:type="pct"/>
            <w:vAlign w:val="center"/>
          </w:tcPr>
          <w:p w14:paraId="7FDB2A1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0.27</w:t>
            </w:r>
          </w:p>
        </w:tc>
      </w:tr>
      <w:tr w14:paraId="439EDC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903" w:type="pct"/>
            <w:noWrap/>
            <w:vAlign w:val="center"/>
          </w:tcPr>
          <w:p w14:paraId="5A93169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1500</w:t>
            </w:r>
          </w:p>
        </w:tc>
        <w:tc>
          <w:tcPr>
            <w:tcW w:w="1055" w:type="pct"/>
            <w:noWrap/>
            <w:vAlign w:val="center"/>
          </w:tcPr>
          <w:p w14:paraId="57D6844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16.67</w:t>
            </w:r>
          </w:p>
        </w:tc>
        <w:tc>
          <w:tcPr>
            <w:tcW w:w="964" w:type="pct"/>
            <w:noWrap/>
            <w:vAlign w:val="center"/>
          </w:tcPr>
          <w:p w14:paraId="5B9EA24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0.30</w:t>
            </w:r>
          </w:p>
        </w:tc>
        <w:tc>
          <w:tcPr>
            <w:tcW w:w="1077" w:type="pct"/>
            <w:vAlign w:val="center"/>
          </w:tcPr>
          <w:p w14:paraId="6FC4D7A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12.20</w:t>
            </w:r>
          </w:p>
        </w:tc>
        <w:tc>
          <w:tcPr>
            <w:tcW w:w="1001" w:type="pct"/>
            <w:vAlign w:val="center"/>
          </w:tcPr>
          <w:p w14:paraId="6D93368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0.22</w:t>
            </w:r>
          </w:p>
        </w:tc>
      </w:tr>
      <w:tr w14:paraId="62E301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903" w:type="pct"/>
            <w:noWrap/>
            <w:vAlign w:val="center"/>
          </w:tcPr>
          <w:p w14:paraId="4075CC3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1600</w:t>
            </w:r>
          </w:p>
        </w:tc>
        <w:tc>
          <w:tcPr>
            <w:tcW w:w="1055" w:type="pct"/>
            <w:noWrap/>
            <w:vAlign w:val="center"/>
          </w:tcPr>
          <w:p w14:paraId="0229135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17.78</w:t>
            </w:r>
          </w:p>
        </w:tc>
        <w:tc>
          <w:tcPr>
            <w:tcW w:w="964" w:type="pct"/>
            <w:noWrap/>
            <w:vAlign w:val="center"/>
          </w:tcPr>
          <w:p w14:paraId="7CD76F2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0.24</w:t>
            </w:r>
          </w:p>
        </w:tc>
        <w:tc>
          <w:tcPr>
            <w:tcW w:w="1077" w:type="pct"/>
            <w:vAlign w:val="center"/>
          </w:tcPr>
          <w:p w14:paraId="6FD1269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13.01</w:t>
            </w:r>
          </w:p>
        </w:tc>
        <w:tc>
          <w:tcPr>
            <w:tcW w:w="1001" w:type="pct"/>
            <w:vAlign w:val="center"/>
          </w:tcPr>
          <w:p w14:paraId="45C2F2A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0.18</w:t>
            </w:r>
          </w:p>
        </w:tc>
      </w:tr>
      <w:tr w14:paraId="5C43CF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903" w:type="pct"/>
            <w:noWrap/>
            <w:vAlign w:val="center"/>
          </w:tcPr>
          <w:p w14:paraId="39AE0A8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1700</w:t>
            </w:r>
          </w:p>
        </w:tc>
        <w:tc>
          <w:tcPr>
            <w:tcW w:w="1055" w:type="pct"/>
            <w:noWrap/>
            <w:vAlign w:val="center"/>
          </w:tcPr>
          <w:p w14:paraId="64D6ACD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18.89</w:t>
            </w:r>
          </w:p>
        </w:tc>
        <w:tc>
          <w:tcPr>
            <w:tcW w:w="964" w:type="pct"/>
            <w:noWrap/>
            <w:vAlign w:val="center"/>
          </w:tcPr>
          <w:p w14:paraId="1AB19F1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0.20</w:t>
            </w:r>
          </w:p>
        </w:tc>
        <w:tc>
          <w:tcPr>
            <w:tcW w:w="1077" w:type="pct"/>
            <w:vAlign w:val="center"/>
          </w:tcPr>
          <w:p w14:paraId="2B3190F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13.82</w:t>
            </w:r>
          </w:p>
        </w:tc>
        <w:tc>
          <w:tcPr>
            <w:tcW w:w="1001" w:type="pct"/>
            <w:vAlign w:val="center"/>
          </w:tcPr>
          <w:p w14:paraId="279362D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0.15</w:t>
            </w:r>
          </w:p>
        </w:tc>
      </w:tr>
      <w:tr w14:paraId="279C3C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903" w:type="pct"/>
            <w:noWrap/>
            <w:vAlign w:val="center"/>
          </w:tcPr>
          <w:p w14:paraId="308636C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1800</w:t>
            </w:r>
          </w:p>
        </w:tc>
        <w:tc>
          <w:tcPr>
            <w:tcW w:w="1055" w:type="pct"/>
            <w:noWrap/>
            <w:vAlign w:val="center"/>
          </w:tcPr>
          <w:p w14:paraId="27EFEF9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20.00</w:t>
            </w:r>
          </w:p>
        </w:tc>
        <w:tc>
          <w:tcPr>
            <w:tcW w:w="964" w:type="pct"/>
            <w:noWrap/>
            <w:vAlign w:val="center"/>
          </w:tcPr>
          <w:p w14:paraId="3AC8684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0.17</w:t>
            </w:r>
          </w:p>
        </w:tc>
        <w:tc>
          <w:tcPr>
            <w:tcW w:w="1077" w:type="pct"/>
            <w:vAlign w:val="center"/>
          </w:tcPr>
          <w:p w14:paraId="35542FA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14.63</w:t>
            </w:r>
          </w:p>
        </w:tc>
        <w:tc>
          <w:tcPr>
            <w:tcW w:w="1001" w:type="pct"/>
            <w:vAlign w:val="center"/>
          </w:tcPr>
          <w:p w14:paraId="79B4C95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0.12</w:t>
            </w:r>
          </w:p>
        </w:tc>
      </w:tr>
      <w:tr w14:paraId="74DA3C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903" w:type="pct"/>
            <w:noWrap/>
            <w:vAlign w:val="center"/>
          </w:tcPr>
          <w:p w14:paraId="2FD1D79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1900</w:t>
            </w:r>
          </w:p>
        </w:tc>
        <w:tc>
          <w:tcPr>
            <w:tcW w:w="1055" w:type="pct"/>
            <w:noWrap/>
            <w:vAlign w:val="center"/>
          </w:tcPr>
          <w:p w14:paraId="20480AD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21.11</w:t>
            </w:r>
          </w:p>
        </w:tc>
        <w:tc>
          <w:tcPr>
            <w:tcW w:w="964" w:type="pct"/>
            <w:noWrap/>
            <w:vAlign w:val="center"/>
          </w:tcPr>
          <w:p w14:paraId="06D52EF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0.14</w:t>
            </w:r>
          </w:p>
        </w:tc>
        <w:tc>
          <w:tcPr>
            <w:tcW w:w="1077" w:type="pct"/>
            <w:vAlign w:val="center"/>
          </w:tcPr>
          <w:p w14:paraId="3B78083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15.45</w:t>
            </w:r>
          </w:p>
        </w:tc>
        <w:tc>
          <w:tcPr>
            <w:tcW w:w="1001" w:type="pct"/>
            <w:vAlign w:val="center"/>
          </w:tcPr>
          <w:p w14:paraId="06E0B05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0.11</w:t>
            </w:r>
          </w:p>
        </w:tc>
      </w:tr>
      <w:tr w14:paraId="6B728E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903" w:type="pct"/>
            <w:noWrap/>
            <w:vAlign w:val="center"/>
          </w:tcPr>
          <w:p w14:paraId="7346F92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2000</w:t>
            </w:r>
          </w:p>
        </w:tc>
        <w:tc>
          <w:tcPr>
            <w:tcW w:w="1055" w:type="pct"/>
            <w:noWrap/>
            <w:vAlign w:val="center"/>
          </w:tcPr>
          <w:p w14:paraId="04D1688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22.22</w:t>
            </w:r>
          </w:p>
        </w:tc>
        <w:tc>
          <w:tcPr>
            <w:tcW w:w="964" w:type="pct"/>
            <w:noWrap/>
            <w:vAlign w:val="center"/>
          </w:tcPr>
          <w:p w14:paraId="70A2987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0.12</w:t>
            </w:r>
          </w:p>
        </w:tc>
        <w:tc>
          <w:tcPr>
            <w:tcW w:w="1077" w:type="pct"/>
            <w:vAlign w:val="center"/>
          </w:tcPr>
          <w:p w14:paraId="28BF0BC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16.26</w:t>
            </w:r>
          </w:p>
        </w:tc>
        <w:tc>
          <w:tcPr>
            <w:tcW w:w="1001" w:type="pct"/>
            <w:vAlign w:val="center"/>
          </w:tcPr>
          <w:p w14:paraId="4432C9B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0.09</w:t>
            </w:r>
          </w:p>
        </w:tc>
      </w:tr>
      <w:tr w14:paraId="756DB3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903" w:type="pct"/>
            <w:noWrap/>
            <w:vAlign w:val="center"/>
          </w:tcPr>
          <w:p w14:paraId="24BFCD7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2100</w:t>
            </w:r>
          </w:p>
        </w:tc>
        <w:tc>
          <w:tcPr>
            <w:tcW w:w="1055" w:type="pct"/>
            <w:noWrap/>
            <w:vAlign w:val="center"/>
          </w:tcPr>
          <w:p w14:paraId="6D39C16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23.33</w:t>
            </w:r>
          </w:p>
        </w:tc>
        <w:tc>
          <w:tcPr>
            <w:tcW w:w="964" w:type="pct"/>
            <w:noWrap/>
            <w:vAlign w:val="center"/>
          </w:tcPr>
          <w:p w14:paraId="5BBDFD6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0.11</w:t>
            </w:r>
          </w:p>
        </w:tc>
        <w:tc>
          <w:tcPr>
            <w:tcW w:w="1077" w:type="pct"/>
            <w:vAlign w:val="center"/>
          </w:tcPr>
          <w:p w14:paraId="22AE9EC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17.07</w:t>
            </w:r>
          </w:p>
        </w:tc>
        <w:tc>
          <w:tcPr>
            <w:tcW w:w="1001" w:type="pct"/>
            <w:vAlign w:val="center"/>
          </w:tcPr>
          <w:p w14:paraId="200EDE2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0.08</w:t>
            </w:r>
          </w:p>
        </w:tc>
      </w:tr>
      <w:tr w14:paraId="3D6F5D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903" w:type="pct"/>
            <w:noWrap/>
            <w:vAlign w:val="center"/>
          </w:tcPr>
          <w:p w14:paraId="0C9A37D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2200</w:t>
            </w:r>
          </w:p>
        </w:tc>
        <w:tc>
          <w:tcPr>
            <w:tcW w:w="1055" w:type="pct"/>
            <w:noWrap/>
            <w:vAlign w:val="center"/>
          </w:tcPr>
          <w:p w14:paraId="135D3E6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24.44</w:t>
            </w:r>
          </w:p>
        </w:tc>
        <w:tc>
          <w:tcPr>
            <w:tcW w:w="964" w:type="pct"/>
            <w:noWrap/>
            <w:vAlign w:val="center"/>
          </w:tcPr>
          <w:p w14:paraId="7B2F9C3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0.09</w:t>
            </w:r>
          </w:p>
        </w:tc>
        <w:tc>
          <w:tcPr>
            <w:tcW w:w="1077" w:type="pct"/>
            <w:vAlign w:val="center"/>
          </w:tcPr>
          <w:p w14:paraId="6C8960B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17.89</w:t>
            </w:r>
          </w:p>
        </w:tc>
        <w:tc>
          <w:tcPr>
            <w:tcW w:w="1001" w:type="pct"/>
            <w:vAlign w:val="center"/>
          </w:tcPr>
          <w:p w14:paraId="6D50523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0.07</w:t>
            </w:r>
          </w:p>
        </w:tc>
      </w:tr>
      <w:tr w14:paraId="5BF9E2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903" w:type="pct"/>
            <w:noWrap/>
            <w:vAlign w:val="center"/>
          </w:tcPr>
          <w:p w14:paraId="746C712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2300</w:t>
            </w:r>
          </w:p>
        </w:tc>
        <w:tc>
          <w:tcPr>
            <w:tcW w:w="1055" w:type="pct"/>
            <w:noWrap/>
            <w:vAlign w:val="center"/>
          </w:tcPr>
          <w:p w14:paraId="7F3CEBC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25.56</w:t>
            </w:r>
          </w:p>
        </w:tc>
        <w:tc>
          <w:tcPr>
            <w:tcW w:w="964" w:type="pct"/>
            <w:noWrap/>
            <w:vAlign w:val="center"/>
          </w:tcPr>
          <w:p w14:paraId="5F2E4DF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0.08</w:t>
            </w:r>
          </w:p>
        </w:tc>
        <w:tc>
          <w:tcPr>
            <w:tcW w:w="1077" w:type="pct"/>
            <w:vAlign w:val="center"/>
          </w:tcPr>
          <w:p w14:paraId="0E71F5B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18.70</w:t>
            </w:r>
          </w:p>
        </w:tc>
        <w:tc>
          <w:tcPr>
            <w:tcW w:w="1001" w:type="pct"/>
            <w:vAlign w:val="center"/>
          </w:tcPr>
          <w:p w14:paraId="44ED3AE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0.06</w:t>
            </w:r>
          </w:p>
        </w:tc>
      </w:tr>
      <w:tr w14:paraId="6E6552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903" w:type="pct"/>
            <w:noWrap/>
            <w:vAlign w:val="center"/>
          </w:tcPr>
          <w:p w14:paraId="1C60D0C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2400</w:t>
            </w:r>
          </w:p>
        </w:tc>
        <w:tc>
          <w:tcPr>
            <w:tcW w:w="1055" w:type="pct"/>
            <w:noWrap/>
            <w:vAlign w:val="center"/>
          </w:tcPr>
          <w:p w14:paraId="4937336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26.67</w:t>
            </w:r>
          </w:p>
        </w:tc>
        <w:tc>
          <w:tcPr>
            <w:tcW w:w="964" w:type="pct"/>
            <w:noWrap/>
            <w:vAlign w:val="center"/>
          </w:tcPr>
          <w:p w14:paraId="65BB8B3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0.07</w:t>
            </w:r>
          </w:p>
        </w:tc>
        <w:tc>
          <w:tcPr>
            <w:tcW w:w="1077" w:type="pct"/>
            <w:vAlign w:val="center"/>
          </w:tcPr>
          <w:p w14:paraId="66D9DCC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19.51</w:t>
            </w:r>
          </w:p>
        </w:tc>
        <w:tc>
          <w:tcPr>
            <w:tcW w:w="1001" w:type="pct"/>
            <w:vAlign w:val="center"/>
          </w:tcPr>
          <w:p w14:paraId="4EF6D56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0.05</w:t>
            </w:r>
          </w:p>
        </w:tc>
      </w:tr>
      <w:tr w14:paraId="404F41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903" w:type="pct"/>
            <w:noWrap/>
            <w:vAlign w:val="center"/>
          </w:tcPr>
          <w:p w14:paraId="400D0FB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2500</w:t>
            </w:r>
          </w:p>
        </w:tc>
        <w:tc>
          <w:tcPr>
            <w:tcW w:w="1055" w:type="pct"/>
            <w:noWrap/>
            <w:vAlign w:val="center"/>
          </w:tcPr>
          <w:p w14:paraId="5021856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27.78</w:t>
            </w:r>
          </w:p>
        </w:tc>
        <w:tc>
          <w:tcPr>
            <w:tcW w:w="964" w:type="pct"/>
            <w:noWrap/>
            <w:vAlign w:val="center"/>
          </w:tcPr>
          <w:p w14:paraId="3108702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0.06</w:t>
            </w:r>
          </w:p>
        </w:tc>
        <w:tc>
          <w:tcPr>
            <w:tcW w:w="1077" w:type="pct"/>
            <w:vAlign w:val="center"/>
          </w:tcPr>
          <w:p w14:paraId="2BC4566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20.33</w:t>
            </w:r>
          </w:p>
        </w:tc>
        <w:tc>
          <w:tcPr>
            <w:tcW w:w="1001" w:type="pct"/>
            <w:vAlign w:val="center"/>
          </w:tcPr>
          <w:p w14:paraId="2634528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0.05</w:t>
            </w:r>
          </w:p>
        </w:tc>
      </w:tr>
      <w:tr w14:paraId="0F0738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903" w:type="pct"/>
            <w:noWrap/>
            <w:vAlign w:val="center"/>
          </w:tcPr>
          <w:p w14:paraId="3B9BAB1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2600</w:t>
            </w:r>
          </w:p>
        </w:tc>
        <w:tc>
          <w:tcPr>
            <w:tcW w:w="1055" w:type="pct"/>
            <w:noWrap/>
            <w:vAlign w:val="center"/>
          </w:tcPr>
          <w:p w14:paraId="5DFE65F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28.89</w:t>
            </w:r>
          </w:p>
        </w:tc>
        <w:tc>
          <w:tcPr>
            <w:tcW w:w="964" w:type="pct"/>
            <w:noWrap/>
            <w:vAlign w:val="center"/>
          </w:tcPr>
          <w:p w14:paraId="039BB1A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0.06</w:t>
            </w:r>
          </w:p>
        </w:tc>
        <w:tc>
          <w:tcPr>
            <w:tcW w:w="1077" w:type="pct"/>
            <w:vAlign w:val="center"/>
          </w:tcPr>
          <w:p w14:paraId="06FBB24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21.14</w:t>
            </w:r>
          </w:p>
        </w:tc>
        <w:tc>
          <w:tcPr>
            <w:tcW w:w="1001" w:type="pct"/>
            <w:vAlign w:val="center"/>
          </w:tcPr>
          <w:p w14:paraId="00F340B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0.04</w:t>
            </w:r>
          </w:p>
        </w:tc>
      </w:tr>
      <w:tr w14:paraId="35EEA3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903" w:type="pct"/>
            <w:noWrap/>
            <w:vAlign w:val="center"/>
          </w:tcPr>
          <w:p w14:paraId="2303D67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2700</w:t>
            </w:r>
          </w:p>
        </w:tc>
        <w:tc>
          <w:tcPr>
            <w:tcW w:w="1055" w:type="pct"/>
            <w:noWrap/>
            <w:vAlign w:val="center"/>
          </w:tcPr>
          <w:p w14:paraId="6546913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30.00</w:t>
            </w:r>
          </w:p>
        </w:tc>
        <w:tc>
          <w:tcPr>
            <w:tcW w:w="964" w:type="pct"/>
            <w:noWrap/>
            <w:vAlign w:val="center"/>
          </w:tcPr>
          <w:p w14:paraId="5F3CE8B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0.05</w:t>
            </w:r>
          </w:p>
        </w:tc>
        <w:tc>
          <w:tcPr>
            <w:tcW w:w="1077" w:type="pct"/>
            <w:vAlign w:val="center"/>
          </w:tcPr>
          <w:p w14:paraId="3EB8A9D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21.95</w:t>
            </w:r>
          </w:p>
        </w:tc>
        <w:tc>
          <w:tcPr>
            <w:tcW w:w="1001" w:type="pct"/>
            <w:vAlign w:val="center"/>
          </w:tcPr>
          <w:p w14:paraId="4D57A1F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0.04</w:t>
            </w:r>
          </w:p>
        </w:tc>
      </w:tr>
      <w:tr w14:paraId="6DE0E5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903" w:type="pct"/>
            <w:noWrap/>
            <w:vAlign w:val="center"/>
          </w:tcPr>
          <w:p w14:paraId="1EF50D9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2800</w:t>
            </w:r>
          </w:p>
        </w:tc>
        <w:tc>
          <w:tcPr>
            <w:tcW w:w="1055" w:type="pct"/>
            <w:noWrap/>
            <w:vAlign w:val="center"/>
          </w:tcPr>
          <w:p w14:paraId="3A183E1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46.11</w:t>
            </w:r>
          </w:p>
        </w:tc>
        <w:tc>
          <w:tcPr>
            <w:tcW w:w="964" w:type="pct"/>
            <w:noWrap/>
            <w:vAlign w:val="center"/>
          </w:tcPr>
          <w:p w14:paraId="4F11D99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0.04</w:t>
            </w:r>
          </w:p>
        </w:tc>
        <w:tc>
          <w:tcPr>
            <w:tcW w:w="1077" w:type="pct"/>
            <w:vAlign w:val="center"/>
          </w:tcPr>
          <w:p w14:paraId="7AD506F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22.76</w:t>
            </w:r>
          </w:p>
        </w:tc>
        <w:tc>
          <w:tcPr>
            <w:tcW w:w="1001" w:type="pct"/>
            <w:vAlign w:val="center"/>
          </w:tcPr>
          <w:p w14:paraId="59780EE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0.03</w:t>
            </w:r>
          </w:p>
        </w:tc>
      </w:tr>
      <w:tr w14:paraId="0C4FC4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903" w:type="pct"/>
            <w:noWrap/>
            <w:vAlign w:val="center"/>
          </w:tcPr>
          <w:p w14:paraId="67DF850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2900</w:t>
            </w:r>
          </w:p>
        </w:tc>
        <w:tc>
          <w:tcPr>
            <w:tcW w:w="1055" w:type="pct"/>
            <w:noWrap/>
            <w:vAlign w:val="center"/>
          </w:tcPr>
          <w:p w14:paraId="050083C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47.22</w:t>
            </w:r>
          </w:p>
        </w:tc>
        <w:tc>
          <w:tcPr>
            <w:tcW w:w="964" w:type="pct"/>
            <w:noWrap/>
            <w:vAlign w:val="center"/>
          </w:tcPr>
          <w:p w14:paraId="7FCBBE9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0.04</w:t>
            </w:r>
          </w:p>
        </w:tc>
        <w:tc>
          <w:tcPr>
            <w:tcW w:w="1077" w:type="pct"/>
            <w:vAlign w:val="center"/>
          </w:tcPr>
          <w:p w14:paraId="465B45C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23.58</w:t>
            </w:r>
          </w:p>
        </w:tc>
        <w:tc>
          <w:tcPr>
            <w:tcW w:w="1001" w:type="pct"/>
            <w:vAlign w:val="center"/>
          </w:tcPr>
          <w:p w14:paraId="3691A41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0.03</w:t>
            </w:r>
          </w:p>
        </w:tc>
      </w:tr>
      <w:tr w14:paraId="327DA4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903" w:type="pct"/>
            <w:noWrap/>
            <w:vAlign w:val="center"/>
          </w:tcPr>
          <w:p w14:paraId="6B2FF99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3000</w:t>
            </w:r>
          </w:p>
        </w:tc>
        <w:tc>
          <w:tcPr>
            <w:tcW w:w="1055" w:type="pct"/>
            <w:noWrap/>
            <w:vAlign w:val="center"/>
          </w:tcPr>
          <w:p w14:paraId="2A870E3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48.33</w:t>
            </w:r>
          </w:p>
        </w:tc>
        <w:tc>
          <w:tcPr>
            <w:tcW w:w="964" w:type="pct"/>
            <w:noWrap/>
            <w:vAlign w:val="center"/>
          </w:tcPr>
          <w:p w14:paraId="1A383CD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0.03</w:t>
            </w:r>
          </w:p>
        </w:tc>
        <w:tc>
          <w:tcPr>
            <w:tcW w:w="1077" w:type="pct"/>
            <w:vAlign w:val="center"/>
          </w:tcPr>
          <w:p w14:paraId="7A8342D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24.39</w:t>
            </w:r>
          </w:p>
        </w:tc>
        <w:tc>
          <w:tcPr>
            <w:tcW w:w="1001" w:type="pct"/>
            <w:vAlign w:val="center"/>
          </w:tcPr>
          <w:p w14:paraId="18A9506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0.03</w:t>
            </w:r>
          </w:p>
        </w:tc>
      </w:tr>
      <w:tr w14:paraId="0C12E3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903" w:type="pct"/>
            <w:noWrap/>
            <w:vAlign w:val="center"/>
          </w:tcPr>
          <w:p w14:paraId="1923825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3100</w:t>
            </w:r>
          </w:p>
        </w:tc>
        <w:tc>
          <w:tcPr>
            <w:tcW w:w="1055" w:type="pct"/>
            <w:noWrap/>
            <w:vAlign w:val="center"/>
          </w:tcPr>
          <w:p w14:paraId="024B7F3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49.44</w:t>
            </w:r>
          </w:p>
        </w:tc>
        <w:tc>
          <w:tcPr>
            <w:tcW w:w="964" w:type="pct"/>
            <w:noWrap/>
            <w:vAlign w:val="center"/>
          </w:tcPr>
          <w:p w14:paraId="255B813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0.03</w:t>
            </w:r>
          </w:p>
        </w:tc>
        <w:tc>
          <w:tcPr>
            <w:tcW w:w="1077" w:type="pct"/>
            <w:vAlign w:val="center"/>
          </w:tcPr>
          <w:p w14:paraId="42793C4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25.20</w:t>
            </w:r>
          </w:p>
        </w:tc>
        <w:tc>
          <w:tcPr>
            <w:tcW w:w="1001" w:type="pct"/>
            <w:vAlign w:val="center"/>
          </w:tcPr>
          <w:p w14:paraId="400B499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0.02</w:t>
            </w:r>
          </w:p>
        </w:tc>
      </w:tr>
      <w:tr w14:paraId="23ACA7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903" w:type="pct"/>
            <w:noWrap/>
            <w:vAlign w:val="center"/>
          </w:tcPr>
          <w:p w14:paraId="4BB7F19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3200</w:t>
            </w:r>
          </w:p>
        </w:tc>
        <w:tc>
          <w:tcPr>
            <w:tcW w:w="1055" w:type="pct"/>
            <w:noWrap/>
            <w:vAlign w:val="center"/>
          </w:tcPr>
          <w:p w14:paraId="6ABB706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50.56</w:t>
            </w:r>
          </w:p>
        </w:tc>
        <w:tc>
          <w:tcPr>
            <w:tcW w:w="964" w:type="pct"/>
            <w:noWrap/>
            <w:vAlign w:val="center"/>
          </w:tcPr>
          <w:p w14:paraId="33D46E7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0.03</w:t>
            </w:r>
          </w:p>
        </w:tc>
        <w:tc>
          <w:tcPr>
            <w:tcW w:w="1077" w:type="pct"/>
            <w:vAlign w:val="center"/>
          </w:tcPr>
          <w:p w14:paraId="779DE06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26.02</w:t>
            </w:r>
          </w:p>
        </w:tc>
        <w:tc>
          <w:tcPr>
            <w:tcW w:w="1001" w:type="pct"/>
            <w:vAlign w:val="center"/>
          </w:tcPr>
          <w:p w14:paraId="7EB5E8B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0.02</w:t>
            </w:r>
          </w:p>
        </w:tc>
      </w:tr>
      <w:tr w14:paraId="768DBE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903" w:type="pct"/>
            <w:noWrap/>
            <w:vAlign w:val="center"/>
          </w:tcPr>
          <w:p w14:paraId="319300A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3300</w:t>
            </w:r>
          </w:p>
        </w:tc>
        <w:tc>
          <w:tcPr>
            <w:tcW w:w="1055" w:type="pct"/>
            <w:noWrap/>
            <w:vAlign w:val="center"/>
          </w:tcPr>
          <w:p w14:paraId="6F8C3A8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51.67</w:t>
            </w:r>
          </w:p>
        </w:tc>
        <w:tc>
          <w:tcPr>
            <w:tcW w:w="964" w:type="pct"/>
            <w:noWrap/>
            <w:vAlign w:val="center"/>
          </w:tcPr>
          <w:p w14:paraId="71AEAB5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0.03</w:t>
            </w:r>
          </w:p>
        </w:tc>
        <w:tc>
          <w:tcPr>
            <w:tcW w:w="1077" w:type="pct"/>
            <w:vAlign w:val="center"/>
          </w:tcPr>
          <w:p w14:paraId="54F0993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26.83</w:t>
            </w:r>
          </w:p>
        </w:tc>
        <w:tc>
          <w:tcPr>
            <w:tcW w:w="1001" w:type="pct"/>
            <w:vAlign w:val="center"/>
          </w:tcPr>
          <w:p w14:paraId="2D321CF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0.02</w:t>
            </w:r>
          </w:p>
        </w:tc>
      </w:tr>
      <w:tr w14:paraId="4E7D13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903" w:type="pct"/>
            <w:noWrap/>
            <w:vAlign w:val="center"/>
          </w:tcPr>
          <w:p w14:paraId="36C919A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3400</w:t>
            </w:r>
          </w:p>
        </w:tc>
        <w:tc>
          <w:tcPr>
            <w:tcW w:w="1055" w:type="pct"/>
            <w:noWrap/>
            <w:vAlign w:val="center"/>
          </w:tcPr>
          <w:p w14:paraId="5BEB267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52.78</w:t>
            </w:r>
          </w:p>
        </w:tc>
        <w:tc>
          <w:tcPr>
            <w:tcW w:w="964" w:type="pct"/>
            <w:noWrap/>
            <w:vAlign w:val="center"/>
          </w:tcPr>
          <w:p w14:paraId="672F7F8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0.02</w:t>
            </w:r>
          </w:p>
        </w:tc>
        <w:tc>
          <w:tcPr>
            <w:tcW w:w="1077" w:type="pct"/>
            <w:vAlign w:val="center"/>
          </w:tcPr>
          <w:p w14:paraId="243CC8F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27.64</w:t>
            </w:r>
          </w:p>
        </w:tc>
        <w:tc>
          <w:tcPr>
            <w:tcW w:w="1001" w:type="pct"/>
            <w:vAlign w:val="center"/>
          </w:tcPr>
          <w:p w14:paraId="4AF5B06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0.02</w:t>
            </w:r>
          </w:p>
        </w:tc>
      </w:tr>
      <w:tr w14:paraId="112C72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903" w:type="pct"/>
            <w:noWrap/>
            <w:vAlign w:val="center"/>
          </w:tcPr>
          <w:p w14:paraId="2F676B9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3500</w:t>
            </w:r>
          </w:p>
        </w:tc>
        <w:tc>
          <w:tcPr>
            <w:tcW w:w="1055" w:type="pct"/>
            <w:noWrap/>
            <w:vAlign w:val="center"/>
          </w:tcPr>
          <w:p w14:paraId="2D96969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53.89</w:t>
            </w:r>
          </w:p>
        </w:tc>
        <w:tc>
          <w:tcPr>
            <w:tcW w:w="964" w:type="pct"/>
            <w:noWrap/>
            <w:vAlign w:val="center"/>
          </w:tcPr>
          <w:p w14:paraId="051BA41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0.02</w:t>
            </w:r>
          </w:p>
        </w:tc>
        <w:tc>
          <w:tcPr>
            <w:tcW w:w="1077" w:type="pct"/>
            <w:vAlign w:val="center"/>
          </w:tcPr>
          <w:p w14:paraId="1073485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28.46</w:t>
            </w:r>
          </w:p>
        </w:tc>
        <w:tc>
          <w:tcPr>
            <w:tcW w:w="1001" w:type="pct"/>
            <w:vAlign w:val="center"/>
          </w:tcPr>
          <w:p w14:paraId="31AB3C1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0.02</w:t>
            </w:r>
          </w:p>
        </w:tc>
      </w:tr>
      <w:tr w14:paraId="7E89FF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903" w:type="pct"/>
            <w:noWrap/>
            <w:vAlign w:val="center"/>
          </w:tcPr>
          <w:p w14:paraId="7124266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3600</w:t>
            </w:r>
          </w:p>
        </w:tc>
        <w:tc>
          <w:tcPr>
            <w:tcW w:w="1055" w:type="pct"/>
            <w:noWrap/>
            <w:vAlign w:val="center"/>
          </w:tcPr>
          <w:p w14:paraId="12E2D86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55.00</w:t>
            </w:r>
          </w:p>
        </w:tc>
        <w:tc>
          <w:tcPr>
            <w:tcW w:w="964" w:type="pct"/>
            <w:noWrap/>
            <w:vAlign w:val="center"/>
          </w:tcPr>
          <w:p w14:paraId="2395835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0.02</w:t>
            </w:r>
          </w:p>
        </w:tc>
        <w:tc>
          <w:tcPr>
            <w:tcW w:w="1077" w:type="pct"/>
            <w:vAlign w:val="center"/>
          </w:tcPr>
          <w:p w14:paraId="39DBC3B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29.27</w:t>
            </w:r>
          </w:p>
        </w:tc>
        <w:tc>
          <w:tcPr>
            <w:tcW w:w="1001" w:type="pct"/>
            <w:vAlign w:val="center"/>
          </w:tcPr>
          <w:p w14:paraId="3EEF548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0.02</w:t>
            </w:r>
          </w:p>
        </w:tc>
      </w:tr>
      <w:tr w14:paraId="223570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903" w:type="pct"/>
            <w:noWrap/>
            <w:vAlign w:val="center"/>
          </w:tcPr>
          <w:p w14:paraId="0F0A914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3700</w:t>
            </w:r>
          </w:p>
        </w:tc>
        <w:tc>
          <w:tcPr>
            <w:tcW w:w="1055" w:type="pct"/>
            <w:noWrap/>
            <w:vAlign w:val="center"/>
          </w:tcPr>
          <w:p w14:paraId="23743ED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56.11</w:t>
            </w:r>
          </w:p>
        </w:tc>
        <w:tc>
          <w:tcPr>
            <w:tcW w:w="964" w:type="pct"/>
            <w:noWrap/>
            <w:vAlign w:val="center"/>
          </w:tcPr>
          <w:p w14:paraId="3D9C779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0.02</w:t>
            </w:r>
          </w:p>
        </w:tc>
        <w:tc>
          <w:tcPr>
            <w:tcW w:w="1077" w:type="pct"/>
            <w:vAlign w:val="center"/>
          </w:tcPr>
          <w:p w14:paraId="36A54E8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45.08</w:t>
            </w:r>
          </w:p>
        </w:tc>
        <w:tc>
          <w:tcPr>
            <w:tcW w:w="1001" w:type="pct"/>
            <w:vAlign w:val="center"/>
          </w:tcPr>
          <w:p w14:paraId="7EC3378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0.01</w:t>
            </w:r>
          </w:p>
        </w:tc>
      </w:tr>
      <w:tr w14:paraId="6A846F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903" w:type="pct"/>
            <w:noWrap/>
            <w:vAlign w:val="center"/>
          </w:tcPr>
          <w:p w14:paraId="772CF5C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3800</w:t>
            </w:r>
          </w:p>
        </w:tc>
        <w:tc>
          <w:tcPr>
            <w:tcW w:w="1055" w:type="pct"/>
            <w:noWrap/>
            <w:vAlign w:val="center"/>
          </w:tcPr>
          <w:p w14:paraId="12DE5BA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57.22</w:t>
            </w:r>
          </w:p>
        </w:tc>
        <w:tc>
          <w:tcPr>
            <w:tcW w:w="964" w:type="pct"/>
            <w:noWrap/>
            <w:vAlign w:val="center"/>
          </w:tcPr>
          <w:p w14:paraId="776E75D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0.02</w:t>
            </w:r>
          </w:p>
        </w:tc>
        <w:tc>
          <w:tcPr>
            <w:tcW w:w="1077" w:type="pct"/>
            <w:vAlign w:val="center"/>
          </w:tcPr>
          <w:p w14:paraId="63AAF1E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45.89</w:t>
            </w:r>
          </w:p>
        </w:tc>
        <w:tc>
          <w:tcPr>
            <w:tcW w:w="1001" w:type="pct"/>
            <w:vAlign w:val="center"/>
          </w:tcPr>
          <w:p w14:paraId="300FD5A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0.01</w:t>
            </w:r>
          </w:p>
        </w:tc>
      </w:tr>
      <w:tr w14:paraId="45A116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903" w:type="pct"/>
            <w:noWrap/>
            <w:vAlign w:val="center"/>
          </w:tcPr>
          <w:p w14:paraId="75B9BA5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3900</w:t>
            </w:r>
          </w:p>
        </w:tc>
        <w:tc>
          <w:tcPr>
            <w:tcW w:w="1055" w:type="pct"/>
            <w:noWrap/>
            <w:vAlign w:val="center"/>
          </w:tcPr>
          <w:p w14:paraId="712F58B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58.33</w:t>
            </w:r>
          </w:p>
        </w:tc>
        <w:tc>
          <w:tcPr>
            <w:tcW w:w="964" w:type="pct"/>
            <w:noWrap/>
            <w:vAlign w:val="center"/>
          </w:tcPr>
          <w:p w14:paraId="406ABFD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0.01</w:t>
            </w:r>
          </w:p>
        </w:tc>
        <w:tc>
          <w:tcPr>
            <w:tcW w:w="1077" w:type="pct"/>
            <w:vAlign w:val="center"/>
          </w:tcPr>
          <w:p w14:paraId="5A4E7BD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46.71</w:t>
            </w:r>
          </w:p>
        </w:tc>
        <w:tc>
          <w:tcPr>
            <w:tcW w:w="1001" w:type="pct"/>
            <w:vAlign w:val="center"/>
          </w:tcPr>
          <w:p w14:paraId="0FF1ADB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0.01</w:t>
            </w:r>
          </w:p>
        </w:tc>
      </w:tr>
      <w:tr w14:paraId="239316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903" w:type="pct"/>
            <w:noWrap/>
            <w:vAlign w:val="center"/>
          </w:tcPr>
          <w:p w14:paraId="4FF566F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4000</w:t>
            </w:r>
          </w:p>
        </w:tc>
        <w:tc>
          <w:tcPr>
            <w:tcW w:w="1055" w:type="pct"/>
            <w:noWrap/>
            <w:vAlign w:val="center"/>
          </w:tcPr>
          <w:p w14:paraId="147C8C3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59.44</w:t>
            </w:r>
          </w:p>
        </w:tc>
        <w:tc>
          <w:tcPr>
            <w:tcW w:w="964" w:type="pct"/>
            <w:noWrap/>
            <w:vAlign w:val="center"/>
          </w:tcPr>
          <w:p w14:paraId="091BFC7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0.01</w:t>
            </w:r>
          </w:p>
        </w:tc>
        <w:tc>
          <w:tcPr>
            <w:tcW w:w="1077" w:type="pct"/>
            <w:vAlign w:val="center"/>
          </w:tcPr>
          <w:p w14:paraId="11B0221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47.52</w:t>
            </w:r>
          </w:p>
        </w:tc>
        <w:tc>
          <w:tcPr>
            <w:tcW w:w="1001" w:type="pct"/>
            <w:vAlign w:val="center"/>
          </w:tcPr>
          <w:p w14:paraId="2D18982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0.01</w:t>
            </w:r>
          </w:p>
        </w:tc>
      </w:tr>
      <w:tr w14:paraId="6ECBED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903" w:type="pct"/>
            <w:noWrap/>
            <w:vAlign w:val="center"/>
          </w:tcPr>
          <w:p w14:paraId="5CC09A9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4100</w:t>
            </w:r>
          </w:p>
        </w:tc>
        <w:tc>
          <w:tcPr>
            <w:tcW w:w="1055" w:type="pct"/>
            <w:noWrap/>
            <w:vAlign w:val="center"/>
          </w:tcPr>
          <w:p w14:paraId="63F6F4A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60.56</w:t>
            </w:r>
          </w:p>
        </w:tc>
        <w:tc>
          <w:tcPr>
            <w:tcW w:w="964" w:type="pct"/>
            <w:noWrap/>
            <w:vAlign w:val="center"/>
          </w:tcPr>
          <w:p w14:paraId="1414C98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0.01</w:t>
            </w:r>
          </w:p>
        </w:tc>
        <w:tc>
          <w:tcPr>
            <w:tcW w:w="1077" w:type="pct"/>
            <w:vAlign w:val="center"/>
          </w:tcPr>
          <w:p w14:paraId="7C83A9C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48.33</w:t>
            </w:r>
          </w:p>
        </w:tc>
        <w:tc>
          <w:tcPr>
            <w:tcW w:w="1001" w:type="pct"/>
            <w:vAlign w:val="center"/>
          </w:tcPr>
          <w:p w14:paraId="6215863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0.01</w:t>
            </w:r>
          </w:p>
        </w:tc>
      </w:tr>
      <w:tr w14:paraId="11A0DC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903" w:type="pct"/>
            <w:noWrap/>
            <w:vAlign w:val="center"/>
          </w:tcPr>
          <w:p w14:paraId="20515D6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4200</w:t>
            </w:r>
          </w:p>
        </w:tc>
        <w:tc>
          <w:tcPr>
            <w:tcW w:w="1055" w:type="pct"/>
            <w:noWrap/>
            <w:vAlign w:val="center"/>
          </w:tcPr>
          <w:p w14:paraId="6C79A21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61.67</w:t>
            </w:r>
          </w:p>
        </w:tc>
        <w:tc>
          <w:tcPr>
            <w:tcW w:w="964" w:type="pct"/>
            <w:noWrap/>
            <w:vAlign w:val="center"/>
          </w:tcPr>
          <w:p w14:paraId="114D475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0.01</w:t>
            </w:r>
          </w:p>
        </w:tc>
        <w:tc>
          <w:tcPr>
            <w:tcW w:w="1077" w:type="pct"/>
            <w:vAlign w:val="center"/>
          </w:tcPr>
          <w:p w14:paraId="5CB6CAE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49.15</w:t>
            </w:r>
          </w:p>
        </w:tc>
        <w:tc>
          <w:tcPr>
            <w:tcW w:w="1001" w:type="pct"/>
            <w:vAlign w:val="center"/>
          </w:tcPr>
          <w:p w14:paraId="6B936BF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0.01</w:t>
            </w:r>
          </w:p>
        </w:tc>
      </w:tr>
      <w:tr w14:paraId="460C08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903" w:type="pct"/>
            <w:noWrap/>
            <w:vAlign w:val="center"/>
          </w:tcPr>
          <w:p w14:paraId="6344C0F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4300</w:t>
            </w:r>
          </w:p>
        </w:tc>
        <w:tc>
          <w:tcPr>
            <w:tcW w:w="1055" w:type="pct"/>
            <w:noWrap/>
            <w:vAlign w:val="center"/>
          </w:tcPr>
          <w:p w14:paraId="5FAB27D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62.78</w:t>
            </w:r>
          </w:p>
        </w:tc>
        <w:tc>
          <w:tcPr>
            <w:tcW w:w="964" w:type="pct"/>
            <w:noWrap/>
            <w:vAlign w:val="center"/>
          </w:tcPr>
          <w:p w14:paraId="4424E6E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0.01</w:t>
            </w:r>
          </w:p>
        </w:tc>
        <w:tc>
          <w:tcPr>
            <w:tcW w:w="1077" w:type="pct"/>
            <w:vAlign w:val="center"/>
          </w:tcPr>
          <w:p w14:paraId="56BA3C4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49.96</w:t>
            </w:r>
          </w:p>
        </w:tc>
        <w:tc>
          <w:tcPr>
            <w:tcW w:w="1001" w:type="pct"/>
            <w:vAlign w:val="center"/>
          </w:tcPr>
          <w:p w14:paraId="41A730E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0.01</w:t>
            </w:r>
          </w:p>
        </w:tc>
      </w:tr>
      <w:tr w14:paraId="5D2D4D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903" w:type="pct"/>
            <w:noWrap/>
            <w:vAlign w:val="center"/>
          </w:tcPr>
          <w:p w14:paraId="56A3772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4400</w:t>
            </w:r>
          </w:p>
        </w:tc>
        <w:tc>
          <w:tcPr>
            <w:tcW w:w="1055" w:type="pct"/>
            <w:noWrap/>
            <w:vAlign w:val="center"/>
          </w:tcPr>
          <w:p w14:paraId="581ED8D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63.89</w:t>
            </w:r>
          </w:p>
        </w:tc>
        <w:tc>
          <w:tcPr>
            <w:tcW w:w="964" w:type="pct"/>
            <w:noWrap/>
            <w:vAlign w:val="center"/>
          </w:tcPr>
          <w:p w14:paraId="3271FA3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0.01</w:t>
            </w:r>
          </w:p>
        </w:tc>
        <w:tc>
          <w:tcPr>
            <w:tcW w:w="1077" w:type="pct"/>
            <w:vAlign w:val="center"/>
          </w:tcPr>
          <w:p w14:paraId="5997D8D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50.77</w:t>
            </w:r>
          </w:p>
        </w:tc>
        <w:tc>
          <w:tcPr>
            <w:tcW w:w="1001" w:type="pct"/>
            <w:vAlign w:val="center"/>
          </w:tcPr>
          <w:p w14:paraId="3167261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0.01</w:t>
            </w:r>
          </w:p>
        </w:tc>
      </w:tr>
      <w:tr w14:paraId="5286E0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903" w:type="pct"/>
            <w:noWrap/>
            <w:vAlign w:val="center"/>
          </w:tcPr>
          <w:p w14:paraId="2DF28A0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4500</w:t>
            </w:r>
          </w:p>
        </w:tc>
        <w:tc>
          <w:tcPr>
            <w:tcW w:w="1055" w:type="pct"/>
            <w:noWrap/>
            <w:vAlign w:val="center"/>
          </w:tcPr>
          <w:p w14:paraId="4CA5E3E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65.00</w:t>
            </w:r>
          </w:p>
        </w:tc>
        <w:tc>
          <w:tcPr>
            <w:tcW w:w="964" w:type="pct"/>
            <w:noWrap/>
            <w:vAlign w:val="center"/>
          </w:tcPr>
          <w:p w14:paraId="1324884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0.01</w:t>
            </w:r>
          </w:p>
        </w:tc>
        <w:tc>
          <w:tcPr>
            <w:tcW w:w="1077" w:type="pct"/>
            <w:vAlign w:val="center"/>
          </w:tcPr>
          <w:p w14:paraId="7B8C0B1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51.59</w:t>
            </w:r>
          </w:p>
        </w:tc>
        <w:tc>
          <w:tcPr>
            <w:tcW w:w="1001" w:type="pct"/>
            <w:vAlign w:val="center"/>
          </w:tcPr>
          <w:p w14:paraId="469162C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0.01</w:t>
            </w:r>
          </w:p>
        </w:tc>
      </w:tr>
      <w:tr w14:paraId="574B0F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903" w:type="pct"/>
            <w:noWrap/>
            <w:vAlign w:val="center"/>
          </w:tcPr>
          <w:p w14:paraId="1B4F482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4600</w:t>
            </w:r>
          </w:p>
        </w:tc>
        <w:tc>
          <w:tcPr>
            <w:tcW w:w="1055" w:type="pct"/>
            <w:noWrap/>
            <w:vAlign w:val="center"/>
          </w:tcPr>
          <w:p w14:paraId="4B90587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66.11</w:t>
            </w:r>
          </w:p>
        </w:tc>
        <w:tc>
          <w:tcPr>
            <w:tcW w:w="964" w:type="pct"/>
            <w:noWrap/>
            <w:vAlign w:val="center"/>
          </w:tcPr>
          <w:p w14:paraId="7B9F761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0.01</w:t>
            </w:r>
          </w:p>
        </w:tc>
        <w:tc>
          <w:tcPr>
            <w:tcW w:w="1077" w:type="pct"/>
            <w:vAlign w:val="center"/>
          </w:tcPr>
          <w:p w14:paraId="2F8269E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52.40</w:t>
            </w:r>
          </w:p>
        </w:tc>
        <w:tc>
          <w:tcPr>
            <w:tcW w:w="1001" w:type="pct"/>
            <w:vAlign w:val="center"/>
          </w:tcPr>
          <w:p w14:paraId="3924E3F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0.01</w:t>
            </w:r>
          </w:p>
        </w:tc>
      </w:tr>
      <w:tr w14:paraId="11FECB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903" w:type="pct"/>
            <w:noWrap/>
            <w:vAlign w:val="center"/>
          </w:tcPr>
          <w:p w14:paraId="758DD4D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4700</w:t>
            </w:r>
          </w:p>
        </w:tc>
        <w:tc>
          <w:tcPr>
            <w:tcW w:w="1055" w:type="pct"/>
            <w:noWrap/>
            <w:vAlign w:val="center"/>
          </w:tcPr>
          <w:p w14:paraId="5D2A475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67.22</w:t>
            </w:r>
          </w:p>
        </w:tc>
        <w:tc>
          <w:tcPr>
            <w:tcW w:w="964" w:type="pct"/>
            <w:noWrap/>
            <w:vAlign w:val="center"/>
          </w:tcPr>
          <w:p w14:paraId="3A00BB4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0.01</w:t>
            </w:r>
          </w:p>
        </w:tc>
        <w:tc>
          <w:tcPr>
            <w:tcW w:w="1077" w:type="pct"/>
            <w:vAlign w:val="center"/>
          </w:tcPr>
          <w:p w14:paraId="491DCD1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53.21</w:t>
            </w:r>
          </w:p>
        </w:tc>
        <w:tc>
          <w:tcPr>
            <w:tcW w:w="1001" w:type="pct"/>
            <w:vAlign w:val="center"/>
          </w:tcPr>
          <w:p w14:paraId="1750CE1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0.01</w:t>
            </w:r>
          </w:p>
        </w:tc>
      </w:tr>
      <w:tr w14:paraId="2126AC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903" w:type="pct"/>
            <w:noWrap/>
            <w:vAlign w:val="center"/>
          </w:tcPr>
          <w:p w14:paraId="76CC1FB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4800</w:t>
            </w:r>
          </w:p>
        </w:tc>
        <w:tc>
          <w:tcPr>
            <w:tcW w:w="1055" w:type="pct"/>
            <w:noWrap/>
            <w:vAlign w:val="center"/>
          </w:tcPr>
          <w:p w14:paraId="0FE9E8D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68.33</w:t>
            </w:r>
          </w:p>
        </w:tc>
        <w:tc>
          <w:tcPr>
            <w:tcW w:w="964" w:type="pct"/>
            <w:noWrap/>
            <w:vAlign w:val="center"/>
          </w:tcPr>
          <w:p w14:paraId="1B96DBB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0.01</w:t>
            </w:r>
          </w:p>
        </w:tc>
        <w:tc>
          <w:tcPr>
            <w:tcW w:w="1077" w:type="pct"/>
            <w:vAlign w:val="center"/>
          </w:tcPr>
          <w:p w14:paraId="05780A9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54.03</w:t>
            </w:r>
          </w:p>
        </w:tc>
        <w:tc>
          <w:tcPr>
            <w:tcW w:w="1001" w:type="pct"/>
            <w:vAlign w:val="center"/>
          </w:tcPr>
          <w:p w14:paraId="693B408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0.01</w:t>
            </w:r>
          </w:p>
        </w:tc>
      </w:tr>
      <w:tr w14:paraId="3BE957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903" w:type="pct"/>
            <w:noWrap/>
            <w:vAlign w:val="center"/>
          </w:tcPr>
          <w:p w14:paraId="63B5365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4900</w:t>
            </w:r>
          </w:p>
        </w:tc>
        <w:tc>
          <w:tcPr>
            <w:tcW w:w="1055" w:type="pct"/>
            <w:noWrap/>
            <w:vAlign w:val="center"/>
          </w:tcPr>
          <w:p w14:paraId="39F39C0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69.44</w:t>
            </w:r>
          </w:p>
        </w:tc>
        <w:tc>
          <w:tcPr>
            <w:tcW w:w="964" w:type="pct"/>
            <w:noWrap/>
            <w:vAlign w:val="center"/>
          </w:tcPr>
          <w:p w14:paraId="51B47C6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0.01</w:t>
            </w:r>
          </w:p>
        </w:tc>
        <w:tc>
          <w:tcPr>
            <w:tcW w:w="1077" w:type="pct"/>
            <w:vAlign w:val="center"/>
          </w:tcPr>
          <w:p w14:paraId="14152B1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54.84</w:t>
            </w:r>
          </w:p>
        </w:tc>
        <w:tc>
          <w:tcPr>
            <w:tcW w:w="1001" w:type="pct"/>
            <w:vAlign w:val="center"/>
          </w:tcPr>
          <w:p w14:paraId="0B223F7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0.01</w:t>
            </w:r>
          </w:p>
        </w:tc>
      </w:tr>
      <w:tr w14:paraId="52DC82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903" w:type="pct"/>
            <w:noWrap/>
            <w:vAlign w:val="center"/>
          </w:tcPr>
          <w:p w14:paraId="01C513B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5000</w:t>
            </w:r>
          </w:p>
        </w:tc>
        <w:tc>
          <w:tcPr>
            <w:tcW w:w="1055" w:type="pct"/>
            <w:noWrap/>
            <w:vAlign w:val="center"/>
          </w:tcPr>
          <w:p w14:paraId="0092D2D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70.56</w:t>
            </w:r>
          </w:p>
        </w:tc>
        <w:tc>
          <w:tcPr>
            <w:tcW w:w="964" w:type="pct"/>
            <w:noWrap/>
            <w:vAlign w:val="center"/>
          </w:tcPr>
          <w:p w14:paraId="1BAF36C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0.01</w:t>
            </w:r>
          </w:p>
        </w:tc>
        <w:tc>
          <w:tcPr>
            <w:tcW w:w="1077" w:type="pct"/>
            <w:vAlign w:val="center"/>
          </w:tcPr>
          <w:p w14:paraId="2BD57BB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55.65</w:t>
            </w:r>
          </w:p>
        </w:tc>
        <w:tc>
          <w:tcPr>
            <w:tcW w:w="1001" w:type="pct"/>
            <w:vAlign w:val="center"/>
          </w:tcPr>
          <w:p w14:paraId="37F87CE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0.01</w:t>
            </w:r>
          </w:p>
        </w:tc>
      </w:tr>
      <w:tr w14:paraId="6F6192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903" w:type="pct"/>
            <w:vMerge w:val="restart"/>
            <w:noWrap/>
            <w:vAlign w:val="center"/>
          </w:tcPr>
          <w:p w14:paraId="70852D5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毒性终点浓度-1</w:t>
            </w:r>
          </w:p>
        </w:tc>
        <w:tc>
          <w:tcPr>
            <w:tcW w:w="1055" w:type="pct"/>
            <w:noWrap/>
            <w:vAlign w:val="center"/>
          </w:tcPr>
          <w:p w14:paraId="402A8D2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阈值(mg/m</w:t>
            </w:r>
            <w:r>
              <w:rPr>
                <w:rFonts w:ascii="Times New Roman" w:hAnsi="Times New Roman" w:cs="Times New Roman"/>
                <w:color w:val="000000" w:themeColor="text1"/>
                <w:sz w:val="21"/>
                <w:szCs w:val="21"/>
                <w:vertAlign w:val="superscript"/>
                <w14:textFill>
                  <w14:solidFill>
                    <w14:schemeClr w14:val="tx1"/>
                  </w14:solidFill>
                </w14:textFill>
              </w:rPr>
              <w:t>3</w:t>
            </w:r>
            <w:r>
              <w:rPr>
                <w:rFonts w:ascii="Times New Roman" w:hAnsi="Times New Roman" w:cs="Times New Roman"/>
                <w:color w:val="000000" w:themeColor="text1"/>
                <w:sz w:val="21"/>
                <w:szCs w:val="21"/>
                <w14:textFill>
                  <w14:solidFill>
                    <w14:schemeClr w14:val="tx1"/>
                  </w14:solidFill>
                </w14:textFill>
              </w:rPr>
              <w:t>)</w:t>
            </w:r>
          </w:p>
        </w:tc>
        <w:tc>
          <w:tcPr>
            <w:tcW w:w="964" w:type="pct"/>
            <w:noWrap/>
            <w:vAlign w:val="center"/>
          </w:tcPr>
          <w:p w14:paraId="3B76ADF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380</w:t>
            </w:r>
          </w:p>
        </w:tc>
        <w:tc>
          <w:tcPr>
            <w:tcW w:w="1077" w:type="pct"/>
            <w:vAlign w:val="center"/>
          </w:tcPr>
          <w:p w14:paraId="52FCECE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阈值(mg/m</w:t>
            </w:r>
            <w:r>
              <w:rPr>
                <w:rFonts w:ascii="Times New Roman" w:hAnsi="Times New Roman" w:cs="Times New Roman"/>
                <w:color w:val="000000" w:themeColor="text1"/>
                <w:sz w:val="21"/>
                <w:szCs w:val="21"/>
                <w:vertAlign w:val="superscript"/>
                <w14:textFill>
                  <w14:solidFill>
                    <w14:schemeClr w14:val="tx1"/>
                  </w14:solidFill>
                </w14:textFill>
              </w:rPr>
              <w:t>3</w:t>
            </w:r>
            <w:r>
              <w:rPr>
                <w:rFonts w:ascii="Times New Roman" w:hAnsi="Times New Roman" w:cs="Times New Roman"/>
                <w:color w:val="000000" w:themeColor="text1"/>
                <w:sz w:val="21"/>
                <w:szCs w:val="21"/>
                <w14:textFill>
                  <w14:solidFill>
                    <w14:schemeClr w14:val="tx1"/>
                  </w14:solidFill>
                </w14:textFill>
              </w:rPr>
              <w:t>)</w:t>
            </w:r>
          </w:p>
        </w:tc>
        <w:tc>
          <w:tcPr>
            <w:tcW w:w="1001" w:type="pct"/>
            <w:vAlign w:val="center"/>
          </w:tcPr>
          <w:p w14:paraId="4C18D2F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380</w:t>
            </w:r>
          </w:p>
        </w:tc>
      </w:tr>
      <w:tr w14:paraId="058148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903" w:type="pct"/>
            <w:vMerge w:val="continue"/>
            <w:noWrap/>
            <w:vAlign w:val="center"/>
          </w:tcPr>
          <w:p w14:paraId="0D33FF7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c>
          <w:tcPr>
            <w:tcW w:w="1055" w:type="pct"/>
            <w:noWrap/>
            <w:vAlign w:val="center"/>
          </w:tcPr>
          <w:p w14:paraId="1EDC087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下风向距离(m)</w:t>
            </w:r>
          </w:p>
        </w:tc>
        <w:tc>
          <w:tcPr>
            <w:tcW w:w="964" w:type="pct"/>
            <w:noWrap/>
            <w:vAlign w:val="center"/>
          </w:tcPr>
          <w:p w14:paraId="7A3E8D3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70</w:t>
            </w:r>
          </w:p>
        </w:tc>
        <w:tc>
          <w:tcPr>
            <w:tcW w:w="1077" w:type="pct"/>
            <w:vAlign w:val="center"/>
          </w:tcPr>
          <w:p w14:paraId="4CBC166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下风向距离(m)</w:t>
            </w:r>
          </w:p>
        </w:tc>
        <w:tc>
          <w:tcPr>
            <w:tcW w:w="1001" w:type="pct"/>
            <w:vAlign w:val="center"/>
          </w:tcPr>
          <w:p w14:paraId="66B33EE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60</w:t>
            </w:r>
          </w:p>
        </w:tc>
      </w:tr>
      <w:tr w14:paraId="2BB04B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903" w:type="pct"/>
            <w:vMerge w:val="continue"/>
            <w:noWrap/>
            <w:vAlign w:val="center"/>
          </w:tcPr>
          <w:p w14:paraId="4BD6EB6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c>
          <w:tcPr>
            <w:tcW w:w="1055" w:type="pct"/>
            <w:noWrap/>
            <w:vAlign w:val="center"/>
          </w:tcPr>
          <w:p w14:paraId="0F12E48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最大宽度(m)</w:t>
            </w:r>
          </w:p>
        </w:tc>
        <w:tc>
          <w:tcPr>
            <w:tcW w:w="964" w:type="pct"/>
            <w:noWrap/>
            <w:vAlign w:val="center"/>
          </w:tcPr>
          <w:p w14:paraId="62D5FBC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40</w:t>
            </w:r>
          </w:p>
        </w:tc>
        <w:tc>
          <w:tcPr>
            <w:tcW w:w="1077" w:type="pct"/>
            <w:vAlign w:val="center"/>
          </w:tcPr>
          <w:p w14:paraId="4628572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最大宽度(m)</w:t>
            </w:r>
          </w:p>
        </w:tc>
        <w:tc>
          <w:tcPr>
            <w:tcW w:w="1001" w:type="pct"/>
            <w:vAlign w:val="center"/>
          </w:tcPr>
          <w:p w14:paraId="14A57CC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32</w:t>
            </w:r>
          </w:p>
        </w:tc>
      </w:tr>
      <w:tr w14:paraId="3C6A82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903" w:type="pct"/>
            <w:vMerge w:val="restart"/>
            <w:noWrap/>
            <w:vAlign w:val="center"/>
          </w:tcPr>
          <w:p w14:paraId="253E5E3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毒性终点浓度-2</w:t>
            </w:r>
          </w:p>
        </w:tc>
        <w:tc>
          <w:tcPr>
            <w:tcW w:w="1055" w:type="pct"/>
            <w:noWrap/>
            <w:vAlign w:val="center"/>
          </w:tcPr>
          <w:p w14:paraId="64B062A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阈值(mg/m</w:t>
            </w:r>
            <w:r>
              <w:rPr>
                <w:rFonts w:ascii="Times New Roman" w:hAnsi="Times New Roman" w:cs="Times New Roman"/>
                <w:color w:val="000000" w:themeColor="text1"/>
                <w:sz w:val="21"/>
                <w:szCs w:val="21"/>
                <w:vertAlign w:val="superscript"/>
                <w14:textFill>
                  <w14:solidFill>
                    <w14:schemeClr w14:val="tx1"/>
                  </w14:solidFill>
                </w14:textFill>
              </w:rPr>
              <w:t>3</w:t>
            </w:r>
            <w:r>
              <w:rPr>
                <w:rFonts w:ascii="Times New Roman" w:hAnsi="Times New Roman" w:cs="Times New Roman"/>
                <w:color w:val="000000" w:themeColor="text1"/>
                <w:sz w:val="21"/>
                <w:szCs w:val="21"/>
                <w14:textFill>
                  <w14:solidFill>
                    <w14:schemeClr w14:val="tx1"/>
                  </w14:solidFill>
                </w14:textFill>
              </w:rPr>
              <w:t>)</w:t>
            </w:r>
          </w:p>
        </w:tc>
        <w:tc>
          <w:tcPr>
            <w:tcW w:w="964" w:type="pct"/>
            <w:noWrap/>
            <w:vAlign w:val="center"/>
          </w:tcPr>
          <w:p w14:paraId="5DC58D3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95</w:t>
            </w:r>
          </w:p>
        </w:tc>
        <w:tc>
          <w:tcPr>
            <w:tcW w:w="1077" w:type="pct"/>
            <w:vAlign w:val="center"/>
          </w:tcPr>
          <w:p w14:paraId="7EC83E9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阈值(mg/m</w:t>
            </w:r>
            <w:r>
              <w:rPr>
                <w:rFonts w:ascii="Times New Roman" w:hAnsi="Times New Roman" w:cs="Times New Roman"/>
                <w:color w:val="000000" w:themeColor="text1"/>
                <w:sz w:val="21"/>
                <w:szCs w:val="21"/>
                <w:vertAlign w:val="superscript"/>
                <w14:textFill>
                  <w14:solidFill>
                    <w14:schemeClr w14:val="tx1"/>
                  </w14:solidFill>
                </w14:textFill>
              </w:rPr>
              <w:t>3</w:t>
            </w:r>
            <w:r>
              <w:rPr>
                <w:rFonts w:ascii="Times New Roman" w:hAnsi="Times New Roman" w:cs="Times New Roman"/>
                <w:color w:val="000000" w:themeColor="text1"/>
                <w:sz w:val="21"/>
                <w:szCs w:val="21"/>
                <w14:textFill>
                  <w14:solidFill>
                    <w14:schemeClr w14:val="tx1"/>
                  </w14:solidFill>
                </w14:textFill>
              </w:rPr>
              <w:t>)</w:t>
            </w:r>
          </w:p>
        </w:tc>
        <w:tc>
          <w:tcPr>
            <w:tcW w:w="1001" w:type="pct"/>
            <w:vAlign w:val="center"/>
          </w:tcPr>
          <w:p w14:paraId="63151F9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95</w:t>
            </w:r>
          </w:p>
        </w:tc>
      </w:tr>
      <w:tr w14:paraId="4F18C5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903" w:type="pct"/>
            <w:vMerge w:val="continue"/>
            <w:noWrap/>
            <w:vAlign w:val="center"/>
          </w:tcPr>
          <w:p w14:paraId="5D2CD2F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c>
          <w:tcPr>
            <w:tcW w:w="1055" w:type="pct"/>
            <w:noWrap/>
            <w:vAlign w:val="center"/>
          </w:tcPr>
          <w:p w14:paraId="1BA597D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下风向距离(m)</w:t>
            </w:r>
          </w:p>
        </w:tc>
        <w:tc>
          <w:tcPr>
            <w:tcW w:w="964" w:type="pct"/>
            <w:noWrap/>
            <w:vAlign w:val="center"/>
          </w:tcPr>
          <w:p w14:paraId="3ABF95C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130</w:t>
            </w:r>
          </w:p>
        </w:tc>
        <w:tc>
          <w:tcPr>
            <w:tcW w:w="1077" w:type="pct"/>
            <w:vAlign w:val="center"/>
          </w:tcPr>
          <w:p w14:paraId="62E10E3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下风向距离(m)</w:t>
            </w:r>
          </w:p>
        </w:tc>
        <w:tc>
          <w:tcPr>
            <w:tcW w:w="1001" w:type="pct"/>
            <w:vAlign w:val="center"/>
          </w:tcPr>
          <w:p w14:paraId="6EEB2C8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120</w:t>
            </w:r>
          </w:p>
        </w:tc>
      </w:tr>
      <w:tr w14:paraId="5DBA84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903" w:type="pct"/>
            <w:vMerge w:val="continue"/>
            <w:noWrap/>
            <w:vAlign w:val="center"/>
          </w:tcPr>
          <w:p w14:paraId="045088B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c>
          <w:tcPr>
            <w:tcW w:w="1055" w:type="pct"/>
            <w:noWrap/>
            <w:vAlign w:val="center"/>
          </w:tcPr>
          <w:p w14:paraId="2098BD2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最大宽度(m)</w:t>
            </w:r>
          </w:p>
        </w:tc>
        <w:tc>
          <w:tcPr>
            <w:tcW w:w="964" w:type="pct"/>
            <w:noWrap/>
            <w:vAlign w:val="center"/>
          </w:tcPr>
          <w:p w14:paraId="1E9C51C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80</w:t>
            </w:r>
          </w:p>
        </w:tc>
        <w:tc>
          <w:tcPr>
            <w:tcW w:w="1077" w:type="pct"/>
            <w:vAlign w:val="center"/>
          </w:tcPr>
          <w:p w14:paraId="6DF9773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最大宽度(m)</w:t>
            </w:r>
          </w:p>
        </w:tc>
        <w:tc>
          <w:tcPr>
            <w:tcW w:w="1001" w:type="pct"/>
            <w:vAlign w:val="center"/>
          </w:tcPr>
          <w:p w14:paraId="165F368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68</w:t>
            </w:r>
          </w:p>
        </w:tc>
      </w:tr>
    </w:tbl>
    <w:p w14:paraId="578A22F5">
      <w:pPr>
        <w:rPr>
          <w:rFonts w:cs="Times New Roman"/>
          <w:spacing w:val="-3"/>
        </w:rPr>
      </w:pPr>
    </w:p>
    <w:p w14:paraId="696BE6F2">
      <w:pPr>
        <w:spacing w:line="240" w:lineRule="auto"/>
        <w:jc w:val="center"/>
        <w:rPr>
          <w:rFonts w:cs="Times New Roman"/>
          <w:spacing w:val="-3"/>
        </w:rPr>
      </w:pPr>
      <w:r>
        <w:rPr>
          <w:rFonts w:cs="Times New Roman"/>
          <w:spacing w:val="-3"/>
        </w:rPr>
        <w:drawing>
          <wp:inline distT="0" distB="0" distL="0" distR="0">
            <wp:extent cx="5399405" cy="2668270"/>
            <wp:effectExtent l="0" t="0" r="0" b="0"/>
            <wp:docPr id="1484962256"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962256" name="图片 15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a:xfrm>
                      <a:off x="0" y="0"/>
                      <a:ext cx="5400000" cy="2668445"/>
                    </a:xfrm>
                    <a:prstGeom prst="rect">
                      <a:avLst/>
                    </a:prstGeom>
                    <a:noFill/>
                    <a:ln>
                      <a:noFill/>
                    </a:ln>
                  </pic:spPr>
                </pic:pic>
              </a:graphicData>
            </a:graphic>
          </wp:inline>
        </w:drawing>
      </w:r>
    </w:p>
    <w:p w14:paraId="6B87B8DD">
      <w:pPr>
        <w:pStyle w:val="82"/>
        <w:ind w:firstLine="0" w:firstLineChars="0"/>
        <w:jc w:val="center"/>
        <w:rPr>
          <w:rFonts w:ascii="Times New Roman" w:hAnsi="Times New Roman" w:eastAsia="黑体" w:cs="Times New Roman"/>
          <w:color w:val="000000" w:themeColor="text1"/>
          <w14:textFill>
            <w14:solidFill>
              <w14:schemeClr w14:val="tx1"/>
            </w14:solidFill>
          </w14:textFill>
        </w:rPr>
      </w:pPr>
      <w:r>
        <w:rPr>
          <w:rFonts w:ascii="Times New Roman" w:hAnsi="Times New Roman" w:eastAsia="黑体" w:cs="Times New Roman"/>
          <w:color w:val="000000" w:themeColor="text1"/>
          <w14:textFill>
            <w14:solidFill>
              <w14:schemeClr w14:val="tx1"/>
            </w14:solidFill>
          </w14:textFill>
        </w:rPr>
        <w:t>图6.9-</w:t>
      </w:r>
      <w:r>
        <w:rPr>
          <w:rFonts w:hint="eastAsia" w:ascii="Times New Roman" w:hAnsi="Times New Roman" w:eastAsia="黑体" w:cs="Times New Roman"/>
          <w:color w:val="000000" w:themeColor="text1"/>
          <w14:textFill>
            <w14:solidFill>
              <w14:schemeClr w14:val="tx1"/>
            </w14:solidFill>
          </w14:textFill>
        </w:rPr>
        <w:t>6</w:t>
      </w:r>
      <w:r>
        <w:rPr>
          <w:rFonts w:ascii="Times New Roman" w:hAnsi="Times New Roman" w:eastAsia="黑体" w:cs="Times New Roman"/>
          <w:color w:val="000000" w:themeColor="text1"/>
          <w14:textFill>
            <w14:solidFill>
              <w14:schemeClr w14:val="tx1"/>
            </w14:solidFill>
          </w14:textFill>
        </w:rPr>
        <w:t xml:space="preserve"> </w:t>
      </w:r>
      <w:r>
        <w:rPr>
          <w:rFonts w:hint="eastAsia" w:ascii="Times New Roman" w:hAnsi="Times New Roman" w:eastAsia="黑体" w:cs="Times New Roman"/>
          <w:color w:val="000000" w:themeColor="text1"/>
          <w14:textFill>
            <w14:solidFill>
              <w14:schemeClr w14:val="tx1"/>
            </w14:solidFill>
          </w14:textFill>
        </w:rPr>
        <w:t>最不利气象条件</w:t>
      </w:r>
      <w:r>
        <w:rPr>
          <w:rFonts w:ascii="Times New Roman" w:hAnsi="Times New Roman" w:eastAsia="黑体" w:cs="Times New Roman"/>
          <w:color w:val="000000" w:themeColor="text1"/>
          <w14:textFill>
            <w14:solidFill>
              <w14:schemeClr w14:val="tx1"/>
            </w14:solidFill>
          </w14:textFill>
        </w:rPr>
        <w:t>间</w:t>
      </w:r>
      <w:r>
        <w:rPr>
          <w:rFonts w:hint="eastAsia" w:ascii="Times New Roman" w:hAnsi="Times New Roman" w:eastAsia="黑体" w:cs="Times New Roman"/>
          <w:color w:val="000000" w:themeColor="text1"/>
          <w14:textFill>
            <w14:solidFill>
              <w14:schemeClr w14:val="tx1"/>
            </w14:solidFill>
          </w14:textFill>
        </w:rPr>
        <w:t>对</w:t>
      </w:r>
      <w:r>
        <w:rPr>
          <w:rFonts w:ascii="Times New Roman" w:hAnsi="Times New Roman" w:eastAsia="黑体" w:cs="Times New Roman"/>
          <w:color w:val="000000" w:themeColor="text1"/>
          <w14:textFill>
            <w14:solidFill>
              <w14:schemeClr w14:val="tx1"/>
            </w14:solidFill>
          </w14:textFill>
        </w:rPr>
        <w:t>甲酚储罐</w:t>
      </w:r>
      <w:r>
        <w:rPr>
          <w:rFonts w:hint="eastAsia" w:ascii="Times New Roman" w:hAnsi="Times New Roman" w:eastAsia="黑体" w:cs="Times New Roman"/>
          <w:color w:val="000000" w:themeColor="text1"/>
          <w14:textFill>
            <w14:solidFill>
              <w14:schemeClr w14:val="tx1"/>
            </w14:solidFill>
          </w14:textFill>
        </w:rPr>
        <w:t>火灾</w:t>
      </w:r>
      <w:r>
        <w:rPr>
          <w:rFonts w:ascii="Times New Roman" w:hAnsi="Times New Roman" w:eastAsia="黑体" w:cs="Times New Roman"/>
          <w:color w:val="000000" w:themeColor="text1"/>
          <w14:textFill>
            <w14:solidFill>
              <w14:schemeClr w14:val="tx1"/>
            </w14:solidFill>
          </w14:textFill>
        </w:rPr>
        <w:t>情景下</w:t>
      </w:r>
      <w:r>
        <w:rPr>
          <w:rFonts w:hint="eastAsia" w:ascii="Times New Roman" w:hAnsi="Times New Roman" w:eastAsia="黑体" w:cs="Times New Roman"/>
          <w:color w:val="000000" w:themeColor="text1"/>
          <w14:textFill>
            <w14:solidFill>
              <w14:schemeClr w14:val="tx1"/>
            </w14:solidFill>
          </w14:textFill>
        </w:rPr>
        <w:t>CO不同距离最大浓度变化图</w:t>
      </w:r>
    </w:p>
    <w:p w14:paraId="50CBE627">
      <w:pPr>
        <w:spacing w:line="240" w:lineRule="auto"/>
        <w:jc w:val="center"/>
        <w:rPr>
          <w:rFonts w:cs="Times New Roman"/>
          <w:spacing w:val="-3"/>
        </w:rPr>
      </w:pPr>
      <w:r>
        <w:rPr>
          <w:rFonts w:cs="Times New Roman"/>
          <w:spacing w:val="-3"/>
        </w:rPr>
        <w:drawing>
          <wp:inline distT="0" distB="0" distL="0" distR="0">
            <wp:extent cx="5399405" cy="2668270"/>
            <wp:effectExtent l="0" t="0" r="0" b="0"/>
            <wp:docPr id="1102526164"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526164" name="图片 15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a:xfrm>
                      <a:off x="0" y="0"/>
                      <a:ext cx="5400000" cy="2668445"/>
                    </a:xfrm>
                    <a:prstGeom prst="rect">
                      <a:avLst/>
                    </a:prstGeom>
                    <a:noFill/>
                    <a:ln>
                      <a:noFill/>
                    </a:ln>
                  </pic:spPr>
                </pic:pic>
              </a:graphicData>
            </a:graphic>
          </wp:inline>
        </w:drawing>
      </w:r>
    </w:p>
    <w:p w14:paraId="3949475A">
      <w:pPr>
        <w:pStyle w:val="82"/>
        <w:ind w:firstLine="0" w:firstLineChars="0"/>
        <w:jc w:val="center"/>
        <w:rPr>
          <w:rFonts w:hint="eastAsia" w:ascii="黑体" w:hAnsi="黑体" w:eastAsia="黑体" w:cs="Times New Roman"/>
          <w:color w:val="000000" w:themeColor="text1"/>
          <w14:textFill>
            <w14:solidFill>
              <w14:schemeClr w14:val="tx1"/>
            </w14:solidFill>
          </w14:textFill>
        </w:rPr>
      </w:pPr>
      <w:r>
        <w:rPr>
          <w:rFonts w:ascii="黑体" w:hAnsi="黑体" w:eastAsia="黑体" w:cs="Times New Roman"/>
          <w:color w:val="000000" w:themeColor="text1"/>
          <w14:textFill>
            <w14:solidFill>
              <w14:schemeClr w14:val="tx1"/>
            </w14:solidFill>
          </w14:textFill>
        </w:rPr>
        <w:t>图6.9-</w:t>
      </w:r>
      <w:r>
        <w:rPr>
          <w:rFonts w:hint="eastAsia" w:ascii="黑体" w:hAnsi="黑体" w:eastAsia="黑体" w:cs="Times New Roman"/>
          <w:color w:val="000000" w:themeColor="text1"/>
          <w14:textFill>
            <w14:solidFill>
              <w14:schemeClr w14:val="tx1"/>
            </w14:solidFill>
          </w14:textFill>
        </w:rPr>
        <w:t>7</w:t>
      </w:r>
      <w:r>
        <w:rPr>
          <w:rFonts w:ascii="黑体" w:hAnsi="黑体" w:eastAsia="黑体" w:cs="Times New Roman"/>
          <w:color w:val="000000" w:themeColor="text1"/>
          <w14:textFill>
            <w14:solidFill>
              <w14:schemeClr w14:val="tx1"/>
            </w14:solidFill>
          </w14:textFill>
        </w:rPr>
        <w:t xml:space="preserve"> </w:t>
      </w:r>
      <w:r>
        <w:rPr>
          <w:rFonts w:hint="eastAsia" w:ascii="黑体" w:hAnsi="黑体" w:eastAsia="黑体" w:cs="Times New Roman"/>
          <w:color w:val="000000" w:themeColor="text1"/>
          <w14:textFill>
            <w14:solidFill>
              <w14:schemeClr w14:val="tx1"/>
            </w14:solidFill>
          </w14:textFill>
        </w:rPr>
        <w:t>最常见气象条件</w:t>
      </w:r>
      <w:r>
        <w:rPr>
          <w:rFonts w:ascii="黑体" w:hAnsi="黑体" w:eastAsia="黑体" w:cs="Times New Roman"/>
          <w:color w:val="000000" w:themeColor="text1"/>
          <w14:textFill>
            <w14:solidFill>
              <w14:schemeClr w14:val="tx1"/>
            </w14:solidFill>
          </w14:textFill>
        </w:rPr>
        <w:t>间</w:t>
      </w:r>
      <w:r>
        <w:rPr>
          <w:rFonts w:hint="eastAsia" w:ascii="黑体" w:hAnsi="黑体" w:eastAsia="黑体" w:cs="Times New Roman"/>
          <w:color w:val="000000" w:themeColor="text1"/>
          <w14:textFill>
            <w14:solidFill>
              <w14:schemeClr w14:val="tx1"/>
            </w14:solidFill>
          </w14:textFill>
        </w:rPr>
        <w:t>对</w:t>
      </w:r>
      <w:r>
        <w:rPr>
          <w:rFonts w:ascii="黑体" w:hAnsi="黑体" w:eastAsia="黑体" w:cs="Times New Roman"/>
          <w:color w:val="000000" w:themeColor="text1"/>
          <w14:textFill>
            <w14:solidFill>
              <w14:schemeClr w14:val="tx1"/>
            </w14:solidFill>
          </w14:textFill>
        </w:rPr>
        <w:t>甲酚储罐</w:t>
      </w:r>
      <w:r>
        <w:rPr>
          <w:rFonts w:hint="eastAsia" w:ascii="黑体" w:hAnsi="黑体" w:eastAsia="黑体" w:cs="Times New Roman"/>
          <w:color w:val="000000" w:themeColor="text1"/>
          <w14:textFill>
            <w14:solidFill>
              <w14:schemeClr w14:val="tx1"/>
            </w14:solidFill>
          </w14:textFill>
        </w:rPr>
        <w:t>火灾</w:t>
      </w:r>
      <w:r>
        <w:rPr>
          <w:rFonts w:ascii="黑体" w:hAnsi="黑体" w:eastAsia="黑体" w:cs="Times New Roman"/>
          <w:color w:val="000000" w:themeColor="text1"/>
          <w14:textFill>
            <w14:solidFill>
              <w14:schemeClr w14:val="tx1"/>
            </w14:solidFill>
          </w14:textFill>
        </w:rPr>
        <w:t>情景下</w:t>
      </w:r>
      <w:r>
        <w:rPr>
          <w:rFonts w:hint="eastAsia" w:ascii="黑体" w:hAnsi="黑体" w:eastAsia="黑体" w:cs="Times New Roman"/>
          <w:color w:val="000000" w:themeColor="text1"/>
          <w14:textFill>
            <w14:solidFill>
              <w14:schemeClr w14:val="tx1"/>
            </w14:solidFill>
          </w14:textFill>
        </w:rPr>
        <w:t>CO不同距离最大浓度变化图</w:t>
      </w:r>
    </w:p>
    <w:p w14:paraId="4B4311B9">
      <w:pPr>
        <w:pStyle w:val="82"/>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根据以上预测结果可知，</w:t>
      </w:r>
      <w:r>
        <w:rPr>
          <w:rFonts w:hint="eastAsia" w:ascii="Times New Roman" w:hAnsi="Times New Roman" w:cs="Times New Roman"/>
          <w:color w:val="000000" w:themeColor="text1"/>
          <w14:textFill>
            <w14:solidFill>
              <w14:schemeClr w14:val="tx1"/>
            </w14:solidFill>
          </w14:textFill>
        </w:rPr>
        <w:t>最不利气象条件下间对甲酚储罐火灾情景</w:t>
      </w:r>
      <w:r>
        <w:rPr>
          <w:rFonts w:ascii="Times New Roman" w:hAnsi="Times New Roman" w:cs="Times New Roman"/>
          <w:color w:val="000000" w:themeColor="text1"/>
          <w14:textFill>
            <w14:solidFill>
              <w14:schemeClr w14:val="tx1"/>
            </w14:solidFill>
          </w14:textFill>
        </w:rPr>
        <w:t>下风向</w:t>
      </w:r>
      <w:r>
        <w:rPr>
          <w:rFonts w:hint="eastAsia" w:ascii="Times New Roman" w:hAnsi="Times New Roman" w:cs="Times New Roman"/>
          <w:color w:val="000000" w:themeColor="text1"/>
          <w14:textFill>
            <w14:solidFill>
              <w14:schemeClr w14:val="tx1"/>
            </w14:solidFill>
          </w14:textFill>
        </w:rPr>
        <w:t>CO</w:t>
      </w:r>
      <w:r>
        <w:rPr>
          <w:rFonts w:ascii="Times New Roman" w:hAnsi="Times New Roman" w:cs="Times New Roman"/>
          <w:color w:val="000000" w:themeColor="text1"/>
          <w14:textFill>
            <w14:solidFill>
              <w14:schemeClr w14:val="tx1"/>
            </w14:solidFill>
          </w14:textFill>
        </w:rPr>
        <w:t>大气毒性终点浓度-1的到达终点为</w:t>
      </w:r>
      <w:r>
        <w:rPr>
          <w:rFonts w:hint="eastAsia" w:ascii="Times New Roman" w:hAnsi="Times New Roman" w:cs="Times New Roman"/>
          <w:color w:val="000000" w:themeColor="text1"/>
          <w14:textFill>
            <w14:solidFill>
              <w14:schemeClr w14:val="tx1"/>
            </w14:solidFill>
          </w14:textFill>
        </w:rPr>
        <w:t>70</w:t>
      </w:r>
      <w:r>
        <w:rPr>
          <w:rFonts w:ascii="Times New Roman" w:hAnsi="Times New Roman" w:cs="Times New Roman"/>
          <w:color w:val="000000" w:themeColor="text1"/>
          <w14:textFill>
            <w14:solidFill>
              <w14:schemeClr w14:val="tx1"/>
            </w14:solidFill>
          </w14:textFill>
        </w:rPr>
        <w:t>m，大气毒性终点浓度-2的到达终点为</w:t>
      </w:r>
      <w:r>
        <w:rPr>
          <w:rFonts w:hint="eastAsia" w:ascii="Times New Roman" w:hAnsi="Times New Roman" w:cs="Times New Roman"/>
          <w:color w:val="000000" w:themeColor="text1"/>
          <w14:textFill>
            <w14:solidFill>
              <w14:schemeClr w14:val="tx1"/>
            </w14:solidFill>
          </w14:textFill>
        </w:rPr>
        <w:t>130</w:t>
      </w:r>
      <w:r>
        <w:rPr>
          <w:rFonts w:ascii="Times New Roman" w:hAnsi="Times New Roman" w:cs="Times New Roman"/>
          <w:color w:val="000000" w:themeColor="text1"/>
          <w14:textFill>
            <w14:solidFill>
              <w14:schemeClr w14:val="tx1"/>
            </w14:solidFill>
          </w14:textFill>
        </w:rPr>
        <w:t>m。</w:t>
      </w:r>
      <w:r>
        <w:rPr>
          <w:rFonts w:hint="eastAsia" w:ascii="Times New Roman" w:hAnsi="Times New Roman" w:cs="Times New Roman"/>
          <w:color w:val="000000" w:themeColor="text1"/>
          <w14:textFill>
            <w14:solidFill>
              <w14:schemeClr w14:val="tx1"/>
            </w14:solidFill>
          </w14:textFill>
        </w:rPr>
        <w:t>最常见气象条件下间对甲酚储罐火灾情景</w:t>
      </w:r>
      <w:r>
        <w:rPr>
          <w:rFonts w:ascii="Times New Roman" w:hAnsi="Times New Roman" w:cs="Times New Roman"/>
          <w:color w:val="000000" w:themeColor="text1"/>
          <w14:textFill>
            <w14:solidFill>
              <w14:schemeClr w14:val="tx1"/>
            </w14:solidFill>
          </w14:textFill>
        </w:rPr>
        <w:t>下风向</w:t>
      </w:r>
      <w:r>
        <w:rPr>
          <w:rFonts w:hint="eastAsia" w:ascii="Times New Roman" w:hAnsi="Times New Roman" w:cs="Times New Roman"/>
          <w:color w:val="000000" w:themeColor="text1"/>
          <w14:textFill>
            <w14:solidFill>
              <w14:schemeClr w14:val="tx1"/>
            </w14:solidFill>
          </w14:textFill>
        </w:rPr>
        <w:t>CO</w:t>
      </w:r>
      <w:r>
        <w:rPr>
          <w:rFonts w:ascii="Times New Roman" w:hAnsi="Times New Roman" w:cs="Times New Roman"/>
          <w:color w:val="000000" w:themeColor="text1"/>
          <w14:textFill>
            <w14:solidFill>
              <w14:schemeClr w14:val="tx1"/>
            </w14:solidFill>
          </w14:textFill>
        </w:rPr>
        <w:t>大气毒性终点浓度-1的到达终点为</w:t>
      </w:r>
      <w:r>
        <w:rPr>
          <w:rFonts w:hint="eastAsia" w:ascii="Times New Roman" w:hAnsi="Times New Roman" w:cs="Times New Roman"/>
          <w:color w:val="000000" w:themeColor="text1"/>
          <w14:textFill>
            <w14:solidFill>
              <w14:schemeClr w14:val="tx1"/>
            </w14:solidFill>
          </w14:textFill>
        </w:rPr>
        <w:t>60</w:t>
      </w:r>
      <w:r>
        <w:rPr>
          <w:rFonts w:ascii="Times New Roman" w:hAnsi="Times New Roman" w:cs="Times New Roman"/>
          <w:color w:val="000000" w:themeColor="text1"/>
          <w14:textFill>
            <w14:solidFill>
              <w14:schemeClr w14:val="tx1"/>
            </w14:solidFill>
          </w14:textFill>
        </w:rPr>
        <w:t>m，大气毒性终点浓度-2的到达终点为</w:t>
      </w:r>
      <w:r>
        <w:rPr>
          <w:rFonts w:hint="eastAsia" w:ascii="Times New Roman" w:hAnsi="Times New Roman" w:cs="Times New Roman"/>
          <w:color w:val="000000" w:themeColor="text1"/>
          <w14:textFill>
            <w14:solidFill>
              <w14:schemeClr w14:val="tx1"/>
            </w14:solidFill>
          </w14:textFill>
        </w:rPr>
        <w:t>120</w:t>
      </w:r>
      <w:r>
        <w:rPr>
          <w:rFonts w:ascii="Times New Roman" w:hAnsi="Times New Roman" w:cs="Times New Roman"/>
          <w:color w:val="000000" w:themeColor="text1"/>
          <w14:textFill>
            <w14:solidFill>
              <w14:schemeClr w14:val="tx1"/>
            </w14:solidFill>
          </w14:textFill>
        </w:rPr>
        <w:t>m。</w:t>
      </w:r>
    </w:p>
    <w:p w14:paraId="670BD1BA">
      <w:pPr>
        <w:rPr>
          <w:rFonts w:cs="Times New Roman"/>
          <w:spacing w:val="-3"/>
        </w:rPr>
        <w:sectPr>
          <w:pgSz w:w="11906" w:h="16838"/>
          <w:pgMar w:top="1418" w:right="1418" w:bottom="1418" w:left="1418" w:header="851" w:footer="992" w:gutter="0"/>
          <w:cols w:space="425" w:num="1"/>
          <w:docGrid w:type="lines" w:linePitch="326" w:charSpace="0"/>
        </w:sectPr>
      </w:pPr>
    </w:p>
    <w:p w14:paraId="4B79BF83">
      <w:pPr>
        <w:pStyle w:val="82"/>
        <w:spacing w:line="240" w:lineRule="auto"/>
        <w:ind w:firstLine="0" w:firstLineChars="0"/>
        <w:jc w:val="center"/>
        <w:rPr>
          <w:rFonts w:ascii="Times New Roman" w:hAnsi="Times New Roman" w:eastAsia="黑体" w:cs="Times New Roman"/>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7861300" cy="5327650"/>
            <wp:effectExtent l="0" t="0" r="6350" b="6350"/>
            <wp:docPr id="188765477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7654779" name="图片 1"/>
                    <pic:cNvPicPr>
                      <a:picLocks noChangeAspect="1"/>
                    </pic:cNvPicPr>
                  </pic:nvPicPr>
                  <pic:blipFill>
                    <a:blip r:embed="rId69"/>
                    <a:stretch>
                      <a:fillRect/>
                    </a:stretch>
                  </pic:blipFill>
                  <pic:spPr>
                    <a:xfrm>
                      <a:off x="0" y="0"/>
                      <a:ext cx="7861590" cy="5328000"/>
                    </a:xfrm>
                    <a:prstGeom prst="rect">
                      <a:avLst/>
                    </a:prstGeom>
                  </pic:spPr>
                </pic:pic>
              </a:graphicData>
            </a:graphic>
          </wp:inline>
        </w:drawing>
      </w:r>
    </w:p>
    <w:p w14:paraId="18B4D07F">
      <w:pPr>
        <w:pStyle w:val="82"/>
        <w:spacing w:line="240" w:lineRule="auto"/>
        <w:ind w:firstLine="0" w:firstLineChars="0"/>
        <w:jc w:val="center"/>
        <w:rPr>
          <w:rFonts w:hint="eastAsia" w:ascii="黑体" w:hAnsi="黑体" w:eastAsia="黑体" w:cs="Times New Roman"/>
          <w:color w:val="000000" w:themeColor="text1"/>
          <w14:textFill>
            <w14:solidFill>
              <w14:schemeClr w14:val="tx1"/>
            </w14:solidFill>
          </w14:textFill>
        </w:rPr>
      </w:pPr>
      <w:r>
        <w:rPr>
          <w:rFonts w:ascii="黑体" w:hAnsi="黑体" w:eastAsia="黑体" w:cs="Times New Roman"/>
          <w:color w:val="000000" w:themeColor="text1"/>
          <w14:textFill>
            <w14:solidFill>
              <w14:schemeClr w14:val="tx1"/>
            </w14:solidFill>
          </w14:textFill>
        </w:rPr>
        <w:t>图6.9-</w:t>
      </w:r>
      <w:r>
        <w:rPr>
          <w:rFonts w:hint="eastAsia" w:ascii="黑体" w:hAnsi="黑体" w:eastAsia="黑体" w:cs="Times New Roman"/>
          <w:color w:val="000000" w:themeColor="text1"/>
          <w14:textFill>
            <w14:solidFill>
              <w14:schemeClr w14:val="tx1"/>
            </w14:solidFill>
          </w14:textFill>
        </w:rPr>
        <w:t>8</w:t>
      </w:r>
      <w:r>
        <w:rPr>
          <w:rFonts w:ascii="黑体" w:hAnsi="黑体" w:eastAsia="黑体" w:cs="Times New Roman"/>
          <w:color w:val="000000" w:themeColor="text1"/>
          <w14:textFill>
            <w14:solidFill>
              <w14:schemeClr w14:val="tx1"/>
            </w14:solidFill>
          </w14:textFill>
        </w:rPr>
        <w:t xml:space="preserve"> 间</w:t>
      </w:r>
      <w:r>
        <w:rPr>
          <w:rFonts w:hint="eastAsia" w:ascii="黑体" w:hAnsi="黑体" w:eastAsia="黑体" w:cs="Times New Roman"/>
          <w:color w:val="000000" w:themeColor="text1"/>
          <w14:textFill>
            <w14:solidFill>
              <w14:schemeClr w14:val="tx1"/>
            </w14:solidFill>
          </w14:textFill>
        </w:rPr>
        <w:t>对</w:t>
      </w:r>
      <w:r>
        <w:rPr>
          <w:rFonts w:ascii="黑体" w:hAnsi="黑体" w:eastAsia="黑体" w:cs="Times New Roman"/>
          <w:color w:val="000000" w:themeColor="text1"/>
          <w14:textFill>
            <w14:solidFill>
              <w14:schemeClr w14:val="tx1"/>
            </w14:solidFill>
          </w14:textFill>
        </w:rPr>
        <w:t>甲酚储罐</w:t>
      </w:r>
      <w:r>
        <w:rPr>
          <w:rFonts w:hint="eastAsia" w:ascii="黑体" w:hAnsi="黑体" w:eastAsia="黑体" w:cs="Times New Roman"/>
          <w:color w:val="000000" w:themeColor="text1"/>
          <w14:textFill>
            <w14:solidFill>
              <w14:schemeClr w14:val="tx1"/>
            </w14:solidFill>
          </w14:textFill>
        </w:rPr>
        <w:t>火灾</w:t>
      </w:r>
      <w:r>
        <w:rPr>
          <w:rFonts w:ascii="黑体" w:hAnsi="黑体" w:eastAsia="黑体" w:cs="Times New Roman"/>
          <w:color w:val="000000" w:themeColor="text1"/>
          <w14:textFill>
            <w14:solidFill>
              <w14:schemeClr w14:val="tx1"/>
            </w14:solidFill>
          </w14:textFill>
        </w:rPr>
        <w:t>情景下</w:t>
      </w:r>
      <w:r>
        <w:rPr>
          <w:rFonts w:hint="eastAsia" w:ascii="黑体" w:hAnsi="黑体" w:eastAsia="黑体" w:cs="Times New Roman"/>
          <w:color w:val="000000" w:themeColor="text1"/>
          <w14:textFill>
            <w14:solidFill>
              <w14:schemeClr w14:val="tx1"/>
            </w14:solidFill>
          </w14:textFill>
        </w:rPr>
        <w:t>CO预测毒性终点浓度范围图</w:t>
      </w:r>
    </w:p>
    <w:p w14:paraId="6BAF4BAF">
      <w:pPr>
        <w:pStyle w:val="82"/>
        <w:spacing w:line="240" w:lineRule="auto"/>
        <w:ind w:firstLine="0" w:firstLineChars="0"/>
        <w:jc w:val="center"/>
        <w:rPr>
          <w:rFonts w:ascii="Times New Roman" w:hAnsi="Times New Roman" w:eastAsia="黑体" w:cs="Times New Roman"/>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7861300" cy="5327650"/>
            <wp:effectExtent l="0" t="0" r="6350" b="6350"/>
            <wp:docPr id="35983576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835761" name="图片 1"/>
                    <pic:cNvPicPr>
                      <a:picLocks noChangeAspect="1"/>
                    </pic:cNvPicPr>
                  </pic:nvPicPr>
                  <pic:blipFill>
                    <a:blip r:embed="rId70"/>
                    <a:stretch>
                      <a:fillRect/>
                    </a:stretch>
                  </pic:blipFill>
                  <pic:spPr>
                    <a:xfrm>
                      <a:off x="0" y="0"/>
                      <a:ext cx="7861590" cy="5328000"/>
                    </a:xfrm>
                    <a:prstGeom prst="rect">
                      <a:avLst/>
                    </a:prstGeom>
                  </pic:spPr>
                </pic:pic>
              </a:graphicData>
            </a:graphic>
          </wp:inline>
        </w:drawing>
      </w:r>
    </w:p>
    <w:p w14:paraId="3EF77794">
      <w:pPr>
        <w:pStyle w:val="82"/>
        <w:ind w:firstLine="0" w:firstLineChars="0"/>
        <w:jc w:val="center"/>
        <w:rPr>
          <w:rFonts w:hint="eastAsia" w:ascii="黑体" w:hAnsi="黑体" w:eastAsia="黑体" w:cs="Times New Roman"/>
          <w:color w:val="000000" w:themeColor="text1"/>
          <w14:textFill>
            <w14:solidFill>
              <w14:schemeClr w14:val="tx1"/>
            </w14:solidFill>
          </w14:textFill>
        </w:rPr>
      </w:pPr>
      <w:r>
        <w:rPr>
          <w:rFonts w:ascii="黑体" w:hAnsi="黑体" w:eastAsia="黑体" w:cs="Times New Roman"/>
          <w:color w:val="000000" w:themeColor="text1"/>
          <w14:textFill>
            <w14:solidFill>
              <w14:schemeClr w14:val="tx1"/>
            </w14:solidFill>
          </w14:textFill>
        </w:rPr>
        <w:t>图6.9-</w:t>
      </w:r>
      <w:r>
        <w:rPr>
          <w:rFonts w:hint="eastAsia" w:ascii="黑体" w:hAnsi="黑体" w:eastAsia="黑体" w:cs="Times New Roman"/>
          <w:color w:val="000000" w:themeColor="text1"/>
          <w14:textFill>
            <w14:solidFill>
              <w14:schemeClr w14:val="tx1"/>
            </w14:solidFill>
          </w14:textFill>
        </w:rPr>
        <w:t>9</w:t>
      </w:r>
      <w:r>
        <w:rPr>
          <w:rFonts w:ascii="黑体" w:hAnsi="黑体" w:eastAsia="黑体" w:cs="Times New Roman"/>
          <w:color w:val="000000" w:themeColor="text1"/>
          <w14:textFill>
            <w14:solidFill>
              <w14:schemeClr w14:val="tx1"/>
            </w14:solidFill>
          </w14:textFill>
        </w:rPr>
        <w:t xml:space="preserve"> 间</w:t>
      </w:r>
      <w:r>
        <w:rPr>
          <w:rFonts w:hint="eastAsia" w:ascii="黑体" w:hAnsi="黑体" w:eastAsia="黑体" w:cs="Times New Roman"/>
          <w:color w:val="000000" w:themeColor="text1"/>
          <w14:textFill>
            <w14:solidFill>
              <w14:schemeClr w14:val="tx1"/>
            </w14:solidFill>
          </w14:textFill>
        </w:rPr>
        <w:t>对</w:t>
      </w:r>
      <w:r>
        <w:rPr>
          <w:rFonts w:ascii="黑体" w:hAnsi="黑体" w:eastAsia="黑体" w:cs="Times New Roman"/>
          <w:color w:val="000000" w:themeColor="text1"/>
          <w14:textFill>
            <w14:solidFill>
              <w14:schemeClr w14:val="tx1"/>
            </w14:solidFill>
          </w14:textFill>
        </w:rPr>
        <w:t>甲酚储罐</w:t>
      </w:r>
      <w:r>
        <w:rPr>
          <w:rFonts w:hint="eastAsia" w:ascii="黑体" w:hAnsi="黑体" w:eastAsia="黑体" w:cs="Times New Roman"/>
          <w:color w:val="000000" w:themeColor="text1"/>
          <w14:textFill>
            <w14:solidFill>
              <w14:schemeClr w14:val="tx1"/>
            </w14:solidFill>
          </w14:textFill>
        </w:rPr>
        <w:t>火灾</w:t>
      </w:r>
      <w:r>
        <w:rPr>
          <w:rFonts w:ascii="黑体" w:hAnsi="黑体" w:eastAsia="黑体" w:cs="Times New Roman"/>
          <w:color w:val="000000" w:themeColor="text1"/>
          <w14:textFill>
            <w14:solidFill>
              <w14:schemeClr w14:val="tx1"/>
            </w14:solidFill>
          </w14:textFill>
        </w:rPr>
        <w:t>情景下</w:t>
      </w:r>
      <w:r>
        <w:rPr>
          <w:rFonts w:hint="eastAsia" w:ascii="黑体" w:hAnsi="黑体" w:eastAsia="黑体" w:cs="Times New Roman"/>
          <w:color w:val="000000" w:themeColor="text1"/>
          <w14:textFill>
            <w14:solidFill>
              <w14:schemeClr w14:val="tx1"/>
            </w14:solidFill>
          </w14:textFill>
        </w:rPr>
        <w:t>CO预测毒性终点浓度范围图</w:t>
      </w:r>
    </w:p>
    <w:p w14:paraId="36B33E1C">
      <w:pPr>
        <w:pStyle w:val="28"/>
        <w:rPr>
          <w:rFonts w:hint="eastAsia"/>
        </w:rPr>
      </w:pPr>
      <w:r>
        <w:t>表6.</w:t>
      </w:r>
      <w:r>
        <w:rPr>
          <w:rFonts w:hint="eastAsia"/>
        </w:rPr>
        <w:t>8</w:t>
      </w:r>
      <w:r>
        <w:t>-</w:t>
      </w:r>
      <w:r>
        <w:rPr>
          <w:rFonts w:hint="eastAsia"/>
        </w:rPr>
        <w:t>33</w:t>
      </w:r>
      <w:r>
        <w:t xml:space="preserve">  </w:t>
      </w:r>
      <w:r>
        <w:rPr>
          <w:rFonts w:hint="eastAsia"/>
        </w:rPr>
        <w:t>最不利气象条件下</w:t>
      </w:r>
      <w:r>
        <w:t>敏感点浓度预测结果表(mg/m</w:t>
      </w:r>
      <w:r>
        <w:rPr>
          <w:vertAlign w:val="superscript"/>
        </w:rPr>
        <w:t>3</w:t>
      </w:r>
      <w:r>
        <w:t>)</w:t>
      </w:r>
    </w:p>
    <w:tbl>
      <w:tblPr>
        <w:tblStyle w:val="3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39"/>
        <w:gridCol w:w="1067"/>
        <w:gridCol w:w="1078"/>
        <w:gridCol w:w="1077"/>
        <w:gridCol w:w="1077"/>
        <w:gridCol w:w="1077"/>
        <w:gridCol w:w="1077"/>
        <w:gridCol w:w="1077"/>
        <w:gridCol w:w="1077"/>
        <w:gridCol w:w="1083"/>
        <w:gridCol w:w="1083"/>
        <w:gridCol w:w="1080"/>
      </w:tblGrid>
      <w:tr w14:paraId="00E476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000" w:type="pct"/>
            <w:gridSpan w:val="12"/>
          </w:tcPr>
          <w:p w14:paraId="15628DB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间甲酚储罐泄露情景间甲酚</w:t>
            </w:r>
          </w:p>
        </w:tc>
      </w:tr>
      <w:tr w14:paraId="484306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5794D47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名称</w:t>
            </w:r>
          </w:p>
        </w:tc>
        <w:tc>
          <w:tcPr>
            <w:tcW w:w="381" w:type="pct"/>
            <w:noWrap/>
            <w:vAlign w:val="center"/>
          </w:tcPr>
          <w:p w14:paraId="03A7921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5min</w:t>
            </w:r>
          </w:p>
        </w:tc>
        <w:tc>
          <w:tcPr>
            <w:tcW w:w="385" w:type="pct"/>
            <w:noWrap/>
            <w:vAlign w:val="center"/>
          </w:tcPr>
          <w:p w14:paraId="4E9CCF9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10min</w:t>
            </w:r>
          </w:p>
        </w:tc>
        <w:tc>
          <w:tcPr>
            <w:tcW w:w="385" w:type="pct"/>
            <w:noWrap/>
            <w:vAlign w:val="center"/>
          </w:tcPr>
          <w:p w14:paraId="70D43C5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15min</w:t>
            </w:r>
          </w:p>
        </w:tc>
        <w:tc>
          <w:tcPr>
            <w:tcW w:w="385" w:type="pct"/>
            <w:noWrap/>
            <w:vAlign w:val="center"/>
          </w:tcPr>
          <w:p w14:paraId="191B3B0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20min</w:t>
            </w:r>
          </w:p>
        </w:tc>
        <w:tc>
          <w:tcPr>
            <w:tcW w:w="385" w:type="pct"/>
            <w:noWrap/>
            <w:vAlign w:val="center"/>
          </w:tcPr>
          <w:p w14:paraId="44B3832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25min</w:t>
            </w:r>
          </w:p>
        </w:tc>
        <w:tc>
          <w:tcPr>
            <w:tcW w:w="385" w:type="pct"/>
            <w:noWrap/>
            <w:vAlign w:val="center"/>
          </w:tcPr>
          <w:p w14:paraId="35BA8D2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30min</w:t>
            </w:r>
          </w:p>
        </w:tc>
        <w:tc>
          <w:tcPr>
            <w:tcW w:w="385" w:type="pct"/>
            <w:noWrap/>
            <w:vAlign w:val="center"/>
          </w:tcPr>
          <w:p w14:paraId="50C6479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40min</w:t>
            </w:r>
          </w:p>
        </w:tc>
        <w:tc>
          <w:tcPr>
            <w:tcW w:w="385" w:type="pct"/>
            <w:noWrap/>
            <w:vAlign w:val="center"/>
          </w:tcPr>
          <w:p w14:paraId="61B65D8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50min</w:t>
            </w:r>
          </w:p>
        </w:tc>
        <w:tc>
          <w:tcPr>
            <w:tcW w:w="387" w:type="pct"/>
          </w:tcPr>
          <w:p w14:paraId="2C2FCC4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6</w:t>
            </w:r>
            <w:r>
              <w:rPr>
                <w:rFonts w:ascii="Times New Roman" w:hAnsi="Times New Roman" w:cs="Times New Roman"/>
                <w:color w:val="000000" w:themeColor="text1"/>
                <w:sz w:val="21"/>
                <w:szCs w:val="21"/>
                <w14:textFill>
                  <w14:solidFill>
                    <w14:schemeClr w14:val="tx1"/>
                  </w14:solidFill>
                </w14:textFill>
              </w:rPr>
              <w:t>0min</w:t>
            </w:r>
          </w:p>
        </w:tc>
        <w:tc>
          <w:tcPr>
            <w:tcW w:w="387" w:type="pct"/>
          </w:tcPr>
          <w:p w14:paraId="40BD9D4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75</w:t>
            </w:r>
            <w:r>
              <w:rPr>
                <w:rFonts w:ascii="Times New Roman" w:hAnsi="Times New Roman" w:cs="Times New Roman"/>
                <w:color w:val="000000" w:themeColor="text1"/>
                <w:sz w:val="21"/>
                <w:szCs w:val="21"/>
                <w14:textFill>
                  <w14:solidFill>
                    <w14:schemeClr w14:val="tx1"/>
                  </w14:solidFill>
                </w14:textFill>
              </w:rPr>
              <w:t>min</w:t>
            </w:r>
          </w:p>
        </w:tc>
        <w:tc>
          <w:tcPr>
            <w:tcW w:w="386" w:type="pct"/>
            <w:noWrap/>
            <w:vAlign w:val="center"/>
          </w:tcPr>
          <w:p w14:paraId="4546CD6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90</w:t>
            </w:r>
            <w:r>
              <w:rPr>
                <w:rFonts w:ascii="Times New Roman" w:hAnsi="Times New Roman" w:cs="Times New Roman"/>
                <w:color w:val="000000" w:themeColor="text1"/>
                <w:sz w:val="21"/>
                <w:szCs w:val="21"/>
                <w14:textFill>
                  <w14:solidFill>
                    <w14:schemeClr w14:val="tx1"/>
                  </w14:solidFill>
                </w14:textFill>
              </w:rPr>
              <w:t>min</w:t>
            </w:r>
          </w:p>
        </w:tc>
      </w:tr>
      <w:tr w14:paraId="4564CF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4E525A5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前刘</w:t>
            </w:r>
          </w:p>
        </w:tc>
        <w:tc>
          <w:tcPr>
            <w:tcW w:w="381" w:type="pct"/>
            <w:noWrap/>
            <w:vAlign w:val="center"/>
          </w:tcPr>
          <w:p w14:paraId="4860F78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4B04BEC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1018804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16FD504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0EFC6CC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04E6241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0C02CA9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6221D21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4685F67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1C4D87A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6" w:type="pct"/>
            <w:noWrap/>
            <w:vAlign w:val="center"/>
          </w:tcPr>
          <w:p w14:paraId="6559E9A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r>
      <w:tr w14:paraId="12C27D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476B18A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邢家</w:t>
            </w:r>
          </w:p>
        </w:tc>
        <w:tc>
          <w:tcPr>
            <w:tcW w:w="381" w:type="pct"/>
            <w:noWrap/>
            <w:vAlign w:val="center"/>
          </w:tcPr>
          <w:p w14:paraId="729E901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4809D99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3CEDEBD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0E7DA3D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05028DC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4E05C0A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4DBC3A0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490A1DD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2426B28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7B9B58C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6" w:type="pct"/>
            <w:noWrap/>
            <w:vAlign w:val="center"/>
          </w:tcPr>
          <w:p w14:paraId="11A8C60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r>
      <w:tr w14:paraId="7A7717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4A52618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高王家</w:t>
            </w:r>
          </w:p>
        </w:tc>
        <w:tc>
          <w:tcPr>
            <w:tcW w:w="381" w:type="pct"/>
            <w:noWrap/>
            <w:vAlign w:val="center"/>
          </w:tcPr>
          <w:p w14:paraId="5573D12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572BBAF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43B0112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548F28A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1317C24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1184B9F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2BDF1DF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298D290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276CCAE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13B0474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6" w:type="pct"/>
            <w:noWrap/>
            <w:vAlign w:val="center"/>
          </w:tcPr>
          <w:p w14:paraId="6CAB15F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r>
      <w:tr w14:paraId="28BEB5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45DE902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尚家湖</w:t>
            </w:r>
          </w:p>
        </w:tc>
        <w:tc>
          <w:tcPr>
            <w:tcW w:w="381" w:type="pct"/>
            <w:noWrap/>
            <w:vAlign w:val="center"/>
          </w:tcPr>
          <w:p w14:paraId="064C2D8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337AC72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0837888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557D569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446FDDD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129F163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7C23246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6B384BA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69BAFD0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458A4B7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6" w:type="pct"/>
            <w:noWrap/>
            <w:vAlign w:val="center"/>
          </w:tcPr>
          <w:p w14:paraId="657DDE1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r>
      <w:tr w14:paraId="02973F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374FA84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大柏村</w:t>
            </w:r>
          </w:p>
        </w:tc>
        <w:tc>
          <w:tcPr>
            <w:tcW w:w="381" w:type="pct"/>
            <w:noWrap/>
            <w:vAlign w:val="center"/>
          </w:tcPr>
          <w:p w14:paraId="05F836C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1E59B7C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72ECE89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05A4071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00B1624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30137AC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765B223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213C036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165BC59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59B6E6C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6" w:type="pct"/>
            <w:noWrap/>
            <w:vAlign w:val="center"/>
          </w:tcPr>
          <w:p w14:paraId="58C116D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r>
      <w:tr w14:paraId="3D7F02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7F59DD7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小柏家</w:t>
            </w:r>
          </w:p>
        </w:tc>
        <w:tc>
          <w:tcPr>
            <w:tcW w:w="381" w:type="pct"/>
            <w:noWrap/>
            <w:vAlign w:val="center"/>
          </w:tcPr>
          <w:p w14:paraId="3591E39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38D5F69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0362090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630102E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38D9E61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1A5D99D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13E4770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3EB6DC7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0833F54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4C54916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6" w:type="pct"/>
            <w:noWrap/>
            <w:vAlign w:val="center"/>
          </w:tcPr>
          <w:p w14:paraId="635B37F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r>
      <w:tr w14:paraId="10339E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4C8562C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大柏中学</w:t>
            </w:r>
          </w:p>
        </w:tc>
        <w:tc>
          <w:tcPr>
            <w:tcW w:w="381" w:type="pct"/>
            <w:noWrap/>
            <w:vAlign w:val="center"/>
          </w:tcPr>
          <w:p w14:paraId="342C5CB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24EDB73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4E999D0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762AFC2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6A18246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3B3890B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04141FB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1311463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18BE545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58B64A3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6" w:type="pct"/>
            <w:noWrap/>
            <w:vAlign w:val="center"/>
          </w:tcPr>
          <w:p w14:paraId="644A448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r>
      <w:tr w14:paraId="666F9C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274221C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杜家湖</w:t>
            </w:r>
          </w:p>
        </w:tc>
        <w:tc>
          <w:tcPr>
            <w:tcW w:w="381" w:type="pct"/>
            <w:noWrap/>
            <w:vAlign w:val="center"/>
          </w:tcPr>
          <w:p w14:paraId="2F1586D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67E3840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1E4D062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0BF167C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4725EDF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152705E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151B563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54C6BB1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6704560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2C64D08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6" w:type="pct"/>
            <w:noWrap/>
            <w:vAlign w:val="center"/>
          </w:tcPr>
          <w:p w14:paraId="32A105F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r>
      <w:tr w14:paraId="70D4E2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62C6EE9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草杨家</w:t>
            </w:r>
          </w:p>
        </w:tc>
        <w:tc>
          <w:tcPr>
            <w:tcW w:w="381" w:type="pct"/>
            <w:noWrap/>
            <w:vAlign w:val="center"/>
          </w:tcPr>
          <w:p w14:paraId="04BD0AC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6354276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2E7948F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7DF18A7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365ADE4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570E808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62662F2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052C097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0574F93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7388C58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6" w:type="pct"/>
            <w:noWrap/>
            <w:vAlign w:val="center"/>
          </w:tcPr>
          <w:p w14:paraId="610DFDF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r>
      <w:tr w14:paraId="3ED116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320B701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小陈家</w:t>
            </w:r>
          </w:p>
        </w:tc>
        <w:tc>
          <w:tcPr>
            <w:tcW w:w="381" w:type="pct"/>
            <w:noWrap/>
            <w:vAlign w:val="center"/>
          </w:tcPr>
          <w:p w14:paraId="7BD7C68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1FE8B86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3DF8509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7A37A72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4413C91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4616A6C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6E08692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53B6964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1EAFA93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53FB55C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6" w:type="pct"/>
            <w:noWrap/>
            <w:vAlign w:val="center"/>
          </w:tcPr>
          <w:p w14:paraId="6C16B95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r>
      <w:tr w14:paraId="71F54A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7661820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小史家</w:t>
            </w:r>
          </w:p>
        </w:tc>
        <w:tc>
          <w:tcPr>
            <w:tcW w:w="381" w:type="pct"/>
            <w:noWrap/>
            <w:vAlign w:val="center"/>
          </w:tcPr>
          <w:p w14:paraId="15C764E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1D76915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68B1880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7DBC1F7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3510683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517B824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0A41349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028B15B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2CCCE24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4B126F2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6" w:type="pct"/>
            <w:noWrap/>
            <w:vAlign w:val="center"/>
          </w:tcPr>
          <w:p w14:paraId="1D3E169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r>
      <w:tr w14:paraId="147D62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6A47C55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芦李庄</w:t>
            </w:r>
          </w:p>
        </w:tc>
        <w:tc>
          <w:tcPr>
            <w:tcW w:w="381" w:type="pct"/>
            <w:noWrap/>
            <w:vAlign w:val="center"/>
          </w:tcPr>
          <w:p w14:paraId="5E6AFF8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49D91B0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28EFD97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14760A2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0F70AAA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704E8CE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1080260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1F409A1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0C6518C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1D73BC9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6" w:type="pct"/>
            <w:noWrap/>
            <w:vAlign w:val="center"/>
          </w:tcPr>
          <w:p w14:paraId="7C16DF3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r>
      <w:tr w14:paraId="37B0F1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29273AF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夏家湖</w:t>
            </w:r>
          </w:p>
        </w:tc>
        <w:tc>
          <w:tcPr>
            <w:tcW w:w="381" w:type="pct"/>
            <w:noWrap/>
            <w:vAlign w:val="center"/>
          </w:tcPr>
          <w:p w14:paraId="610D7F4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5DD7A79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3544666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1C19598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138B8CC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6BA4326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152EE5F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433956C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09C3CC0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3777861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6" w:type="pct"/>
            <w:noWrap/>
            <w:vAlign w:val="center"/>
          </w:tcPr>
          <w:p w14:paraId="7F6097E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r>
      <w:tr w14:paraId="2A1A55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1A319C0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郭台子</w:t>
            </w:r>
          </w:p>
        </w:tc>
        <w:tc>
          <w:tcPr>
            <w:tcW w:w="381" w:type="pct"/>
            <w:noWrap/>
            <w:vAlign w:val="center"/>
          </w:tcPr>
          <w:p w14:paraId="7C3C894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396B012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5917C3A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7FB8D37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7096B16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6021EAB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1036E81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2571AFB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156FBE2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7ADEA57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6" w:type="pct"/>
            <w:noWrap/>
            <w:vAlign w:val="center"/>
          </w:tcPr>
          <w:p w14:paraId="4A7FF65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r>
      <w:tr w14:paraId="55B0ED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4F4FE16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胡圩</w:t>
            </w:r>
          </w:p>
        </w:tc>
        <w:tc>
          <w:tcPr>
            <w:tcW w:w="381" w:type="pct"/>
            <w:noWrap/>
            <w:vAlign w:val="center"/>
          </w:tcPr>
          <w:p w14:paraId="4687F41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68AB892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17BA11A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58444E7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4F8335C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77B2C12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1FA8AEF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254C08D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70FB661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778929B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6" w:type="pct"/>
            <w:noWrap/>
            <w:vAlign w:val="center"/>
          </w:tcPr>
          <w:p w14:paraId="64135BA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r>
      <w:tr w14:paraId="310352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7F8929F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二铺</w:t>
            </w:r>
          </w:p>
        </w:tc>
        <w:tc>
          <w:tcPr>
            <w:tcW w:w="381" w:type="pct"/>
            <w:noWrap/>
            <w:vAlign w:val="center"/>
          </w:tcPr>
          <w:p w14:paraId="4C1D25B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153D47C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6AF79D1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3853837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76E6E73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1340D5F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395C316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20E1094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742CB03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71722C1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6" w:type="pct"/>
            <w:noWrap/>
            <w:vAlign w:val="center"/>
          </w:tcPr>
          <w:p w14:paraId="44133C7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r>
      <w:tr w14:paraId="25BB5C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6779799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小杨家</w:t>
            </w:r>
          </w:p>
        </w:tc>
        <w:tc>
          <w:tcPr>
            <w:tcW w:w="381" w:type="pct"/>
            <w:noWrap/>
            <w:vAlign w:val="center"/>
          </w:tcPr>
          <w:p w14:paraId="3A39737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491044A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10265DA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2AE3EF9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056A58F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5BE45DB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62EC08B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141799D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6875B7E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071C065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6" w:type="pct"/>
            <w:noWrap/>
            <w:vAlign w:val="center"/>
          </w:tcPr>
          <w:p w14:paraId="592CC62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r>
      <w:tr w14:paraId="23A2A1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1FCB19A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段庄村</w:t>
            </w:r>
          </w:p>
        </w:tc>
        <w:tc>
          <w:tcPr>
            <w:tcW w:w="381" w:type="pct"/>
            <w:noWrap/>
            <w:vAlign w:val="center"/>
          </w:tcPr>
          <w:p w14:paraId="4DA44BE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330098C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38F235E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3F09D0E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76A10C4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1B610D7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754F141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75C3234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5A2D421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154E655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6" w:type="pct"/>
            <w:noWrap/>
            <w:vAlign w:val="center"/>
          </w:tcPr>
          <w:p w14:paraId="7B91CE4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r>
      <w:tr w14:paraId="6F09EA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310D33A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大庄口村</w:t>
            </w:r>
          </w:p>
        </w:tc>
        <w:tc>
          <w:tcPr>
            <w:tcW w:w="381" w:type="pct"/>
            <w:noWrap/>
            <w:vAlign w:val="center"/>
          </w:tcPr>
          <w:p w14:paraId="6283696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666E94A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3B4A233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2635A63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7336260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7F5EC90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725287E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63338C1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4B9247F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45DFA10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6" w:type="pct"/>
            <w:noWrap/>
            <w:vAlign w:val="center"/>
          </w:tcPr>
          <w:p w14:paraId="2F3067C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r>
      <w:tr w14:paraId="296C19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6A77F1F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石家</w:t>
            </w:r>
          </w:p>
        </w:tc>
        <w:tc>
          <w:tcPr>
            <w:tcW w:w="381" w:type="pct"/>
            <w:noWrap/>
            <w:vAlign w:val="center"/>
          </w:tcPr>
          <w:p w14:paraId="168AB3B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621CB67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0291B8C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2B6B265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48AB260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68DF01D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4E571F8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7F623AC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7675432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0B9EE46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6" w:type="pct"/>
            <w:noWrap/>
            <w:vAlign w:val="center"/>
          </w:tcPr>
          <w:p w14:paraId="69ACE8C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r>
      <w:tr w14:paraId="5AA441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330EB43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地理所</w:t>
            </w:r>
          </w:p>
        </w:tc>
        <w:tc>
          <w:tcPr>
            <w:tcW w:w="381" w:type="pct"/>
            <w:noWrap/>
            <w:vAlign w:val="center"/>
          </w:tcPr>
          <w:p w14:paraId="56250FF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66E1D94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0159909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640D179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654E1BA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00878BE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6B0F7D5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4C47D9E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7B7E745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3D42F5A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6" w:type="pct"/>
            <w:noWrap/>
            <w:vAlign w:val="center"/>
          </w:tcPr>
          <w:p w14:paraId="4CD6771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r>
      <w:tr w14:paraId="681C46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6A73393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店子</w:t>
            </w:r>
          </w:p>
        </w:tc>
        <w:tc>
          <w:tcPr>
            <w:tcW w:w="381" w:type="pct"/>
            <w:noWrap/>
            <w:vAlign w:val="center"/>
          </w:tcPr>
          <w:p w14:paraId="6166533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2D9317D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7F07133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1.25E-33</w:t>
            </w:r>
          </w:p>
        </w:tc>
        <w:tc>
          <w:tcPr>
            <w:tcW w:w="385" w:type="pct"/>
            <w:noWrap/>
            <w:vAlign w:val="center"/>
          </w:tcPr>
          <w:p w14:paraId="4D78D29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1.25E-33</w:t>
            </w:r>
          </w:p>
        </w:tc>
        <w:tc>
          <w:tcPr>
            <w:tcW w:w="385" w:type="pct"/>
            <w:noWrap/>
            <w:vAlign w:val="center"/>
          </w:tcPr>
          <w:p w14:paraId="2F349C5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1.25E-33</w:t>
            </w:r>
          </w:p>
        </w:tc>
        <w:tc>
          <w:tcPr>
            <w:tcW w:w="385" w:type="pct"/>
            <w:noWrap/>
            <w:vAlign w:val="center"/>
          </w:tcPr>
          <w:p w14:paraId="105E7E2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1.25E-33</w:t>
            </w:r>
          </w:p>
        </w:tc>
        <w:tc>
          <w:tcPr>
            <w:tcW w:w="385" w:type="pct"/>
            <w:noWrap/>
            <w:vAlign w:val="center"/>
          </w:tcPr>
          <w:p w14:paraId="1419D7F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3E7ECAA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2130B9F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655BF28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6" w:type="pct"/>
            <w:noWrap/>
            <w:vAlign w:val="center"/>
          </w:tcPr>
          <w:p w14:paraId="13741A2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r>
      <w:tr w14:paraId="7F8979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1FD1168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于家村</w:t>
            </w:r>
          </w:p>
        </w:tc>
        <w:tc>
          <w:tcPr>
            <w:tcW w:w="381" w:type="pct"/>
            <w:noWrap/>
            <w:vAlign w:val="center"/>
          </w:tcPr>
          <w:p w14:paraId="3359CFD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17868D8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1FF0062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5629C48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1B65B3F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6.49E-14</w:t>
            </w:r>
          </w:p>
        </w:tc>
        <w:tc>
          <w:tcPr>
            <w:tcW w:w="385" w:type="pct"/>
            <w:noWrap/>
            <w:vAlign w:val="center"/>
          </w:tcPr>
          <w:p w14:paraId="27B57EF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6.49E-14</w:t>
            </w:r>
          </w:p>
        </w:tc>
        <w:tc>
          <w:tcPr>
            <w:tcW w:w="385" w:type="pct"/>
            <w:noWrap/>
            <w:vAlign w:val="center"/>
          </w:tcPr>
          <w:p w14:paraId="78D4B61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6.16E-14</w:t>
            </w:r>
          </w:p>
        </w:tc>
        <w:tc>
          <w:tcPr>
            <w:tcW w:w="385" w:type="pct"/>
            <w:noWrap/>
            <w:vAlign w:val="center"/>
          </w:tcPr>
          <w:p w14:paraId="1359E9C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5.82E-14</w:t>
            </w:r>
          </w:p>
        </w:tc>
        <w:tc>
          <w:tcPr>
            <w:tcW w:w="387" w:type="pct"/>
            <w:vAlign w:val="center"/>
          </w:tcPr>
          <w:p w14:paraId="7B69EF9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2.75E-14</w:t>
            </w:r>
          </w:p>
        </w:tc>
        <w:tc>
          <w:tcPr>
            <w:tcW w:w="387" w:type="pct"/>
            <w:vAlign w:val="center"/>
          </w:tcPr>
          <w:p w14:paraId="2A18BF6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5.30E-16</w:t>
            </w:r>
          </w:p>
        </w:tc>
        <w:tc>
          <w:tcPr>
            <w:tcW w:w="386" w:type="pct"/>
            <w:noWrap/>
            <w:vAlign w:val="center"/>
          </w:tcPr>
          <w:p w14:paraId="1273CCE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r>
      <w:tr w14:paraId="4A73EE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57FDDF0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于家小学</w:t>
            </w:r>
          </w:p>
        </w:tc>
        <w:tc>
          <w:tcPr>
            <w:tcW w:w="381" w:type="pct"/>
            <w:noWrap/>
            <w:vAlign w:val="center"/>
          </w:tcPr>
          <w:p w14:paraId="4161C15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5E442B5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783F433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2E020E3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6.15E-17</w:t>
            </w:r>
          </w:p>
        </w:tc>
        <w:tc>
          <w:tcPr>
            <w:tcW w:w="385" w:type="pct"/>
            <w:noWrap/>
            <w:vAlign w:val="center"/>
          </w:tcPr>
          <w:p w14:paraId="1FE906D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6.15E-17</w:t>
            </w:r>
          </w:p>
        </w:tc>
        <w:tc>
          <w:tcPr>
            <w:tcW w:w="385" w:type="pct"/>
            <w:noWrap/>
            <w:vAlign w:val="center"/>
          </w:tcPr>
          <w:p w14:paraId="49B72C6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6.15E-17</w:t>
            </w:r>
          </w:p>
        </w:tc>
        <w:tc>
          <w:tcPr>
            <w:tcW w:w="385" w:type="pct"/>
            <w:noWrap/>
            <w:vAlign w:val="center"/>
          </w:tcPr>
          <w:p w14:paraId="1330741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6.06E-17</w:t>
            </w:r>
          </w:p>
        </w:tc>
        <w:tc>
          <w:tcPr>
            <w:tcW w:w="385" w:type="pct"/>
            <w:noWrap/>
            <w:vAlign w:val="center"/>
          </w:tcPr>
          <w:p w14:paraId="44E37BE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5.04E-17</w:t>
            </w:r>
          </w:p>
        </w:tc>
        <w:tc>
          <w:tcPr>
            <w:tcW w:w="387" w:type="pct"/>
            <w:vAlign w:val="center"/>
          </w:tcPr>
          <w:p w14:paraId="661591C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1.49E-17</w:t>
            </w:r>
          </w:p>
        </w:tc>
        <w:tc>
          <w:tcPr>
            <w:tcW w:w="387" w:type="pct"/>
            <w:vAlign w:val="center"/>
          </w:tcPr>
          <w:p w14:paraId="6485797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5.09E-20</w:t>
            </w:r>
          </w:p>
        </w:tc>
        <w:tc>
          <w:tcPr>
            <w:tcW w:w="386" w:type="pct"/>
            <w:noWrap/>
            <w:vAlign w:val="center"/>
          </w:tcPr>
          <w:p w14:paraId="6F91E10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r>
      <w:tr w14:paraId="57E1F6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5CA25C0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陈巷</w:t>
            </w:r>
          </w:p>
        </w:tc>
        <w:tc>
          <w:tcPr>
            <w:tcW w:w="381" w:type="pct"/>
            <w:noWrap/>
            <w:vAlign w:val="center"/>
          </w:tcPr>
          <w:p w14:paraId="5BB0850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1DEB4DC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6712CF8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57AFABB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095C084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2AB6D32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8.42E-11</w:t>
            </w:r>
          </w:p>
        </w:tc>
        <w:tc>
          <w:tcPr>
            <w:tcW w:w="385" w:type="pct"/>
            <w:noWrap/>
            <w:vAlign w:val="center"/>
          </w:tcPr>
          <w:p w14:paraId="42D04C7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6.55E-11</w:t>
            </w:r>
          </w:p>
        </w:tc>
        <w:tc>
          <w:tcPr>
            <w:tcW w:w="385" w:type="pct"/>
            <w:noWrap/>
            <w:vAlign w:val="center"/>
          </w:tcPr>
          <w:p w14:paraId="4C11AF3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7.91E-11</w:t>
            </w:r>
          </w:p>
        </w:tc>
        <w:tc>
          <w:tcPr>
            <w:tcW w:w="387" w:type="pct"/>
            <w:vAlign w:val="center"/>
          </w:tcPr>
          <w:p w14:paraId="5D7BD03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5.80E-11</w:t>
            </w:r>
          </w:p>
        </w:tc>
        <w:tc>
          <w:tcPr>
            <w:tcW w:w="387" w:type="pct"/>
            <w:vAlign w:val="center"/>
          </w:tcPr>
          <w:p w14:paraId="71EF6B6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6.87E-12</w:t>
            </w:r>
          </w:p>
        </w:tc>
        <w:tc>
          <w:tcPr>
            <w:tcW w:w="386" w:type="pct"/>
            <w:noWrap/>
            <w:vAlign w:val="center"/>
          </w:tcPr>
          <w:p w14:paraId="08F91D3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3.97E-14</w:t>
            </w:r>
          </w:p>
        </w:tc>
      </w:tr>
      <w:tr w14:paraId="06C85F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12C90F4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小朱家</w:t>
            </w:r>
          </w:p>
        </w:tc>
        <w:tc>
          <w:tcPr>
            <w:tcW w:w="381" w:type="pct"/>
            <w:noWrap/>
            <w:vAlign w:val="center"/>
          </w:tcPr>
          <w:p w14:paraId="465BBBB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483DE3D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095A0F4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5F084F9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5CE2FE7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0B482F0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1.84E-10</w:t>
            </w:r>
          </w:p>
        </w:tc>
        <w:tc>
          <w:tcPr>
            <w:tcW w:w="385" w:type="pct"/>
            <w:noWrap/>
            <w:vAlign w:val="center"/>
          </w:tcPr>
          <w:p w14:paraId="6B413B0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1.36E-10</w:t>
            </w:r>
          </w:p>
        </w:tc>
        <w:tc>
          <w:tcPr>
            <w:tcW w:w="385" w:type="pct"/>
            <w:noWrap/>
            <w:vAlign w:val="center"/>
          </w:tcPr>
          <w:p w14:paraId="408204F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1.72E-10</w:t>
            </w:r>
          </w:p>
        </w:tc>
        <w:tc>
          <w:tcPr>
            <w:tcW w:w="387" w:type="pct"/>
            <w:vAlign w:val="center"/>
          </w:tcPr>
          <w:p w14:paraId="57060D3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1.32E-10</w:t>
            </w:r>
          </w:p>
        </w:tc>
        <w:tc>
          <w:tcPr>
            <w:tcW w:w="387" w:type="pct"/>
            <w:vAlign w:val="center"/>
          </w:tcPr>
          <w:p w14:paraId="1E34DBE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1.93E-11</w:t>
            </w:r>
          </w:p>
        </w:tc>
        <w:tc>
          <w:tcPr>
            <w:tcW w:w="386" w:type="pct"/>
            <w:noWrap/>
            <w:vAlign w:val="center"/>
          </w:tcPr>
          <w:p w14:paraId="6CE420B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1.68E-13</w:t>
            </w:r>
          </w:p>
        </w:tc>
      </w:tr>
      <w:tr w14:paraId="0D4892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4FF838D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汤陈村</w:t>
            </w:r>
          </w:p>
        </w:tc>
        <w:tc>
          <w:tcPr>
            <w:tcW w:w="381" w:type="pct"/>
            <w:noWrap/>
            <w:vAlign w:val="center"/>
          </w:tcPr>
          <w:p w14:paraId="00AA1EE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1970224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7DDF53D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7BA0028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448D1BA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746ABB3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3D9C4BB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1.12E-08</w:t>
            </w:r>
          </w:p>
        </w:tc>
        <w:tc>
          <w:tcPr>
            <w:tcW w:w="385" w:type="pct"/>
            <w:noWrap/>
            <w:vAlign w:val="center"/>
          </w:tcPr>
          <w:p w14:paraId="3011DB0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2.40E-08</w:t>
            </w:r>
          </w:p>
        </w:tc>
        <w:tc>
          <w:tcPr>
            <w:tcW w:w="387" w:type="pct"/>
            <w:vAlign w:val="center"/>
          </w:tcPr>
          <w:p w14:paraId="380CD88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2.96E-08</w:t>
            </w:r>
          </w:p>
        </w:tc>
        <w:tc>
          <w:tcPr>
            <w:tcW w:w="387" w:type="pct"/>
            <w:vAlign w:val="center"/>
          </w:tcPr>
          <w:p w14:paraId="5FDAF72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1.65E-08</w:t>
            </w:r>
          </w:p>
        </w:tc>
        <w:tc>
          <w:tcPr>
            <w:tcW w:w="386" w:type="pct"/>
            <w:noWrap/>
            <w:vAlign w:val="center"/>
          </w:tcPr>
          <w:p w14:paraId="6E494E2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2.19E-09</w:t>
            </w:r>
          </w:p>
        </w:tc>
      </w:tr>
      <w:tr w14:paraId="25EA84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343396F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沫河口镇</w:t>
            </w:r>
          </w:p>
        </w:tc>
        <w:tc>
          <w:tcPr>
            <w:tcW w:w="381" w:type="pct"/>
            <w:noWrap/>
            <w:vAlign w:val="center"/>
          </w:tcPr>
          <w:p w14:paraId="3A333DD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5AD7950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1B7E05E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4CB5B4F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71EBD16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7ECD314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20E99C4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5.98E-08</w:t>
            </w:r>
          </w:p>
        </w:tc>
        <w:tc>
          <w:tcPr>
            <w:tcW w:w="385" w:type="pct"/>
            <w:noWrap/>
            <w:vAlign w:val="center"/>
          </w:tcPr>
          <w:p w14:paraId="3D1C73D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1.83E-07</w:t>
            </w:r>
          </w:p>
        </w:tc>
        <w:tc>
          <w:tcPr>
            <w:tcW w:w="387" w:type="pct"/>
            <w:vAlign w:val="center"/>
          </w:tcPr>
          <w:p w14:paraId="0795774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3.42E-07</w:t>
            </w:r>
          </w:p>
        </w:tc>
        <w:tc>
          <w:tcPr>
            <w:tcW w:w="387" w:type="pct"/>
            <w:vAlign w:val="center"/>
          </w:tcPr>
          <w:p w14:paraId="0C0D5C5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3.91E-07</w:t>
            </w:r>
          </w:p>
        </w:tc>
        <w:tc>
          <w:tcPr>
            <w:tcW w:w="386" w:type="pct"/>
            <w:noWrap/>
            <w:vAlign w:val="center"/>
          </w:tcPr>
          <w:p w14:paraId="779B8FD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1.74E-07</w:t>
            </w:r>
          </w:p>
        </w:tc>
      </w:tr>
      <w:tr w14:paraId="09C566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30F46D0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三铺村</w:t>
            </w:r>
          </w:p>
        </w:tc>
        <w:tc>
          <w:tcPr>
            <w:tcW w:w="381" w:type="pct"/>
            <w:noWrap/>
            <w:vAlign w:val="center"/>
          </w:tcPr>
          <w:p w14:paraId="2C07A23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3BE7482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32C741F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1.65E-05</w:t>
            </w:r>
          </w:p>
        </w:tc>
        <w:tc>
          <w:tcPr>
            <w:tcW w:w="385" w:type="pct"/>
            <w:noWrap/>
            <w:vAlign w:val="center"/>
          </w:tcPr>
          <w:p w14:paraId="213AF6C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1.65E-05</w:t>
            </w:r>
          </w:p>
        </w:tc>
        <w:tc>
          <w:tcPr>
            <w:tcW w:w="385" w:type="pct"/>
            <w:noWrap/>
            <w:vAlign w:val="center"/>
          </w:tcPr>
          <w:p w14:paraId="6E1AEE4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1.65E-05</w:t>
            </w:r>
          </w:p>
        </w:tc>
        <w:tc>
          <w:tcPr>
            <w:tcW w:w="385" w:type="pct"/>
            <w:noWrap/>
            <w:vAlign w:val="center"/>
          </w:tcPr>
          <w:p w14:paraId="1A34623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1.65E-05</w:t>
            </w:r>
          </w:p>
        </w:tc>
        <w:tc>
          <w:tcPr>
            <w:tcW w:w="385" w:type="pct"/>
            <w:noWrap/>
            <w:vAlign w:val="center"/>
          </w:tcPr>
          <w:p w14:paraId="66A920B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1.60E-05</w:t>
            </w:r>
          </w:p>
        </w:tc>
        <w:tc>
          <w:tcPr>
            <w:tcW w:w="385" w:type="pct"/>
            <w:noWrap/>
            <w:vAlign w:val="center"/>
          </w:tcPr>
          <w:p w14:paraId="0158D79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7.33E-06</w:t>
            </w:r>
          </w:p>
        </w:tc>
        <w:tc>
          <w:tcPr>
            <w:tcW w:w="387" w:type="pct"/>
            <w:vAlign w:val="center"/>
          </w:tcPr>
          <w:p w14:paraId="485262F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2.09E-07</w:t>
            </w:r>
          </w:p>
        </w:tc>
        <w:tc>
          <w:tcPr>
            <w:tcW w:w="387" w:type="pct"/>
            <w:vAlign w:val="center"/>
          </w:tcPr>
          <w:p w14:paraId="1BAA70C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6" w:type="pct"/>
            <w:noWrap/>
            <w:vAlign w:val="center"/>
          </w:tcPr>
          <w:p w14:paraId="74B61EB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r>
      <w:tr w14:paraId="384BCE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74ED33B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李洼</w:t>
            </w:r>
          </w:p>
        </w:tc>
        <w:tc>
          <w:tcPr>
            <w:tcW w:w="381" w:type="pct"/>
            <w:noWrap/>
            <w:vAlign w:val="center"/>
          </w:tcPr>
          <w:p w14:paraId="4AE516B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51A56FC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52BE047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5EBDA3D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2C4356C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2E6605A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1AF402A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1.54E-06</w:t>
            </w:r>
          </w:p>
        </w:tc>
        <w:tc>
          <w:tcPr>
            <w:tcW w:w="385" w:type="pct"/>
            <w:noWrap/>
            <w:vAlign w:val="center"/>
          </w:tcPr>
          <w:p w14:paraId="1E16ADD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2.56E-06</w:t>
            </w:r>
          </w:p>
        </w:tc>
        <w:tc>
          <w:tcPr>
            <w:tcW w:w="387" w:type="pct"/>
            <w:vAlign w:val="center"/>
          </w:tcPr>
          <w:p w14:paraId="6717DD8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2.52E-06</w:t>
            </w:r>
          </w:p>
        </w:tc>
        <w:tc>
          <w:tcPr>
            <w:tcW w:w="387" w:type="pct"/>
            <w:vAlign w:val="center"/>
          </w:tcPr>
          <w:p w14:paraId="199A8EB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8.31E-07</w:t>
            </w:r>
          </w:p>
        </w:tc>
        <w:tc>
          <w:tcPr>
            <w:tcW w:w="386" w:type="pct"/>
            <w:noWrap/>
            <w:vAlign w:val="center"/>
          </w:tcPr>
          <w:p w14:paraId="5962A47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3.84E-08</w:t>
            </w:r>
          </w:p>
        </w:tc>
      </w:tr>
      <w:tr w14:paraId="28F0B5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4F2BE53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小石家</w:t>
            </w:r>
          </w:p>
        </w:tc>
        <w:tc>
          <w:tcPr>
            <w:tcW w:w="381" w:type="pct"/>
            <w:noWrap/>
            <w:vAlign w:val="center"/>
          </w:tcPr>
          <w:p w14:paraId="620566C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04453E3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6F71380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657F08C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5581C3B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6E3F21F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0708028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6.85E-07</w:t>
            </w:r>
          </w:p>
        </w:tc>
        <w:tc>
          <w:tcPr>
            <w:tcW w:w="385" w:type="pct"/>
            <w:noWrap/>
            <w:vAlign w:val="center"/>
          </w:tcPr>
          <w:p w14:paraId="595625F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1.55E-06</w:t>
            </w:r>
          </w:p>
        </w:tc>
        <w:tc>
          <w:tcPr>
            <w:tcW w:w="387" w:type="pct"/>
            <w:vAlign w:val="center"/>
          </w:tcPr>
          <w:p w14:paraId="58FAAF7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2.02E-06</w:t>
            </w:r>
          </w:p>
        </w:tc>
        <w:tc>
          <w:tcPr>
            <w:tcW w:w="387" w:type="pct"/>
            <w:vAlign w:val="center"/>
          </w:tcPr>
          <w:p w14:paraId="242B7B4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1.26E-06</w:t>
            </w:r>
          </w:p>
        </w:tc>
        <w:tc>
          <w:tcPr>
            <w:tcW w:w="386" w:type="pct"/>
            <w:noWrap/>
            <w:vAlign w:val="center"/>
          </w:tcPr>
          <w:p w14:paraId="3324E1A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2.05E-07</w:t>
            </w:r>
          </w:p>
        </w:tc>
      </w:tr>
      <w:tr w14:paraId="6BD990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3582258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团结村</w:t>
            </w:r>
          </w:p>
        </w:tc>
        <w:tc>
          <w:tcPr>
            <w:tcW w:w="381" w:type="pct"/>
            <w:noWrap/>
            <w:vAlign w:val="center"/>
          </w:tcPr>
          <w:p w14:paraId="5CE60FC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00F8CC9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63CDA1A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62BEA97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4777B82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56DFC6E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61DE112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6.25E-07</w:t>
            </w:r>
          </w:p>
        </w:tc>
        <w:tc>
          <w:tcPr>
            <w:tcW w:w="385" w:type="pct"/>
            <w:noWrap/>
            <w:vAlign w:val="center"/>
          </w:tcPr>
          <w:p w14:paraId="1F45472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1.47E-06</w:t>
            </w:r>
          </w:p>
        </w:tc>
        <w:tc>
          <w:tcPr>
            <w:tcW w:w="387" w:type="pct"/>
            <w:vAlign w:val="center"/>
          </w:tcPr>
          <w:p w14:paraId="3FC7ADA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1.99E-06</w:t>
            </w:r>
          </w:p>
        </w:tc>
        <w:tc>
          <w:tcPr>
            <w:tcW w:w="387" w:type="pct"/>
            <w:vAlign w:val="center"/>
          </w:tcPr>
          <w:p w14:paraId="6A5D137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1.32E-06</w:t>
            </w:r>
          </w:p>
        </w:tc>
        <w:tc>
          <w:tcPr>
            <w:tcW w:w="386" w:type="pct"/>
            <w:noWrap/>
            <w:vAlign w:val="center"/>
          </w:tcPr>
          <w:p w14:paraId="0FC0A07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2.46E-07</w:t>
            </w:r>
          </w:p>
        </w:tc>
      </w:tr>
      <w:tr w14:paraId="4A9A4F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147F29D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小王家</w:t>
            </w:r>
          </w:p>
        </w:tc>
        <w:tc>
          <w:tcPr>
            <w:tcW w:w="381" w:type="pct"/>
            <w:noWrap/>
            <w:vAlign w:val="center"/>
          </w:tcPr>
          <w:p w14:paraId="6D73C62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0D8501B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429E6FD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5334653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1C1BC2F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7013BC0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4022004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2.61E-07</w:t>
            </w:r>
          </w:p>
        </w:tc>
        <w:tc>
          <w:tcPr>
            <w:tcW w:w="385" w:type="pct"/>
            <w:noWrap/>
            <w:vAlign w:val="center"/>
          </w:tcPr>
          <w:p w14:paraId="7371C7F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6.86E-07</w:t>
            </w:r>
          </w:p>
        </w:tc>
        <w:tc>
          <w:tcPr>
            <w:tcW w:w="387" w:type="pct"/>
            <w:vAlign w:val="center"/>
          </w:tcPr>
          <w:p w14:paraId="6F11013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1.06E-06</w:t>
            </w:r>
          </w:p>
        </w:tc>
        <w:tc>
          <w:tcPr>
            <w:tcW w:w="387" w:type="pct"/>
            <w:vAlign w:val="center"/>
          </w:tcPr>
          <w:p w14:paraId="7A691EC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8.73E-07</w:t>
            </w:r>
          </w:p>
        </w:tc>
        <w:tc>
          <w:tcPr>
            <w:tcW w:w="386" w:type="pct"/>
            <w:noWrap/>
            <w:vAlign w:val="center"/>
          </w:tcPr>
          <w:p w14:paraId="2DCDC8B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2.36E-07</w:t>
            </w:r>
          </w:p>
        </w:tc>
      </w:tr>
      <w:tr w14:paraId="24B344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1CF1695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曹吴村</w:t>
            </w:r>
          </w:p>
        </w:tc>
        <w:tc>
          <w:tcPr>
            <w:tcW w:w="381" w:type="pct"/>
            <w:noWrap/>
            <w:vAlign w:val="center"/>
          </w:tcPr>
          <w:p w14:paraId="7462EF1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127C3AC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42E8895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6DE9914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3477B70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6FB6283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3A32A70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1.75E-07</w:t>
            </w:r>
          </w:p>
        </w:tc>
        <w:tc>
          <w:tcPr>
            <w:tcW w:w="385" w:type="pct"/>
            <w:noWrap/>
            <w:vAlign w:val="center"/>
          </w:tcPr>
          <w:p w14:paraId="443F26A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3.55E-07</w:t>
            </w:r>
          </w:p>
        </w:tc>
        <w:tc>
          <w:tcPr>
            <w:tcW w:w="387" w:type="pct"/>
            <w:vAlign w:val="center"/>
          </w:tcPr>
          <w:p w14:paraId="45BA2CA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4.17E-07</w:t>
            </w:r>
          </w:p>
        </w:tc>
        <w:tc>
          <w:tcPr>
            <w:tcW w:w="387" w:type="pct"/>
            <w:vAlign w:val="center"/>
          </w:tcPr>
          <w:p w14:paraId="1250030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2.10E-07</w:t>
            </w:r>
          </w:p>
        </w:tc>
        <w:tc>
          <w:tcPr>
            <w:tcW w:w="386" w:type="pct"/>
            <w:noWrap/>
            <w:vAlign w:val="center"/>
          </w:tcPr>
          <w:p w14:paraId="2290B66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2.30E-08</w:t>
            </w:r>
          </w:p>
        </w:tc>
      </w:tr>
      <w:tr w14:paraId="5248C6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0C61225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邓庙</w:t>
            </w:r>
          </w:p>
        </w:tc>
        <w:tc>
          <w:tcPr>
            <w:tcW w:w="381" w:type="pct"/>
            <w:noWrap/>
            <w:vAlign w:val="center"/>
          </w:tcPr>
          <w:p w14:paraId="05700E8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36E8E74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1FFD005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4802948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2609864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5.28E-08</w:t>
            </w:r>
          </w:p>
        </w:tc>
        <w:tc>
          <w:tcPr>
            <w:tcW w:w="385" w:type="pct"/>
            <w:noWrap/>
            <w:vAlign w:val="center"/>
          </w:tcPr>
          <w:p w14:paraId="5670BC8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5.28E-08</w:t>
            </w:r>
          </w:p>
        </w:tc>
        <w:tc>
          <w:tcPr>
            <w:tcW w:w="385" w:type="pct"/>
            <w:noWrap/>
            <w:vAlign w:val="center"/>
          </w:tcPr>
          <w:p w14:paraId="3DFCD75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4.87E-08</w:t>
            </w:r>
          </w:p>
        </w:tc>
        <w:tc>
          <w:tcPr>
            <w:tcW w:w="385" w:type="pct"/>
            <w:noWrap/>
            <w:vAlign w:val="center"/>
          </w:tcPr>
          <w:p w14:paraId="27DCFD3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4.84E-08</w:t>
            </w:r>
          </w:p>
        </w:tc>
        <w:tc>
          <w:tcPr>
            <w:tcW w:w="387" w:type="pct"/>
            <w:vAlign w:val="center"/>
          </w:tcPr>
          <w:p w14:paraId="63EB090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2.63E-08</w:t>
            </w:r>
          </w:p>
        </w:tc>
        <w:tc>
          <w:tcPr>
            <w:tcW w:w="387" w:type="pct"/>
            <w:vAlign w:val="center"/>
          </w:tcPr>
          <w:p w14:paraId="4AC77BB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8.79E-10</w:t>
            </w:r>
          </w:p>
        </w:tc>
        <w:tc>
          <w:tcPr>
            <w:tcW w:w="386" w:type="pct"/>
            <w:noWrap/>
            <w:vAlign w:val="center"/>
          </w:tcPr>
          <w:p w14:paraId="61E2BBB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r>
      <w:tr w14:paraId="7FCAF2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4CE102B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李圩子</w:t>
            </w:r>
          </w:p>
        </w:tc>
        <w:tc>
          <w:tcPr>
            <w:tcW w:w="381" w:type="pct"/>
            <w:noWrap/>
            <w:vAlign w:val="center"/>
          </w:tcPr>
          <w:p w14:paraId="6F32AF2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06754DB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5D345A3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3C77162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3F98B16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5FDA85D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8.75E-09</w:t>
            </w:r>
          </w:p>
        </w:tc>
        <w:tc>
          <w:tcPr>
            <w:tcW w:w="385" w:type="pct"/>
            <w:noWrap/>
            <w:vAlign w:val="center"/>
          </w:tcPr>
          <w:p w14:paraId="5D4DAFF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6.56E-09</w:t>
            </w:r>
          </w:p>
        </w:tc>
        <w:tc>
          <w:tcPr>
            <w:tcW w:w="385" w:type="pct"/>
            <w:noWrap/>
            <w:vAlign w:val="center"/>
          </w:tcPr>
          <w:p w14:paraId="0864AAA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8.20E-09</w:t>
            </w:r>
          </w:p>
        </w:tc>
        <w:tc>
          <w:tcPr>
            <w:tcW w:w="387" w:type="pct"/>
            <w:vAlign w:val="center"/>
          </w:tcPr>
          <w:p w14:paraId="18F31E7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6.24E-09</w:t>
            </w:r>
          </w:p>
        </w:tc>
        <w:tc>
          <w:tcPr>
            <w:tcW w:w="387" w:type="pct"/>
            <w:vAlign w:val="center"/>
          </w:tcPr>
          <w:p w14:paraId="41E54AC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8.65E-10</w:t>
            </w:r>
          </w:p>
        </w:tc>
        <w:tc>
          <w:tcPr>
            <w:tcW w:w="386" w:type="pct"/>
            <w:noWrap/>
            <w:vAlign w:val="center"/>
          </w:tcPr>
          <w:p w14:paraId="14724B9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6.82E-12</w:t>
            </w:r>
          </w:p>
        </w:tc>
      </w:tr>
      <w:tr w14:paraId="443C45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27D3F0A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小董家</w:t>
            </w:r>
          </w:p>
        </w:tc>
        <w:tc>
          <w:tcPr>
            <w:tcW w:w="381" w:type="pct"/>
            <w:noWrap/>
            <w:vAlign w:val="center"/>
          </w:tcPr>
          <w:p w14:paraId="08C45E4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7061D6A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7474D77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417A50B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0C7637C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2E47480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7FA21F5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2.97E-09</w:t>
            </w:r>
          </w:p>
        </w:tc>
        <w:tc>
          <w:tcPr>
            <w:tcW w:w="385" w:type="pct"/>
            <w:noWrap/>
            <w:vAlign w:val="center"/>
          </w:tcPr>
          <w:p w14:paraId="0999F3D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5.47E-09</w:t>
            </w:r>
          </w:p>
        </w:tc>
        <w:tc>
          <w:tcPr>
            <w:tcW w:w="387" w:type="pct"/>
            <w:vAlign w:val="center"/>
          </w:tcPr>
          <w:p w14:paraId="722BB29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5.88E-09</w:t>
            </w:r>
          </w:p>
        </w:tc>
        <w:tc>
          <w:tcPr>
            <w:tcW w:w="387" w:type="pct"/>
            <w:vAlign w:val="center"/>
          </w:tcPr>
          <w:p w14:paraId="116FACB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2.44E-09</w:t>
            </w:r>
          </w:p>
        </w:tc>
        <w:tc>
          <w:tcPr>
            <w:tcW w:w="386" w:type="pct"/>
            <w:noWrap/>
            <w:vAlign w:val="center"/>
          </w:tcPr>
          <w:p w14:paraId="0440C7C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1.81E-10</w:t>
            </w:r>
          </w:p>
        </w:tc>
      </w:tr>
      <w:tr w14:paraId="50829B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575376E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任桥</w:t>
            </w:r>
          </w:p>
        </w:tc>
        <w:tc>
          <w:tcPr>
            <w:tcW w:w="381" w:type="pct"/>
            <w:noWrap/>
            <w:vAlign w:val="center"/>
          </w:tcPr>
          <w:p w14:paraId="3804712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1D75AFB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46E31BC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11AD9DC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4C899D4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4.11E-11</w:t>
            </w:r>
          </w:p>
        </w:tc>
        <w:tc>
          <w:tcPr>
            <w:tcW w:w="385" w:type="pct"/>
            <w:noWrap/>
            <w:vAlign w:val="center"/>
          </w:tcPr>
          <w:p w14:paraId="56636E0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4.11E-11</w:t>
            </w:r>
          </w:p>
        </w:tc>
        <w:tc>
          <w:tcPr>
            <w:tcW w:w="385" w:type="pct"/>
            <w:noWrap/>
            <w:vAlign w:val="center"/>
          </w:tcPr>
          <w:p w14:paraId="3F81F0F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3.79E-11</w:t>
            </w:r>
          </w:p>
        </w:tc>
        <w:tc>
          <w:tcPr>
            <w:tcW w:w="385" w:type="pct"/>
            <w:noWrap/>
            <w:vAlign w:val="center"/>
          </w:tcPr>
          <w:p w14:paraId="77052FE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3.77E-11</w:t>
            </w:r>
          </w:p>
        </w:tc>
        <w:tc>
          <w:tcPr>
            <w:tcW w:w="387" w:type="pct"/>
            <w:vAlign w:val="center"/>
          </w:tcPr>
          <w:p w14:paraId="1D0CAA4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2.05E-11</w:t>
            </w:r>
          </w:p>
        </w:tc>
        <w:tc>
          <w:tcPr>
            <w:tcW w:w="387" w:type="pct"/>
            <w:vAlign w:val="center"/>
          </w:tcPr>
          <w:p w14:paraId="09EC75E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6.84E-13</w:t>
            </w:r>
          </w:p>
        </w:tc>
        <w:tc>
          <w:tcPr>
            <w:tcW w:w="386" w:type="pct"/>
            <w:noWrap/>
            <w:vAlign w:val="center"/>
          </w:tcPr>
          <w:p w14:paraId="4F74D7A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r>
      <w:tr w14:paraId="36A399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3D90A7E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邓郭</w:t>
            </w:r>
          </w:p>
        </w:tc>
        <w:tc>
          <w:tcPr>
            <w:tcW w:w="381" w:type="pct"/>
            <w:noWrap/>
            <w:vAlign w:val="center"/>
          </w:tcPr>
          <w:p w14:paraId="7186B29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577F45D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48A73F6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3.75E-22</w:t>
            </w:r>
          </w:p>
        </w:tc>
        <w:tc>
          <w:tcPr>
            <w:tcW w:w="385" w:type="pct"/>
            <w:noWrap/>
            <w:vAlign w:val="center"/>
          </w:tcPr>
          <w:p w14:paraId="5338BE7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3.75E-22</w:t>
            </w:r>
          </w:p>
        </w:tc>
        <w:tc>
          <w:tcPr>
            <w:tcW w:w="385" w:type="pct"/>
            <w:noWrap/>
            <w:vAlign w:val="center"/>
          </w:tcPr>
          <w:p w14:paraId="42EED55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3.75E-22</w:t>
            </w:r>
          </w:p>
        </w:tc>
        <w:tc>
          <w:tcPr>
            <w:tcW w:w="385" w:type="pct"/>
            <w:noWrap/>
            <w:vAlign w:val="center"/>
          </w:tcPr>
          <w:p w14:paraId="5F7B076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3.75E-22</w:t>
            </w:r>
          </w:p>
        </w:tc>
        <w:tc>
          <w:tcPr>
            <w:tcW w:w="385" w:type="pct"/>
            <w:noWrap/>
            <w:vAlign w:val="center"/>
          </w:tcPr>
          <w:p w14:paraId="0DD6E47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3.60E-22</w:t>
            </w:r>
          </w:p>
        </w:tc>
        <w:tc>
          <w:tcPr>
            <w:tcW w:w="385" w:type="pct"/>
            <w:noWrap/>
            <w:vAlign w:val="center"/>
          </w:tcPr>
          <w:p w14:paraId="0808577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1.11E-22</w:t>
            </w:r>
          </w:p>
        </w:tc>
        <w:tc>
          <w:tcPr>
            <w:tcW w:w="387" w:type="pct"/>
            <w:vAlign w:val="center"/>
          </w:tcPr>
          <w:p w14:paraId="43114C9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9.17E-25</w:t>
            </w:r>
          </w:p>
        </w:tc>
        <w:tc>
          <w:tcPr>
            <w:tcW w:w="387" w:type="pct"/>
            <w:vAlign w:val="center"/>
          </w:tcPr>
          <w:p w14:paraId="09B3680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6" w:type="pct"/>
            <w:noWrap/>
            <w:vAlign w:val="center"/>
          </w:tcPr>
          <w:p w14:paraId="42AB09C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r>
      <w:tr w14:paraId="5E60AA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3D44746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三铺中学</w:t>
            </w:r>
          </w:p>
        </w:tc>
        <w:tc>
          <w:tcPr>
            <w:tcW w:w="381" w:type="pct"/>
            <w:noWrap/>
            <w:vAlign w:val="center"/>
          </w:tcPr>
          <w:p w14:paraId="06336AE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7D9878E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9.84E-08</w:t>
            </w:r>
          </w:p>
        </w:tc>
        <w:tc>
          <w:tcPr>
            <w:tcW w:w="385" w:type="pct"/>
            <w:noWrap/>
            <w:vAlign w:val="center"/>
          </w:tcPr>
          <w:p w14:paraId="5D62379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9.84E-08</w:t>
            </w:r>
          </w:p>
        </w:tc>
        <w:tc>
          <w:tcPr>
            <w:tcW w:w="385" w:type="pct"/>
            <w:noWrap/>
            <w:vAlign w:val="center"/>
          </w:tcPr>
          <w:p w14:paraId="1BFB6C6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9.84E-08</w:t>
            </w:r>
          </w:p>
        </w:tc>
        <w:tc>
          <w:tcPr>
            <w:tcW w:w="385" w:type="pct"/>
            <w:noWrap/>
            <w:vAlign w:val="center"/>
          </w:tcPr>
          <w:p w14:paraId="177A8F6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9.84E-08</w:t>
            </w:r>
          </w:p>
        </w:tc>
        <w:tc>
          <w:tcPr>
            <w:tcW w:w="385" w:type="pct"/>
            <w:noWrap/>
            <w:vAlign w:val="center"/>
          </w:tcPr>
          <w:p w14:paraId="53DB153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9.84E-08</w:t>
            </w:r>
          </w:p>
        </w:tc>
        <w:tc>
          <w:tcPr>
            <w:tcW w:w="385" w:type="pct"/>
            <w:noWrap/>
            <w:vAlign w:val="center"/>
          </w:tcPr>
          <w:p w14:paraId="16C8BEF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7.09E-08</w:t>
            </w:r>
          </w:p>
        </w:tc>
        <w:tc>
          <w:tcPr>
            <w:tcW w:w="385" w:type="pct"/>
            <w:noWrap/>
            <w:vAlign w:val="center"/>
          </w:tcPr>
          <w:p w14:paraId="2E51B14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3.43E-10</w:t>
            </w:r>
          </w:p>
        </w:tc>
        <w:tc>
          <w:tcPr>
            <w:tcW w:w="387" w:type="pct"/>
            <w:vAlign w:val="center"/>
          </w:tcPr>
          <w:p w14:paraId="0F0A3A6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166F137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6" w:type="pct"/>
            <w:noWrap/>
            <w:vAlign w:val="center"/>
          </w:tcPr>
          <w:p w14:paraId="3E4B008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r>
      <w:tr w14:paraId="3DB7A7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3D7771A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三铺小学</w:t>
            </w:r>
          </w:p>
        </w:tc>
        <w:tc>
          <w:tcPr>
            <w:tcW w:w="381" w:type="pct"/>
            <w:noWrap/>
            <w:vAlign w:val="center"/>
          </w:tcPr>
          <w:p w14:paraId="2A4F6A1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43A588B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407B7DB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2.63E-06</w:t>
            </w:r>
          </w:p>
        </w:tc>
        <w:tc>
          <w:tcPr>
            <w:tcW w:w="385" w:type="pct"/>
            <w:noWrap/>
            <w:vAlign w:val="center"/>
          </w:tcPr>
          <w:p w14:paraId="5C92EB7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2.63E-06</w:t>
            </w:r>
          </w:p>
        </w:tc>
        <w:tc>
          <w:tcPr>
            <w:tcW w:w="385" w:type="pct"/>
            <w:noWrap/>
            <w:vAlign w:val="center"/>
          </w:tcPr>
          <w:p w14:paraId="0B60E69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2.63E-06</w:t>
            </w:r>
          </w:p>
        </w:tc>
        <w:tc>
          <w:tcPr>
            <w:tcW w:w="385" w:type="pct"/>
            <w:noWrap/>
            <w:vAlign w:val="center"/>
          </w:tcPr>
          <w:p w14:paraId="1F7BE47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2.63E-06</w:t>
            </w:r>
          </w:p>
        </w:tc>
        <w:tc>
          <w:tcPr>
            <w:tcW w:w="385" w:type="pct"/>
            <w:noWrap/>
            <w:vAlign w:val="center"/>
          </w:tcPr>
          <w:p w14:paraId="6EF84B0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2.55E-06</w:t>
            </w:r>
          </w:p>
        </w:tc>
        <w:tc>
          <w:tcPr>
            <w:tcW w:w="385" w:type="pct"/>
            <w:noWrap/>
            <w:vAlign w:val="center"/>
          </w:tcPr>
          <w:p w14:paraId="4662FBF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1.06E-06</w:t>
            </w:r>
          </w:p>
        </w:tc>
        <w:tc>
          <w:tcPr>
            <w:tcW w:w="387" w:type="pct"/>
            <w:vAlign w:val="center"/>
          </w:tcPr>
          <w:p w14:paraId="5E6859F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2.18E-08</w:t>
            </w:r>
          </w:p>
        </w:tc>
        <w:tc>
          <w:tcPr>
            <w:tcW w:w="387" w:type="pct"/>
            <w:vAlign w:val="center"/>
          </w:tcPr>
          <w:p w14:paraId="644F430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6" w:type="pct"/>
            <w:noWrap/>
            <w:vAlign w:val="center"/>
          </w:tcPr>
          <w:p w14:paraId="4FCB1A2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r>
      <w:tr w14:paraId="4DB1AE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4990B03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沫河口镇中心小学</w:t>
            </w:r>
          </w:p>
        </w:tc>
        <w:tc>
          <w:tcPr>
            <w:tcW w:w="381" w:type="pct"/>
            <w:noWrap/>
            <w:vAlign w:val="center"/>
          </w:tcPr>
          <w:p w14:paraId="4EC4BF3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6CE8724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2C74EAB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1C5CDE3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31C5FA9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132B2A1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79FA161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6.93E-08</w:t>
            </w:r>
          </w:p>
        </w:tc>
        <w:tc>
          <w:tcPr>
            <w:tcW w:w="385" w:type="pct"/>
            <w:noWrap/>
            <w:vAlign w:val="center"/>
          </w:tcPr>
          <w:p w14:paraId="0A2E152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2.01E-07</w:t>
            </w:r>
          </w:p>
        </w:tc>
        <w:tc>
          <w:tcPr>
            <w:tcW w:w="387" w:type="pct"/>
            <w:vAlign w:val="center"/>
          </w:tcPr>
          <w:p w14:paraId="24EE0D7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3.50E-07</w:t>
            </w:r>
          </w:p>
        </w:tc>
        <w:tc>
          <w:tcPr>
            <w:tcW w:w="387" w:type="pct"/>
            <w:vAlign w:val="center"/>
          </w:tcPr>
          <w:p w14:paraId="5B87BD6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3.55E-07</w:t>
            </w:r>
          </w:p>
        </w:tc>
        <w:tc>
          <w:tcPr>
            <w:tcW w:w="386" w:type="pct"/>
            <w:noWrap/>
            <w:vAlign w:val="center"/>
          </w:tcPr>
          <w:p w14:paraId="017A58E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1.32E-07</w:t>
            </w:r>
          </w:p>
        </w:tc>
      </w:tr>
      <w:tr w14:paraId="4C4818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347F2AE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蚌埠沫河口中学</w:t>
            </w:r>
          </w:p>
        </w:tc>
        <w:tc>
          <w:tcPr>
            <w:tcW w:w="381" w:type="pct"/>
            <w:noWrap/>
            <w:vAlign w:val="center"/>
          </w:tcPr>
          <w:p w14:paraId="0D9DC82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7914005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0F5D0B3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7F83936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75BA6AC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0B9FFD8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13CE3A2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4.80E-08</w:t>
            </w:r>
          </w:p>
        </w:tc>
        <w:tc>
          <w:tcPr>
            <w:tcW w:w="385" w:type="pct"/>
            <w:noWrap/>
            <w:vAlign w:val="center"/>
          </w:tcPr>
          <w:p w14:paraId="6998B0C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1.37E-07</w:t>
            </w:r>
          </w:p>
        </w:tc>
        <w:tc>
          <w:tcPr>
            <w:tcW w:w="387" w:type="pct"/>
            <w:vAlign w:val="center"/>
          </w:tcPr>
          <w:p w14:paraId="21C34D6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2.31E-07</w:t>
            </w:r>
          </w:p>
        </w:tc>
        <w:tc>
          <w:tcPr>
            <w:tcW w:w="387" w:type="pct"/>
            <w:vAlign w:val="center"/>
          </w:tcPr>
          <w:p w14:paraId="5C7DA40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2.24E-07</w:t>
            </w:r>
          </w:p>
        </w:tc>
        <w:tc>
          <w:tcPr>
            <w:tcW w:w="386" w:type="pct"/>
            <w:noWrap/>
            <w:vAlign w:val="center"/>
          </w:tcPr>
          <w:p w14:paraId="5B0AE6E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7.82E-08</w:t>
            </w:r>
          </w:p>
        </w:tc>
      </w:tr>
      <w:tr w14:paraId="6B69D5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000" w:type="pct"/>
            <w:gridSpan w:val="12"/>
          </w:tcPr>
          <w:p w14:paraId="04CDEF8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间对甲酚储罐火灾产生CO</w:t>
            </w:r>
          </w:p>
        </w:tc>
      </w:tr>
      <w:tr w14:paraId="6BE833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5621D50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名称</w:t>
            </w:r>
          </w:p>
        </w:tc>
        <w:tc>
          <w:tcPr>
            <w:tcW w:w="381" w:type="pct"/>
            <w:noWrap/>
            <w:vAlign w:val="center"/>
          </w:tcPr>
          <w:p w14:paraId="6AF5AA5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5min</w:t>
            </w:r>
          </w:p>
        </w:tc>
        <w:tc>
          <w:tcPr>
            <w:tcW w:w="385" w:type="pct"/>
            <w:noWrap/>
            <w:vAlign w:val="center"/>
          </w:tcPr>
          <w:p w14:paraId="6D945B5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10min</w:t>
            </w:r>
          </w:p>
        </w:tc>
        <w:tc>
          <w:tcPr>
            <w:tcW w:w="385" w:type="pct"/>
            <w:noWrap/>
            <w:vAlign w:val="center"/>
          </w:tcPr>
          <w:p w14:paraId="6F80F82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15min</w:t>
            </w:r>
          </w:p>
        </w:tc>
        <w:tc>
          <w:tcPr>
            <w:tcW w:w="385" w:type="pct"/>
            <w:noWrap/>
            <w:vAlign w:val="center"/>
          </w:tcPr>
          <w:p w14:paraId="41BC475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20min</w:t>
            </w:r>
          </w:p>
        </w:tc>
        <w:tc>
          <w:tcPr>
            <w:tcW w:w="385" w:type="pct"/>
            <w:noWrap/>
            <w:vAlign w:val="center"/>
          </w:tcPr>
          <w:p w14:paraId="6F09620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25min</w:t>
            </w:r>
          </w:p>
        </w:tc>
        <w:tc>
          <w:tcPr>
            <w:tcW w:w="385" w:type="pct"/>
            <w:noWrap/>
            <w:vAlign w:val="center"/>
          </w:tcPr>
          <w:p w14:paraId="560220F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30min</w:t>
            </w:r>
          </w:p>
        </w:tc>
        <w:tc>
          <w:tcPr>
            <w:tcW w:w="385" w:type="pct"/>
            <w:noWrap/>
            <w:vAlign w:val="center"/>
          </w:tcPr>
          <w:p w14:paraId="2AB8C60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40min</w:t>
            </w:r>
          </w:p>
        </w:tc>
        <w:tc>
          <w:tcPr>
            <w:tcW w:w="385" w:type="pct"/>
            <w:noWrap/>
            <w:vAlign w:val="center"/>
          </w:tcPr>
          <w:p w14:paraId="0D92E4C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50min</w:t>
            </w:r>
          </w:p>
        </w:tc>
        <w:tc>
          <w:tcPr>
            <w:tcW w:w="387" w:type="pct"/>
            <w:vAlign w:val="center"/>
          </w:tcPr>
          <w:p w14:paraId="575E4F2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6</w:t>
            </w:r>
            <w:r>
              <w:rPr>
                <w:rFonts w:ascii="Times New Roman" w:hAnsi="Times New Roman" w:cs="Times New Roman"/>
                <w:color w:val="000000" w:themeColor="text1"/>
                <w:sz w:val="21"/>
                <w:szCs w:val="21"/>
                <w14:textFill>
                  <w14:solidFill>
                    <w14:schemeClr w14:val="tx1"/>
                  </w14:solidFill>
                </w14:textFill>
              </w:rPr>
              <w:t>0min</w:t>
            </w:r>
          </w:p>
        </w:tc>
        <w:tc>
          <w:tcPr>
            <w:tcW w:w="387" w:type="pct"/>
            <w:vAlign w:val="center"/>
          </w:tcPr>
          <w:p w14:paraId="5810386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75</w:t>
            </w:r>
            <w:r>
              <w:rPr>
                <w:rFonts w:ascii="Times New Roman" w:hAnsi="Times New Roman" w:cs="Times New Roman"/>
                <w:color w:val="000000" w:themeColor="text1"/>
                <w:sz w:val="21"/>
                <w:szCs w:val="21"/>
                <w14:textFill>
                  <w14:solidFill>
                    <w14:schemeClr w14:val="tx1"/>
                  </w14:solidFill>
                </w14:textFill>
              </w:rPr>
              <w:t>min</w:t>
            </w:r>
          </w:p>
        </w:tc>
        <w:tc>
          <w:tcPr>
            <w:tcW w:w="386" w:type="pct"/>
            <w:noWrap/>
            <w:vAlign w:val="center"/>
          </w:tcPr>
          <w:p w14:paraId="014FC29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90</w:t>
            </w:r>
            <w:r>
              <w:rPr>
                <w:rFonts w:ascii="Times New Roman" w:hAnsi="Times New Roman" w:cs="Times New Roman"/>
                <w:color w:val="000000" w:themeColor="text1"/>
                <w:sz w:val="21"/>
                <w:szCs w:val="21"/>
                <w14:textFill>
                  <w14:solidFill>
                    <w14:schemeClr w14:val="tx1"/>
                  </w14:solidFill>
                </w14:textFill>
              </w:rPr>
              <w:t>min</w:t>
            </w:r>
          </w:p>
        </w:tc>
      </w:tr>
      <w:tr w14:paraId="639A47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45F990A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前刘</w:t>
            </w:r>
          </w:p>
        </w:tc>
        <w:tc>
          <w:tcPr>
            <w:tcW w:w="381" w:type="pct"/>
            <w:noWrap/>
            <w:vAlign w:val="center"/>
          </w:tcPr>
          <w:p w14:paraId="122EE2E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2BC2C2E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69BB163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49502C1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23B7A48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5730924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7D68C4E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375779B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31E5FFA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5F8CB7A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6" w:type="pct"/>
            <w:noWrap/>
            <w:vAlign w:val="center"/>
          </w:tcPr>
          <w:p w14:paraId="346D63C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r>
      <w:tr w14:paraId="44D47E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30B3E56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邢家</w:t>
            </w:r>
          </w:p>
        </w:tc>
        <w:tc>
          <w:tcPr>
            <w:tcW w:w="381" w:type="pct"/>
            <w:noWrap/>
            <w:vAlign w:val="center"/>
          </w:tcPr>
          <w:p w14:paraId="0074D6C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1D6107E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2E7A1BA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1D8424C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7184E57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1262DFC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762FAEA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1E4D3DC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1448AD3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432A560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6" w:type="pct"/>
            <w:noWrap/>
            <w:vAlign w:val="center"/>
          </w:tcPr>
          <w:p w14:paraId="4A33EB3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r>
      <w:tr w14:paraId="773022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26F441A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高王家</w:t>
            </w:r>
          </w:p>
        </w:tc>
        <w:tc>
          <w:tcPr>
            <w:tcW w:w="381" w:type="pct"/>
            <w:noWrap/>
            <w:vAlign w:val="center"/>
          </w:tcPr>
          <w:p w14:paraId="0386FBA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6C71360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4E323D6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786B4FB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47DF215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560FB1A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331EDE0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4237CF1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721163F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2034480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6" w:type="pct"/>
            <w:noWrap/>
            <w:vAlign w:val="center"/>
          </w:tcPr>
          <w:p w14:paraId="10BB296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r>
      <w:tr w14:paraId="298AAE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0CA81FF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尚家湖</w:t>
            </w:r>
          </w:p>
        </w:tc>
        <w:tc>
          <w:tcPr>
            <w:tcW w:w="381" w:type="pct"/>
            <w:noWrap/>
            <w:vAlign w:val="center"/>
          </w:tcPr>
          <w:p w14:paraId="28DEA7F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00DD62E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4828F58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666087F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204E374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73AB590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0F82A71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2251503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247EF13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34F7F33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6" w:type="pct"/>
            <w:noWrap/>
            <w:vAlign w:val="center"/>
          </w:tcPr>
          <w:p w14:paraId="273B507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r>
      <w:tr w14:paraId="6D4042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4864032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大柏村</w:t>
            </w:r>
          </w:p>
        </w:tc>
        <w:tc>
          <w:tcPr>
            <w:tcW w:w="381" w:type="pct"/>
            <w:noWrap/>
            <w:vAlign w:val="center"/>
          </w:tcPr>
          <w:p w14:paraId="3FD983A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169B5B2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6104D2B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11139CE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38762FA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290E807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2C643A6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1C21C9C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5746A5E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4C570A6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6" w:type="pct"/>
            <w:noWrap/>
            <w:vAlign w:val="center"/>
          </w:tcPr>
          <w:p w14:paraId="4237AEF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r>
      <w:tr w14:paraId="5D8609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5551681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小柏家</w:t>
            </w:r>
          </w:p>
        </w:tc>
        <w:tc>
          <w:tcPr>
            <w:tcW w:w="381" w:type="pct"/>
            <w:noWrap/>
            <w:vAlign w:val="center"/>
          </w:tcPr>
          <w:p w14:paraId="2F13B59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222A3D4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497D4A9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66A4855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509C0A5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0D4553C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37AB6DD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46A13FD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331C306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5B79591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6" w:type="pct"/>
            <w:noWrap/>
            <w:vAlign w:val="center"/>
          </w:tcPr>
          <w:p w14:paraId="595CF09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r>
      <w:tr w14:paraId="032E06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7A3975B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大柏中学</w:t>
            </w:r>
          </w:p>
        </w:tc>
        <w:tc>
          <w:tcPr>
            <w:tcW w:w="381" w:type="pct"/>
            <w:noWrap/>
            <w:vAlign w:val="center"/>
          </w:tcPr>
          <w:p w14:paraId="0966BD2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45739E2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7F86B98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6E88197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7646486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015413E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118C23D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4848AFC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278D1AA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6B43A23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6" w:type="pct"/>
            <w:noWrap/>
            <w:vAlign w:val="center"/>
          </w:tcPr>
          <w:p w14:paraId="1CB2673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r>
      <w:tr w14:paraId="2B33D0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17B41AE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杜家湖</w:t>
            </w:r>
          </w:p>
        </w:tc>
        <w:tc>
          <w:tcPr>
            <w:tcW w:w="381" w:type="pct"/>
            <w:noWrap/>
            <w:vAlign w:val="center"/>
          </w:tcPr>
          <w:p w14:paraId="7378D77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7DEF3FB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5E6BDB3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6AC6C74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66D8660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16D010D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4721BA5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73F6F0C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637FD33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39D6C56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6" w:type="pct"/>
            <w:noWrap/>
            <w:vAlign w:val="center"/>
          </w:tcPr>
          <w:p w14:paraId="7F60449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r>
      <w:tr w14:paraId="279A70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7DC4979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草杨家</w:t>
            </w:r>
          </w:p>
        </w:tc>
        <w:tc>
          <w:tcPr>
            <w:tcW w:w="381" w:type="pct"/>
            <w:noWrap/>
            <w:vAlign w:val="center"/>
          </w:tcPr>
          <w:p w14:paraId="79F97E7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73763F1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1A5EA8A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3C77CB2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5ABA815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4001F54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262C520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0D52D1B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3D4371A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5F6B10C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6" w:type="pct"/>
            <w:noWrap/>
            <w:vAlign w:val="center"/>
          </w:tcPr>
          <w:p w14:paraId="296F22E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r>
      <w:tr w14:paraId="46C181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6AC979C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小陈家</w:t>
            </w:r>
          </w:p>
        </w:tc>
        <w:tc>
          <w:tcPr>
            <w:tcW w:w="381" w:type="pct"/>
            <w:noWrap/>
            <w:vAlign w:val="center"/>
          </w:tcPr>
          <w:p w14:paraId="4E5216C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3E405C0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461872C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32F8398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77C2AAF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022643F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110A1A0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4B96047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5537473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44B3E2F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6" w:type="pct"/>
            <w:noWrap/>
            <w:vAlign w:val="center"/>
          </w:tcPr>
          <w:p w14:paraId="441723B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r>
      <w:tr w14:paraId="5EB916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08935A1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小史家</w:t>
            </w:r>
          </w:p>
        </w:tc>
        <w:tc>
          <w:tcPr>
            <w:tcW w:w="381" w:type="pct"/>
            <w:noWrap/>
            <w:vAlign w:val="center"/>
          </w:tcPr>
          <w:p w14:paraId="17F4A8E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1FFFAF3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2EF24F1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20CFF07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6449661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6EDE5E2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63CF5AF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24E2346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1501893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76F90FF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6" w:type="pct"/>
            <w:noWrap/>
            <w:vAlign w:val="center"/>
          </w:tcPr>
          <w:p w14:paraId="4BE6578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r>
      <w:tr w14:paraId="3D7738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7DA8115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芦李庄</w:t>
            </w:r>
          </w:p>
        </w:tc>
        <w:tc>
          <w:tcPr>
            <w:tcW w:w="381" w:type="pct"/>
            <w:noWrap/>
            <w:vAlign w:val="center"/>
          </w:tcPr>
          <w:p w14:paraId="33AE014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3575114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6724F25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0F71BEC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19AFF97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0F00F2D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326FE71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0A01027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63C7A5E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7D339A1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6" w:type="pct"/>
            <w:noWrap/>
            <w:vAlign w:val="center"/>
          </w:tcPr>
          <w:p w14:paraId="3FABD0D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r>
      <w:tr w14:paraId="3A6BD9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21C8C82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夏家湖</w:t>
            </w:r>
          </w:p>
        </w:tc>
        <w:tc>
          <w:tcPr>
            <w:tcW w:w="381" w:type="pct"/>
            <w:noWrap/>
            <w:vAlign w:val="center"/>
          </w:tcPr>
          <w:p w14:paraId="2EB39F6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3BF698A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7E4AB93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13AFA96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5502A02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60C783F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611E553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63B94CC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56C2F73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10929DB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6" w:type="pct"/>
            <w:noWrap/>
            <w:vAlign w:val="center"/>
          </w:tcPr>
          <w:p w14:paraId="63B88FA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r>
      <w:tr w14:paraId="6D80ED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567B49F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郭台子</w:t>
            </w:r>
          </w:p>
        </w:tc>
        <w:tc>
          <w:tcPr>
            <w:tcW w:w="381" w:type="pct"/>
            <w:noWrap/>
            <w:vAlign w:val="center"/>
          </w:tcPr>
          <w:p w14:paraId="52D0718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21A00CC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1416113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2DA05C2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7BFC1BD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11C4A82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407397B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2D8F2BA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6889A08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02DFF0C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6" w:type="pct"/>
            <w:noWrap/>
            <w:vAlign w:val="center"/>
          </w:tcPr>
          <w:p w14:paraId="6424A95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r>
      <w:tr w14:paraId="6A7DA4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062C22B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胡圩</w:t>
            </w:r>
          </w:p>
        </w:tc>
        <w:tc>
          <w:tcPr>
            <w:tcW w:w="381" w:type="pct"/>
            <w:noWrap/>
            <w:vAlign w:val="center"/>
          </w:tcPr>
          <w:p w14:paraId="663C273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2CBA0C7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787C87F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5C78258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0844AB5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4D6E401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199E56A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6A6F0E6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41882EB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20748C7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6" w:type="pct"/>
            <w:noWrap/>
            <w:vAlign w:val="center"/>
          </w:tcPr>
          <w:p w14:paraId="323D088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r>
      <w:tr w14:paraId="5A7FE1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711C7A7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二铺</w:t>
            </w:r>
          </w:p>
        </w:tc>
        <w:tc>
          <w:tcPr>
            <w:tcW w:w="381" w:type="pct"/>
            <w:noWrap/>
            <w:vAlign w:val="center"/>
          </w:tcPr>
          <w:p w14:paraId="6C9341B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684D91C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02DD657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028A639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121B7E2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43C2CCD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233A2FC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0A48498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12397E2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42A9B4A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6" w:type="pct"/>
            <w:noWrap/>
            <w:vAlign w:val="center"/>
          </w:tcPr>
          <w:p w14:paraId="03832DC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r>
      <w:tr w14:paraId="6AEB8A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770D97A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小杨家</w:t>
            </w:r>
          </w:p>
        </w:tc>
        <w:tc>
          <w:tcPr>
            <w:tcW w:w="381" w:type="pct"/>
            <w:noWrap/>
            <w:vAlign w:val="center"/>
          </w:tcPr>
          <w:p w14:paraId="5F80AFD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66E6F62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457E9D6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25691A5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4C25202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474E4A4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2183AFA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53F56B4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09229BE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0FC3BD7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6" w:type="pct"/>
            <w:noWrap/>
            <w:vAlign w:val="center"/>
          </w:tcPr>
          <w:p w14:paraId="6348622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r>
      <w:tr w14:paraId="3E8026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6936D43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段庄村</w:t>
            </w:r>
          </w:p>
        </w:tc>
        <w:tc>
          <w:tcPr>
            <w:tcW w:w="381" w:type="pct"/>
            <w:noWrap/>
            <w:vAlign w:val="center"/>
          </w:tcPr>
          <w:p w14:paraId="77794F5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03E5063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042BFE3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26C3569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2EDDF94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14B126D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6B2C886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2678F5D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097CE63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1799B2E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6" w:type="pct"/>
            <w:noWrap/>
            <w:vAlign w:val="center"/>
          </w:tcPr>
          <w:p w14:paraId="7E708A8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r>
      <w:tr w14:paraId="1E0405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554390D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大庄口村</w:t>
            </w:r>
          </w:p>
        </w:tc>
        <w:tc>
          <w:tcPr>
            <w:tcW w:w="381" w:type="pct"/>
            <w:noWrap/>
            <w:vAlign w:val="center"/>
          </w:tcPr>
          <w:p w14:paraId="1C183B3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68A4357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7EA3446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58843C7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6411B19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15D61B4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51E192E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55CDFB3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5A2B4F8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4A9628F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6" w:type="pct"/>
            <w:noWrap/>
            <w:vAlign w:val="center"/>
          </w:tcPr>
          <w:p w14:paraId="7DAE2D1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r>
      <w:tr w14:paraId="655A48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1B4934F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石家</w:t>
            </w:r>
          </w:p>
        </w:tc>
        <w:tc>
          <w:tcPr>
            <w:tcW w:w="381" w:type="pct"/>
            <w:noWrap/>
            <w:vAlign w:val="center"/>
          </w:tcPr>
          <w:p w14:paraId="62810E9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0C18A4A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287225B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3E1D9F0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116B405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5A9101A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07FA5E8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2B08631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7BCE363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31035D3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6" w:type="pct"/>
            <w:noWrap/>
            <w:vAlign w:val="center"/>
          </w:tcPr>
          <w:p w14:paraId="691BAA1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r>
      <w:tr w14:paraId="3464DF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5397279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地理所</w:t>
            </w:r>
          </w:p>
        </w:tc>
        <w:tc>
          <w:tcPr>
            <w:tcW w:w="381" w:type="pct"/>
            <w:noWrap/>
            <w:vAlign w:val="center"/>
          </w:tcPr>
          <w:p w14:paraId="68D5FBA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742534C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526685B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4224AC0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13E752C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2C5F101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55F8B82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41BE087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3258661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045199E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6" w:type="pct"/>
            <w:noWrap/>
            <w:vAlign w:val="center"/>
          </w:tcPr>
          <w:p w14:paraId="498953E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r>
      <w:tr w14:paraId="685BCF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1CD35AE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店子</w:t>
            </w:r>
          </w:p>
        </w:tc>
        <w:tc>
          <w:tcPr>
            <w:tcW w:w="381" w:type="pct"/>
            <w:noWrap/>
            <w:vAlign w:val="center"/>
          </w:tcPr>
          <w:p w14:paraId="7354272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7E6F53C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0FED7A6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8.45E-31</w:t>
            </w:r>
          </w:p>
        </w:tc>
        <w:tc>
          <w:tcPr>
            <w:tcW w:w="385" w:type="pct"/>
            <w:noWrap/>
            <w:vAlign w:val="center"/>
          </w:tcPr>
          <w:p w14:paraId="247E2A3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8.45E-31</w:t>
            </w:r>
          </w:p>
        </w:tc>
        <w:tc>
          <w:tcPr>
            <w:tcW w:w="385" w:type="pct"/>
            <w:noWrap/>
            <w:vAlign w:val="center"/>
          </w:tcPr>
          <w:p w14:paraId="17268DE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8.45E-31</w:t>
            </w:r>
          </w:p>
        </w:tc>
        <w:tc>
          <w:tcPr>
            <w:tcW w:w="385" w:type="pct"/>
            <w:noWrap/>
            <w:vAlign w:val="center"/>
          </w:tcPr>
          <w:p w14:paraId="3D1E651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8.45E-31</w:t>
            </w:r>
          </w:p>
        </w:tc>
        <w:tc>
          <w:tcPr>
            <w:tcW w:w="385" w:type="pct"/>
            <w:noWrap/>
            <w:vAlign w:val="center"/>
          </w:tcPr>
          <w:p w14:paraId="521896C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145CC9A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46AFD29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622EF86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6" w:type="pct"/>
            <w:noWrap/>
            <w:vAlign w:val="center"/>
          </w:tcPr>
          <w:p w14:paraId="3EFC191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r>
      <w:tr w14:paraId="67158B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25284EF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于家村</w:t>
            </w:r>
          </w:p>
        </w:tc>
        <w:tc>
          <w:tcPr>
            <w:tcW w:w="381" w:type="pct"/>
            <w:noWrap/>
            <w:vAlign w:val="center"/>
          </w:tcPr>
          <w:p w14:paraId="166AFEA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21B71B3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089CC83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01B952F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3DB008D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2.48E-10</w:t>
            </w:r>
          </w:p>
        </w:tc>
        <w:tc>
          <w:tcPr>
            <w:tcW w:w="385" w:type="pct"/>
            <w:noWrap/>
            <w:vAlign w:val="center"/>
          </w:tcPr>
          <w:p w14:paraId="25512FA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2.48E-10</w:t>
            </w:r>
          </w:p>
        </w:tc>
        <w:tc>
          <w:tcPr>
            <w:tcW w:w="385" w:type="pct"/>
            <w:noWrap/>
            <w:vAlign w:val="center"/>
          </w:tcPr>
          <w:p w14:paraId="369CEB1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2.36E-10</w:t>
            </w:r>
          </w:p>
        </w:tc>
        <w:tc>
          <w:tcPr>
            <w:tcW w:w="385" w:type="pct"/>
            <w:noWrap/>
            <w:vAlign w:val="center"/>
          </w:tcPr>
          <w:p w14:paraId="3CF37C4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2.21E-10</w:t>
            </w:r>
          </w:p>
        </w:tc>
        <w:tc>
          <w:tcPr>
            <w:tcW w:w="387" w:type="pct"/>
            <w:vAlign w:val="center"/>
          </w:tcPr>
          <w:p w14:paraId="63F3FFC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1.02E-10</w:t>
            </w:r>
          </w:p>
        </w:tc>
        <w:tc>
          <w:tcPr>
            <w:tcW w:w="387" w:type="pct"/>
            <w:vAlign w:val="center"/>
          </w:tcPr>
          <w:p w14:paraId="22A8F19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1.75E-12</w:t>
            </w:r>
          </w:p>
        </w:tc>
        <w:tc>
          <w:tcPr>
            <w:tcW w:w="386" w:type="pct"/>
            <w:noWrap/>
            <w:vAlign w:val="center"/>
          </w:tcPr>
          <w:p w14:paraId="464884A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r>
      <w:tr w14:paraId="0FAD14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40968ED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于家小学</w:t>
            </w:r>
          </w:p>
        </w:tc>
        <w:tc>
          <w:tcPr>
            <w:tcW w:w="381" w:type="pct"/>
            <w:noWrap/>
            <w:vAlign w:val="center"/>
          </w:tcPr>
          <w:p w14:paraId="6AF37F7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1A6CCCA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5AF3B19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51F05A3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1.97E-13</w:t>
            </w:r>
          </w:p>
        </w:tc>
        <w:tc>
          <w:tcPr>
            <w:tcW w:w="385" w:type="pct"/>
            <w:noWrap/>
            <w:vAlign w:val="center"/>
          </w:tcPr>
          <w:p w14:paraId="0CC2264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1.97E-13</w:t>
            </w:r>
          </w:p>
        </w:tc>
        <w:tc>
          <w:tcPr>
            <w:tcW w:w="385" w:type="pct"/>
            <w:noWrap/>
            <w:vAlign w:val="center"/>
          </w:tcPr>
          <w:p w14:paraId="0F436F6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1.97E-13</w:t>
            </w:r>
          </w:p>
        </w:tc>
        <w:tc>
          <w:tcPr>
            <w:tcW w:w="385" w:type="pct"/>
            <w:noWrap/>
            <w:vAlign w:val="center"/>
          </w:tcPr>
          <w:p w14:paraId="291479D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1.95E-13</w:t>
            </w:r>
          </w:p>
        </w:tc>
        <w:tc>
          <w:tcPr>
            <w:tcW w:w="385" w:type="pct"/>
            <w:noWrap/>
            <w:vAlign w:val="center"/>
          </w:tcPr>
          <w:p w14:paraId="1192D6E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1.61E-13</w:t>
            </w:r>
          </w:p>
        </w:tc>
        <w:tc>
          <w:tcPr>
            <w:tcW w:w="387" w:type="pct"/>
            <w:vAlign w:val="center"/>
          </w:tcPr>
          <w:p w14:paraId="494BB67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4.53E-14</w:t>
            </w:r>
          </w:p>
        </w:tc>
        <w:tc>
          <w:tcPr>
            <w:tcW w:w="387" w:type="pct"/>
            <w:vAlign w:val="center"/>
          </w:tcPr>
          <w:p w14:paraId="78A486F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1.29E-16</w:t>
            </w:r>
          </w:p>
        </w:tc>
        <w:tc>
          <w:tcPr>
            <w:tcW w:w="386" w:type="pct"/>
            <w:noWrap/>
            <w:vAlign w:val="center"/>
          </w:tcPr>
          <w:p w14:paraId="5ADA9C5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r>
      <w:tr w14:paraId="235D44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7E0473E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陈巷</w:t>
            </w:r>
          </w:p>
        </w:tc>
        <w:tc>
          <w:tcPr>
            <w:tcW w:w="381" w:type="pct"/>
            <w:noWrap/>
            <w:vAlign w:val="center"/>
          </w:tcPr>
          <w:p w14:paraId="0BDE9CC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7630C1D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4788A57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604018E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16080D8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4DFB524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3.75E-07</w:t>
            </w:r>
          </w:p>
        </w:tc>
        <w:tc>
          <w:tcPr>
            <w:tcW w:w="385" w:type="pct"/>
            <w:noWrap/>
            <w:vAlign w:val="center"/>
          </w:tcPr>
          <w:p w14:paraId="3D8F3E2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2.96E-07</w:t>
            </w:r>
          </w:p>
        </w:tc>
        <w:tc>
          <w:tcPr>
            <w:tcW w:w="385" w:type="pct"/>
            <w:noWrap/>
            <w:vAlign w:val="center"/>
          </w:tcPr>
          <w:p w14:paraId="3B508DB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3.53E-07</w:t>
            </w:r>
          </w:p>
        </w:tc>
        <w:tc>
          <w:tcPr>
            <w:tcW w:w="387" w:type="pct"/>
            <w:vAlign w:val="center"/>
          </w:tcPr>
          <w:p w14:paraId="1C59E27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2.55E-07</w:t>
            </w:r>
          </w:p>
        </w:tc>
        <w:tc>
          <w:tcPr>
            <w:tcW w:w="387" w:type="pct"/>
            <w:vAlign w:val="center"/>
          </w:tcPr>
          <w:p w14:paraId="3F51335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2.86E-08</w:t>
            </w:r>
          </w:p>
        </w:tc>
        <w:tc>
          <w:tcPr>
            <w:tcW w:w="386" w:type="pct"/>
            <w:noWrap/>
            <w:vAlign w:val="center"/>
          </w:tcPr>
          <w:p w14:paraId="292C4B9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1.45E-10</w:t>
            </w:r>
          </w:p>
        </w:tc>
      </w:tr>
      <w:tr w14:paraId="4F7D7F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4C1843D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小朱家</w:t>
            </w:r>
          </w:p>
        </w:tc>
        <w:tc>
          <w:tcPr>
            <w:tcW w:w="381" w:type="pct"/>
            <w:noWrap/>
            <w:vAlign w:val="center"/>
          </w:tcPr>
          <w:p w14:paraId="59EED12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39DA239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0094966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5F5A9D8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3259E8A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3E40600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8.31E-07</w:t>
            </w:r>
          </w:p>
        </w:tc>
        <w:tc>
          <w:tcPr>
            <w:tcW w:w="385" w:type="pct"/>
            <w:noWrap/>
            <w:vAlign w:val="center"/>
          </w:tcPr>
          <w:p w14:paraId="46B1FB2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6.24E-07</w:t>
            </w:r>
          </w:p>
        </w:tc>
        <w:tc>
          <w:tcPr>
            <w:tcW w:w="385" w:type="pct"/>
            <w:noWrap/>
            <w:vAlign w:val="center"/>
          </w:tcPr>
          <w:p w14:paraId="34FD3A5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7.79E-07</w:t>
            </w:r>
          </w:p>
        </w:tc>
        <w:tc>
          <w:tcPr>
            <w:tcW w:w="387" w:type="pct"/>
            <w:vAlign w:val="center"/>
          </w:tcPr>
          <w:p w14:paraId="71B3413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5.93E-07</w:t>
            </w:r>
          </w:p>
        </w:tc>
        <w:tc>
          <w:tcPr>
            <w:tcW w:w="387" w:type="pct"/>
            <w:vAlign w:val="center"/>
          </w:tcPr>
          <w:p w14:paraId="04DABF1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8.19E-08</w:t>
            </w:r>
          </w:p>
        </w:tc>
        <w:tc>
          <w:tcPr>
            <w:tcW w:w="386" w:type="pct"/>
            <w:noWrap/>
            <w:vAlign w:val="center"/>
          </w:tcPr>
          <w:p w14:paraId="56E2A26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6.37E-10</w:t>
            </w:r>
          </w:p>
        </w:tc>
      </w:tr>
      <w:tr w14:paraId="43A84B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1C7FAE3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汤陈村</w:t>
            </w:r>
          </w:p>
        </w:tc>
        <w:tc>
          <w:tcPr>
            <w:tcW w:w="381" w:type="pct"/>
            <w:noWrap/>
            <w:vAlign w:val="center"/>
          </w:tcPr>
          <w:p w14:paraId="694BA9C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16BC444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4F94389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044C398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7B4696E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5E17E69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55F73F5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5.67E-05</w:t>
            </w:r>
          </w:p>
        </w:tc>
        <w:tc>
          <w:tcPr>
            <w:tcW w:w="385" w:type="pct"/>
            <w:noWrap/>
            <w:vAlign w:val="center"/>
          </w:tcPr>
          <w:p w14:paraId="09460E2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1.20E-04</w:t>
            </w:r>
          </w:p>
        </w:tc>
        <w:tc>
          <w:tcPr>
            <w:tcW w:w="387" w:type="pct"/>
            <w:vAlign w:val="center"/>
          </w:tcPr>
          <w:p w14:paraId="5F99B95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1.47E-04</w:t>
            </w:r>
          </w:p>
        </w:tc>
        <w:tc>
          <w:tcPr>
            <w:tcW w:w="387" w:type="pct"/>
            <w:vAlign w:val="center"/>
          </w:tcPr>
          <w:p w14:paraId="27675FC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7.99E-05</w:t>
            </w:r>
          </w:p>
        </w:tc>
        <w:tc>
          <w:tcPr>
            <w:tcW w:w="386" w:type="pct"/>
            <w:noWrap/>
            <w:vAlign w:val="center"/>
          </w:tcPr>
          <w:p w14:paraId="43D0FDE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1.02E-05</w:t>
            </w:r>
          </w:p>
        </w:tc>
      </w:tr>
      <w:tr w14:paraId="19E187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2A74820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沫河口镇</w:t>
            </w:r>
          </w:p>
        </w:tc>
        <w:tc>
          <w:tcPr>
            <w:tcW w:w="381" w:type="pct"/>
            <w:noWrap/>
            <w:vAlign w:val="center"/>
          </w:tcPr>
          <w:p w14:paraId="52AC5D3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3980122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0145CEA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6E154D4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4243A07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37701FF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63882B8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3.12E-04</w:t>
            </w:r>
          </w:p>
        </w:tc>
        <w:tc>
          <w:tcPr>
            <w:tcW w:w="385" w:type="pct"/>
            <w:noWrap/>
            <w:vAlign w:val="center"/>
          </w:tcPr>
          <w:p w14:paraId="79FB25E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9.54E-04</w:t>
            </w:r>
          </w:p>
        </w:tc>
        <w:tc>
          <w:tcPr>
            <w:tcW w:w="387" w:type="pct"/>
            <w:vAlign w:val="center"/>
          </w:tcPr>
          <w:p w14:paraId="32EAB1F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1.76E-03</w:t>
            </w:r>
          </w:p>
        </w:tc>
        <w:tc>
          <w:tcPr>
            <w:tcW w:w="387" w:type="pct"/>
            <w:vAlign w:val="center"/>
          </w:tcPr>
          <w:p w14:paraId="70B930E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1.99E-03</w:t>
            </w:r>
          </w:p>
        </w:tc>
        <w:tc>
          <w:tcPr>
            <w:tcW w:w="386" w:type="pct"/>
            <w:noWrap/>
            <w:vAlign w:val="center"/>
          </w:tcPr>
          <w:p w14:paraId="0B9623A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8.69E-04</w:t>
            </w:r>
          </w:p>
        </w:tc>
      </w:tr>
      <w:tr w14:paraId="455234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7C29FC9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三铺村</w:t>
            </w:r>
          </w:p>
        </w:tc>
        <w:tc>
          <w:tcPr>
            <w:tcW w:w="381" w:type="pct"/>
            <w:noWrap/>
            <w:vAlign w:val="center"/>
          </w:tcPr>
          <w:p w14:paraId="71CB782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25CE626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79A15C8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8.41E-02</w:t>
            </w:r>
          </w:p>
        </w:tc>
        <w:tc>
          <w:tcPr>
            <w:tcW w:w="385" w:type="pct"/>
            <w:noWrap/>
            <w:vAlign w:val="center"/>
          </w:tcPr>
          <w:p w14:paraId="3E67D52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8.41E-02</w:t>
            </w:r>
          </w:p>
        </w:tc>
        <w:tc>
          <w:tcPr>
            <w:tcW w:w="385" w:type="pct"/>
            <w:noWrap/>
            <w:vAlign w:val="center"/>
          </w:tcPr>
          <w:p w14:paraId="3069FE4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8.41E-02</w:t>
            </w:r>
          </w:p>
        </w:tc>
        <w:tc>
          <w:tcPr>
            <w:tcW w:w="385" w:type="pct"/>
            <w:noWrap/>
            <w:vAlign w:val="center"/>
          </w:tcPr>
          <w:p w14:paraId="6D4CEF5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8.41E-02</w:t>
            </w:r>
          </w:p>
        </w:tc>
        <w:tc>
          <w:tcPr>
            <w:tcW w:w="385" w:type="pct"/>
            <w:noWrap/>
            <w:vAlign w:val="center"/>
          </w:tcPr>
          <w:p w14:paraId="3B85C42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8.19E-02</w:t>
            </w:r>
          </w:p>
        </w:tc>
        <w:tc>
          <w:tcPr>
            <w:tcW w:w="385" w:type="pct"/>
            <w:noWrap/>
            <w:vAlign w:val="center"/>
          </w:tcPr>
          <w:p w14:paraId="15C1E76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3.60E-02</w:t>
            </w:r>
          </w:p>
        </w:tc>
        <w:tc>
          <w:tcPr>
            <w:tcW w:w="387" w:type="pct"/>
            <w:vAlign w:val="center"/>
          </w:tcPr>
          <w:p w14:paraId="4AD723D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8.86E-04</w:t>
            </w:r>
          </w:p>
        </w:tc>
        <w:tc>
          <w:tcPr>
            <w:tcW w:w="387" w:type="pct"/>
            <w:vAlign w:val="center"/>
          </w:tcPr>
          <w:p w14:paraId="3A8715F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6" w:type="pct"/>
            <w:noWrap/>
            <w:vAlign w:val="center"/>
          </w:tcPr>
          <w:p w14:paraId="6B62B8A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r>
      <w:tr w14:paraId="573358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7DB448D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李洼</w:t>
            </w:r>
          </w:p>
        </w:tc>
        <w:tc>
          <w:tcPr>
            <w:tcW w:w="381" w:type="pct"/>
            <w:noWrap/>
            <w:vAlign w:val="center"/>
          </w:tcPr>
          <w:p w14:paraId="085B717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371CCAC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669B36D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6B94939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3DEE5FB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7CD9FBB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519A835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8.04E-03</w:t>
            </w:r>
          </w:p>
        </w:tc>
        <w:tc>
          <w:tcPr>
            <w:tcW w:w="385" w:type="pct"/>
            <w:noWrap/>
            <w:vAlign w:val="center"/>
          </w:tcPr>
          <w:p w14:paraId="2FAD246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1.32E-02</w:t>
            </w:r>
          </w:p>
        </w:tc>
        <w:tc>
          <w:tcPr>
            <w:tcW w:w="387" w:type="pct"/>
            <w:vAlign w:val="center"/>
          </w:tcPr>
          <w:p w14:paraId="205B4D8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1.29E-02</w:t>
            </w:r>
          </w:p>
        </w:tc>
        <w:tc>
          <w:tcPr>
            <w:tcW w:w="387" w:type="pct"/>
            <w:vAlign w:val="center"/>
          </w:tcPr>
          <w:p w14:paraId="69BAFFE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4.11E-03</w:t>
            </w:r>
          </w:p>
        </w:tc>
        <w:tc>
          <w:tcPr>
            <w:tcW w:w="386" w:type="pct"/>
            <w:noWrap/>
            <w:vAlign w:val="center"/>
          </w:tcPr>
          <w:p w14:paraId="45F8070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1.78E-04</w:t>
            </w:r>
          </w:p>
        </w:tc>
      </w:tr>
      <w:tr w14:paraId="44E90B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67C9FFF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小石家</w:t>
            </w:r>
          </w:p>
        </w:tc>
        <w:tc>
          <w:tcPr>
            <w:tcW w:w="381" w:type="pct"/>
            <w:noWrap/>
            <w:vAlign w:val="center"/>
          </w:tcPr>
          <w:p w14:paraId="4B6CEC1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2CA8F30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6880763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2343DC9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7D71968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09A9339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3B2D845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3.60E-03</w:t>
            </w:r>
          </w:p>
        </w:tc>
        <w:tc>
          <w:tcPr>
            <w:tcW w:w="385" w:type="pct"/>
            <w:noWrap/>
            <w:vAlign w:val="center"/>
          </w:tcPr>
          <w:p w14:paraId="5C3BF9C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8.07E-03</w:t>
            </w:r>
          </w:p>
        </w:tc>
        <w:tc>
          <w:tcPr>
            <w:tcW w:w="387" w:type="pct"/>
            <w:vAlign w:val="center"/>
          </w:tcPr>
          <w:p w14:paraId="03EAACF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1.04E-02</w:t>
            </w:r>
          </w:p>
        </w:tc>
        <w:tc>
          <w:tcPr>
            <w:tcW w:w="387" w:type="pct"/>
            <w:vAlign w:val="center"/>
          </w:tcPr>
          <w:p w14:paraId="5CF9B5B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6.35E-03</w:t>
            </w:r>
          </w:p>
        </w:tc>
        <w:tc>
          <w:tcPr>
            <w:tcW w:w="386" w:type="pct"/>
            <w:noWrap/>
            <w:vAlign w:val="center"/>
          </w:tcPr>
          <w:p w14:paraId="72BC828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1.00E-03</w:t>
            </w:r>
          </w:p>
        </w:tc>
      </w:tr>
      <w:tr w14:paraId="229A7E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3B6FE02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团结村</w:t>
            </w:r>
          </w:p>
        </w:tc>
        <w:tc>
          <w:tcPr>
            <w:tcW w:w="381" w:type="pct"/>
            <w:noWrap/>
            <w:vAlign w:val="center"/>
          </w:tcPr>
          <w:p w14:paraId="4DF708A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1913589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1639761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3574FC4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63FFA73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61BE6D8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617D972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3.29E-03</w:t>
            </w:r>
          </w:p>
        </w:tc>
        <w:tc>
          <w:tcPr>
            <w:tcW w:w="385" w:type="pct"/>
            <w:noWrap/>
            <w:vAlign w:val="center"/>
          </w:tcPr>
          <w:p w14:paraId="2A1BD62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7.65E-03</w:t>
            </w:r>
          </w:p>
        </w:tc>
        <w:tc>
          <w:tcPr>
            <w:tcW w:w="387" w:type="pct"/>
            <w:vAlign w:val="center"/>
          </w:tcPr>
          <w:p w14:paraId="08F492F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1.03E-02</w:t>
            </w:r>
          </w:p>
        </w:tc>
        <w:tc>
          <w:tcPr>
            <w:tcW w:w="387" w:type="pct"/>
            <w:vAlign w:val="center"/>
          </w:tcPr>
          <w:p w14:paraId="29B6783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6.71E-03</w:t>
            </w:r>
          </w:p>
        </w:tc>
        <w:tc>
          <w:tcPr>
            <w:tcW w:w="386" w:type="pct"/>
            <w:noWrap/>
            <w:vAlign w:val="center"/>
          </w:tcPr>
          <w:p w14:paraId="582F1DE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1.20E-03</w:t>
            </w:r>
          </w:p>
        </w:tc>
      </w:tr>
      <w:tr w14:paraId="5A172D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1C06442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小王家</w:t>
            </w:r>
          </w:p>
        </w:tc>
        <w:tc>
          <w:tcPr>
            <w:tcW w:w="381" w:type="pct"/>
            <w:noWrap/>
            <w:vAlign w:val="center"/>
          </w:tcPr>
          <w:p w14:paraId="3770F49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0363303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0F3CDFF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2D6976A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41F9AFA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22D52C8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6719349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1.36E-03</w:t>
            </w:r>
          </w:p>
        </w:tc>
        <w:tc>
          <w:tcPr>
            <w:tcW w:w="385" w:type="pct"/>
            <w:noWrap/>
            <w:vAlign w:val="center"/>
          </w:tcPr>
          <w:p w14:paraId="4D037BF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3.56E-03</w:t>
            </w:r>
          </w:p>
        </w:tc>
        <w:tc>
          <w:tcPr>
            <w:tcW w:w="387" w:type="pct"/>
            <w:vAlign w:val="center"/>
          </w:tcPr>
          <w:p w14:paraId="19B891C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5.43E-03</w:t>
            </w:r>
          </w:p>
        </w:tc>
        <w:tc>
          <w:tcPr>
            <w:tcW w:w="387" w:type="pct"/>
            <w:vAlign w:val="center"/>
          </w:tcPr>
          <w:p w14:paraId="58BD0BE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4.42E-03</w:t>
            </w:r>
          </w:p>
        </w:tc>
        <w:tc>
          <w:tcPr>
            <w:tcW w:w="386" w:type="pct"/>
            <w:noWrap/>
            <w:vAlign w:val="center"/>
          </w:tcPr>
          <w:p w14:paraId="677DA45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1.16E-03</w:t>
            </w:r>
          </w:p>
        </w:tc>
      </w:tr>
      <w:tr w14:paraId="5781F6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4631883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曹吴村</w:t>
            </w:r>
          </w:p>
        </w:tc>
        <w:tc>
          <w:tcPr>
            <w:tcW w:w="381" w:type="pct"/>
            <w:noWrap/>
            <w:vAlign w:val="center"/>
          </w:tcPr>
          <w:p w14:paraId="7543640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3560FCF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64D47D6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46DB6F5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6B4B732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488CDC5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5EED81D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8.95E-04</w:t>
            </w:r>
          </w:p>
        </w:tc>
        <w:tc>
          <w:tcPr>
            <w:tcW w:w="385" w:type="pct"/>
            <w:noWrap/>
            <w:vAlign w:val="center"/>
          </w:tcPr>
          <w:p w14:paraId="589A201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1.80E-03</w:t>
            </w:r>
          </w:p>
        </w:tc>
        <w:tc>
          <w:tcPr>
            <w:tcW w:w="387" w:type="pct"/>
            <w:vAlign w:val="center"/>
          </w:tcPr>
          <w:p w14:paraId="2BCD10A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2.09E-03</w:t>
            </w:r>
          </w:p>
        </w:tc>
        <w:tc>
          <w:tcPr>
            <w:tcW w:w="387" w:type="pct"/>
            <w:vAlign w:val="center"/>
          </w:tcPr>
          <w:p w14:paraId="7504C6C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1.03E-03</w:t>
            </w:r>
          </w:p>
        </w:tc>
        <w:tc>
          <w:tcPr>
            <w:tcW w:w="386" w:type="pct"/>
            <w:noWrap/>
            <w:vAlign w:val="center"/>
          </w:tcPr>
          <w:p w14:paraId="5349F67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1.08E-04</w:t>
            </w:r>
          </w:p>
        </w:tc>
      </w:tr>
      <w:tr w14:paraId="7419DE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2FDC2A3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邓庙</w:t>
            </w:r>
          </w:p>
        </w:tc>
        <w:tc>
          <w:tcPr>
            <w:tcW w:w="381" w:type="pct"/>
            <w:noWrap/>
            <w:vAlign w:val="center"/>
          </w:tcPr>
          <w:p w14:paraId="2C4CFD5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209EC4C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05EFAA3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5660A72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54F8D04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2.47E-04</w:t>
            </w:r>
          </w:p>
        </w:tc>
        <w:tc>
          <w:tcPr>
            <w:tcW w:w="385" w:type="pct"/>
            <w:noWrap/>
            <w:vAlign w:val="center"/>
          </w:tcPr>
          <w:p w14:paraId="685B9A4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2.47E-04</w:t>
            </w:r>
          </w:p>
        </w:tc>
        <w:tc>
          <w:tcPr>
            <w:tcW w:w="385" w:type="pct"/>
            <w:noWrap/>
            <w:vAlign w:val="center"/>
          </w:tcPr>
          <w:p w14:paraId="1D3A3EC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2.29E-04</w:t>
            </w:r>
          </w:p>
        </w:tc>
        <w:tc>
          <w:tcPr>
            <w:tcW w:w="385" w:type="pct"/>
            <w:noWrap/>
            <w:vAlign w:val="center"/>
          </w:tcPr>
          <w:p w14:paraId="5E873FD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2.26E-04</w:t>
            </w:r>
          </w:p>
        </w:tc>
        <w:tc>
          <w:tcPr>
            <w:tcW w:w="387" w:type="pct"/>
            <w:vAlign w:val="center"/>
          </w:tcPr>
          <w:p w14:paraId="05A91C5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1.19E-04</w:t>
            </w:r>
          </w:p>
        </w:tc>
        <w:tc>
          <w:tcPr>
            <w:tcW w:w="387" w:type="pct"/>
            <w:vAlign w:val="center"/>
          </w:tcPr>
          <w:p w14:paraId="43B1B59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3.58E-06</w:t>
            </w:r>
          </w:p>
        </w:tc>
        <w:tc>
          <w:tcPr>
            <w:tcW w:w="386" w:type="pct"/>
            <w:noWrap/>
            <w:vAlign w:val="center"/>
          </w:tcPr>
          <w:p w14:paraId="138F1B6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r>
      <w:tr w14:paraId="3A4FB6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1F8C2A5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李圩子</w:t>
            </w:r>
          </w:p>
        </w:tc>
        <w:tc>
          <w:tcPr>
            <w:tcW w:w="381" w:type="pct"/>
            <w:noWrap/>
            <w:vAlign w:val="center"/>
          </w:tcPr>
          <w:p w14:paraId="5F41E9E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7EB744F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57DEAAB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14477A8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1535782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3F4F061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4.05E-05</w:t>
            </w:r>
          </w:p>
        </w:tc>
        <w:tc>
          <w:tcPr>
            <w:tcW w:w="385" w:type="pct"/>
            <w:noWrap/>
            <w:vAlign w:val="center"/>
          </w:tcPr>
          <w:p w14:paraId="55AAB59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3.08E-05</w:t>
            </w:r>
          </w:p>
        </w:tc>
        <w:tc>
          <w:tcPr>
            <w:tcW w:w="385" w:type="pct"/>
            <w:noWrap/>
            <w:vAlign w:val="center"/>
          </w:tcPr>
          <w:p w14:paraId="1104618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3.80E-05</w:t>
            </w:r>
          </w:p>
        </w:tc>
        <w:tc>
          <w:tcPr>
            <w:tcW w:w="387" w:type="pct"/>
            <w:vAlign w:val="center"/>
          </w:tcPr>
          <w:p w14:paraId="701D65E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2.86E-05</w:t>
            </w:r>
          </w:p>
        </w:tc>
        <w:tc>
          <w:tcPr>
            <w:tcW w:w="387" w:type="pct"/>
            <w:vAlign w:val="center"/>
          </w:tcPr>
          <w:p w14:paraId="32DC540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3.71E-06</w:t>
            </w:r>
          </w:p>
        </w:tc>
        <w:tc>
          <w:tcPr>
            <w:tcW w:w="386" w:type="pct"/>
            <w:noWrap/>
            <w:vAlign w:val="center"/>
          </w:tcPr>
          <w:p w14:paraId="499027B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2.58E-08</w:t>
            </w:r>
          </w:p>
        </w:tc>
      </w:tr>
      <w:tr w14:paraId="05BF03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1F144B2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小董家</w:t>
            </w:r>
          </w:p>
        </w:tc>
        <w:tc>
          <w:tcPr>
            <w:tcW w:w="381" w:type="pct"/>
            <w:noWrap/>
            <w:vAlign w:val="center"/>
          </w:tcPr>
          <w:p w14:paraId="68930B0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6C1BD84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0345CF0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2823025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621DF7E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32BB8AF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5FD00FB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1.43E-05</w:t>
            </w:r>
          </w:p>
        </w:tc>
        <w:tc>
          <w:tcPr>
            <w:tcW w:w="385" w:type="pct"/>
            <w:noWrap/>
            <w:vAlign w:val="center"/>
          </w:tcPr>
          <w:p w14:paraId="4BF7800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2.60E-05</w:t>
            </w:r>
          </w:p>
        </w:tc>
        <w:tc>
          <w:tcPr>
            <w:tcW w:w="387" w:type="pct"/>
            <w:vAlign w:val="center"/>
          </w:tcPr>
          <w:p w14:paraId="70F6536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2.77E-05</w:t>
            </w:r>
          </w:p>
        </w:tc>
        <w:tc>
          <w:tcPr>
            <w:tcW w:w="387" w:type="pct"/>
            <w:vAlign w:val="center"/>
          </w:tcPr>
          <w:p w14:paraId="34EA29E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1.12E-05</w:t>
            </w:r>
          </w:p>
        </w:tc>
        <w:tc>
          <w:tcPr>
            <w:tcW w:w="386" w:type="pct"/>
            <w:noWrap/>
            <w:vAlign w:val="center"/>
          </w:tcPr>
          <w:p w14:paraId="16563F1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7.87E-07</w:t>
            </w:r>
          </w:p>
        </w:tc>
      </w:tr>
      <w:tr w14:paraId="3FC853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0BF0CE7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任桥</w:t>
            </w:r>
          </w:p>
        </w:tc>
        <w:tc>
          <w:tcPr>
            <w:tcW w:w="381" w:type="pct"/>
            <w:noWrap/>
            <w:vAlign w:val="center"/>
          </w:tcPr>
          <w:p w14:paraId="302E8B1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049AF0F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471ACDA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6A507A0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2C6629C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1.69E-07</w:t>
            </w:r>
          </w:p>
        </w:tc>
        <w:tc>
          <w:tcPr>
            <w:tcW w:w="385" w:type="pct"/>
            <w:noWrap/>
            <w:vAlign w:val="center"/>
          </w:tcPr>
          <w:p w14:paraId="665D527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1.69E-07</w:t>
            </w:r>
          </w:p>
        </w:tc>
        <w:tc>
          <w:tcPr>
            <w:tcW w:w="385" w:type="pct"/>
            <w:noWrap/>
            <w:vAlign w:val="center"/>
          </w:tcPr>
          <w:p w14:paraId="2532832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1.57E-07</w:t>
            </w:r>
          </w:p>
        </w:tc>
        <w:tc>
          <w:tcPr>
            <w:tcW w:w="385" w:type="pct"/>
            <w:noWrap/>
            <w:vAlign w:val="center"/>
          </w:tcPr>
          <w:p w14:paraId="1DDDCDF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1.54E-07</w:t>
            </w:r>
          </w:p>
        </w:tc>
        <w:tc>
          <w:tcPr>
            <w:tcW w:w="387" w:type="pct"/>
            <w:vAlign w:val="center"/>
          </w:tcPr>
          <w:p w14:paraId="6133B7C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8.16E-08</w:t>
            </w:r>
          </w:p>
        </w:tc>
        <w:tc>
          <w:tcPr>
            <w:tcW w:w="387" w:type="pct"/>
            <w:vAlign w:val="center"/>
          </w:tcPr>
          <w:p w14:paraId="181D28F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2.44E-09</w:t>
            </w:r>
          </w:p>
        </w:tc>
        <w:tc>
          <w:tcPr>
            <w:tcW w:w="386" w:type="pct"/>
            <w:noWrap/>
            <w:vAlign w:val="center"/>
          </w:tcPr>
          <w:p w14:paraId="31B9CBB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r>
      <w:tr w14:paraId="1F8A85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0335DF7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邓郭</w:t>
            </w:r>
          </w:p>
        </w:tc>
        <w:tc>
          <w:tcPr>
            <w:tcW w:w="381" w:type="pct"/>
            <w:noWrap/>
            <w:vAlign w:val="center"/>
          </w:tcPr>
          <w:p w14:paraId="44CB4BD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4628A4D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204885A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5.82E-19</w:t>
            </w:r>
          </w:p>
        </w:tc>
        <w:tc>
          <w:tcPr>
            <w:tcW w:w="385" w:type="pct"/>
            <w:noWrap/>
            <w:vAlign w:val="center"/>
          </w:tcPr>
          <w:p w14:paraId="193C1E5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5.82E-19</w:t>
            </w:r>
          </w:p>
        </w:tc>
        <w:tc>
          <w:tcPr>
            <w:tcW w:w="385" w:type="pct"/>
            <w:noWrap/>
            <w:vAlign w:val="center"/>
          </w:tcPr>
          <w:p w14:paraId="32643B0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5.82E-19</w:t>
            </w:r>
          </w:p>
        </w:tc>
        <w:tc>
          <w:tcPr>
            <w:tcW w:w="385" w:type="pct"/>
            <w:noWrap/>
            <w:vAlign w:val="center"/>
          </w:tcPr>
          <w:p w14:paraId="4A3881E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5.82E-19</w:t>
            </w:r>
          </w:p>
        </w:tc>
        <w:tc>
          <w:tcPr>
            <w:tcW w:w="385" w:type="pct"/>
            <w:noWrap/>
            <w:vAlign w:val="center"/>
          </w:tcPr>
          <w:p w14:paraId="74DD8F3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5.57E-19</w:t>
            </w:r>
          </w:p>
        </w:tc>
        <w:tc>
          <w:tcPr>
            <w:tcW w:w="385" w:type="pct"/>
            <w:noWrap/>
            <w:vAlign w:val="center"/>
          </w:tcPr>
          <w:p w14:paraId="72CCA95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1.60E-19</w:t>
            </w:r>
          </w:p>
        </w:tc>
        <w:tc>
          <w:tcPr>
            <w:tcW w:w="387" w:type="pct"/>
            <w:vAlign w:val="center"/>
          </w:tcPr>
          <w:p w14:paraId="308A5A6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1.04E-21</w:t>
            </w:r>
          </w:p>
        </w:tc>
        <w:tc>
          <w:tcPr>
            <w:tcW w:w="387" w:type="pct"/>
            <w:vAlign w:val="center"/>
          </w:tcPr>
          <w:p w14:paraId="46BA365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6" w:type="pct"/>
            <w:noWrap/>
            <w:vAlign w:val="center"/>
          </w:tcPr>
          <w:p w14:paraId="70C3B88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r>
      <w:tr w14:paraId="444074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201E5F1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三铺中学</w:t>
            </w:r>
          </w:p>
        </w:tc>
        <w:tc>
          <w:tcPr>
            <w:tcW w:w="381" w:type="pct"/>
            <w:noWrap/>
            <w:vAlign w:val="center"/>
          </w:tcPr>
          <w:p w14:paraId="4832F7B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66569CD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3.65E-04</w:t>
            </w:r>
          </w:p>
        </w:tc>
        <w:tc>
          <w:tcPr>
            <w:tcW w:w="385" w:type="pct"/>
            <w:noWrap/>
            <w:vAlign w:val="center"/>
          </w:tcPr>
          <w:p w14:paraId="23CCEBF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3.65E-04</w:t>
            </w:r>
          </w:p>
        </w:tc>
        <w:tc>
          <w:tcPr>
            <w:tcW w:w="385" w:type="pct"/>
            <w:noWrap/>
            <w:vAlign w:val="center"/>
          </w:tcPr>
          <w:p w14:paraId="0785D54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3.65E-04</w:t>
            </w:r>
          </w:p>
        </w:tc>
        <w:tc>
          <w:tcPr>
            <w:tcW w:w="385" w:type="pct"/>
            <w:noWrap/>
            <w:vAlign w:val="center"/>
          </w:tcPr>
          <w:p w14:paraId="3453B72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3.65E-04</w:t>
            </w:r>
          </w:p>
        </w:tc>
        <w:tc>
          <w:tcPr>
            <w:tcW w:w="385" w:type="pct"/>
            <w:noWrap/>
            <w:vAlign w:val="center"/>
          </w:tcPr>
          <w:p w14:paraId="0AA5E2A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3.65E-04</w:t>
            </w:r>
          </w:p>
        </w:tc>
        <w:tc>
          <w:tcPr>
            <w:tcW w:w="385" w:type="pct"/>
            <w:noWrap/>
            <w:vAlign w:val="center"/>
          </w:tcPr>
          <w:p w14:paraId="18F5F7B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2.55E-04</w:t>
            </w:r>
          </w:p>
        </w:tc>
        <w:tc>
          <w:tcPr>
            <w:tcW w:w="385" w:type="pct"/>
            <w:noWrap/>
            <w:vAlign w:val="center"/>
          </w:tcPr>
          <w:p w14:paraId="2F2C09E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8.27E-07</w:t>
            </w:r>
          </w:p>
        </w:tc>
        <w:tc>
          <w:tcPr>
            <w:tcW w:w="387" w:type="pct"/>
            <w:vAlign w:val="center"/>
          </w:tcPr>
          <w:p w14:paraId="4784E37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50184D4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6" w:type="pct"/>
            <w:noWrap/>
            <w:vAlign w:val="center"/>
          </w:tcPr>
          <w:p w14:paraId="4F59D4A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r>
      <w:tr w14:paraId="3612CA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77B768D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三铺小学</w:t>
            </w:r>
          </w:p>
        </w:tc>
        <w:tc>
          <w:tcPr>
            <w:tcW w:w="381" w:type="pct"/>
            <w:noWrap/>
            <w:vAlign w:val="center"/>
          </w:tcPr>
          <w:p w14:paraId="523E4B3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3AD9271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37BEA07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1.26E-02</w:t>
            </w:r>
          </w:p>
        </w:tc>
        <w:tc>
          <w:tcPr>
            <w:tcW w:w="385" w:type="pct"/>
            <w:noWrap/>
            <w:vAlign w:val="center"/>
          </w:tcPr>
          <w:p w14:paraId="271DA9C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1.26E-02</w:t>
            </w:r>
          </w:p>
        </w:tc>
        <w:tc>
          <w:tcPr>
            <w:tcW w:w="385" w:type="pct"/>
            <w:noWrap/>
            <w:vAlign w:val="center"/>
          </w:tcPr>
          <w:p w14:paraId="3807F16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1.26E-02</w:t>
            </w:r>
          </w:p>
        </w:tc>
        <w:tc>
          <w:tcPr>
            <w:tcW w:w="385" w:type="pct"/>
            <w:noWrap/>
            <w:vAlign w:val="center"/>
          </w:tcPr>
          <w:p w14:paraId="23C473F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1.26E-02</w:t>
            </w:r>
          </w:p>
        </w:tc>
        <w:tc>
          <w:tcPr>
            <w:tcW w:w="385" w:type="pct"/>
            <w:noWrap/>
            <w:vAlign w:val="center"/>
          </w:tcPr>
          <w:p w14:paraId="42A11D5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1.23E-02</w:t>
            </w:r>
          </w:p>
        </w:tc>
        <w:tc>
          <w:tcPr>
            <w:tcW w:w="385" w:type="pct"/>
            <w:noWrap/>
            <w:vAlign w:val="center"/>
          </w:tcPr>
          <w:p w14:paraId="39EED02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4.81E-03</w:t>
            </w:r>
          </w:p>
        </w:tc>
        <w:tc>
          <w:tcPr>
            <w:tcW w:w="387" w:type="pct"/>
            <w:vAlign w:val="center"/>
          </w:tcPr>
          <w:p w14:paraId="19B3F0D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8.23E-05</w:t>
            </w:r>
          </w:p>
        </w:tc>
        <w:tc>
          <w:tcPr>
            <w:tcW w:w="387" w:type="pct"/>
            <w:vAlign w:val="center"/>
          </w:tcPr>
          <w:p w14:paraId="272C047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6" w:type="pct"/>
            <w:noWrap/>
            <w:vAlign w:val="center"/>
          </w:tcPr>
          <w:p w14:paraId="5EB3E2D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r>
      <w:tr w14:paraId="5BE2FE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09DDE3B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沫河口镇中心小学</w:t>
            </w:r>
          </w:p>
        </w:tc>
        <w:tc>
          <w:tcPr>
            <w:tcW w:w="381" w:type="pct"/>
            <w:noWrap/>
            <w:vAlign w:val="center"/>
          </w:tcPr>
          <w:p w14:paraId="20757D2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5650332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5DC7A9D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4FCBD0A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590FB8C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4B30BA0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275CA10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3.62E-04</w:t>
            </w:r>
          </w:p>
        </w:tc>
        <w:tc>
          <w:tcPr>
            <w:tcW w:w="385" w:type="pct"/>
            <w:noWrap/>
            <w:vAlign w:val="center"/>
          </w:tcPr>
          <w:p w14:paraId="279ACCF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1.05E-03</w:t>
            </w:r>
          </w:p>
        </w:tc>
        <w:tc>
          <w:tcPr>
            <w:tcW w:w="387" w:type="pct"/>
            <w:vAlign w:val="center"/>
          </w:tcPr>
          <w:p w14:paraId="78B5A20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1.80E-03</w:t>
            </w:r>
          </w:p>
        </w:tc>
        <w:tc>
          <w:tcPr>
            <w:tcW w:w="387" w:type="pct"/>
            <w:vAlign w:val="center"/>
          </w:tcPr>
          <w:p w14:paraId="6B16BEC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1.80E-03</w:t>
            </w:r>
          </w:p>
        </w:tc>
        <w:tc>
          <w:tcPr>
            <w:tcW w:w="386" w:type="pct"/>
            <w:noWrap/>
            <w:vAlign w:val="center"/>
          </w:tcPr>
          <w:p w14:paraId="62A12A5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6.58E-04</w:t>
            </w:r>
          </w:p>
        </w:tc>
      </w:tr>
      <w:tr w14:paraId="5AC1B5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2E47E18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蚌埠沫河口中学</w:t>
            </w:r>
          </w:p>
        </w:tc>
        <w:tc>
          <w:tcPr>
            <w:tcW w:w="381" w:type="pct"/>
            <w:noWrap/>
            <w:vAlign w:val="center"/>
          </w:tcPr>
          <w:p w14:paraId="16A500B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531A520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33CA1B6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6B89389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0A4D0FB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495F9F2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7468F78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2.49E-04</w:t>
            </w:r>
          </w:p>
        </w:tc>
        <w:tc>
          <w:tcPr>
            <w:tcW w:w="385" w:type="pct"/>
            <w:noWrap/>
            <w:vAlign w:val="center"/>
          </w:tcPr>
          <w:p w14:paraId="79EBD80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7.06E-04</w:t>
            </w:r>
          </w:p>
        </w:tc>
        <w:tc>
          <w:tcPr>
            <w:tcW w:w="387" w:type="pct"/>
            <w:vAlign w:val="center"/>
          </w:tcPr>
          <w:p w14:paraId="67CB0EA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1.19E-03</w:t>
            </w:r>
          </w:p>
        </w:tc>
        <w:tc>
          <w:tcPr>
            <w:tcW w:w="387" w:type="pct"/>
            <w:vAlign w:val="center"/>
          </w:tcPr>
          <w:p w14:paraId="73FE30F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1.13E-03</w:t>
            </w:r>
          </w:p>
        </w:tc>
        <w:tc>
          <w:tcPr>
            <w:tcW w:w="386" w:type="pct"/>
            <w:noWrap/>
            <w:vAlign w:val="center"/>
          </w:tcPr>
          <w:p w14:paraId="79A8C60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3.86E-04</w:t>
            </w:r>
          </w:p>
        </w:tc>
      </w:tr>
    </w:tbl>
    <w:p w14:paraId="5468BA1D">
      <w:pPr>
        <w:pStyle w:val="28"/>
        <w:rPr>
          <w:rFonts w:hint="eastAsia"/>
        </w:rPr>
      </w:pPr>
      <w:r>
        <w:t>表6.</w:t>
      </w:r>
      <w:r>
        <w:rPr>
          <w:rFonts w:hint="eastAsia"/>
        </w:rPr>
        <w:t>8</w:t>
      </w:r>
      <w:r>
        <w:t>-</w:t>
      </w:r>
      <w:r>
        <w:rPr>
          <w:rFonts w:hint="eastAsia"/>
        </w:rPr>
        <w:t>34</w:t>
      </w:r>
      <w:r>
        <w:t xml:space="preserve">  </w:t>
      </w:r>
      <w:r>
        <w:rPr>
          <w:rFonts w:hint="eastAsia"/>
        </w:rPr>
        <w:t>最常见气象条件下</w:t>
      </w:r>
      <w:r>
        <w:t>敏感点浓度预测结果表(mg/m</w:t>
      </w:r>
      <w:r>
        <w:rPr>
          <w:vertAlign w:val="superscript"/>
        </w:rPr>
        <w:t>3</w:t>
      </w:r>
      <w:r>
        <w:t>)</w:t>
      </w:r>
    </w:p>
    <w:tbl>
      <w:tblPr>
        <w:tblStyle w:val="3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39"/>
        <w:gridCol w:w="1067"/>
        <w:gridCol w:w="1078"/>
        <w:gridCol w:w="1077"/>
        <w:gridCol w:w="1077"/>
        <w:gridCol w:w="1077"/>
        <w:gridCol w:w="1077"/>
        <w:gridCol w:w="1077"/>
        <w:gridCol w:w="1077"/>
        <w:gridCol w:w="1083"/>
        <w:gridCol w:w="1083"/>
        <w:gridCol w:w="1080"/>
      </w:tblGrid>
      <w:tr w14:paraId="5B4F88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000" w:type="pct"/>
            <w:gridSpan w:val="12"/>
          </w:tcPr>
          <w:p w14:paraId="50B8C44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间甲酚储罐泄露情景间甲酚</w:t>
            </w:r>
          </w:p>
        </w:tc>
      </w:tr>
      <w:tr w14:paraId="4D64DE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153B325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名称</w:t>
            </w:r>
          </w:p>
        </w:tc>
        <w:tc>
          <w:tcPr>
            <w:tcW w:w="381" w:type="pct"/>
            <w:noWrap/>
            <w:vAlign w:val="center"/>
          </w:tcPr>
          <w:p w14:paraId="1B07C14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5min</w:t>
            </w:r>
          </w:p>
        </w:tc>
        <w:tc>
          <w:tcPr>
            <w:tcW w:w="385" w:type="pct"/>
            <w:noWrap/>
            <w:vAlign w:val="center"/>
          </w:tcPr>
          <w:p w14:paraId="138E69B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10min</w:t>
            </w:r>
          </w:p>
        </w:tc>
        <w:tc>
          <w:tcPr>
            <w:tcW w:w="385" w:type="pct"/>
            <w:noWrap/>
            <w:vAlign w:val="center"/>
          </w:tcPr>
          <w:p w14:paraId="5979FEF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15min</w:t>
            </w:r>
          </w:p>
        </w:tc>
        <w:tc>
          <w:tcPr>
            <w:tcW w:w="385" w:type="pct"/>
            <w:noWrap/>
            <w:vAlign w:val="center"/>
          </w:tcPr>
          <w:p w14:paraId="3837757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20min</w:t>
            </w:r>
          </w:p>
        </w:tc>
        <w:tc>
          <w:tcPr>
            <w:tcW w:w="385" w:type="pct"/>
            <w:noWrap/>
            <w:vAlign w:val="center"/>
          </w:tcPr>
          <w:p w14:paraId="42A23C5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25min</w:t>
            </w:r>
          </w:p>
        </w:tc>
        <w:tc>
          <w:tcPr>
            <w:tcW w:w="385" w:type="pct"/>
            <w:noWrap/>
            <w:vAlign w:val="center"/>
          </w:tcPr>
          <w:p w14:paraId="64F25F0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30min</w:t>
            </w:r>
          </w:p>
        </w:tc>
        <w:tc>
          <w:tcPr>
            <w:tcW w:w="385" w:type="pct"/>
            <w:noWrap/>
            <w:vAlign w:val="center"/>
          </w:tcPr>
          <w:p w14:paraId="41336B1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40min</w:t>
            </w:r>
          </w:p>
        </w:tc>
        <w:tc>
          <w:tcPr>
            <w:tcW w:w="385" w:type="pct"/>
            <w:noWrap/>
            <w:vAlign w:val="center"/>
          </w:tcPr>
          <w:p w14:paraId="6C9F9D3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50min</w:t>
            </w:r>
          </w:p>
        </w:tc>
        <w:tc>
          <w:tcPr>
            <w:tcW w:w="387" w:type="pct"/>
          </w:tcPr>
          <w:p w14:paraId="425EC3E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6</w:t>
            </w:r>
            <w:r>
              <w:rPr>
                <w:rFonts w:ascii="Times New Roman" w:hAnsi="Times New Roman" w:cs="Times New Roman"/>
                <w:color w:val="000000" w:themeColor="text1"/>
                <w:sz w:val="21"/>
                <w:szCs w:val="21"/>
                <w14:textFill>
                  <w14:solidFill>
                    <w14:schemeClr w14:val="tx1"/>
                  </w14:solidFill>
                </w14:textFill>
              </w:rPr>
              <w:t>0min</w:t>
            </w:r>
          </w:p>
        </w:tc>
        <w:tc>
          <w:tcPr>
            <w:tcW w:w="387" w:type="pct"/>
          </w:tcPr>
          <w:p w14:paraId="488E8A6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75</w:t>
            </w:r>
            <w:r>
              <w:rPr>
                <w:rFonts w:ascii="Times New Roman" w:hAnsi="Times New Roman" w:cs="Times New Roman"/>
                <w:color w:val="000000" w:themeColor="text1"/>
                <w:sz w:val="21"/>
                <w:szCs w:val="21"/>
                <w14:textFill>
                  <w14:solidFill>
                    <w14:schemeClr w14:val="tx1"/>
                  </w14:solidFill>
                </w14:textFill>
              </w:rPr>
              <w:t>min</w:t>
            </w:r>
          </w:p>
        </w:tc>
        <w:tc>
          <w:tcPr>
            <w:tcW w:w="386" w:type="pct"/>
            <w:noWrap/>
            <w:vAlign w:val="center"/>
          </w:tcPr>
          <w:p w14:paraId="1F60533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90</w:t>
            </w:r>
            <w:r>
              <w:rPr>
                <w:rFonts w:ascii="Times New Roman" w:hAnsi="Times New Roman" w:cs="Times New Roman"/>
                <w:color w:val="000000" w:themeColor="text1"/>
                <w:sz w:val="21"/>
                <w:szCs w:val="21"/>
                <w14:textFill>
                  <w14:solidFill>
                    <w14:schemeClr w14:val="tx1"/>
                  </w14:solidFill>
                </w14:textFill>
              </w:rPr>
              <w:t>min</w:t>
            </w:r>
          </w:p>
        </w:tc>
      </w:tr>
      <w:tr w14:paraId="2D4DB8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31ABB6C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前刘</w:t>
            </w:r>
          </w:p>
        </w:tc>
        <w:tc>
          <w:tcPr>
            <w:tcW w:w="381" w:type="pct"/>
            <w:noWrap/>
            <w:vAlign w:val="center"/>
          </w:tcPr>
          <w:p w14:paraId="239052C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72C5602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1905D42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0FA8303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424D636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2DEA2DB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0BE8CF8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7D6D2B4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602325F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3F73DA9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6" w:type="pct"/>
            <w:noWrap/>
            <w:vAlign w:val="center"/>
          </w:tcPr>
          <w:p w14:paraId="5A9550E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r>
      <w:tr w14:paraId="30433E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19B5DA9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邢家</w:t>
            </w:r>
          </w:p>
        </w:tc>
        <w:tc>
          <w:tcPr>
            <w:tcW w:w="381" w:type="pct"/>
            <w:noWrap/>
            <w:vAlign w:val="center"/>
          </w:tcPr>
          <w:p w14:paraId="708EE2A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349B570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4665658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3AF5C82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020CA2F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39D5927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515F93F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5ABBCA2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71467A0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37C44C2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6" w:type="pct"/>
            <w:noWrap/>
            <w:vAlign w:val="center"/>
          </w:tcPr>
          <w:p w14:paraId="00AAB73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r>
      <w:tr w14:paraId="6D04EB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1ECE04F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高王家</w:t>
            </w:r>
          </w:p>
        </w:tc>
        <w:tc>
          <w:tcPr>
            <w:tcW w:w="381" w:type="pct"/>
            <w:noWrap/>
            <w:vAlign w:val="center"/>
          </w:tcPr>
          <w:p w14:paraId="60A039D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7DD7328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43BB13C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7AF1A65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2387E9B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301D163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66EA6A4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49FB793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4F65E38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12D6CD3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6" w:type="pct"/>
            <w:noWrap/>
            <w:vAlign w:val="center"/>
          </w:tcPr>
          <w:p w14:paraId="558BBE0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r>
      <w:tr w14:paraId="072FCE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70DDB7D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尚家湖</w:t>
            </w:r>
          </w:p>
        </w:tc>
        <w:tc>
          <w:tcPr>
            <w:tcW w:w="381" w:type="pct"/>
            <w:noWrap/>
            <w:vAlign w:val="center"/>
          </w:tcPr>
          <w:p w14:paraId="04E209F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6EA553B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5789B7D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595FD3E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4C523D3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0A02FBB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2F80413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66521C9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771EB4B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70090DE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6" w:type="pct"/>
            <w:noWrap/>
            <w:vAlign w:val="center"/>
          </w:tcPr>
          <w:p w14:paraId="266837C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r>
      <w:tr w14:paraId="6CE2CA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5009CB4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大柏村</w:t>
            </w:r>
          </w:p>
        </w:tc>
        <w:tc>
          <w:tcPr>
            <w:tcW w:w="381" w:type="pct"/>
            <w:noWrap/>
            <w:vAlign w:val="center"/>
          </w:tcPr>
          <w:p w14:paraId="22C8D0F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0D06647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4948C19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07374C3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6F74BB9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6C4C89B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4F4CC60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4F56584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3E84A1A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013AA76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6" w:type="pct"/>
            <w:noWrap/>
            <w:vAlign w:val="center"/>
          </w:tcPr>
          <w:p w14:paraId="4234566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r>
      <w:tr w14:paraId="42D96F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5371928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小柏家</w:t>
            </w:r>
          </w:p>
        </w:tc>
        <w:tc>
          <w:tcPr>
            <w:tcW w:w="381" w:type="pct"/>
            <w:noWrap/>
            <w:vAlign w:val="center"/>
          </w:tcPr>
          <w:p w14:paraId="470F41F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2F61D94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57D83B2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1D6204E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54632BE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7B97D47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0ABDF49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345D940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0504D9D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2624D16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6" w:type="pct"/>
            <w:noWrap/>
            <w:vAlign w:val="center"/>
          </w:tcPr>
          <w:p w14:paraId="6D82829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r>
      <w:tr w14:paraId="4AC3CD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2AA55F5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大柏中学</w:t>
            </w:r>
          </w:p>
        </w:tc>
        <w:tc>
          <w:tcPr>
            <w:tcW w:w="381" w:type="pct"/>
            <w:noWrap/>
            <w:vAlign w:val="center"/>
          </w:tcPr>
          <w:p w14:paraId="2547F96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5536D77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33F549F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6423A97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4728925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7A84081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3636984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677C611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29A66B6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70732E6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6" w:type="pct"/>
            <w:noWrap/>
            <w:vAlign w:val="center"/>
          </w:tcPr>
          <w:p w14:paraId="0DC7F30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r>
      <w:tr w14:paraId="769913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54B8458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杜家湖</w:t>
            </w:r>
          </w:p>
        </w:tc>
        <w:tc>
          <w:tcPr>
            <w:tcW w:w="381" w:type="pct"/>
            <w:noWrap/>
            <w:vAlign w:val="center"/>
          </w:tcPr>
          <w:p w14:paraId="3C4FB6D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5926206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26B7235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5AD43C8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1B22615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10FDABE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6EB7F66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2274F6E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7C30F75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7D8D0B3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6" w:type="pct"/>
            <w:noWrap/>
            <w:vAlign w:val="center"/>
          </w:tcPr>
          <w:p w14:paraId="26F3EB5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r>
      <w:tr w14:paraId="0D5168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697C790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草杨家</w:t>
            </w:r>
          </w:p>
        </w:tc>
        <w:tc>
          <w:tcPr>
            <w:tcW w:w="381" w:type="pct"/>
            <w:noWrap/>
            <w:vAlign w:val="center"/>
          </w:tcPr>
          <w:p w14:paraId="673C722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14F38C1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5E5162D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73496C7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62D3822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6733DE9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4BEE2B7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0B05E59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7C46CE7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436C876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6" w:type="pct"/>
            <w:noWrap/>
            <w:vAlign w:val="center"/>
          </w:tcPr>
          <w:p w14:paraId="3594175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r>
      <w:tr w14:paraId="3F8EBA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073189F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小陈家</w:t>
            </w:r>
          </w:p>
        </w:tc>
        <w:tc>
          <w:tcPr>
            <w:tcW w:w="381" w:type="pct"/>
            <w:noWrap/>
            <w:vAlign w:val="center"/>
          </w:tcPr>
          <w:p w14:paraId="128740E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69D15B7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1FADFE7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710874E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6C79689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08ADEB7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132F8EF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228BBBC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65AF56F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12A76EB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6" w:type="pct"/>
            <w:noWrap/>
            <w:vAlign w:val="center"/>
          </w:tcPr>
          <w:p w14:paraId="3C4F0C1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r>
      <w:tr w14:paraId="2A43C6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619F11A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小史家</w:t>
            </w:r>
          </w:p>
        </w:tc>
        <w:tc>
          <w:tcPr>
            <w:tcW w:w="381" w:type="pct"/>
            <w:noWrap/>
            <w:vAlign w:val="center"/>
          </w:tcPr>
          <w:p w14:paraId="2E75B69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74EBC20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137EB52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7EF928E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37A42B6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3021A22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155576B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0AB7790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3BAB171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2DA2093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6" w:type="pct"/>
            <w:noWrap/>
            <w:vAlign w:val="center"/>
          </w:tcPr>
          <w:p w14:paraId="3C47D1A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r>
      <w:tr w14:paraId="237E90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051458C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芦李庄</w:t>
            </w:r>
          </w:p>
        </w:tc>
        <w:tc>
          <w:tcPr>
            <w:tcW w:w="381" w:type="pct"/>
            <w:noWrap/>
            <w:vAlign w:val="center"/>
          </w:tcPr>
          <w:p w14:paraId="789F532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13464FE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0B74C65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19E899A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0B5C0E3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659A065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60F1C71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3670946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17F915D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49C7D9A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6" w:type="pct"/>
            <w:noWrap/>
            <w:vAlign w:val="center"/>
          </w:tcPr>
          <w:p w14:paraId="12F6DCB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r>
      <w:tr w14:paraId="0D4615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4974C32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夏家湖</w:t>
            </w:r>
          </w:p>
        </w:tc>
        <w:tc>
          <w:tcPr>
            <w:tcW w:w="381" w:type="pct"/>
            <w:noWrap/>
            <w:vAlign w:val="center"/>
          </w:tcPr>
          <w:p w14:paraId="1F6FB60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1BA775A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025A31B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5932C28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0B5C941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79AA6DA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1A3C9E9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229BFBD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551A294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67AF248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6" w:type="pct"/>
            <w:noWrap/>
            <w:vAlign w:val="center"/>
          </w:tcPr>
          <w:p w14:paraId="4519E3D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r>
      <w:tr w14:paraId="116D5D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54A4858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郭台子</w:t>
            </w:r>
          </w:p>
        </w:tc>
        <w:tc>
          <w:tcPr>
            <w:tcW w:w="381" w:type="pct"/>
            <w:noWrap/>
            <w:vAlign w:val="center"/>
          </w:tcPr>
          <w:p w14:paraId="46A341E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00249ED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17EED9C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412667B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7964A77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2578FB5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2D4FD9C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6B61991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1A3A778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5009034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6" w:type="pct"/>
            <w:noWrap/>
            <w:vAlign w:val="center"/>
          </w:tcPr>
          <w:p w14:paraId="04CEED2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r>
      <w:tr w14:paraId="17CECE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2BAB607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胡圩</w:t>
            </w:r>
          </w:p>
        </w:tc>
        <w:tc>
          <w:tcPr>
            <w:tcW w:w="381" w:type="pct"/>
            <w:noWrap/>
            <w:vAlign w:val="center"/>
          </w:tcPr>
          <w:p w14:paraId="689F7D9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49A18F4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5601671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0EDC92D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3EFAA98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3147B02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263DED3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30C2F68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427984A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4AE3813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6" w:type="pct"/>
            <w:noWrap/>
            <w:vAlign w:val="center"/>
          </w:tcPr>
          <w:p w14:paraId="14E106C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r>
      <w:tr w14:paraId="00E274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73E5158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二铺</w:t>
            </w:r>
          </w:p>
        </w:tc>
        <w:tc>
          <w:tcPr>
            <w:tcW w:w="381" w:type="pct"/>
            <w:noWrap/>
            <w:vAlign w:val="center"/>
          </w:tcPr>
          <w:p w14:paraId="3677445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188694B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7E038CF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6943B5D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65A32E4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40323BD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622EAB3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336ACCA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2339BF3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796982A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6" w:type="pct"/>
            <w:noWrap/>
            <w:vAlign w:val="center"/>
          </w:tcPr>
          <w:p w14:paraId="5FC76E6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r>
      <w:tr w14:paraId="7EC8E0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0A9676D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小杨家</w:t>
            </w:r>
          </w:p>
        </w:tc>
        <w:tc>
          <w:tcPr>
            <w:tcW w:w="381" w:type="pct"/>
            <w:noWrap/>
            <w:vAlign w:val="center"/>
          </w:tcPr>
          <w:p w14:paraId="495AD1C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3C2EAE4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65E18A7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18894CC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6652159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7613831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65991AD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3DA886E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054BEDA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4CE8560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6" w:type="pct"/>
            <w:noWrap/>
            <w:vAlign w:val="center"/>
          </w:tcPr>
          <w:p w14:paraId="08389C1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r>
      <w:tr w14:paraId="2C2DF7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7B5A10B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段庄村</w:t>
            </w:r>
          </w:p>
        </w:tc>
        <w:tc>
          <w:tcPr>
            <w:tcW w:w="381" w:type="pct"/>
            <w:noWrap/>
            <w:vAlign w:val="center"/>
          </w:tcPr>
          <w:p w14:paraId="493FA0D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2909E45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7B88E89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4E4EE72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4406B35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501AC0D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2D6590D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2C73391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5B60FF4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332EA9F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6" w:type="pct"/>
            <w:noWrap/>
            <w:vAlign w:val="center"/>
          </w:tcPr>
          <w:p w14:paraId="203BAB7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r>
      <w:tr w14:paraId="35633E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7A82B26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大庄口村</w:t>
            </w:r>
          </w:p>
        </w:tc>
        <w:tc>
          <w:tcPr>
            <w:tcW w:w="381" w:type="pct"/>
            <w:noWrap/>
            <w:vAlign w:val="center"/>
          </w:tcPr>
          <w:p w14:paraId="0304345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5358327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7995B32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7F0817B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7483D60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00B683B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74E7CDB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7BCC7F5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6F3EDE8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59EC202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6" w:type="pct"/>
            <w:noWrap/>
            <w:vAlign w:val="center"/>
          </w:tcPr>
          <w:p w14:paraId="529B930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r>
      <w:tr w14:paraId="2E413E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3B5C6E0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石家</w:t>
            </w:r>
          </w:p>
        </w:tc>
        <w:tc>
          <w:tcPr>
            <w:tcW w:w="381" w:type="pct"/>
            <w:noWrap/>
            <w:vAlign w:val="center"/>
          </w:tcPr>
          <w:p w14:paraId="63F68A4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0424211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7916FC0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01D0402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2D39483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09946D7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1E37D53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5EFB127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6100529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646E6D1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6" w:type="pct"/>
            <w:noWrap/>
            <w:vAlign w:val="center"/>
          </w:tcPr>
          <w:p w14:paraId="7B5CB2B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r>
      <w:tr w14:paraId="30B474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17F8054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地理所</w:t>
            </w:r>
          </w:p>
        </w:tc>
        <w:tc>
          <w:tcPr>
            <w:tcW w:w="381" w:type="pct"/>
            <w:noWrap/>
            <w:vAlign w:val="center"/>
          </w:tcPr>
          <w:p w14:paraId="20F001A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327B999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4ABF10D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1EF6C92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7C90837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4F11187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5DE4872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232137D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4C68CD3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6B9565B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6" w:type="pct"/>
            <w:noWrap/>
            <w:vAlign w:val="center"/>
          </w:tcPr>
          <w:p w14:paraId="5D6CC45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r>
      <w:tr w14:paraId="3A64E9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15EDDAF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店子</w:t>
            </w:r>
          </w:p>
        </w:tc>
        <w:tc>
          <w:tcPr>
            <w:tcW w:w="381" w:type="pct"/>
            <w:noWrap/>
            <w:vAlign w:val="center"/>
          </w:tcPr>
          <w:p w14:paraId="60F6B4D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7385486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9.12E-34</w:t>
            </w:r>
          </w:p>
        </w:tc>
        <w:tc>
          <w:tcPr>
            <w:tcW w:w="385" w:type="pct"/>
            <w:noWrap/>
            <w:vAlign w:val="center"/>
          </w:tcPr>
          <w:p w14:paraId="5B380B4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9.12E-34</w:t>
            </w:r>
          </w:p>
        </w:tc>
        <w:tc>
          <w:tcPr>
            <w:tcW w:w="385" w:type="pct"/>
            <w:noWrap/>
            <w:vAlign w:val="center"/>
          </w:tcPr>
          <w:p w14:paraId="1016B8D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9.12E-34</w:t>
            </w:r>
          </w:p>
        </w:tc>
        <w:tc>
          <w:tcPr>
            <w:tcW w:w="385" w:type="pct"/>
            <w:noWrap/>
            <w:vAlign w:val="center"/>
          </w:tcPr>
          <w:p w14:paraId="52BD82C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9.12E-34</w:t>
            </w:r>
          </w:p>
        </w:tc>
        <w:tc>
          <w:tcPr>
            <w:tcW w:w="385" w:type="pct"/>
            <w:noWrap/>
            <w:vAlign w:val="center"/>
          </w:tcPr>
          <w:p w14:paraId="4B4E8CA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9.12E-34</w:t>
            </w:r>
          </w:p>
        </w:tc>
        <w:tc>
          <w:tcPr>
            <w:tcW w:w="385" w:type="pct"/>
            <w:noWrap/>
            <w:vAlign w:val="center"/>
          </w:tcPr>
          <w:p w14:paraId="1F77527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3FA2761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569A382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75695FD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6" w:type="pct"/>
            <w:noWrap/>
            <w:vAlign w:val="center"/>
          </w:tcPr>
          <w:p w14:paraId="668FEC3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r>
      <w:tr w14:paraId="705AC3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4C51060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于家村</w:t>
            </w:r>
          </w:p>
        </w:tc>
        <w:tc>
          <w:tcPr>
            <w:tcW w:w="381" w:type="pct"/>
            <w:noWrap/>
            <w:vAlign w:val="center"/>
          </w:tcPr>
          <w:p w14:paraId="5B60653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1C1733A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4124D37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3CD0B77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4.75E-14</w:t>
            </w:r>
          </w:p>
        </w:tc>
        <w:tc>
          <w:tcPr>
            <w:tcW w:w="385" w:type="pct"/>
            <w:noWrap/>
            <w:vAlign w:val="center"/>
          </w:tcPr>
          <w:p w14:paraId="2E1A73F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4.75E-14</w:t>
            </w:r>
          </w:p>
        </w:tc>
        <w:tc>
          <w:tcPr>
            <w:tcW w:w="385" w:type="pct"/>
            <w:noWrap/>
            <w:vAlign w:val="center"/>
          </w:tcPr>
          <w:p w14:paraId="47E0C07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4.75E-14</w:t>
            </w:r>
          </w:p>
        </w:tc>
        <w:tc>
          <w:tcPr>
            <w:tcW w:w="385" w:type="pct"/>
            <w:noWrap/>
            <w:vAlign w:val="center"/>
          </w:tcPr>
          <w:p w14:paraId="1444BCB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4.68E-14</w:t>
            </w:r>
          </w:p>
        </w:tc>
        <w:tc>
          <w:tcPr>
            <w:tcW w:w="385" w:type="pct"/>
            <w:noWrap/>
            <w:vAlign w:val="center"/>
          </w:tcPr>
          <w:p w14:paraId="2C07D13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2.75E-14</w:t>
            </w:r>
          </w:p>
        </w:tc>
        <w:tc>
          <w:tcPr>
            <w:tcW w:w="387" w:type="pct"/>
            <w:vAlign w:val="center"/>
          </w:tcPr>
          <w:p w14:paraId="42F292B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1.66E-15</w:t>
            </w:r>
          </w:p>
        </w:tc>
        <w:tc>
          <w:tcPr>
            <w:tcW w:w="387" w:type="pct"/>
            <w:vAlign w:val="center"/>
          </w:tcPr>
          <w:p w14:paraId="6EF4090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6" w:type="pct"/>
            <w:noWrap/>
            <w:vAlign w:val="center"/>
          </w:tcPr>
          <w:p w14:paraId="230ACCA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r>
      <w:tr w14:paraId="07F6AF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651700E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于家小学</w:t>
            </w:r>
          </w:p>
        </w:tc>
        <w:tc>
          <w:tcPr>
            <w:tcW w:w="381" w:type="pct"/>
            <w:noWrap/>
            <w:vAlign w:val="center"/>
          </w:tcPr>
          <w:p w14:paraId="3E8A0E4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5151D53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4B6E682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4.50E-17</w:t>
            </w:r>
          </w:p>
        </w:tc>
        <w:tc>
          <w:tcPr>
            <w:tcW w:w="385" w:type="pct"/>
            <w:noWrap/>
            <w:vAlign w:val="center"/>
          </w:tcPr>
          <w:p w14:paraId="659E04E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4.50E-17</w:t>
            </w:r>
          </w:p>
        </w:tc>
        <w:tc>
          <w:tcPr>
            <w:tcW w:w="385" w:type="pct"/>
            <w:noWrap/>
            <w:vAlign w:val="center"/>
          </w:tcPr>
          <w:p w14:paraId="7A2E9A8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4.50E-17</w:t>
            </w:r>
          </w:p>
        </w:tc>
        <w:tc>
          <w:tcPr>
            <w:tcW w:w="385" w:type="pct"/>
            <w:noWrap/>
            <w:vAlign w:val="center"/>
          </w:tcPr>
          <w:p w14:paraId="68EB4F5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4.50E-17</w:t>
            </w:r>
          </w:p>
        </w:tc>
        <w:tc>
          <w:tcPr>
            <w:tcW w:w="385" w:type="pct"/>
            <w:noWrap/>
            <w:vAlign w:val="center"/>
          </w:tcPr>
          <w:p w14:paraId="264F80D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4.39E-17</w:t>
            </w:r>
          </w:p>
        </w:tc>
        <w:tc>
          <w:tcPr>
            <w:tcW w:w="385" w:type="pct"/>
            <w:noWrap/>
            <w:vAlign w:val="center"/>
          </w:tcPr>
          <w:p w14:paraId="530F8A5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1.78E-17</w:t>
            </w:r>
          </w:p>
        </w:tc>
        <w:tc>
          <w:tcPr>
            <w:tcW w:w="387" w:type="pct"/>
            <w:vAlign w:val="center"/>
          </w:tcPr>
          <w:p w14:paraId="163AB5E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2.90E-19</w:t>
            </w:r>
          </w:p>
        </w:tc>
        <w:tc>
          <w:tcPr>
            <w:tcW w:w="387" w:type="pct"/>
            <w:vAlign w:val="center"/>
          </w:tcPr>
          <w:p w14:paraId="6560016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6" w:type="pct"/>
            <w:noWrap/>
            <w:vAlign w:val="center"/>
          </w:tcPr>
          <w:p w14:paraId="2F23B58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r>
      <w:tr w14:paraId="52C26D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1DB72CE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陈巷</w:t>
            </w:r>
          </w:p>
        </w:tc>
        <w:tc>
          <w:tcPr>
            <w:tcW w:w="381" w:type="pct"/>
            <w:noWrap/>
            <w:vAlign w:val="center"/>
          </w:tcPr>
          <w:p w14:paraId="174228E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60280C5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7B6E716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570213D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6.16E-11</w:t>
            </w:r>
          </w:p>
        </w:tc>
        <w:tc>
          <w:tcPr>
            <w:tcW w:w="385" w:type="pct"/>
            <w:noWrap/>
            <w:vAlign w:val="center"/>
          </w:tcPr>
          <w:p w14:paraId="05BF6C8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6.16E-11</w:t>
            </w:r>
          </w:p>
        </w:tc>
        <w:tc>
          <w:tcPr>
            <w:tcW w:w="385" w:type="pct"/>
            <w:noWrap/>
            <w:vAlign w:val="center"/>
          </w:tcPr>
          <w:p w14:paraId="1BB35FF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6.16E-11</w:t>
            </w:r>
          </w:p>
        </w:tc>
        <w:tc>
          <w:tcPr>
            <w:tcW w:w="385" w:type="pct"/>
            <w:noWrap/>
            <w:vAlign w:val="center"/>
          </w:tcPr>
          <w:p w14:paraId="4B7485C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6.10E-11</w:t>
            </w:r>
          </w:p>
        </w:tc>
        <w:tc>
          <w:tcPr>
            <w:tcW w:w="385" w:type="pct"/>
            <w:noWrap/>
            <w:vAlign w:val="center"/>
          </w:tcPr>
          <w:p w14:paraId="503D0C5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4.93E-11</w:t>
            </w:r>
          </w:p>
        </w:tc>
        <w:tc>
          <w:tcPr>
            <w:tcW w:w="387" w:type="pct"/>
            <w:vAlign w:val="center"/>
          </w:tcPr>
          <w:p w14:paraId="510F58C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1.15E-11</w:t>
            </w:r>
          </w:p>
        </w:tc>
        <w:tc>
          <w:tcPr>
            <w:tcW w:w="387" w:type="pct"/>
            <w:vAlign w:val="center"/>
          </w:tcPr>
          <w:p w14:paraId="54CD5E5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1.37E-14</w:t>
            </w:r>
          </w:p>
        </w:tc>
        <w:tc>
          <w:tcPr>
            <w:tcW w:w="386" w:type="pct"/>
            <w:noWrap/>
            <w:vAlign w:val="center"/>
          </w:tcPr>
          <w:p w14:paraId="65AA566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r>
      <w:tr w14:paraId="5DEC20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07EA537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小朱家</w:t>
            </w:r>
          </w:p>
        </w:tc>
        <w:tc>
          <w:tcPr>
            <w:tcW w:w="381" w:type="pct"/>
            <w:noWrap/>
            <w:vAlign w:val="center"/>
          </w:tcPr>
          <w:p w14:paraId="4391BFE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497C8E9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4A76DFC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4D7342C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1.34E-10</w:t>
            </w:r>
          </w:p>
        </w:tc>
        <w:tc>
          <w:tcPr>
            <w:tcW w:w="385" w:type="pct"/>
            <w:noWrap/>
            <w:vAlign w:val="center"/>
          </w:tcPr>
          <w:p w14:paraId="59D5F80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1.34E-10</w:t>
            </w:r>
          </w:p>
        </w:tc>
        <w:tc>
          <w:tcPr>
            <w:tcW w:w="385" w:type="pct"/>
            <w:noWrap/>
            <w:vAlign w:val="center"/>
          </w:tcPr>
          <w:p w14:paraId="00990AA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1.34E-10</w:t>
            </w:r>
          </w:p>
        </w:tc>
        <w:tc>
          <w:tcPr>
            <w:tcW w:w="385" w:type="pct"/>
            <w:noWrap/>
            <w:vAlign w:val="center"/>
          </w:tcPr>
          <w:p w14:paraId="0A3B321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1.33E-10</w:t>
            </w:r>
          </w:p>
        </w:tc>
        <w:tc>
          <w:tcPr>
            <w:tcW w:w="385" w:type="pct"/>
            <w:noWrap/>
            <w:vAlign w:val="center"/>
          </w:tcPr>
          <w:p w14:paraId="1BFC77E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1.11E-10</w:t>
            </w:r>
          </w:p>
        </w:tc>
        <w:tc>
          <w:tcPr>
            <w:tcW w:w="387" w:type="pct"/>
            <w:vAlign w:val="center"/>
          </w:tcPr>
          <w:p w14:paraId="3F90304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3.00E-11</w:t>
            </w:r>
          </w:p>
        </w:tc>
        <w:tc>
          <w:tcPr>
            <w:tcW w:w="387" w:type="pct"/>
            <w:vAlign w:val="center"/>
          </w:tcPr>
          <w:p w14:paraId="19989F5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6.19E-14</w:t>
            </w:r>
          </w:p>
        </w:tc>
        <w:tc>
          <w:tcPr>
            <w:tcW w:w="386" w:type="pct"/>
            <w:noWrap/>
            <w:vAlign w:val="center"/>
          </w:tcPr>
          <w:p w14:paraId="0F26C8A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r>
      <w:tr w14:paraId="090009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469C68E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汤陈村</w:t>
            </w:r>
          </w:p>
        </w:tc>
        <w:tc>
          <w:tcPr>
            <w:tcW w:w="381" w:type="pct"/>
            <w:noWrap/>
            <w:vAlign w:val="center"/>
          </w:tcPr>
          <w:p w14:paraId="7971ED2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22A35BE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7008FD3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23E5FF9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498B261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7A40F8D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2.51E-08</w:t>
            </w:r>
          </w:p>
        </w:tc>
        <w:tc>
          <w:tcPr>
            <w:tcW w:w="385" w:type="pct"/>
            <w:noWrap/>
            <w:vAlign w:val="center"/>
          </w:tcPr>
          <w:p w14:paraId="29979B6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2.11E-08</w:t>
            </w:r>
          </w:p>
        </w:tc>
        <w:tc>
          <w:tcPr>
            <w:tcW w:w="385" w:type="pct"/>
            <w:noWrap/>
            <w:vAlign w:val="center"/>
          </w:tcPr>
          <w:p w14:paraId="3830F6D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2.37E-08</w:t>
            </w:r>
          </w:p>
        </w:tc>
        <w:tc>
          <w:tcPr>
            <w:tcW w:w="387" w:type="pct"/>
            <w:vAlign w:val="center"/>
          </w:tcPr>
          <w:p w14:paraId="497B443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1.60E-08</w:t>
            </w:r>
          </w:p>
        </w:tc>
        <w:tc>
          <w:tcPr>
            <w:tcW w:w="387" w:type="pct"/>
            <w:vAlign w:val="center"/>
          </w:tcPr>
          <w:p w14:paraId="18F4DA3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1.19E-09</w:t>
            </w:r>
          </w:p>
        </w:tc>
        <w:tc>
          <w:tcPr>
            <w:tcW w:w="386" w:type="pct"/>
            <w:noWrap/>
            <w:vAlign w:val="center"/>
          </w:tcPr>
          <w:p w14:paraId="0463F02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1.93E-12</w:t>
            </w:r>
          </w:p>
        </w:tc>
      </w:tr>
      <w:tr w14:paraId="49AD29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61836DA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沫河口镇</w:t>
            </w:r>
          </w:p>
        </w:tc>
        <w:tc>
          <w:tcPr>
            <w:tcW w:w="381" w:type="pct"/>
            <w:noWrap/>
            <w:vAlign w:val="center"/>
          </w:tcPr>
          <w:p w14:paraId="0A11B9F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65190C7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0CFFAD6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47AC64D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3BA67CA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7D09E57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7FB5FB2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1.93E-07</w:t>
            </w:r>
          </w:p>
        </w:tc>
        <w:tc>
          <w:tcPr>
            <w:tcW w:w="385" w:type="pct"/>
            <w:noWrap/>
            <w:vAlign w:val="center"/>
          </w:tcPr>
          <w:p w14:paraId="0370BBB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3.31E-07</w:t>
            </w:r>
          </w:p>
        </w:tc>
        <w:tc>
          <w:tcPr>
            <w:tcW w:w="387" w:type="pct"/>
            <w:vAlign w:val="center"/>
          </w:tcPr>
          <w:p w14:paraId="16DD5BE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3.31E-07</w:t>
            </w:r>
          </w:p>
        </w:tc>
        <w:tc>
          <w:tcPr>
            <w:tcW w:w="387" w:type="pct"/>
            <w:vAlign w:val="center"/>
          </w:tcPr>
          <w:p w14:paraId="451A93C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1.11E-07</w:t>
            </w:r>
          </w:p>
        </w:tc>
        <w:tc>
          <w:tcPr>
            <w:tcW w:w="386" w:type="pct"/>
            <w:noWrap/>
            <w:vAlign w:val="center"/>
          </w:tcPr>
          <w:p w14:paraId="27A3958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4.86E-09</w:t>
            </w:r>
          </w:p>
        </w:tc>
      </w:tr>
      <w:tr w14:paraId="07C6EC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13286BD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三铺村</w:t>
            </w:r>
          </w:p>
        </w:tc>
        <w:tc>
          <w:tcPr>
            <w:tcW w:w="381" w:type="pct"/>
            <w:noWrap/>
            <w:vAlign w:val="center"/>
          </w:tcPr>
          <w:p w14:paraId="10BD176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41389D0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33EC9C4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1.20E-05</w:t>
            </w:r>
          </w:p>
        </w:tc>
        <w:tc>
          <w:tcPr>
            <w:tcW w:w="385" w:type="pct"/>
            <w:noWrap/>
            <w:vAlign w:val="center"/>
          </w:tcPr>
          <w:p w14:paraId="173483B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1.20E-05</w:t>
            </w:r>
          </w:p>
        </w:tc>
        <w:tc>
          <w:tcPr>
            <w:tcW w:w="385" w:type="pct"/>
            <w:noWrap/>
            <w:vAlign w:val="center"/>
          </w:tcPr>
          <w:p w14:paraId="54AD221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1.20E-05</w:t>
            </w:r>
          </w:p>
        </w:tc>
        <w:tc>
          <w:tcPr>
            <w:tcW w:w="385" w:type="pct"/>
            <w:noWrap/>
            <w:vAlign w:val="center"/>
          </w:tcPr>
          <w:p w14:paraId="110107A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1.20E-05</w:t>
            </w:r>
          </w:p>
        </w:tc>
        <w:tc>
          <w:tcPr>
            <w:tcW w:w="385" w:type="pct"/>
            <w:noWrap/>
            <w:vAlign w:val="center"/>
          </w:tcPr>
          <w:p w14:paraId="6F8F2F7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1.06E-05</w:t>
            </w:r>
          </w:p>
        </w:tc>
        <w:tc>
          <w:tcPr>
            <w:tcW w:w="385" w:type="pct"/>
            <w:noWrap/>
            <w:vAlign w:val="center"/>
          </w:tcPr>
          <w:p w14:paraId="631DB37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5.69E-07</w:t>
            </w:r>
          </w:p>
        </w:tc>
        <w:tc>
          <w:tcPr>
            <w:tcW w:w="387" w:type="pct"/>
            <w:vAlign w:val="center"/>
          </w:tcPr>
          <w:p w14:paraId="057B9D9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7259D29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6" w:type="pct"/>
            <w:noWrap/>
            <w:vAlign w:val="center"/>
          </w:tcPr>
          <w:p w14:paraId="7AF0ED2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r>
      <w:tr w14:paraId="7B3576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756EA38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李洼</w:t>
            </w:r>
          </w:p>
        </w:tc>
        <w:tc>
          <w:tcPr>
            <w:tcW w:w="381" w:type="pct"/>
            <w:noWrap/>
            <w:vAlign w:val="center"/>
          </w:tcPr>
          <w:p w14:paraId="30849A5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6A21878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2358CE9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20FA1F1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3687A3F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2.19E-06</w:t>
            </w:r>
          </w:p>
        </w:tc>
        <w:tc>
          <w:tcPr>
            <w:tcW w:w="385" w:type="pct"/>
            <w:noWrap/>
            <w:vAlign w:val="center"/>
          </w:tcPr>
          <w:p w14:paraId="0CA97F0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2.19E-06</w:t>
            </w:r>
          </w:p>
        </w:tc>
        <w:tc>
          <w:tcPr>
            <w:tcW w:w="385" w:type="pct"/>
            <w:noWrap/>
            <w:vAlign w:val="center"/>
          </w:tcPr>
          <w:p w14:paraId="5D7A78D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2.07E-06</w:t>
            </w:r>
          </w:p>
        </w:tc>
        <w:tc>
          <w:tcPr>
            <w:tcW w:w="385" w:type="pct"/>
            <w:noWrap/>
            <w:vAlign w:val="center"/>
          </w:tcPr>
          <w:p w14:paraId="3E7ADFB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1.99E-06</w:t>
            </w:r>
          </w:p>
        </w:tc>
        <w:tc>
          <w:tcPr>
            <w:tcW w:w="387" w:type="pct"/>
            <w:vAlign w:val="center"/>
          </w:tcPr>
          <w:p w14:paraId="0AE65DB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9.71E-07</w:t>
            </w:r>
          </w:p>
        </w:tc>
        <w:tc>
          <w:tcPr>
            <w:tcW w:w="387" w:type="pct"/>
            <w:vAlign w:val="center"/>
          </w:tcPr>
          <w:p w14:paraId="42A6A36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1.83E-08</w:t>
            </w:r>
          </w:p>
        </w:tc>
        <w:tc>
          <w:tcPr>
            <w:tcW w:w="386" w:type="pct"/>
            <w:noWrap/>
            <w:vAlign w:val="center"/>
          </w:tcPr>
          <w:p w14:paraId="0DD68EE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r>
      <w:tr w14:paraId="299F6C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4D04A8D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小石家</w:t>
            </w:r>
          </w:p>
        </w:tc>
        <w:tc>
          <w:tcPr>
            <w:tcW w:w="381" w:type="pct"/>
            <w:noWrap/>
            <w:vAlign w:val="center"/>
          </w:tcPr>
          <w:p w14:paraId="46CF2FC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1568CB0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7042587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3C487D2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43F7578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02E4CB2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1.74E-06</w:t>
            </w:r>
          </w:p>
        </w:tc>
        <w:tc>
          <w:tcPr>
            <w:tcW w:w="385" w:type="pct"/>
            <w:noWrap/>
            <w:vAlign w:val="center"/>
          </w:tcPr>
          <w:p w14:paraId="1E516D9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1.40E-06</w:t>
            </w:r>
          </w:p>
        </w:tc>
        <w:tc>
          <w:tcPr>
            <w:tcW w:w="385" w:type="pct"/>
            <w:noWrap/>
            <w:vAlign w:val="center"/>
          </w:tcPr>
          <w:p w14:paraId="34E6AB2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1.65E-06</w:t>
            </w:r>
          </w:p>
        </w:tc>
        <w:tc>
          <w:tcPr>
            <w:tcW w:w="387" w:type="pct"/>
            <w:vAlign w:val="center"/>
          </w:tcPr>
          <w:p w14:paraId="103FD6F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1.18E-06</w:t>
            </w:r>
          </w:p>
        </w:tc>
        <w:tc>
          <w:tcPr>
            <w:tcW w:w="387" w:type="pct"/>
            <w:vAlign w:val="center"/>
          </w:tcPr>
          <w:p w14:paraId="7C26DAF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1.15E-07</w:t>
            </w:r>
          </w:p>
        </w:tc>
        <w:tc>
          <w:tcPr>
            <w:tcW w:w="386" w:type="pct"/>
            <w:noWrap/>
            <w:vAlign w:val="center"/>
          </w:tcPr>
          <w:p w14:paraId="79AAD44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3.78E-10</w:t>
            </w:r>
          </w:p>
        </w:tc>
      </w:tr>
      <w:tr w14:paraId="4F3F90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63FF611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团结村</w:t>
            </w:r>
          </w:p>
        </w:tc>
        <w:tc>
          <w:tcPr>
            <w:tcW w:w="381" w:type="pct"/>
            <w:noWrap/>
            <w:vAlign w:val="center"/>
          </w:tcPr>
          <w:p w14:paraId="573BA8E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26CCB7E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16B82C6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328B4AB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24BD771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138F755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1.73E-06</w:t>
            </w:r>
          </w:p>
        </w:tc>
        <w:tc>
          <w:tcPr>
            <w:tcW w:w="385" w:type="pct"/>
            <w:noWrap/>
            <w:vAlign w:val="center"/>
          </w:tcPr>
          <w:p w14:paraId="01947FD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1.35E-06</w:t>
            </w:r>
          </w:p>
        </w:tc>
        <w:tc>
          <w:tcPr>
            <w:tcW w:w="385" w:type="pct"/>
            <w:noWrap/>
            <w:vAlign w:val="center"/>
          </w:tcPr>
          <w:p w14:paraId="38F925A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1.64E-06</w:t>
            </w:r>
          </w:p>
        </w:tc>
        <w:tc>
          <w:tcPr>
            <w:tcW w:w="387" w:type="pct"/>
            <w:vAlign w:val="center"/>
          </w:tcPr>
          <w:p w14:paraId="492693F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1.22E-06</w:t>
            </w:r>
          </w:p>
        </w:tc>
        <w:tc>
          <w:tcPr>
            <w:tcW w:w="387" w:type="pct"/>
            <w:vAlign w:val="center"/>
          </w:tcPr>
          <w:p w14:paraId="680772A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1.39E-07</w:t>
            </w:r>
          </w:p>
        </w:tc>
        <w:tc>
          <w:tcPr>
            <w:tcW w:w="386" w:type="pct"/>
            <w:noWrap/>
            <w:vAlign w:val="center"/>
          </w:tcPr>
          <w:p w14:paraId="00C6372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6.51E-10</w:t>
            </w:r>
          </w:p>
        </w:tc>
      </w:tr>
      <w:tr w14:paraId="4AA6D6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548E4F2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小王家</w:t>
            </w:r>
          </w:p>
        </w:tc>
        <w:tc>
          <w:tcPr>
            <w:tcW w:w="381" w:type="pct"/>
            <w:noWrap/>
            <w:vAlign w:val="center"/>
          </w:tcPr>
          <w:p w14:paraId="727F774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1F102FD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4B0842E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16FBF5D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5B13AD2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1CE6557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9.84E-07</w:t>
            </w:r>
          </w:p>
        </w:tc>
        <w:tc>
          <w:tcPr>
            <w:tcW w:w="385" w:type="pct"/>
            <w:noWrap/>
            <w:vAlign w:val="center"/>
          </w:tcPr>
          <w:p w14:paraId="4B6859D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6.64E-07</w:t>
            </w:r>
          </w:p>
        </w:tc>
        <w:tc>
          <w:tcPr>
            <w:tcW w:w="385" w:type="pct"/>
            <w:noWrap/>
            <w:vAlign w:val="center"/>
          </w:tcPr>
          <w:p w14:paraId="7D4C6B9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9.16E-07</w:t>
            </w:r>
          </w:p>
        </w:tc>
        <w:tc>
          <w:tcPr>
            <w:tcW w:w="387" w:type="pct"/>
            <w:vAlign w:val="center"/>
          </w:tcPr>
          <w:p w14:paraId="77C981A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7.66E-07</w:t>
            </w:r>
          </w:p>
        </w:tc>
        <w:tc>
          <w:tcPr>
            <w:tcW w:w="387" w:type="pct"/>
            <w:vAlign w:val="center"/>
          </w:tcPr>
          <w:p w14:paraId="0880149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1.43E-07</w:t>
            </w:r>
          </w:p>
        </w:tc>
        <w:tc>
          <w:tcPr>
            <w:tcW w:w="386" w:type="pct"/>
            <w:noWrap/>
            <w:vAlign w:val="center"/>
          </w:tcPr>
          <w:p w14:paraId="34A21FB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1.81E-09</w:t>
            </w:r>
          </w:p>
        </w:tc>
      </w:tr>
      <w:tr w14:paraId="06F3EB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7D89F4A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曹吴村</w:t>
            </w:r>
          </w:p>
        </w:tc>
        <w:tc>
          <w:tcPr>
            <w:tcW w:w="381" w:type="pct"/>
            <w:noWrap/>
            <w:vAlign w:val="center"/>
          </w:tcPr>
          <w:p w14:paraId="307B36C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01F2672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4B6C601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17AE53A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15CC189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3.52E-07</w:t>
            </w:r>
          </w:p>
        </w:tc>
        <w:tc>
          <w:tcPr>
            <w:tcW w:w="385" w:type="pct"/>
            <w:noWrap/>
            <w:vAlign w:val="center"/>
          </w:tcPr>
          <w:p w14:paraId="51D83A6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3.52E-07</w:t>
            </w:r>
          </w:p>
        </w:tc>
        <w:tc>
          <w:tcPr>
            <w:tcW w:w="385" w:type="pct"/>
            <w:noWrap/>
            <w:vAlign w:val="center"/>
          </w:tcPr>
          <w:p w14:paraId="6F45BB0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3.07E-07</w:t>
            </w:r>
          </w:p>
        </w:tc>
        <w:tc>
          <w:tcPr>
            <w:tcW w:w="385" w:type="pct"/>
            <w:noWrap/>
            <w:vAlign w:val="center"/>
          </w:tcPr>
          <w:p w14:paraId="61245F5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3.32E-07</w:t>
            </w:r>
          </w:p>
        </w:tc>
        <w:tc>
          <w:tcPr>
            <w:tcW w:w="387" w:type="pct"/>
            <w:vAlign w:val="center"/>
          </w:tcPr>
          <w:p w14:paraId="4B6B8DF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2.10E-07</w:t>
            </w:r>
          </w:p>
        </w:tc>
        <w:tc>
          <w:tcPr>
            <w:tcW w:w="387" w:type="pct"/>
            <w:vAlign w:val="center"/>
          </w:tcPr>
          <w:p w14:paraId="7831F70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1.23E-08</w:t>
            </w:r>
          </w:p>
        </w:tc>
        <w:tc>
          <w:tcPr>
            <w:tcW w:w="386" w:type="pct"/>
            <w:noWrap/>
            <w:vAlign w:val="center"/>
          </w:tcPr>
          <w:p w14:paraId="2FDE872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6.95E-12</w:t>
            </w:r>
          </w:p>
        </w:tc>
      </w:tr>
      <w:tr w14:paraId="15B554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56A2B6F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邓庙</w:t>
            </w:r>
          </w:p>
        </w:tc>
        <w:tc>
          <w:tcPr>
            <w:tcW w:w="381" w:type="pct"/>
            <w:noWrap/>
            <w:vAlign w:val="center"/>
          </w:tcPr>
          <w:p w14:paraId="3B51B57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48AA5AC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4A68B2D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2DA1F7A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3.86E-08</w:t>
            </w:r>
          </w:p>
        </w:tc>
        <w:tc>
          <w:tcPr>
            <w:tcW w:w="385" w:type="pct"/>
            <w:noWrap/>
            <w:vAlign w:val="center"/>
          </w:tcPr>
          <w:p w14:paraId="39A6FD8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3.86E-08</w:t>
            </w:r>
          </w:p>
        </w:tc>
        <w:tc>
          <w:tcPr>
            <w:tcW w:w="385" w:type="pct"/>
            <w:noWrap/>
            <w:vAlign w:val="center"/>
          </w:tcPr>
          <w:p w14:paraId="565872B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3.86E-08</w:t>
            </w:r>
          </w:p>
        </w:tc>
        <w:tc>
          <w:tcPr>
            <w:tcW w:w="385" w:type="pct"/>
            <w:noWrap/>
            <w:vAlign w:val="center"/>
          </w:tcPr>
          <w:p w14:paraId="1A36A8E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3.82E-08</w:t>
            </w:r>
          </w:p>
        </w:tc>
        <w:tc>
          <w:tcPr>
            <w:tcW w:w="385" w:type="pct"/>
            <w:noWrap/>
            <w:vAlign w:val="center"/>
          </w:tcPr>
          <w:p w14:paraId="3DFB9E5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2.50E-08</w:t>
            </w:r>
          </w:p>
        </w:tc>
        <w:tc>
          <w:tcPr>
            <w:tcW w:w="387" w:type="pct"/>
            <w:vAlign w:val="center"/>
          </w:tcPr>
          <w:p w14:paraId="78F6F87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2.30E-09</w:t>
            </w:r>
          </w:p>
        </w:tc>
        <w:tc>
          <w:tcPr>
            <w:tcW w:w="387" w:type="pct"/>
            <w:vAlign w:val="center"/>
          </w:tcPr>
          <w:p w14:paraId="35A73DF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6" w:type="pct"/>
            <w:noWrap/>
            <w:vAlign w:val="center"/>
          </w:tcPr>
          <w:p w14:paraId="6C01A21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r>
      <w:tr w14:paraId="4D52C0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686D34A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李圩子</w:t>
            </w:r>
          </w:p>
        </w:tc>
        <w:tc>
          <w:tcPr>
            <w:tcW w:w="381" w:type="pct"/>
            <w:noWrap/>
            <w:vAlign w:val="center"/>
          </w:tcPr>
          <w:p w14:paraId="408A912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1EEEBFB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483D745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78A53BE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6.40E-09</w:t>
            </w:r>
          </w:p>
        </w:tc>
        <w:tc>
          <w:tcPr>
            <w:tcW w:w="385" w:type="pct"/>
            <w:noWrap/>
            <w:vAlign w:val="center"/>
          </w:tcPr>
          <w:p w14:paraId="75F7978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6.40E-09</w:t>
            </w:r>
          </w:p>
        </w:tc>
        <w:tc>
          <w:tcPr>
            <w:tcW w:w="385" w:type="pct"/>
            <w:noWrap/>
            <w:vAlign w:val="center"/>
          </w:tcPr>
          <w:p w14:paraId="367E1AF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6.40E-09</w:t>
            </w:r>
          </w:p>
        </w:tc>
        <w:tc>
          <w:tcPr>
            <w:tcW w:w="385" w:type="pct"/>
            <w:noWrap/>
            <w:vAlign w:val="center"/>
          </w:tcPr>
          <w:p w14:paraId="1EDE7E9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6.33E-09</w:t>
            </w:r>
          </w:p>
        </w:tc>
        <w:tc>
          <w:tcPr>
            <w:tcW w:w="385" w:type="pct"/>
            <w:noWrap/>
            <w:vAlign w:val="center"/>
          </w:tcPr>
          <w:p w14:paraId="58AADAB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5.23E-09</w:t>
            </w:r>
          </w:p>
        </w:tc>
        <w:tc>
          <w:tcPr>
            <w:tcW w:w="387" w:type="pct"/>
            <w:vAlign w:val="center"/>
          </w:tcPr>
          <w:p w14:paraId="2D958E5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1.37E-09</w:t>
            </w:r>
          </w:p>
        </w:tc>
        <w:tc>
          <w:tcPr>
            <w:tcW w:w="387" w:type="pct"/>
            <w:vAlign w:val="center"/>
          </w:tcPr>
          <w:p w14:paraId="5D82CD7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2.46E-12</w:t>
            </w:r>
          </w:p>
        </w:tc>
        <w:tc>
          <w:tcPr>
            <w:tcW w:w="386" w:type="pct"/>
            <w:noWrap/>
            <w:vAlign w:val="center"/>
          </w:tcPr>
          <w:p w14:paraId="7E102B1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r>
      <w:tr w14:paraId="00C68F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7ABBDE4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小董家</w:t>
            </w:r>
          </w:p>
        </w:tc>
        <w:tc>
          <w:tcPr>
            <w:tcW w:w="381" w:type="pct"/>
            <w:noWrap/>
            <w:vAlign w:val="center"/>
          </w:tcPr>
          <w:p w14:paraId="144B272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2229E99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3CF351A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5D910B1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2062BEB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4.99E-09</w:t>
            </w:r>
          </w:p>
        </w:tc>
        <w:tc>
          <w:tcPr>
            <w:tcW w:w="385" w:type="pct"/>
            <w:noWrap/>
            <w:vAlign w:val="center"/>
          </w:tcPr>
          <w:p w14:paraId="073AE15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4.99E-09</w:t>
            </w:r>
          </w:p>
        </w:tc>
        <w:tc>
          <w:tcPr>
            <w:tcW w:w="385" w:type="pct"/>
            <w:noWrap/>
            <w:vAlign w:val="center"/>
          </w:tcPr>
          <w:p w14:paraId="78E2F02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4.57E-09</w:t>
            </w:r>
          </w:p>
        </w:tc>
        <w:tc>
          <w:tcPr>
            <w:tcW w:w="385" w:type="pct"/>
            <w:noWrap/>
            <w:vAlign w:val="center"/>
          </w:tcPr>
          <w:p w14:paraId="3523576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4.64E-09</w:t>
            </w:r>
          </w:p>
        </w:tc>
        <w:tc>
          <w:tcPr>
            <w:tcW w:w="387" w:type="pct"/>
            <w:vAlign w:val="center"/>
          </w:tcPr>
          <w:p w14:paraId="27DC67B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2.63E-09</w:t>
            </w:r>
          </w:p>
        </w:tc>
        <w:tc>
          <w:tcPr>
            <w:tcW w:w="387" w:type="pct"/>
            <w:vAlign w:val="center"/>
          </w:tcPr>
          <w:p w14:paraId="4D84209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9.12E-11</w:t>
            </w:r>
          </w:p>
        </w:tc>
        <w:tc>
          <w:tcPr>
            <w:tcW w:w="386" w:type="pct"/>
            <w:noWrap/>
            <w:vAlign w:val="center"/>
          </w:tcPr>
          <w:p w14:paraId="60E3086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r>
      <w:tr w14:paraId="6CE7F1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5C8AFF4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任桥</w:t>
            </w:r>
          </w:p>
        </w:tc>
        <w:tc>
          <w:tcPr>
            <w:tcW w:w="381" w:type="pct"/>
            <w:noWrap/>
            <w:vAlign w:val="center"/>
          </w:tcPr>
          <w:p w14:paraId="5B715F9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276D7D7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2E726AD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7679673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3.01E-11</w:t>
            </w:r>
          </w:p>
        </w:tc>
        <w:tc>
          <w:tcPr>
            <w:tcW w:w="385" w:type="pct"/>
            <w:noWrap/>
            <w:vAlign w:val="center"/>
          </w:tcPr>
          <w:p w14:paraId="2A7969C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3.01E-11</w:t>
            </w:r>
          </w:p>
        </w:tc>
        <w:tc>
          <w:tcPr>
            <w:tcW w:w="385" w:type="pct"/>
            <w:noWrap/>
            <w:vAlign w:val="center"/>
          </w:tcPr>
          <w:p w14:paraId="0EDC6F3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3.01E-11</w:t>
            </w:r>
          </w:p>
        </w:tc>
        <w:tc>
          <w:tcPr>
            <w:tcW w:w="385" w:type="pct"/>
            <w:noWrap/>
            <w:vAlign w:val="center"/>
          </w:tcPr>
          <w:p w14:paraId="39A4062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2.98E-11</w:t>
            </w:r>
          </w:p>
        </w:tc>
        <w:tc>
          <w:tcPr>
            <w:tcW w:w="385" w:type="pct"/>
            <w:noWrap/>
            <w:vAlign w:val="center"/>
          </w:tcPr>
          <w:p w14:paraId="648C9FD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1.95E-11</w:t>
            </w:r>
          </w:p>
        </w:tc>
        <w:tc>
          <w:tcPr>
            <w:tcW w:w="387" w:type="pct"/>
            <w:vAlign w:val="center"/>
          </w:tcPr>
          <w:p w14:paraId="01DDED1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1.79E-12</w:t>
            </w:r>
          </w:p>
        </w:tc>
        <w:tc>
          <w:tcPr>
            <w:tcW w:w="387" w:type="pct"/>
            <w:vAlign w:val="center"/>
          </w:tcPr>
          <w:p w14:paraId="39DDD60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6" w:type="pct"/>
            <w:noWrap/>
            <w:vAlign w:val="center"/>
          </w:tcPr>
          <w:p w14:paraId="0E68FE1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r>
      <w:tr w14:paraId="05F0CB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19278F3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邓郭</w:t>
            </w:r>
          </w:p>
        </w:tc>
        <w:tc>
          <w:tcPr>
            <w:tcW w:w="381" w:type="pct"/>
            <w:noWrap/>
            <w:vAlign w:val="center"/>
          </w:tcPr>
          <w:p w14:paraId="1DAF00B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5DBC038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2.74E-22</w:t>
            </w:r>
          </w:p>
        </w:tc>
        <w:tc>
          <w:tcPr>
            <w:tcW w:w="385" w:type="pct"/>
            <w:noWrap/>
            <w:vAlign w:val="center"/>
          </w:tcPr>
          <w:p w14:paraId="10DFA2E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2.74E-22</w:t>
            </w:r>
          </w:p>
        </w:tc>
        <w:tc>
          <w:tcPr>
            <w:tcW w:w="385" w:type="pct"/>
            <w:noWrap/>
            <w:vAlign w:val="center"/>
          </w:tcPr>
          <w:p w14:paraId="6E79BB2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2.74E-22</w:t>
            </w:r>
          </w:p>
        </w:tc>
        <w:tc>
          <w:tcPr>
            <w:tcW w:w="385" w:type="pct"/>
            <w:noWrap/>
            <w:vAlign w:val="center"/>
          </w:tcPr>
          <w:p w14:paraId="4F0EBB3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2.74E-22</w:t>
            </w:r>
          </w:p>
        </w:tc>
        <w:tc>
          <w:tcPr>
            <w:tcW w:w="385" w:type="pct"/>
            <w:noWrap/>
            <w:vAlign w:val="center"/>
          </w:tcPr>
          <w:p w14:paraId="032FF47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2.74E-22</w:t>
            </w:r>
          </w:p>
        </w:tc>
        <w:tc>
          <w:tcPr>
            <w:tcW w:w="385" w:type="pct"/>
            <w:noWrap/>
            <w:vAlign w:val="center"/>
          </w:tcPr>
          <w:p w14:paraId="61C1118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2.25E-22</w:t>
            </w:r>
          </w:p>
        </w:tc>
        <w:tc>
          <w:tcPr>
            <w:tcW w:w="385" w:type="pct"/>
            <w:noWrap/>
            <w:vAlign w:val="center"/>
          </w:tcPr>
          <w:p w14:paraId="46CB362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3.78E-24</w:t>
            </w:r>
          </w:p>
        </w:tc>
        <w:tc>
          <w:tcPr>
            <w:tcW w:w="387" w:type="pct"/>
            <w:vAlign w:val="center"/>
          </w:tcPr>
          <w:p w14:paraId="7CE93E2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1B030D2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6" w:type="pct"/>
            <w:noWrap/>
            <w:vAlign w:val="center"/>
          </w:tcPr>
          <w:p w14:paraId="5F1D667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r>
      <w:tr w14:paraId="4752BE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01B7348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三铺中学</w:t>
            </w:r>
          </w:p>
        </w:tc>
        <w:tc>
          <w:tcPr>
            <w:tcW w:w="381" w:type="pct"/>
            <w:noWrap/>
            <w:vAlign w:val="center"/>
          </w:tcPr>
          <w:p w14:paraId="6C664B1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2B5CD3A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7.20E-08</w:t>
            </w:r>
          </w:p>
        </w:tc>
        <w:tc>
          <w:tcPr>
            <w:tcW w:w="385" w:type="pct"/>
            <w:noWrap/>
            <w:vAlign w:val="center"/>
          </w:tcPr>
          <w:p w14:paraId="2331AEE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7.20E-08</w:t>
            </w:r>
          </w:p>
        </w:tc>
        <w:tc>
          <w:tcPr>
            <w:tcW w:w="385" w:type="pct"/>
            <w:noWrap/>
            <w:vAlign w:val="center"/>
          </w:tcPr>
          <w:p w14:paraId="440E9A1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7.20E-08</w:t>
            </w:r>
          </w:p>
        </w:tc>
        <w:tc>
          <w:tcPr>
            <w:tcW w:w="385" w:type="pct"/>
            <w:noWrap/>
            <w:vAlign w:val="center"/>
          </w:tcPr>
          <w:p w14:paraId="7F3A78E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7.20E-08</w:t>
            </w:r>
          </w:p>
        </w:tc>
        <w:tc>
          <w:tcPr>
            <w:tcW w:w="385" w:type="pct"/>
            <w:noWrap/>
            <w:vAlign w:val="center"/>
          </w:tcPr>
          <w:p w14:paraId="013E707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7.20E-08</w:t>
            </w:r>
          </w:p>
        </w:tc>
        <w:tc>
          <w:tcPr>
            <w:tcW w:w="385" w:type="pct"/>
            <w:noWrap/>
            <w:vAlign w:val="center"/>
          </w:tcPr>
          <w:p w14:paraId="536C968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1.91E-08</w:t>
            </w:r>
          </w:p>
        </w:tc>
        <w:tc>
          <w:tcPr>
            <w:tcW w:w="385" w:type="pct"/>
            <w:noWrap/>
            <w:vAlign w:val="center"/>
          </w:tcPr>
          <w:p w14:paraId="07D8E14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2647A40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256D949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6" w:type="pct"/>
            <w:noWrap/>
            <w:vAlign w:val="center"/>
          </w:tcPr>
          <w:p w14:paraId="77E92C3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r>
      <w:tr w14:paraId="3314C0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4C520B3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三铺小学</w:t>
            </w:r>
          </w:p>
        </w:tc>
        <w:tc>
          <w:tcPr>
            <w:tcW w:w="381" w:type="pct"/>
            <w:noWrap/>
            <w:vAlign w:val="center"/>
          </w:tcPr>
          <w:p w14:paraId="0284CE3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3BE7E54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4A53B1B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1.92E-06</w:t>
            </w:r>
          </w:p>
        </w:tc>
        <w:tc>
          <w:tcPr>
            <w:tcW w:w="385" w:type="pct"/>
            <w:noWrap/>
            <w:vAlign w:val="center"/>
          </w:tcPr>
          <w:p w14:paraId="07D5403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1.92E-06</w:t>
            </w:r>
          </w:p>
        </w:tc>
        <w:tc>
          <w:tcPr>
            <w:tcW w:w="385" w:type="pct"/>
            <w:noWrap/>
            <w:vAlign w:val="center"/>
          </w:tcPr>
          <w:p w14:paraId="1B0DB1E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1.92E-06</w:t>
            </w:r>
          </w:p>
        </w:tc>
        <w:tc>
          <w:tcPr>
            <w:tcW w:w="385" w:type="pct"/>
            <w:noWrap/>
            <w:vAlign w:val="center"/>
          </w:tcPr>
          <w:p w14:paraId="776E098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1.92E-06</w:t>
            </w:r>
          </w:p>
        </w:tc>
        <w:tc>
          <w:tcPr>
            <w:tcW w:w="385" w:type="pct"/>
            <w:noWrap/>
            <w:vAlign w:val="center"/>
          </w:tcPr>
          <w:p w14:paraId="536FBB5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1.67E-06</w:t>
            </w:r>
          </w:p>
        </w:tc>
        <w:tc>
          <w:tcPr>
            <w:tcW w:w="385" w:type="pct"/>
            <w:noWrap/>
            <w:vAlign w:val="center"/>
          </w:tcPr>
          <w:p w14:paraId="0072968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6.60E-08</w:t>
            </w:r>
          </w:p>
        </w:tc>
        <w:tc>
          <w:tcPr>
            <w:tcW w:w="387" w:type="pct"/>
            <w:vAlign w:val="center"/>
          </w:tcPr>
          <w:p w14:paraId="4704988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165D09D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6" w:type="pct"/>
            <w:noWrap/>
            <w:vAlign w:val="center"/>
          </w:tcPr>
          <w:p w14:paraId="0A4FD11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r>
      <w:tr w14:paraId="2A9082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3E34B4A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沫河口镇中心小学</w:t>
            </w:r>
          </w:p>
        </w:tc>
        <w:tc>
          <w:tcPr>
            <w:tcW w:w="381" w:type="pct"/>
            <w:noWrap/>
            <w:vAlign w:val="center"/>
          </w:tcPr>
          <w:p w14:paraId="0703A8D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3270F3B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32432C8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5610A1A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571605E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02EDCD1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3.63E-07</w:t>
            </w:r>
          </w:p>
        </w:tc>
        <w:tc>
          <w:tcPr>
            <w:tcW w:w="385" w:type="pct"/>
            <w:noWrap/>
            <w:vAlign w:val="center"/>
          </w:tcPr>
          <w:p w14:paraId="77E167C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2.05E-07</w:t>
            </w:r>
          </w:p>
        </w:tc>
        <w:tc>
          <w:tcPr>
            <w:tcW w:w="385" w:type="pct"/>
            <w:noWrap/>
            <w:vAlign w:val="center"/>
          </w:tcPr>
          <w:p w14:paraId="1D56621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3.24E-07</w:t>
            </w:r>
          </w:p>
        </w:tc>
        <w:tc>
          <w:tcPr>
            <w:tcW w:w="387" w:type="pct"/>
            <w:vAlign w:val="center"/>
          </w:tcPr>
          <w:p w14:paraId="15FE947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3.03E-07</w:t>
            </w:r>
          </w:p>
        </w:tc>
        <w:tc>
          <w:tcPr>
            <w:tcW w:w="387" w:type="pct"/>
            <w:vAlign w:val="center"/>
          </w:tcPr>
          <w:p w14:paraId="6292F10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8.36E-08</w:t>
            </w:r>
          </w:p>
        </w:tc>
        <w:tc>
          <w:tcPr>
            <w:tcW w:w="386" w:type="pct"/>
            <w:noWrap/>
            <w:vAlign w:val="center"/>
          </w:tcPr>
          <w:p w14:paraId="3A3551D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2.37E-09</w:t>
            </w:r>
          </w:p>
        </w:tc>
      </w:tr>
      <w:tr w14:paraId="126DD3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04E02FC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蚌埠沫河口中学</w:t>
            </w:r>
          </w:p>
        </w:tc>
        <w:tc>
          <w:tcPr>
            <w:tcW w:w="381" w:type="pct"/>
            <w:noWrap/>
            <w:vAlign w:val="center"/>
          </w:tcPr>
          <w:p w14:paraId="2796B1A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5B2B0A6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1D3AA8A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6E64A79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267F44E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7B82DFA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2.33E-07</w:t>
            </w:r>
          </w:p>
        </w:tc>
        <w:tc>
          <w:tcPr>
            <w:tcW w:w="385" w:type="pct"/>
            <w:noWrap/>
            <w:vAlign w:val="center"/>
          </w:tcPr>
          <w:p w14:paraId="66CA068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1.38E-07</w:t>
            </w:r>
          </w:p>
        </w:tc>
        <w:tc>
          <w:tcPr>
            <w:tcW w:w="385" w:type="pct"/>
            <w:noWrap/>
            <w:vAlign w:val="center"/>
          </w:tcPr>
          <w:p w14:paraId="6F69E16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2.11E-07</w:t>
            </w:r>
          </w:p>
        </w:tc>
        <w:tc>
          <w:tcPr>
            <w:tcW w:w="387" w:type="pct"/>
            <w:vAlign w:val="center"/>
          </w:tcPr>
          <w:p w14:paraId="4BFA181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1.92E-07</w:t>
            </w:r>
          </w:p>
        </w:tc>
        <w:tc>
          <w:tcPr>
            <w:tcW w:w="387" w:type="pct"/>
            <w:vAlign w:val="center"/>
          </w:tcPr>
          <w:p w14:paraId="547C2B1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4.87E-08</w:t>
            </w:r>
          </w:p>
        </w:tc>
        <w:tc>
          <w:tcPr>
            <w:tcW w:w="386" w:type="pct"/>
            <w:noWrap/>
            <w:vAlign w:val="center"/>
          </w:tcPr>
          <w:p w14:paraId="3A8EC6C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1.16E-09</w:t>
            </w:r>
          </w:p>
        </w:tc>
      </w:tr>
      <w:tr w14:paraId="4FA225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000" w:type="pct"/>
            <w:gridSpan w:val="12"/>
          </w:tcPr>
          <w:p w14:paraId="1A627EA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间对甲酚储罐火灾产生CO</w:t>
            </w:r>
          </w:p>
        </w:tc>
      </w:tr>
      <w:tr w14:paraId="26BDD2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1A943F0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名称</w:t>
            </w:r>
          </w:p>
        </w:tc>
        <w:tc>
          <w:tcPr>
            <w:tcW w:w="381" w:type="pct"/>
            <w:noWrap/>
            <w:vAlign w:val="center"/>
          </w:tcPr>
          <w:p w14:paraId="4443711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5min</w:t>
            </w:r>
          </w:p>
        </w:tc>
        <w:tc>
          <w:tcPr>
            <w:tcW w:w="385" w:type="pct"/>
            <w:noWrap/>
            <w:vAlign w:val="center"/>
          </w:tcPr>
          <w:p w14:paraId="6A55A4D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10min</w:t>
            </w:r>
          </w:p>
        </w:tc>
        <w:tc>
          <w:tcPr>
            <w:tcW w:w="385" w:type="pct"/>
            <w:noWrap/>
            <w:vAlign w:val="center"/>
          </w:tcPr>
          <w:p w14:paraId="72A1BC1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15min</w:t>
            </w:r>
          </w:p>
        </w:tc>
        <w:tc>
          <w:tcPr>
            <w:tcW w:w="385" w:type="pct"/>
            <w:noWrap/>
            <w:vAlign w:val="center"/>
          </w:tcPr>
          <w:p w14:paraId="41BAE04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20min</w:t>
            </w:r>
          </w:p>
        </w:tc>
        <w:tc>
          <w:tcPr>
            <w:tcW w:w="385" w:type="pct"/>
            <w:noWrap/>
            <w:vAlign w:val="center"/>
          </w:tcPr>
          <w:p w14:paraId="393BF1A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25min</w:t>
            </w:r>
          </w:p>
        </w:tc>
        <w:tc>
          <w:tcPr>
            <w:tcW w:w="385" w:type="pct"/>
            <w:noWrap/>
            <w:vAlign w:val="center"/>
          </w:tcPr>
          <w:p w14:paraId="4BB3051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30min</w:t>
            </w:r>
          </w:p>
        </w:tc>
        <w:tc>
          <w:tcPr>
            <w:tcW w:w="385" w:type="pct"/>
            <w:noWrap/>
            <w:vAlign w:val="center"/>
          </w:tcPr>
          <w:p w14:paraId="2DD7004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40min</w:t>
            </w:r>
          </w:p>
        </w:tc>
        <w:tc>
          <w:tcPr>
            <w:tcW w:w="385" w:type="pct"/>
            <w:noWrap/>
            <w:vAlign w:val="center"/>
          </w:tcPr>
          <w:p w14:paraId="2C324AC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50min</w:t>
            </w:r>
          </w:p>
        </w:tc>
        <w:tc>
          <w:tcPr>
            <w:tcW w:w="387" w:type="pct"/>
            <w:vAlign w:val="center"/>
          </w:tcPr>
          <w:p w14:paraId="206AB95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6</w:t>
            </w:r>
            <w:r>
              <w:rPr>
                <w:rFonts w:ascii="Times New Roman" w:hAnsi="Times New Roman" w:cs="Times New Roman"/>
                <w:color w:val="000000" w:themeColor="text1"/>
                <w:sz w:val="21"/>
                <w:szCs w:val="21"/>
                <w14:textFill>
                  <w14:solidFill>
                    <w14:schemeClr w14:val="tx1"/>
                  </w14:solidFill>
                </w14:textFill>
              </w:rPr>
              <w:t>0min</w:t>
            </w:r>
          </w:p>
        </w:tc>
        <w:tc>
          <w:tcPr>
            <w:tcW w:w="387" w:type="pct"/>
            <w:vAlign w:val="center"/>
          </w:tcPr>
          <w:p w14:paraId="3954EF4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75</w:t>
            </w:r>
            <w:r>
              <w:rPr>
                <w:rFonts w:ascii="Times New Roman" w:hAnsi="Times New Roman" w:cs="Times New Roman"/>
                <w:color w:val="000000" w:themeColor="text1"/>
                <w:sz w:val="21"/>
                <w:szCs w:val="21"/>
                <w14:textFill>
                  <w14:solidFill>
                    <w14:schemeClr w14:val="tx1"/>
                  </w14:solidFill>
                </w14:textFill>
              </w:rPr>
              <w:t>min</w:t>
            </w:r>
          </w:p>
        </w:tc>
        <w:tc>
          <w:tcPr>
            <w:tcW w:w="386" w:type="pct"/>
            <w:noWrap/>
            <w:vAlign w:val="center"/>
          </w:tcPr>
          <w:p w14:paraId="0A6D861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90</w:t>
            </w:r>
            <w:r>
              <w:rPr>
                <w:rFonts w:ascii="Times New Roman" w:hAnsi="Times New Roman" w:cs="Times New Roman"/>
                <w:color w:val="000000" w:themeColor="text1"/>
                <w:sz w:val="21"/>
                <w:szCs w:val="21"/>
                <w14:textFill>
                  <w14:solidFill>
                    <w14:schemeClr w14:val="tx1"/>
                  </w14:solidFill>
                </w14:textFill>
              </w:rPr>
              <w:t>min</w:t>
            </w:r>
          </w:p>
        </w:tc>
      </w:tr>
      <w:tr w14:paraId="05C6DF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5B3DC68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前刘</w:t>
            </w:r>
          </w:p>
        </w:tc>
        <w:tc>
          <w:tcPr>
            <w:tcW w:w="381" w:type="pct"/>
            <w:noWrap/>
            <w:vAlign w:val="center"/>
          </w:tcPr>
          <w:p w14:paraId="6BF5443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3B45D2E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00B8F6A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52DB65D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45DEEF0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1483CF0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1FA94AC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3CA79AD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04EB704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573E8B7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6" w:type="pct"/>
            <w:noWrap/>
            <w:vAlign w:val="center"/>
          </w:tcPr>
          <w:p w14:paraId="157A096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r>
      <w:tr w14:paraId="0B432B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397FB8F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邢家</w:t>
            </w:r>
          </w:p>
        </w:tc>
        <w:tc>
          <w:tcPr>
            <w:tcW w:w="381" w:type="pct"/>
            <w:noWrap/>
            <w:vAlign w:val="center"/>
          </w:tcPr>
          <w:p w14:paraId="73E8337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2E0A9A7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67D3CEF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43B7EBD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01DF789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7521F86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334315B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2FA58C0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7CF92A3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7DD4E1E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6" w:type="pct"/>
            <w:noWrap/>
            <w:vAlign w:val="center"/>
          </w:tcPr>
          <w:p w14:paraId="6AEC6DF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r>
      <w:tr w14:paraId="1430DA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2AEE121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高王家</w:t>
            </w:r>
          </w:p>
        </w:tc>
        <w:tc>
          <w:tcPr>
            <w:tcW w:w="381" w:type="pct"/>
            <w:noWrap/>
            <w:vAlign w:val="center"/>
          </w:tcPr>
          <w:p w14:paraId="0A39ACB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61A3BB9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615FE11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364B6F1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06F1E4F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08E93A7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76738D5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4A02145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4CD3A12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6DD9400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6" w:type="pct"/>
            <w:noWrap/>
            <w:vAlign w:val="center"/>
          </w:tcPr>
          <w:p w14:paraId="427B6DD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r>
      <w:tr w14:paraId="182220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312F7FE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尚家湖</w:t>
            </w:r>
          </w:p>
        </w:tc>
        <w:tc>
          <w:tcPr>
            <w:tcW w:w="381" w:type="pct"/>
            <w:noWrap/>
            <w:vAlign w:val="center"/>
          </w:tcPr>
          <w:p w14:paraId="064A0B7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61A7CD6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7D806A3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4278CDB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2F782B9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302BFD7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22A89DD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39BD385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2B277AF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24A5E86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6" w:type="pct"/>
            <w:noWrap/>
            <w:vAlign w:val="center"/>
          </w:tcPr>
          <w:p w14:paraId="0BD226A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r>
      <w:tr w14:paraId="31752B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70501DA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大柏村</w:t>
            </w:r>
          </w:p>
        </w:tc>
        <w:tc>
          <w:tcPr>
            <w:tcW w:w="381" w:type="pct"/>
            <w:noWrap/>
            <w:vAlign w:val="center"/>
          </w:tcPr>
          <w:p w14:paraId="4C8F563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31EAF98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1E72CA4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34C75F7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5FA5FEE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7E30668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21DAA3B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5BC64B9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614F941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44F1DA5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6" w:type="pct"/>
            <w:noWrap/>
            <w:vAlign w:val="center"/>
          </w:tcPr>
          <w:p w14:paraId="0D5282E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r>
      <w:tr w14:paraId="4117B1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7704DFA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小柏家</w:t>
            </w:r>
          </w:p>
        </w:tc>
        <w:tc>
          <w:tcPr>
            <w:tcW w:w="381" w:type="pct"/>
            <w:noWrap/>
            <w:vAlign w:val="center"/>
          </w:tcPr>
          <w:p w14:paraId="11046F1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7225CCF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2F343DB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0230CBE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250C4E9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6430BF1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3D20C9D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2DEB7B0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3DDB40B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1F4E746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6" w:type="pct"/>
            <w:noWrap/>
            <w:vAlign w:val="center"/>
          </w:tcPr>
          <w:p w14:paraId="1FD4C85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r>
      <w:tr w14:paraId="490739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44FD0AB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大柏中学</w:t>
            </w:r>
          </w:p>
        </w:tc>
        <w:tc>
          <w:tcPr>
            <w:tcW w:w="381" w:type="pct"/>
            <w:noWrap/>
            <w:vAlign w:val="center"/>
          </w:tcPr>
          <w:p w14:paraId="3A91E47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09F6104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3FDB615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5E320F8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4189E45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6208B51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0318200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4F90886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76CCA5B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23FD477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6" w:type="pct"/>
            <w:noWrap/>
            <w:vAlign w:val="center"/>
          </w:tcPr>
          <w:p w14:paraId="46ABD49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r>
      <w:tr w14:paraId="78516E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35485AE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杜家湖</w:t>
            </w:r>
          </w:p>
        </w:tc>
        <w:tc>
          <w:tcPr>
            <w:tcW w:w="381" w:type="pct"/>
            <w:noWrap/>
            <w:vAlign w:val="center"/>
          </w:tcPr>
          <w:p w14:paraId="33D522E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12A87B2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6488E6A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73054E9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2DA4B9F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2380158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03C67DC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70D371A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7ABB653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0226B12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6" w:type="pct"/>
            <w:noWrap/>
            <w:vAlign w:val="center"/>
          </w:tcPr>
          <w:p w14:paraId="21669AE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r>
      <w:tr w14:paraId="22D9D6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66FCB88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草杨家</w:t>
            </w:r>
          </w:p>
        </w:tc>
        <w:tc>
          <w:tcPr>
            <w:tcW w:w="381" w:type="pct"/>
            <w:noWrap/>
            <w:vAlign w:val="center"/>
          </w:tcPr>
          <w:p w14:paraId="083FB00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0E5154C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612E851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50B5075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4BE8819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31C0023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2E214CE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4E8FDC6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00068AB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16049CF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6" w:type="pct"/>
            <w:noWrap/>
            <w:vAlign w:val="center"/>
          </w:tcPr>
          <w:p w14:paraId="4A07A88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r>
      <w:tr w14:paraId="67D294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19F5742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小陈家</w:t>
            </w:r>
          </w:p>
        </w:tc>
        <w:tc>
          <w:tcPr>
            <w:tcW w:w="381" w:type="pct"/>
            <w:noWrap/>
            <w:vAlign w:val="center"/>
          </w:tcPr>
          <w:p w14:paraId="78760EA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641CFAA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46C7C3E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78B492A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426BAB1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378EC29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7ACC91D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1502F32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2D367B6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1E29EC2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6" w:type="pct"/>
            <w:noWrap/>
            <w:vAlign w:val="center"/>
          </w:tcPr>
          <w:p w14:paraId="495548B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r>
      <w:tr w14:paraId="5FCC78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14A368E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小史家</w:t>
            </w:r>
          </w:p>
        </w:tc>
        <w:tc>
          <w:tcPr>
            <w:tcW w:w="381" w:type="pct"/>
            <w:noWrap/>
            <w:vAlign w:val="center"/>
          </w:tcPr>
          <w:p w14:paraId="5BFBECA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6AB2F69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6EAA1D7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0F38998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09666DF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39947C3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106EE0C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08B27AC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421DE70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10341E1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6" w:type="pct"/>
            <w:noWrap/>
            <w:vAlign w:val="center"/>
          </w:tcPr>
          <w:p w14:paraId="3A72C3C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r>
      <w:tr w14:paraId="3A1244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42362D4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芦李庄</w:t>
            </w:r>
          </w:p>
        </w:tc>
        <w:tc>
          <w:tcPr>
            <w:tcW w:w="381" w:type="pct"/>
            <w:noWrap/>
            <w:vAlign w:val="center"/>
          </w:tcPr>
          <w:p w14:paraId="33747BB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16BA599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060CE93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385B2B7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1C9F10D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1D5663D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1642325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0491DC4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6ABCF4E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6E0CED1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6" w:type="pct"/>
            <w:noWrap/>
            <w:vAlign w:val="center"/>
          </w:tcPr>
          <w:p w14:paraId="00F109D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r>
      <w:tr w14:paraId="1FFDD3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69E2ACE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夏家湖</w:t>
            </w:r>
          </w:p>
        </w:tc>
        <w:tc>
          <w:tcPr>
            <w:tcW w:w="381" w:type="pct"/>
            <w:noWrap/>
            <w:vAlign w:val="center"/>
          </w:tcPr>
          <w:p w14:paraId="38109E8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709E246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7DE7D70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42308C7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5B8AA81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715F974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7B3A801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0E50C65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4BD635F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73E2668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6" w:type="pct"/>
            <w:noWrap/>
            <w:vAlign w:val="center"/>
          </w:tcPr>
          <w:p w14:paraId="4F8442A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r>
      <w:tr w14:paraId="5B1B22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67950BD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郭台子</w:t>
            </w:r>
          </w:p>
        </w:tc>
        <w:tc>
          <w:tcPr>
            <w:tcW w:w="381" w:type="pct"/>
            <w:noWrap/>
            <w:vAlign w:val="center"/>
          </w:tcPr>
          <w:p w14:paraId="5BF3B9E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302EBBD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0BE9DFE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264094B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1695EF7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1111ABC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6DF71C6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3C09569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4D4C8BB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0C97EA2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6" w:type="pct"/>
            <w:noWrap/>
            <w:vAlign w:val="center"/>
          </w:tcPr>
          <w:p w14:paraId="3AFEC6B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r>
      <w:tr w14:paraId="34C895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3AF6C51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胡圩</w:t>
            </w:r>
          </w:p>
        </w:tc>
        <w:tc>
          <w:tcPr>
            <w:tcW w:w="381" w:type="pct"/>
            <w:noWrap/>
            <w:vAlign w:val="center"/>
          </w:tcPr>
          <w:p w14:paraId="27F4A25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6F04649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1693697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3041E30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6AB06E5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0D86132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6B99188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6B4DF13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282AC70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0C225CD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6" w:type="pct"/>
            <w:noWrap/>
            <w:vAlign w:val="center"/>
          </w:tcPr>
          <w:p w14:paraId="1D50834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r>
      <w:tr w14:paraId="3E90A6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0E18781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二铺</w:t>
            </w:r>
          </w:p>
        </w:tc>
        <w:tc>
          <w:tcPr>
            <w:tcW w:w="381" w:type="pct"/>
            <w:noWrap/>
            <w:vAlign w:val="center"/>
          </w:tcPr>
          <w:p w14:paraId="5BC4FFB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2F933A7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3E36D46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587F3FD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24C125C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20D3E54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7C0F399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6F21588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6D4E2AD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6ACED81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6" w:type="pct"/>
            <w:noWrap/>
            <w:vAlign w:val="center"/>
          </w:tcPr>
          <w:p w14:paraId="1C45D88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r>
      <w:tr w14:paraId="69F7E9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4E61DEC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小杨家</w:t>
            </w:r>
          </w:p>
        </w:tc>
        <w:tc>
          <w:tcPr>
            <w:tcW w:w="381" w:type="pct"/>
            <w:noWrap/>
            <w:vAlign w:val="center"/>
          </w:tcPr>
          <w:p w14:paraId="1BABF64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2F13929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1CEB059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7F434DA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5407A01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43948B4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34AF501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449FAE5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3CF0E7D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00FC37C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6" w:type="pct"/>
            <w:noWrap/>
            <w:vAlign w:val="center"/>
          </w:tcPr>
          <w:p w14:paraId="66F5422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r>
      <w:tr w14:paraId="6707A6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66C3BBD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段庄村</w:t>
            </w:r>
          </w:p>
        </w:tc>
        <w:tc>
          <w:tcPr>
            <w:tcW w:w="381" w:type="pct"/>
            <w:noWrap/>
            <w:vAlign w:val="center"/>
          </w:tcPr>
          <w:p w14:paraId="7E090EF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3C91572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2ECA540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2305917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27AA59A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4D3EF45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0330E48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05BB117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7499CB9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4B2423A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6" w:type="pct"/>
            <w:noWrap/>
            <w:vAlign w:val="center"/>
          </w:tcPr>
          <w:p w14:paraId="4478BD6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r>
      <w:tr w14:paraId="3D517D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2B89C89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大庄口村</w:t>
            </w:r>
          </w:p>
        </w:tc>
        <w:tc>
          <w:tcPr>
            <w:tcW w:w="381" w:type="pct"/>
            <w:noWrap/>
            <w:vAlign w:val="center"/>
          </w:tcPr>
          <w:p w14:paraId="5FE247B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06E6FE8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66BFEF0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6C41421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1E91842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4F87F30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2D83677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2524960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079D1A1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30FE7BA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6" w:type="pct"/>
            <w:noWrap/>
            <w:vAlign w:val="center"/>
          </w:tcPr>
          <w:p w14:paraId="2DDAC8A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r>
      <w:tr w14:paraId="1D4052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7A3DCE8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石家</w:t>
            </w:r>
          </w:p>
        </w:tc>
        <w:tc>
          <w:tcPr>
            <w:tcW w:w="381" w:type="pct"/>
            <w:noWrap/>
            <w:vAlign w:val="center"/>
          </w:tcPr>
          <w:p w14:paraId="3028A3D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2222AC7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273E91D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266DCBA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5D2BC59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7348744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3DA248C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15CF952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5799A0E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3BBDBBE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6" w:type="pct"/>
            <w:noWrap/>
            <w:vAlign w:val="center"/>
          </w:tcPr>
          <w:p w14:paraId="78DEFA9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r>
      <w:tr w14:paraId="13822F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47BC8F8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地理所</w:t>
            </w:r>
          </w:p>
        </w:tc>
        <w:tc>
          <w:tcPr>
            <w:tcW w:w="381" w:type="pct"/>
            <w:noWrap/>
            <w:vAlign w:val="center"/>
          </w:tcPr>
          <w:p w14:paraId="27DBCD5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3660860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3001853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4560794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211A758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0F1AE3B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159E445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73AF755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2D34B6D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5A5706E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6" w:type="pct"/>
            <w:noWrap/>
            <w:vAlign w:val="center"/>
          </w:tcPr>
          <w:p w14:paraId="57AFEF7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r>
      <w:tr w14:paraId="1BFB53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04708C3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店子</w:t>
            </w:r>
          </w:p>
        </w:tc>
        <w:tc>
          <w:tcPr>
            <w:tcW w:w="381" w:type="pct"/>
            <w:noWrap/>
            <w:vAlign w:val="center"/>
          </w:tcPr>
          <w:p w14:paraId="6CBFCB0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14DDD75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6.18E-31</w:t>
            </w:r>
          </w:p>
        </w:tc>
        <w:tc>
          <w:tcPr>
            <w:tcW w:w="385" w:type="pct"/>
            <w:noWrap/>
            <w:vAlign w:val="center"/>
          </w:tcPr>
          <w:p w14:paraId="1D9A026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6.18E-31</w:t>
            </w:r>
          </w:p>
        </w:tc>
        <w:tc>
          <w:tcPr>
            <w:tcW w:w="385" w:type="pct"/>
            <w:noWrap/>
            <w:vAlign w:val="center"/>
          </w:tcPr>
          <w:p w14:paraId="385A602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6.18E-31</w:t>
            </w:r>
          </w:p>
        </w:tc>
        <w:tc>
          <w:tcPr>
            <w:tcW w:w="385" w:type="pct"/>
            <w:noWrap/>
            <w:vAlign w:val="center"/>
          </w:tcPr>
          <w:p w14:paraId="7E27063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6.18E-31</w:t>
            </w:r>
          </w:p>
        </w:tc>
        <w:tc>
          <w:tcPr>
            <w:tcW w:w="385" w:type="pct"/>
            <w:noWrap/>
            <w:vAlign w:val="center"/>
          </w:tcPr>
          <w:p w14:paraId="3A2559B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6.18E-31</w:t>
            </w:r>
          </w:p>
        </w:tc>
        <w:tc>
          <w:tcPr>
            <w:tcW w:w="385" w:type="pct"/>
            <w:noWrap/>
            <w:vAlign w:val="center"/>
          </w:tcPr>
          <w:p w14:paraId="45EFD27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1C6A0B4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2B3F79C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3D2FE97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6" w:type="pct"/>
            <w:noWrap/>
            <w:vAlign w:val="center"/>
          </w:tcPr>
          <w:p w14:paraId="721B4A3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r>
      <w:tr w14:paraId="39BAB2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13AE451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于家村</w:t>
            </w:r>
          </w:p>
        </w:tc>
        <w:tc>
          <w:tcPr>
            <w:tcW w:w="381" w:type="pct"/>
            <w:noWrap/>
            <w:vAlign w:val="center"/>
          </w:tcPr>
          <w:p w14:paraId="1F9D204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69EC21F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22E05A0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13EA68B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1.81E-10</w:t>
            </w:r>
          </w:p>
        </w:tc>
        <w:tc>
          <w:tcPr>
            <w:tcW w:w="385" w:type="pct"/>
            <w:noWrap/>
            <w:vAlign w:val="center"/>
          </w:tcPr>
          <w:p w14:paraId="22C08B8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1.81E-10</w:t>
            </w:r>
          </w:p>
        </w:tc>
        <w:tc>
          <w:tcPr>
            <w:tcW w:w="385" w:type="pct"/>
            <w:noWrap/>
            <w:vAlign w:val="center"/>
          </w:tcPr>
          <w:p w14:paraId="4FB5795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1.81E-10</w:t>
            </w:r>
          </w:p>
        </w:tc>
        <w:tc>
          <w:tcPr>
            <w:tcW w:w="385" w:type="pct"/>
            <w:noWrap/>
            <w:vAlign w:val="center"/>
          </w:tcPr>
          <w:p w14:paraId="7FFD848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1.79E-10</w:t>
            </w:r>
          </w:p>
        </w:tc>
        <w:tc>
          <w:tcPr>
            <w:tcW w:w="385" w:type="pct"/>
            <w:noWrap/>
            <w:vAlign w:val="center"/>
          </w:tcPr>
          <w:p w14:paraId="3BD3160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1.03E-10</w:t>
            </w:r>
          </w:p>
        </w:tc>
        <w:tc>
          <w:tcPr>
            <w:tcW w:w="387" w:type="pct"/>
            <w:vAlign w:val="center"/>
          </w:tcPr>
          <w:p w14:paraId="2C00C75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5.77E-12</w:t>
            </w:r>
          </w:p>
        </w:tc>
        <w:tc>
          <w:tcPr>
            <w:tcW w:w="387" w:type="pct"/>
            <w:vAlign w:val="center"/>
          </w:tcPr>
          <w:p w14:paraId="34EB077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6" w:type="pct"/>
            <w:noWrap/>
            <w:vAlign w:val="center"/>
          </w:tcPr>
          <w:p w14:paraId="3789BA3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r>
      <w:tr w14:paraId="5B6761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4A6BC58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于家小学</w:t>
            </w:r>
          </w:p>
        </w:tc>
        <w:tc>
          <w:tcPr>
            <w:tcW w:w="381" w:type="pct"/>
            <w:noWrap/>
            <w:vAlign w:val="center"/>
          </w:tcPr>
          <w:p w14:paraId="2385F40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64EFB9E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5BBB114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1.44E-13</w:t>
            </w:r>
          </w:p>
        </w:tc>
        <w:tc>
          <w:tcPr>
            <w:tcW w:w="385" w:type="pct"/>
            <w:noWrap/>
            <w:vAlign w:val="center"/>
          </w:tcPr>
          <w:p w14:paraId="3292CC8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1.44E-13</w:t>
            </w:r>
          </w:p>
        </w:tc>
        <w:tc>
          <w:tcPr>
            <w:tcW w:w="385" w:type="pct"/>
            <w:noWrap/>
            <w:vAlign w:val="center"/>
          </w:tcPr>
          <w:p w14:paraId="44BC201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1.44E-13</w:t>
            </w:r>
          </w:p>
        </w:tc>
        <w:tc>
          <w:tcPr>
            <w:tcW w:w="385" w:type="pct"/>
            <w:noWrap/>
            <w:vAlign w:val="center"/>
          </w:tcPr>
          <w:p w14:paraId="002716A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1.44E-13</w:t>
            </w:r>
          </w:p>
        </w:tc>
        <w:tc>
          <w:tcPr>
            <w:tcW w:w="385" w:type="pct"/>
            <w:noWrap/>
            <w:vAlign w:val="center"/>
          </w:tcPr>
          <w:p w14:paraId="769CBC6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1.41E-13</w:t>
            </w:r>
          </w:p>
        </w:tc>
        <w:tc>
          <w:tcPr>
            <w:tcW w:w="385" w:type="pct"/>
            <w:noWrap/>
            <w:vAlign w:val="center"/>
          </w:tcPr>
          <w:p w14:paraId="75F50DB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5.54E-14</w:t>
            </w:r>
          </w:p>
        </w:tc>
        <w:tc>
          <w:tcPr>
            <w:tcW w:w="387" w:type="pct"/>
            <w:vAlign w:val="center"/>
          </w:tcPr>
          <w:p w14:paraId="551D152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8.02E-16</w:t>
            </w:r>
          </w:p>
        </w:tc>
        <w:tc>
          <w:tcPr>
            <w:tcW w:w="387" w:type="pct"/>
            <w:vAlign w:val="center"/>
          </w:tcPr>
          <w:p w14:paraId="57C15EF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6" w:type="pct"/>
            <w:noWrap/>
            <w:vAlign w:val="center"/>
          </w:tcPr>
          <w:p w14:paraId="306630B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r>
      <w:tr w14:paraId="3768E0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28258B1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陈巷</w:t>
            </w:r>
          </w:p>
        </w:tc>
        <w:tc>
          <w:tcPr>
            <w:tcW w:w="381" w:type="pct"/>
            <w:noWrap/>
            <w:vAlign w:val="center"/>
          </w:tcPr>
          <w:p w14:paraId="43557C5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419116E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7627DC2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7235AE4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2.75E-07</w:t>
            </w:r>
          </w:p>
        </w:tc>
        <w:tc>
          <w:tcPr>
            <w:tcW w:w="385" w:type="pct"/>
            <w:noWrap/>
            <w:vAlign w:val="center"/>
          </w:tcPr>
          <w:p w14:paraId="106B485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2.75E-07</w:t>
            </w:r>
          </w:p>
        </w:tc>
        <w:tc>
          <w:tcPr>
            <w:tcW w:w="385" w:type="pct"/>
            <w:noWrap/>
            <w:vAlign w:val="center"/>
          </w:tcPr>
          <w:p w14:paraId="7EC2D8C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2.75E-07</w:t>
            </w:r>
          </w:p>
        </w:tc>
        <w:tc>
          <w:tcPr>
            <w:tcW w:w="385" w:type="pct"/>
            <w:noWrap/>
            <w:vAlign w:val="center"/>
          </w:tcPr>
          <w:p w14:paraId="1403BD8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2.72E-07</w:t>
            </w:r>
          </w:p>
        </w:tc>
        <w:tc>
          <w:tcPr>
            <w:tcW w:w="385" w:type="pct"/>
            <w:noWrap/>
            <w:vAlign w:val="center"/>
          </w:tcPr>
          <w:p w14:paraId="6E8A157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2.18E-07</w:t>
            </w:r>
          </w:p>
        </w:tc>
        <w:tc>
          <w:tcPr>
            <w:tcW w:w="387" w:type="pct"/>
            <w:vAlign w:val="center"/>
          </w:tcPr>
          <w:p w14:paraId="42657B8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4.94E-08</w:t>
            </w:r>
          </w:p>
        </w:tc>
        <w:tc>
          <w:tcPr>
            <w:tcW w:w="387" w:type="pct"/>
            <w:vAlign w:val="center"/>
          </w:tcPr>
          <w:p w14:paraId="4A3FA34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4.94E-11</w:t>
            </w:r>
          </w:p>
        </w:tc>
        <w:tc>
          <w:tcPr>
            <w:tcW w:w="386" w:type="pct"/>
            <w:noWrap/>
            <w:vAlign w:val="center"/>
          </w:tcPr>
          <w:p w14:paraId="0666F8F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r>
      <w:tr w14:paraId="3F9A81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4D78D1F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小朱家</w:t>
            </w:r>
          </w:p>
        </w:tc>
        <w:tc>
          <w:tcPr>
            <w:tcW w:w="381" w:type="pct"/>
            <w:noWrap/>
            <w:vAlign w:val="center"/>
          </w:tcPr>
          <w:p w14:paraId="2F1B86D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4E10899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6B7C765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20D5092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6.08E-07</w:t>
            </w:r>
          </w:p>
        </w:tc>
        <w:tc>
          <w:tcPr>
            <w:tcW w:w="385" w:type="pct"/>
            <w:noWrap/>
            <w:vAlign w:val="center"/>
          </w:tcPr>
          <w:p w14:paraId="27CCE85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6.08E-07</w:t>
            </w:r>
          </w:p>
        </w:tc>
        <w:tc>
          <w:tcPr>
            <w:tcW w:w="385" w:type="pct"/>
            <w:noWrap/>
            <w:vAlign w:val="center"/>
          </w:tcPr>
          <w:p w14:paraId="7AF972B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6.08E-07</w:t>
            </w:r>
          </w:p>
        </w:tc>
        <w:tc>
          <w:tcPr>
            <w:tcW w:w="385" w:type="pct"/>
            <w:noWrap/>
            <w:vAlign w:val="center"/>
          </w:tcPr>
          <w:p w14:paraId="4EB3E4E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6.02E-07</w:t>
            </w:r>
          </w:p>
        </w:tc>
        <w:tc>
          <w:tcPr>
            <w:tcW w:w="385" w:type="pct"/>
            <w:noWrap/>
            <w:vAlign w:val="center"/>
          </w:tcPr>
          <w:p w14:paraId="666036F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4.98E-07</w:t>
            </w:r>
          </w:p>
        </w:tc>
        <w:tc>
          <w:tcPr>
            <w:tcW w:w="387" w:type="pct"/>
            <w:vAlign w:val="center"/>
          </w:tcPr>
          <w:p w14:paraId="1429C0E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1.31E-07</w:t>
            </w:r>
          </w:p>
        </w:tc>
        <w:tc>
          <w:tcPr>
            <w:tcW w:w="387" w:type="pct"/>
            <w:vAlign w:val="center"/>
          </w:tcPr>
          <w:p w14:paraId="20D94A1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2.35E-10</w:t>
            </w:r>
          </w:p>
        </w:tc>
        <w:tc>
          <w:tcPr>
            <w:tcW w:w="386" w:type="pct"/>
            <w:noWrap/>
            <w:vAlign w:val="center"/>
          </w:tcPr>
          <w:p w14:paraId="4AFBF95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r>
      <w:tr w14:paraId="657BEB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25541F3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汤陈村</w:t>
            </w:r>
          </w:p>
        </w:tc>
        <w:tc>
          <w:tcPr>
            <w:tcW w:w="381" w:type="pct"/>
            <w:noWrap/>
            <w:vAlign w:val="center"/>
          </w:tcPr>
          <w:p w14:paraId="273E53A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1D1B086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311D304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47D0FE3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37B62EB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632B2A6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1.24E-04</w:t>
            </w:r>
          </w:p>
        </w:tc>
        <w:tc>
          <w:tcPr>
            <w:tcW w:w="385" w:type="pct"/>
            <w:noWrap/>
            <w:vAlign w:val="center"/>
          </w:tcPr>
          <w:p w14:paraId="0A0677E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1.05E-04</w:t>
            </w:r>
          </w:p>
        </w:tc>
        <w:tc>
          <w:tcPr>
            <w:tcW w:w="385" w:type="pct"/>
            <w:noWrap/>
            <w:vAlign w:val="center"/>
          </w:tcPr>
          <w:p w14:paraId="3533960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1.17E-04</w:t>
            </w:r>
          </w:p>
        </w:tc>
        <w:tc>
          <w:tcPr>
            <w:tcW w:w="387" w:type="pct"/>
            <w:vAlign w:val="center"/>
          </w:tcPr>
          <w:p w14:paraId="170EE5E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7.80E-05</w:t>
            </w:r>
          </w:p>
        </w:tc>
        <w:tc>
          <w:tcPr>
            <w:tcW w:w="387" w:type="pct"/>
            <w:vAlign w:val="center"/>
          </w:tcPr>
          <w:p w14:paraId="3196AF9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5.47E-06</w:t>
            </w:r>
          </w:p>
        </w:tc>
        <w:tc>
          <w:tcPr>
            <w:tcW w:w="386" w:type="pct"/>
            <w:noWrap/>
            <w:vAlign w:val="center"/>
          </w:tcPr>
          <w:p w14:paraId="7CDA806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7.32E-09</w:t>
            </w:r>
          </w:p>
        </w:tc>
      </w:tr>
      <w:tr w14:paraId="2CA363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5DFC99D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沫河口镇</w:t>
            </w:r>
          </w:p>
        </w:tc>
        <w:tc>
          <w:tcPr>
            <w:tcW w:w="381" w:type="pct"/>
            <w:noWrap/>
            <w:vAlign w:val="center"/>
          </w:tcPr>
          <w:p w14:paraId="3EA6B1A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1BFA711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71D1713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0AF25B5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0EA6461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1BDC7A8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7455B5D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9.99E-04</w:t>
            </w:r>
          </w:p>
        </w:tc>
        <w:tc>
          <w:tcPr>
            <w:tcW w:w="385" w:type="pct"/>
            <w:noWrap/>
            <w:vAlign w:val="center"/>
          </w:tcPr>
          <w:p w14:paraId="172E757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1.70E-03</w:t>
            </w:r>
          </w:p>
        </w:tc>
        <w:tc>
          <w:tcPr>
            <w:tcW w:w="387" w:type="pct"/>
            <w:vAlign w:val="center"/>
          </w:tcPr>
          <w:p w14:paraId="6C5D271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1.69E-03</w:t>
            </w:r>
          </w:p>
        </w:tc>
        <w:tc>
          <w:tcPr>
            <w:tcW w:w="387" w:type="pct"/>
            <w:vAlign w:val="center"/>
          </w:tcPr>
          <w:p w14:paraId="4CB103B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5.54E-04</w:t>
            </w:r>
          </w:p>
        </w:tc>
        <w:tc>
          <w:tcPr>
            <w:tcW w:w="386" w:type="pct"/>
            <w:noWrap/>
            <w:vAlign w:val="center"/>
          </w:tcPr>
          <w:p w14:paraId="3DE8F24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2.32E-05</w:t>
            </w:r>
          </w:p>
        </w:tc>
      </w:tr>
      <w:tr w14:paraId="02E07C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1327AAE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三铺村</w:t>
            </w:r>
          </w:p>
        </w:tc>
        <w:tc>
          <w:tcPr>
            <w:tcW w:w="381" w:type="pct"/>
            <w:noWrap/>
            <w:vAlign w:val="center"/>
          </w:tcPr>
          <w:p w14:paraId="73D3F14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24DCF63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4BDE23F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6.15E-02</w:t>
            </w:r>
          </w:p>
        </w:tc>
        <w:tc>
          <w:tcPr>
            <w:tcW w:w="385" w:type="pct"/>
            <w:noWrap/>
            <w:vAlign w:val="center"/>
          </w:tcPr>
          <w:p w14:paraId="2417D83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6.15E-02</w:t>
            </w:r>
          </w:p>
        </w:tc>
        <w:tc>
          <w:tcPr>
            <w:tcW w:w="385" w:type="pct"/>
            <w:noWrap/>
            <w:vAlign w:val="center"/>
          </w:tcPr>
          <w:p w14:paraId="41CD682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6.15E-02</w:t>
            </w:r>
          </w:p>
        </w:tc>
        <w:tc>
          <w:tcPr>
            <w:tcW w:w="385" w:type="pct"/>
            <w:noWrap/>
            <w:vAlign w:val="center"/>
          </w:tcPr>
          <w:p w14:paraId="00217B4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6.15E-02</w:t>
            </w:r>
          </w:p>
        </w:tc>
        <w:tc>
          <w:tcPr>
            <w:tcW w:w="385" w:type="pct"/>
            <w:noWrap/>
            <w:vAlign w:val="center"/>
          </w:tcPr>
          <w:p w14:paraId="1F834E3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5.40E-02</w:t>
            </w:r>
          </w:p>
        </w:tc>
        <w:tc>
          <w:tcPr>
            <w:tcW w:w="385" w:type="pct"/>
            <w:noWrap/>
            <w:vAlign w:val="center"/>
          </w:tcPr>
          <w:p w14:paraId="0B5BDA9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2.50E-03</w:t>
            </w:r>
          </w:p>
        </w:tc>
        <w:tc>
          <w:tcPr>
            <w:tcW w:w="387" w:type="pct"/>
            <w:vAlign w:val="center"/>
          </w:tcPr>
          <w:p w14:paraId="5DDD8F7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17D5ECC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6" w:type="pct"/>
            <w:noWrap/>
            <w:vAlign w:val="center"/>
          </w:tcPr>
          <w:p w14:paraId="04E93D4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r>
      <w:tr w14:paraId="21328C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7901D01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李洼</w:t>
            </w:r>
          </w:p>
        </w:tc>
        <w:tc>
          <w:tcPr>
            <w:tcW w:w="381" w:type="pct"/>
            <w:noWrap/>
            <w:vAlign w:val="center"/>
          </w:tcPr>
          <w:p w14:paraId="5599A04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01A6E07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79FE2E2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273DE18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0C02604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1.12E-02</w:t>
            </w:r>
          </w:p>
        </w:tc>
        <w:tc>
          <w:tcPr>
            <w:tcW w:w="385" w:type="pct"/>
            <w:noWrap/>
            <w:vAlign w:val="center"/>
          </w:tcPr>
          <w:p w14:paraId="5233270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1.12E-02</w:t>
            </w:r>
          </w:p>
        </w:tc>
        <w:tc>
          <w:tcPr>
            <w:tcW w:w="385" w:type="pct"/>
            <w:noWrap/>
            <w:vAlign w:val="center"/>
          </w:tcPr>
          <w:p w14:paraId="0F6E199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1.07E-02</w:t>
            </w:r>
          </w:p>
        </w:tc>
        <w:tc>
          <w:tcPr>
            <w:tcW w:w="385" w:type="pct"/>
            <w:noWrap/>
            <w:vAlign w:val="center"/>
          </w:tcPr>
          <w:p w14:paraId="0DD8264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1.02E-02</w:t>
            </w:r>
          </w:p>
        </w:tc>
        <w:tc>
          <w:tcPr>
            <w:tcW w:w="387" w:type="pct"/>
            <w:vAlign w:val="center"/>
          </w:tcPr>
          <w:p w14:paraId="3841074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4.86E-03</w:t>
            </w:r>
          </w:p>
        </w:tc>
        <w:tc>
          <w:tcPr>
            <w:tcW w:w="387" w:type="pct"/>
            <w:vAlign w:val="center"/>
          </w:tcPr>
          <w:p w14:paraId="31C1CD7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8.36E-05</w:t>
            </w:r>
          </w:p>
        </w:tc>
        <w:tc>
          <w:tcPr>
            <w:tcW w:w="386" w:type="pct"/>
            <w:noWrap/>
            <w:vAlign w:val="center"/>
          </w:tcPr>
          <w:p w14:paraId="72F44CC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r>
      <w:tr w14:paraId="15088B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2B51FB6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小石家</w:t>
            </w:r>
          </w:p>
        </w:tc>
        <w:tc>
          <w:tcPr>
            <w:tcW w:w="381" w:type="pct"/>
            <w:noWrap/>
            <w:vAlign w:val="center"/>
          </w:tcPr>
          <w:p w14:paraId="0327975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20E47E3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78CA55D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054B74B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3AC879A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37EFBCD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8.94E-03</w:t>
            </w:r>
          </w:p>
        </w:tc>
        <w:tc>
          <w:tcPr>
            <w:tcW w:w="385" w:type="pct"/>
            <w:noWrap/>
            <w:vAlign w:val="center"/>
          </w:tcPr>
          <w:p w14:paraId="032CF87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7.25E-03</w:t>
            </w:r>
          </w:p>
        </w:tc>
        <w:tc>
          <w:tcPr>
            <w:tcW w:w="385" w:type="pct"/>
            <w:noWrap/>
            <w:vAlign w:val="center"/>
          </w:tcPr>
          <w:p w14:paraId="6F4413E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8.48E-03</w:t>
            </w:r>
          </w:p>
        </w:tc>
        <w:tc>
          <w:tcPr>
            <w:tcW w:w="387" w:type="pct"/>
            <w:vAlign w:val="center"/>
          </w:tcPr>
          <w:p w14:paraId="21BCE46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6.00E-03</w:t>
            </w:r>
          </w:p>
        </w:tc>
        <w:tc>
          <w:tcPr>
            <w:tcW w:w="387" w:type="pct"/>
            <w:vAlign w:val="center"/>
          </w:tcPr>
          <w:p w14:paraId="66943A6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5.55E-04</w:t>
            </w:r>
          </w:p>
        </w:tc>
        <w:tc>
          <w:tcPr>
            <w:tcW w:w="386" w:type="pct"/>
            <w:noWrap/>
            <w:vAlign w:val="center"/>
          </w:tcPr>
          <w:p w14:paraId="5F92926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1.61E-06</w:t>
            </w:r>
          </w:p>
        </w:tc>
      </w:tr>
      <w:tr w14:paraId="2C53B2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03DEC19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团结村</w:t>
            </w:r>
          </w:p>
        </w:tc>
        <w:tc>
          <w:tcPr>
            <w:tcW w:w="381" w:type="pct"/>
            <w:noWrap/>
            <w:vAlign w:val="center"/>
          </w:tcPr>
          <w:p w14:paraId="13B6ADF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623D390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61C14F8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5015D32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70524D7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2072C75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8.91E-03</w:t>
            </w:r>
          </w:p>
        </w:tc>
        <w:tc>
          <w:tcPr>
            <w:tcW w:w="385" w:type="pct"/>
            <w:noWrap/>
            <w:vAlign w:val="center"/>
          </w:tcPr>
          <w:p w14:paraId="6E55364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6.98E-03</w:t>
            </w:r>
          </w:p>
        </w:tc>
        <w:tc>
          <w:tcPr>
            <w:tcW w:w="385" w:type="pct"/>
            <w:noWrap/>
            <w:vAlign w:val="center"/>
          </w:tcPr>
          <w:p w14:paraId="5610496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8.44E-03</w:t>
            </w:r>
          </w:p>
        </w:tc>
        <w:tc>
          <w:tcPr>
            <w:tcW w:w="387" w:type="pct"/>
            <w:vAlign w:val="center"/>
          </w:tcPr>
          <w:p w14:paraId="49DD38A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6.21E-03</w:t>
            </w:r>
          </w:p>
        </w:tc>
        <w:tc>
          <w:tcPr>
            <w:tcW w:w="387" w:type="pct"/>
            <w:vAlign w:val="center"/>
          </w:tcPr>
          <w:p w14:paraId="46D3540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6.83E-04</w:t>
            </w:r>
          </w:p>
        </w:tc>
        <w:tc>
          <w:tcPr>
            <w:tcW w:w="386" w:type="pct"/>
            <w:noWrap/>
            <w:vAlign w:val="center"/>
          </w:tcPr>
          <w:p w14:paraId="344A957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2.91E-06</w:t>
            </w:r>
          </w:p>
        </w:tc>
      </w:tr>
      <w:tr w14:paraId="5AD8AB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21FFE08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小王家</w:t>
            </w:r>
          </w:p>
        </w:tc>
        <w:tc>
          <w:tcPr>
            <w:tcW w:w="381" w:type="pct"/>
            <w:noWrap/>
            <w:vAlign w:val="center"/>
          </w:tcPr>
          <w:p w14:paraId="70567F4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415CA80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1AA6A5B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062FB4B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6F34D7E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594A8ED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5.03E-03</w:t>
            </w:r>
          </w:p>
        </w:tc>
        <w:tc>
          <w:tcPr>
            <w:tcW w:w="385" w:type="pct"/>
            <w:noWrap/>
            <w:vAlign w:val="center"/>
          </w:tcPr>
          <w:p w14:paraId="1C564EE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3.43E-03</w:t>
            </w:r>
          </w:p>
        </w:tc>
        <w:tc>
          <w:tcPr>
            <w:tcW w:w="385" w:type="pct"/>
            <w:noWrap/>
            <w:vAlign w:val="center"/>
          </w:tcPr>
          <w:p w14:paraId="361EDA3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4.69E-03</w:t>
            </w:r>
          </w:p>
        </w:tc>
        <w:tc>
          <w:tcPr>
            <w:tcW w:w="387" w:type="pct"/>
            <w:vAlign w:val="center"/>
          </w:tcPr>
          <w:p w14:paraId="58A6ADC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3.89E-03</w:t>
            </w:r>
          </w:p>
        </w:tc>
        <w:tc>
          <w:tcPr>
            <w:tcW w:w="387" w:type="pct"/>
            <w:vAlign w:val="center"/>
          </w:tcPr>
          <w:p w14:paraId="0D65627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6.97E-04</w:t>
            </w:r>
          </w:p>
        </w:tc>
        <w:tc>
          <w:tcPr>
            <w:tcW w:w="386" w:type="pct"/>
            <w:noWrap/>
            <w:vAlign w:val="center"/>
          </w:tcPr>
          <w:p w14:paraId="057E56E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8.19E-06</w:t>
            </w:r>
          </w:p>
        </w:tc>
      </w:tr>
      <w:tr w14:paraId="4CBE46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452C576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曹吴村</w:t>
            </w:r>
          </w:p>
        </w:tc>
        <w:tc>
          <w:tcPr>
            <w:tcW w:w="381" w:type="pct"/>
            <w:noWrap/>
            <w:vAlign w:val="center"/>
          </w:tcPr>
          <w:p w14:paraId="5121299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00462BC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1F0B210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08FFD7C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5A06A0C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1.77E-03</w:t>
            </w:r>
          </w:p>
        </w:tc>
        <w:tc>
          <w:tcPr>
            <w:tcW w:w="385" w:type="pct"/>
            <w:noWrap/>
            <w:vAlign w:val="center"/>
          </w:tcPr>
          <w:p w14:paraId="4B539D5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1.77E-03</w:t>
            </w:r>
          </w:p>
        </w:tc>
        <w:tc>
          <w:tcPr>
            <w:tcW w:w="385" w:type="pct"/>
            <w:noWrap/>
            <w:vAlign w:val="center"/>
          </w:tcPr>
          <w:p w14:paraId="61C79CF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1.55E-03</w:t>
            </w:r>
          </w:p>
        </w:tc>
        <w:tc>
          <w:tcPr>
            <w:tcW w:w="385" w:type="pct"/>
            <w:noWrap/>
            <w:vAlign w:val="center"/>
          </w:tcPr>
          <w:p w14:paraId="41DCCC4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1.66E-03</w:t>
            </w:r>
          </w:p>
        </w:tc>
        <w:tc>
          <w:tcPr>
            <w:tcW w:w="387" w:type="pct"/>
            <w:vAlign w:val="center"/>
          </w:tcPr>
          <w:p w14:paraId="4E967E6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1.04E-03</w:t>
            </w:r>
          </w:p>
        </w:tc>
        <w:tc>
          <w:tcPr>
            <w:tcW w:w="387" w:type="pct"/>
            <w:vAlign w:val="center"/>
          </w:tcPr>
          <w:p w14:paraId="7E7B82B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5.69E-05</w:t>
            </w:r>
          </w:p>
        </w:tc>
        <w:tc>
          <w:tcPr>
            <w:tcW w:w="386" w:type="pct"/>
            <w:noWrap/>
            <w:vAlign w:val="center"/>
          </w:tcPr>
          <w:p w14:paraId="63519B4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1.87E-08</w:t>
            </w:r>
          </w:p>
        </w:tc>
      </w:tr>
      <w:tr w14:paraId="477996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3AB51B3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邓庙</w:t>
            </w:r>
          </w:p>
        </w:tc>
        <w:tc>
          <w:tcPr>
            <w:tcW w:w="381" w:type="pct"/>
            <w:noWrap/>
            <w:vAlign w:val="center"/>
          </w:tcPr>
          <w:p w14:paraId="50E2E52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2B7CE10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70D1B2A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37C01DE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1.81E-04</w:t>
            </w:r>
          </w:p>
        </w:tc>
        <w:tc>
          <w:tcPr>
            <w:tcW w:w="385" w:type="pct"/>
            <w:noWrap/>
            <w:vAlign w:val="center"/>
          </w:tcPr>
          <w:p w14:paraId="604790A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1.81E-04</w:t>
            </w:r>
          </w:p>
        </w:tc>
        <w:tc>
          <w:tcPr>
            <w:tcW w:w="385" w:type="pct"/>
            <w:noWrap/>
            <w:vAlign w:val="center"/>
          </w:tcPr>
          <w:p w14:paraId="3485A59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1.81E-04</w:t>
            </w:r>
          </w:p>
        </w:tc>
        <w:tc>
          <w:tcPr>
            <w:tcW w:w="385" w:type="pct"/>
            <w:noWrap/>
            <w:vAlign w:val="center"/>
          </w:tcPr>
          <w:p w14:paraId="062F92C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1.79E-04</w:t>
            </w:r>
          </w:p>
        </w:tc>
        <w:tc>
          <w:tcPr>
            <w:tcW w:w="385" w:type="pct"/>
            <w:noWrap/>
            <w:vAlign w:val="center"/>
          </w:tcPr>
          <w:p w14:paraId="6A1E200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1.15E-04</w:t>
            </w:r>
          </w:p>
        </w:tc>
        <w:tc>
          <w:tcPr>
            <w:tcW w:w="387" w:type="pct"/>
            <w:vAlign w:val="center"/>
          </w:tcPr>
          <w:p w14:paraId="20C06B1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9.80E-06</w:t>
            </w:r>
          </w:p>
        </w:tc>
        <w:tc>
          <w:tcPr>
            <w:tcW w:w="387" w:type="pct"/>
            <w:vAlign w:val="center"/>
          </w:tcPr>
          <w:p w14:paraId="10D8249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6" w:type="pct"/>
            <w:noWrap/>
            <w:vAlign w:val="center"/>
          </w:tcPr>
          <w:p w14:paraId="4EFFD41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r>
      <w:tr w14:paraId="31AC6A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1E8A0CE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李圩子</w:t>
            </w:r>
          </w:p>
        </w:tc>
        <w:tc>
          <w:tcPr>
            <w:tcW w:w="381" w:type="pct"/>
            <w:noWrap/>
            <w:vAlign w:val="center"/>
          </w:tcPr>
          <w:p w14:paraId="311CFC3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40039F3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660002C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2976970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2.96E-05</w:t>
            </w:r>
          </w:p>
        </w:tc>
        <w:tc>
          <w:tcPr>
            <w:tcW w:w="385" w:type="pct"/>
            <w:noWrap/>
            <w:vAlign w:val="center"/>
          </w:tcPr>
          <w:p w14:paraId="458CDD7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2.96E-05</w:t>
            </w:r>
          </w:p>
        </w:tc>
        <w:tc>
          <w:tcPr>
            <w:tcW w:w="385" w:type="pct"/>
            <w:noWrap/>
            <w:vAlign w:val="center"/>
          </w:tcPr>
          <w:p w14:paraId="48198DC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2.96E-05</w:t>
            </w:r>
          </w:p>
        </w:tc>
        <w:tc>
          <w:tcPr>
            <w:tcW w:w="385" w:type="pct"/>
            <w:noWrap/>
            <w:vAlign w:val="center"/>
          </w:tcPr>
          <w:p w14:paraId="1760D9D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2.93E-05</w:t>
            </w:r>
          </w:p>
        </w:tc>
        <w:tc>
          <w:tcPr>
            <w:tcW w:w="385" w:type="pct"/>
            <w:noWrap/>
            <w:vAlign w:val="center"/>
          </w:tcPr>
          <w:p w14:paraId="79910E8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2.41E-05</w:t>
            </w:r>
          </w:p>
        </w:tc>
        <w:tc>
          <w:tcPr>
            <w:tcW w:w="387" w:type="pct"/>
            <w:vAlign w:val="center"/>
          </w:tcPr>
          <w:p w14:paraId="4CE8191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6.09E-06</w:t>
            </w:r>
          </w:p>
        </w:tc>
        <w:tc>
          <w:tcPr>
            <w:tcW w:w="387" w:type="pct"/>
            <w:vAlign w:val="center"/>
          </w:tcPr>
          <w:p w14:paraId="7F16F6C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9.49E-09</w:t>
            </w:r>
          </w:p>
        </w:tc>
        <w:tc>
          <w:tcPr>
            <w:tcW w:w="386" w:type="pct"/>
            <w:noWrap/>
            <w:vAlign w:val="center"/>
          </w:tcPr>
          <w:p w14:paraId="2F06C47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r>
      <w:tr w14:paraId="5398DC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3E80116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小董家</w:t>
            </w:r>
          </w:p>
        </w:tc>
        <w:tc>
          <w:tcPr>
            <w:tcW w:w="381" w:type="pct"/>
            <w:noWrap/>
            <w:vAlign w:val="center"/>
          </w:tcPr>
          <w:p w14:paraId="5227FA5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62BB298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4135F98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4EB2EB8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4101EC4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2.36E-05</w:t>
            </w:r>
          </w:p>
        </w:tc>
        <w:tc>
          <w:tcPr>
            <w:tcW w:w="385" w:type="pct"/>
            <w:noWrap/>
            <w:vAlign w:val="center"/>
          </w:tcPr>
          <w:p w14:paraId="01D1A0D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2.36E-05</w:t>
            </w:r>
          </w:p>
        </w:tc>
        <w:tc>
          <w:tcPr>
            <w:tcW w:w="385" w:type="pct"/>
            <w:noWrap/>
            <w:vAlign w:val="center"/>
          </w:tcPr>
          <w:p w14:paraId="6214B53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2.17E-05</w:t>
            </w:r>
          </w:p>
        </w:tc>
        <w:tc>
          <w:tcPr>
            <w:tcW w:w="385" w:type="pct"/>
            <w:noWrap/>
            <w:vAlign w:val="center"/>
          </w:tcPr>
          <w:p w14:paraId="4F79000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2.19E-05</w:t>
            </w:r>
          </w:p>
        </w:tc>
        <w:tc>
          <w:tcPr>
            <w:tcW w:w="387" w:type="pct"/>
            <w:vAlign w:val="center"/>
          </w:tcPr>
          <w:p w14:paraId="7002355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1.22E-05</w:t>
            </w:r>
          </w:p>
        </w:tc>
        <w:tc>
          <w:tcPr>
            <w:tcW w:w="387" w:type="pct"/>
            <w:vAlign w:val="center"/>
          </w:tcPr>
          <w:p w14:paraId="1FC4A0D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3.91E-07</w:t>
            </w:r>
          </w:p>
        </w:tc>
        <w:tc>
          <w:tcPr>
            <w:tcW w:w="386" w:type="pct"/>
            <w:noWrap/>
            <w:vAlign w:val="center"/>
          </w:tcPr>
          <w:p w14:paraId="555C5E4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r>
      <w:tr w14:paraId="2E5F2A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2A4647A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任桥</w:t>
            </w:r>
          </w:p>
        </w:tc>
        <w:tc>
          <w:tcPr>
            <w:tcW w:w="381" w:type="pct"/>
            <w:noWrap/>
            <w:vAlign w:val="center"/>
          </w:tcPr>
          <w:p w14:paraId="6537F20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2E4C523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40FA6B0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61E9F3F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1.24E-07</w:t>
            </w:r>
          </w:p>
        </w:tc>
        <w:tc>
          <w:tcPr>
            <w:tcW w:w="385" w:type="pct"/>
            <w:noWrap/>
            <w:vAlign w:val="center"/>
          </w:tcPr>
          <w:p w14:paraId="6740480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1.24E-07</w:t>
            </w:r>
          </w:p>
        </w:tc>
        <w:tc>
          <w:tcPr>
            <w:tcW w:w="385" w:type="pct"/>
            <w:noWrap/>
            <w:vAlign w:val="center"/>
          </w:tcPr>
          <w:p w14:paraId="2819235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1.24E-07</w:t>
            </w:r>
          </w:p>
        </w:tc>
        <w:tc>
          <w:tcPr>
            <w:tcW w:w="385" w:type="pct"/>
            <w:noWrap/>
            <w:vAlign w:val="center"/>
          </w:tcPr>
          <w:p w14:paraId="676CB94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1.22E-07</w:t>
            </w:r>
          </w:p>
        </w:tc>
        <w:tc>
          <w:tcPr>
            <w:tcW w:w="385" w:type="pct"/>
            <w:noWrap/>
            <w:vAlign w:val="center"/>
          </w:tcPr>
          <w:p w14:paraId="510CFDB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7.85E-08</w:t>
            </w:r>
          </w:p>
        </w:tc>
        <w:tc>
          <w:tcPr>
            <w:tcW w:w="387" w:type="pct"/>
            <w:vAlign w:val="center"/>
          </w:tcPr>
          <w:p w14:paraId="7A6E00F0">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6.70E-09</w:t>
            </w:r>
          </w:p>
        </w:tc>
        <w:tc>
          <w:tcPr>
            <w:tcW w:w="387" w:type="pct"/>
            <w:vAlign w:val="center"/>
          </w:tcPr>
          <w:p w14:paraId="6926DE8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6" w:type="pct"/>
            <w:noWrap/>
            <w:vAlign w:val="center"/>
          </w:tcPr>
          <w:p w14:paraId="1333340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r>
      <w:tr w14:paraId="787706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13F0972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邓郭</w:t>
            </w:r>
          </w:p>
        </w:tc>
        <w:tc>
          <w:tcPr>
            <w:tcW w:w="381" w:type="pct"/>
            <w:noWrap/>
            <w:vAlign w:val="center"/>
          </w:tcPr>
          <w:p w14:paraId="0FE2850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00167F0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4.26E-19</w:t>
            </w:r>
          </w:p>
        </w:tc>
        <w:tc>
          <w:tcPr>
            <w:tcW w:w="385" w:type="pct"/>
            <w:noWrap/>
            <w:vAlign w:val="center"/>
          </w:tcPr>
          <w:p w14:paraId="7A1380A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4.26E-19</w:t>
            </w:r>
          </w:p>
        </w:tc>
        <w:tc>
          <w:tcPr>
            <w:tcW w:w="385" w:type="pct"/>
            <w:noWrap/>
            <w:vAlign w:val="center"/>
          </w:tcPr>
          <w:p w14:paraId="593AD24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4.26E-19</w:t>
            </w:r>
          </w:p>
        </w:tc>
        <w:tc>
          <w:tcPr>
            <w:tcW w:w="385" w:type="pct"/>
            <w:noWrap/>
            <w:vAlign w:val="center"/>
          </w:tcPr>
          <w:p w14:paraId="40A27012">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4.26E-19</w:t>
            </w:r>
          </w:p>
        </w:tc>
        <w:tc>
          <w:tcPr>
            <w:tcW w:w="385" w:type="pct"/>
            <w:noWrap/>
            <w:vAlign w:val="center"/>
          </w:tcPr>
          <w:p w14:paraId="32B240C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4.26E-19</w:t>
            </w:r>
          </w:p>
        </w:tc>
        <w:tc>
          <w:tcPr>
            <w:tcW w:w="385" w:type="pct"/>
            <w:noWrap/>
            <w:vAlign w:val="center"/>
          </w:tcPr>
          <w:p w14:paraId="7B6CBF4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3.44E-19</w:t>
            </w:r>
          </w:p>
        </w:tc>
        <w:tc>
          <w:tcPr>
            <w:tcW w:w="385" w:type="pct"/>
            <w:noWrap/>
            <w:vAlign w:val="center"/>
          </w:tcPr>
          <w:p w14:paraId="15F2F99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4.72E-21</w:t>
            </w:r>
          </w:p>
        </w:tc>
        <w:tc>
          <w:tcPr>
            <w:tcW w:w="387" w:type="pct"/>
            <w:vAlign w:val="center"/>
          </w:tcPr>
          <w:p w14:paraId="255DAD7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15D443A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6" w:type="pct"/>
            <w:noWrap/>
            <w:vAlign w:val="center"/>
          </w:tcPr>
          <w:p w14:paraId="0B34824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r>
      <w:tr w14:paraId="1FCB07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094DEAD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三铺中学</w:t>
            </w:r>
          </w:p>
        </w:tc>
        <w:tc>
          <w:tcPr>
            <w:tcW w:w="381" w:type="pct"/>
            <w:noWrap/>
            <w:vAlign w:val="center"/>
          </w:tcPr>
          <w:p w14:paraId="0D368B9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009567F7">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2.67E-04</w:t>
            </w:r>
          </w:p>
        </w:tc>
        <w:tc>
          <w:tcPr>
            <w:tcW w:w="385" w:type="pct"/>
            <w:noWrap/>
            <w:vAlign w:val="center"/>
          </w:tcPr>
          <w:p w14:paraId="7EC20ED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2.67E-04</w:t>
            </w:r>
          </w:p>
        </w:tc>
        <w:tc>
          <w:tcPr>
            <w:tcW w:w="385" w:type="pct"/>
            <w:noWrap/>
            <w:vAlign w:val="center"/>
          </w:tcPr>
          <w:p w14:paraId="75C17E4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2.67E-04</w:t>
            </w:r>
          </w:p>
        </w:tc>
        <w:tc>
          <w:tcPr>
            <w:tcW w:w="385" w:type="pct"/>
            <w:noWrap/>
            <w:vAlign w:val="center"/>
          </w:tcPr>
          <w:p w14:paraId="1B16DD3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2.67E-04</w:t>
            </w:r>
          </w:p>
        </w:tc>
        <w:tc>
          <w:tcPr>
            <w:tcW w:w="385" w:type="pct"/>
            <w:noWrap/>
            <w:vAlign w:val="center"/>
          </w:tcPr>
          <w:p w14:paraId="5732267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2.67E-04</w:t>
            </w:r>
          </w:p>
        </w:tc>
        <w:tc>
          <w:tcPr>
            <w:tcW w:w="385" w:type="pct"/>
            <w:noWrap/>
            <w:vAlign w:val="center"/>
          </w:tcPr>
          <w:p w14:paraId="39FB14C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6.37E-05</w:t>
            </w:r>
          </w:p>
        </w:tc>
        <w:tc>
          <w:tcPr>
            <w:tcW w:w="385" w:type="pct"/>
            <w:noWrap/>
            <w:vAlign w:val="center"/>
          </w:tcPr>
          <w:p w14:paraId="7059C75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3F40A69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2E4427B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6" w:type="pct"/>
            <w:noWrap/>
            <w:vAlign w:val="center"/>
          </w:tcPr>
          <w:p w14:paraId="07B4025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r>
      <w:tr w14:paraId="3FBF2C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4AFE782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三铺小学</w:t>
            </w:r>
          </w:p>
        </w:tc>
        <w:tc>
          <w:tcPr>
            <w:tcW w:w="381" w:type="pct"/>
            <w:noWrap/>
            <w:vAlign w:val="center"/>
          </w:tcPr>
          <w:p w14:paraId="1F5585E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2EFEDF2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02C4057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9.25E-03</w:t>
            </w:r>
          </w:p>
        </w:tc>
        <w:tc>
          <w:tcPr>
            <w:tcW w:w="385" w:type="pct"/>
            <w:noWrap/>
            <w:vAlign w:val="center"/>
          </w:tcPr>
          <w:p w14:paraId="3513148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9.25E-03</w:t>
            </w:r>
          </w:p>
        </w:tc>
        <w:tc>
          <w:tcPr>
            <w:tcW w:w="385" w:type="pct"/>
            <w:noWrap/>
            <w:vAlign w:val="center"/>
          </w:tcPr>
          <w:p w14:paraId="3806640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9.25E-03</w:t>
            </w:r>
          </w:p>
        </w:tc>
        <w:tc>
          <w:tcPr>
            <w:tcW w:w="385" w:type="pct"/>
            <w:noWrap/>
            <w:vAlign w:val="center"/>
          </w:tcPr>
          <w:p w14:paraId="6837E56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9.25E-03</w:t>
            </w:r>
          </w:p>
        </w:tc>
        <w:tc>
          <w:tcPr>
            <w:tcW w:w="385" w:type="pct"/>
            <w:noWrap/>
            <w:vAlign w:val="center"/>
          </w:tcPr>
          <w:p w14:paraId="4368E5E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7.96E-03</w:t>
            </w:r>
          </w:p>
        </w:tc>
        <w:tc>
          <w:tcPr>
            <w:tcW w:w="385" w:type="pct"/>
            <w:noWrap/>
            <w:vAlign w:val="center"/>
          </w:tcPr>
          <w:p w14:paraId="2A49ADC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2.69E-04</w:t>
            </w:r>
          </w:p>
        </w:tc>
        <w:tc>
          <w:tcPr>
            <w:tcW w:w="387" w:type="pct"/>
            <w:vAlign w:val="center"/>
          </w:tcPr>
          <w:p w14:paraId="679DA99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7" w:type="pct"/>
            <w:vAlign w:val="center"/>
          </w:tcPr>
          <w:p w14:paraId="267F624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6" w:type="pct"/>
            <w:noWrap/>
            <w:vAlign w:val="center"/>
          </w:tcPr>
          <w:p w14:paraId="7FE999D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r>
      <w:tr w14:paraId="6DE2A1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242136B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沫河口镇中心小学</w:t>
            </w:r>
          </w:p>
        </w:tc>
        <w:tc>
          <w:tcPr>
            <w:tcW w:w="381" w:type="pct"/>
            <w:noWrap/>
            <w:vAlign w:val="center"/>
          </w:tcPr>
          <w:p w14:paraId="293D1D3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2895AD4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11264E4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05958B1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55063CB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6B53EAE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1.85E-03</w:t>
            </w:r>
          </w:p>
        </w:tc>
        <w:tc>
          <w:tcPr>
            <w:tcW w:w="385" w:type="pct"/>
            <w:noWrap/>
            <w:vAlign w:val="center"/>
          </w:tcPr>
          <w:p w14:paraId="0D67A97D">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1.06E-03</w:t>
            </w:r>
          </w:p>
        </w:tc>
        <w:tc>
          <w:tcPr>
            <w:tcW w:w="385" w:type="pct"/>
            <w:noWrap/>
            <w:vAlign w:val="center"/>
          </w:tcPr>
          <w:p w14:paraId="5CDDE6C4">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1.66E-03</w:t>
            </w:r>
          </w:p>
        </w:tc>
        <w:tc>
          <w:tcPr>
            <w:tcW w:w="387" w:type="pct"/>
            <w:vAlign w:val="center"/>
          </w:tcPr>
          <w:p w14:paraId="47EADC8C">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1.54E-03</w:t>
            </w:r>
          </w:p>
        </w:tc>
        <w:tc>
          <w:tcPr>
            <w:tcW w:w="387" w:type="pct"/>
            <w:vAlign w:val="center"/>
          </w:tcPr>
          <w:p w14:paraId="181BBD8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4.12E-04</w:t>
            </w:r>
          </w:p>
        </w:tc>
        <w:tc>
          <w:tcPr>
            <w:tcW w:w="386" w:type="pct"/>
            <w:noWrap/>
            <w:vAlign w:val="center"/>
          </w:tcPr>
          <w:p w14:paraId="7B43AA21">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1.10E-05</w:t>
            </w:r>
          </w:p>
        </w:tc>
      </w:tr>
      <w:tr w14:paraId="46E23C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64" w:type="pct"/>
            <w:noWrap/>
            <w:vAlign w:val="center"/>
          </w:tcPr>
          <w:p w14:paraId="2A47AEA8">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蚌埠沫河口中学</w:t>
            </w:r>
          </w:p>
        </w:tc>
        <w:tc>
          <w:tcPr>
            <w:tcW w:w="381" w:type="pct"/>
            <w:noWrap/>
            <w:vAlign w:val="center"/>
          </w:tcPr>
          <w:p w14:paraId="1B04304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0ABD1E6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14447D5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228901E5">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7D1A63C3">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0.00E+00</w:t>
            </w:r>
          </w:p>
        </w:tc>
        <w:tc>
          <w:tcPr>
            <w:tcW w:w="385" w:type="pct"/>
            <w:noWrap/>
            <w:vAlign w:val="center"/>
          </w:tcPr>
          <w:p w14:paraId="78722B2B">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1.19E-03</w:t>
            </w:r>
          </w:p>
        </w:tc>
        <w:tc>
          <w:tcPr>
            <w:tcW w:w="385" w:type="pct"/>
            <w:noWrap/>
            <w:vAlign w:val="center"/>
          </w:tcPr>
          <w:p w14:paraId="4EEF1039">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7.09E-04</w:t>
            </w:r>
          </w:p>
        </w:tc>
        <w:tc>
          <w:tcPr>
            <w:tcW w:w="385" w:type="pct"/>
            <w:noWrap/>
            <w:vAlign w:val="center"/>
          </w:tcPr>
          <w:p w14:paraId="444E416F">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1.07E-03</w:t>
            </w:r>
          </w:p>
        </w:tc>
        <w:tc>
          <w:tcPr>
            <w:tcW w:w="387" w:type="pct"/>
            <w:vAlign w:val="center"/>
          </w:tcPr>
          <w:p w14:paraId="09311A4A">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9.72E-04</w:t>
            </w:r>
          </w:p>
        </w:tc>
        <w:tc>
          <w:tcPr>
            <w:tcW w:w="387" w:type="pct"/>
            <w:vAlign w:val="center"/>
          </w:tcPr>
          <w:p w14:paraId="3BCA4FFE">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2.41E-04</w:t>
            </w:r>
          </w:p>
        </w:tc>
        <w:tc>
          <w:tcPr>
            <w:tcW w:w="386" w:type="pct"/>
            <w:noWrap/>
            <w:vAlign w:val="center"/>
          </w:tcPr>
          <w:p w14:paraId="5B6B8536">
            <w:pPr>
              <w:pStyle w:val="82"/>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5.45E-06</w:t>
            </w:r>
          </w:p>
        </w:tc>
      </w:tr>
    </w:tbl>
    <w:p w14:paraId="70365E85">
      <w:pPr>
        <w:rPr>
          <w:rFonts w:cs="Times New Roman"/>
          <w:spacing w:val="-3"/>
        </w:rPr>
        <w:sectPr>
          <w:pgSz w:w="16838" w:h="11906" w:orient="landscape"/>
          <w:pgMar w:top="1418" w:right="1418" w:bottom="1418" w:left="1418" w:header="851" w:footer="992" w:gutter="0"/>
          <w:cols w:space="425" w:num="1"/>
          <w:docGrid w:type="lines" w:linePitch="326" w:charSpace="0"/>
        </w:sectPr>
      </w:pPr>
    </w:p>
    <w:p w14:paraId="70D5047B">
      <w:pPr>
        <w:pStyle w:val="4"/>
        <w:rPr>
          <w:rFonts w:hint="eastAsia"/>
        </w:rPr>
      </w:pPr>
      <w:bookmarkStart w:id="134" w:name="_Toc221056443"/>
      <w:r>
        <w:rPr>
          <w:rFonts w:hint="eastAsia"/>
        </w:rPr>
        <w:t>6.8.8地下水环境风险分析</w:t>
      </w:r>
      <w:bookmarkEnd w:id="134"/>
    </w:p>
    <w:p w14:paraId="3719DFBD">
      <w:pPr>
        <w:pStyle w:val="82"/>
        <w:ind w:firstLine="480"/>
        <w:jc w:val="both"/>
        <w:rPr>
          <w:rFonts w:hint="eastAsia"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地下水环境风险事故预测详见地下水环境影响分析章节。</w:t>
      </w:r>
      <w:r>
        <w:rPr>
          <w:rFonts w:hint="eastAsia" w:ascii="Times New Roman" w:hAnsi="Times New Roman" w:cs="Times New Roman"/>
          <w:color w:val="000000" w:themeColor="text1"/>
          <w14:textFill>
            <w14:solidFill>
              <w14:schemeClr w14:val="tx1"/>
            </w14:solidFill>
          </w14:textFill>
        </w:rPr>
        <w:t>在非正常工况下，高浓废水暂存罐泄漏后，废水通过渗透作用可对地下水造成一定的影响，因此，需对主要污染部位如罐区、生产区域等采取防渗措施，确保废水污染物不进入地下水。项目建设单位已对废水暂存罐，并进行了重点防渗，同时厂区设有事故池，可收集事故废水。建议建设单位对废水暂存罐进行定期检查，防止废水暂存罐泄漏，防渗措施破损。在此基础上项目对地下水环境影响较小。</w:t>
      </w:r>
    </w:p>
    <w:p w14:paraId="76A935A4">
      <w:pPr>
        <w:pStyle w:val="4"/>
        <w:rPr>
          <w:rFonts w:hint="eastAsia"/>
        </w:rPr>
      </w:pPr>
      <w:bookmarkStart w:id="135" w:name="_Toc221056444"/>
      <w:r>
        <w:rPr>
          <w:rFonts w:hint="eastAsia"/>
        </w:rPr>
        <w:t>6.8.9环境风险管理</w:t>
      </w:r>
      <w:bookmarkEnd w:id="135"/>
    </w:p>
    <w:p w14:paraId="547BC891">
      <w:pPr>
        <w:ind w:firstLine="468" w:firstLineChars="200"/>
        <w:rPr>
          <w:rFonts w:cs="Times New Roman"/>
          <w:spacing w:val="-3"/>
        </w:rPr>
      </w:pPr>
      <w:r>
        <w:rPr>
          <w:rFonts w:hint="eastAsia" w:cs="Times New Roman"/>
          <w:spacing w:val="-3"/>
        </w:rPr>
        <w:t>1、环境风险管理目标</w:t>
      </w:r>
    </w:p>
    <w:p w14:paraId="2BCA4369">
      <w:pPr>
        <w:ind w:firstLine="468" w:firstLineChars="200"/>
        <w:rPr>
          <w:rFonts w:cs="Times New Roman"/>
          <w:spacing w:val="-3"/>
        </w:rPr>
      </w:pPr>
      <w:r>
        <w:rPr>
          <w:rFonts w:cs="Times New Roman"/>
          <w:spacing w:val="-3"/>
        </w:rPr>
        <w:t>环境风险管理目标是采用最低合理可行原则管控环境风险。采取的环境风险防范措施应与社会经济技术发展水平相适应，运用科学的技术手段和管理方法，对环境风险进行有效的预防、监控、相应。</w:t>
      </w:r>
    </w:p>
    <w:p w14:paraId="0988D9BB">
      <w:pPr>
        <w:ind w:firstLine="468" w:firstLineChars="200"/>
        <w:rPr>
          <w:rFonts w:cs="Times New Roman"/>
          <w:spacing w:val="-3"/>
        </w:rPr>
      </w:pPr>
      <w:r>
        <w:rPr>
          <w:rFonts w:hint="eastAsia" w:cs="Times New Roman"/>
          <w:spacing w:val="-3"/>
        </w:rPr>
        <w:t>2、安全风险防范措施</w:t>
      </w:r>
    </w:p>
    <w:p w14:paraId="62159274">
      <w:pPr>
        <w:ind w:firstLine="468" w:firstLineChars="200"/>
        <w:rPr>
          <w:rFonts w:cs="Times New Roman"/>
          <w:spacing w:val="-3"/>
        </w:rPr>
      </w:pPr>
      <w:r>
        <w:rPr>
          <w:rFonts w:cs="Times New Roman"/>
          <w:spacing w:val="-3"/>
        </w:rPr>
        <w:t>项目事故引起环境风险事故一般都是由于安全风险措施出现故障导致，项目在设计中已考虑安全风险防范措施，通过实施合理的安全风险防范措施可以有效的降低安全事故发生的概率，由源头上降低安全事故而引发的环境风险事故的概率。</w:t>
      </w:r>
      <w:r>
        <w:rPr>
          <w:rFonts w:hint="eastAsia" w:cs="Times New Roman"/>
          <w:spacing w:val="-3"/>
        </w:rPr>
        <w:t>项目现有工程已从(1)总平布置、构筑物设计方案；(2)危险化学品厂内储存、厂内外运输；(3)工艺技术设计；(4)</w:t>
      </w:r>
      <w:r>
        <w:rPr>
          <w:rFonts w:cs="Times New Roman"/>
          <w:spacing w:val="-3"/>
        </w:rPr>
        <w:t>有毒有害物质防护及紧急救援</w:t>
      </w:r>
      <w:r>
        <w:rPr>
          <w:rFonts w:hint="eastAsia" w:cs="Times New Roman"/>
          <w:spacing w:val="-3"/>
        </w:rPr>
        <w:t>等方面采取了相应的安全风险防范措施，已进行安全评价，本环评不再赘述。</w:t>
      </w:r>
    </w:p>
    <w:p w14:paraId="70A05CD5">
      <w:pPr>
        <w:ind w:firstLine="468" w:firstLineChars="200"/>
        <w:rPr>
          <w:rFonts w:cs="Times New Roman"/>
          <w:spacing w:val="-3"/>
        </w:rPr>
      </w:pPr>
      <w:r>
        <w:rPr>
          <w:rFonts w:hint="eastAsia" w:cs="Times New Roman"/>
          <w:spacing w:val="-3"/>
        </w:rPr>
        <w:t>3、大气环境风险防范措施</w:t>
      </w:r>
    </w:p>
    <w:p w14:paraId="53163869">
      <w:pPr>
        <w:pStyle w:val="82"/>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采取了大量的安全风险防范措施以降低事故发生的概率，而环境风险评价内容是事故发生后对外界环境造成的危害，因此工程采取一系列的安全风险防范措施的基础上，还需采取合理的环境风险防范措施，以降低事故对外界环境造成的影响。</w:t>
      </w:r>
    </w:p>
    <w:p w14:paraId="167EF6AE">
      <w:pPr>
        <w:pStyle w:val="16"/>
        <w:ind w:firstLine="480"/>
        <w:rPr>
          <w:lang w:val="zh-CN" w:bidi="zh-CN"/>
        </w:rPr>
      </w:pPr>
      <w:r>
        <w:rPr>
          <w:rFonts w:hint="eastAsia"/>
          <w:lang w:val="zh-CN" w:bidi="zh-CN"/>
        </w:rPr>
        <w:t>项目</w:t>
      </w:r>
      <w:r>
        <w:rPr>
          <w:lang w:val="zh-CN" w:bidi="zh-CN"/>
        </w:rPr>
        <w:t>环境风险防范措施主要是指为了防止事故产生的有毒有害物质进入环境而采取的措施，具体内容如下。</w:t>
      </w:r>
    </w:p>
    <w:p w14:paraId="1FCA1F38">
      <w:pPr>
        <w:pStyle w:val="16"/>
        <w:ind w:firstLine="476"/>
        <w:rPr>
          <w:lang w:val="zh-CN" w:bidi="zh-CN"/>
        </w:rPr>
      </w:pPr>
      <w:r>
        <w:rPr>
          <w:rFonts w:hint="eastAsia"/>
          <w:spacing w:val="-1"/>
          <w:lang w:val="zh-CN" w:bidi="zh-CN"/>
        </w:rPr>
        <w:t>(1)</w:t>
      </w:r>
      <w:r>
        <w:rPr>
          <w:spacing w:val="-1"/>
          <w:lang w:val="zh-CN" w:bidi="zh-CN"/>
        </w:rPr>
        <w:t>装置区和储运区按照环境风险应急预案建立重大危险源特征污染物的自动报警和</w:t>
      </w:r>
      <w:r>
        <w:rPr>
          <w:lang w:val="zh-CN" w:bidi="zh-CN"/>
        </w:rPr>
        <w:t>控制系统。</w:t>
      </w:r>
    </w:p>
    <w:p w14:paraId="281C6F0D">
      <w:pPr>
        <w:pStyle w:val="16"/>
        <w:ind w:firstLine="480"/>
        <w:rPr>
          <w:lang w:val="zh-CN" w:bidi="zh-CN"/>
        </w:rPr>
      </w:pPr>
      <w:r>
        <w:rPr>
          <w:rFonts w:hint="eastAsia"/>
          <w:lang w:val="zh-CN" w:bidi="zh-CN"/>
        </w:rPr>
        <w:t>(2)</w:t>
      </w:r>
      <w:r>
        <w:rPr>
          <w:lang w:val="zh-CN" w:bidi="zh-CN"/>
        </w:rPr>
        <w:t>配备事故初级应急监测设施和人员，配备事故初级救护器材和物质。</w:t>
      </w:r>
    </w:p>
    <w:p w14:paraId="65DD190A">
      <w:pPr>
        <w:pStyle w:val="16"/>
        <w:ind w:firstLine="460"/>
        <w:rPr>
          <w:lang w:val="zh-CN" w:bidi="zh-CN"/>
        </w:rPr>
      </w:pPr>
      <w:r>
        <w:rPr>
          <w:spacing w:val="-5"/>
          <w:lang w:val="zh-CN" w:bidi="zh-CN"/>
        </w:rPr>
        <w:t>当某一单元出现风险事故造成停车或局部停车时，装置自动连锁系统可自动切断进料系</w:t>
      </w:r>
      <w:r>
        <w:rPr>
          <w:spacing w:val="-10"/>
          <w:lang w:val="zh-CN" w:bidi="zh-CN"/>
        </w:rPr>
        <w:t>统，装置进行放空，事故停车造成的装置及连带上、下游装置无法回收的物料全部排入事故</w:t>
      </w:r>
      <w:r>
        <w:rPr>
          <w:lang w:val="zh-CN" w:bidi="zh-CN"/>
        </w:rPr>
        <w:t>应急系统，以保护人身和设备安全。</w:t>
      </w:r>
    </w:p>
    <w:p w14:paraId="6E16943C">
      <w:pPr>
        <w:pStyle w:val="16"/>
        <w:ind w:firstLine="480"/>
        <w:rPr>
          <w:lang w:val="zh-CN" w:bidi="zh-CN"/>
        </w:rPr>
      </w:pPr>
      <w:r>
        <w:rPr>
          <w:rFonts w:hint="eastAsia"/>
          <w:lang w:val="zh-CN" w:bidi="zh-CN"/>
        </w:rPr>
        <w:t>(3)</w:t>
      </w:r>
      <w:r>
        <w:rPr>
          <w:lang w:val="zh-CN" w:bidi="zh-CN"/>
        </w:rPr>
        <w:t>物料泄漏应急、救援及减缓措施</w:t>
      </w:r>
    </w:p>
    <w:p w14:paraId="7341A872">
      <w:pPr>
        <w:pStyle w:val="16"/>
        <w:ind w:firstLine="480"/>
        <w:rPr>
          <w:lang w:val="zh-CN" w:bidi="zh-CN"/>
        </w:rPr>
      </w:pPr>
      <w:r>
        <w:rPr>
          <w:lang w:val="zh-CN" w:bidi="zh-CN"/>
        </w:rPr>
        <w:t>当发生易燃易爆或有毒物料泄漏时，可根据物料性质，选择采取以下措施，防止事态进一步发展：</w:t>
      </w:r>
    </w:p>
    <w:p w14:paraId="38E817EC">
      <w:pPr>
        <w:pStyle w:val="16"/>
        <w:ind w:firstLine="480"/>
        <w:rPr>
          <w:lang w:val="zh-CN" w:bidi="zh-CN"/>
        </w:rPr>
      </w:pPr>
      <w:r>
        <w:rPr>
          <w:rFonts w:hint="eastAsia" w:ascii="宋体" w:hAnsi="宋体" w:cs="宋体"/>
          <w:lang w:val="zh-CN" w:bidi="zh-CN"/>
        </w:rPr>
        <w:t>①</w:t>
      </w:r>
      <w:r>
        <w:rPr>
          <w:lang w:val="zh-CN" w:bidi="zh-CN"/>
        </w:rPr>
        <w:t>根据事故级别启动应急预案。</w:t>
      </w:r>
    </w:p>
    <w:p w14:paraId="3AEA91F9">
      <w:pPr>
        <w:pStyle w:val="16"/>
        <w:ind w:firstLine="480"/>
        <w:rPr>
          <w:lang w:val="zh-CN" w:bidi="zh-CN"/>
        </w:rPr>
      </w:pPr>
      <w:r>
        <w:rPr>
          <w:rFonts w:hint="eastAsia" w:ascii="宋体" w:hAnsi="宋体" w:cs="宋体"/>
          <w:lang w:val="zh-CN" w:bidi="zh-CN"/>
        </w:rPr>
        <w:t>②</w:t>
      </w:r>
      <w:r>
        <w:rPr>
          <w:lang w:val="zh-CN" w:bidi="zh-CN"/>
        </w:rPr>
        <w:t>根据装置各高点设置的风向标，将无关人员迅速疏散到上风向安全区，对危险区域进行隔离，并严格控制出入，切断火源；根据需要疏散周围居住区人群。</w:t>
      </w:r>
    </w:p>
    <w:p w14:paraId="53EEE41C">
      <w:pPr>
        <w:pStyle w:val="16"/>
        <w:ind w:firstLine="480"/>
        <w:rPr>
          <w:lang w:val="zh-CN" w:bidi="zh-CN"/>
        </w:rPr>
      </w:pPr>
      <w:r>
        <w:rPr>
          <w:rFonts w:hint="eastAsia" w:ascii="宋体" w:hAnsi="宋体" w:cs="宋体"/>
          <w:lang w:val="zh-CN" w:bidi="zh-CN"/>
        </w:rPr>
        <w:t>③</w:t>
      </w:r>
      <w:r>
        <w:rPr>
          <w:lang w:val="zh-CN" w:bidi="zh-CN"/>
        </w:rPr>
        <w:t>比空气重的易挥发易燃液体泄漏时，用工业覆盖层或吸附</w:t>
      </w:r>
      <w:r>
        <w:rPr>
          <w:rFonts w:eastAsia="Times New Roman"/>
          <w:lang w:val="zh-CN" w:bidi="zh-CN"/>
        </w:rPr>
        <w:t>/</w:t>
      </w:r>
      <w:r>
        <w:rPr>
          <w:lang w:val="zh-CN" w:bidi="zh-CN"/>
        </w:rPr>
        <w:t>吸收剂盖住泄漏点附近的下水道等地方，防止气体进入。</w:t>
      </w:r>
    </w:p>
    <w:p w14:paraId="0EB1DA2B">
      <w:pPr>
        <w:pStyle w:val="16"/>
        <w:ind w:firstLine="456"/>
        <w:rPr>
          <w:lang w:val="zh-CN" w:bidi="zh-CN"/>
        </w:rPr>
      </w:pPr>
      <w:r>
        <w:rPr>
          <w:rFonts w:hint="eastAsia" w:ascii="宋体" w:hAnsi="宋体" w:cs="宋体"/>
          <w:spacing w:val="-6"/>
          <w:lang w:val="zh-CN" w:bidi="zh-CN"/>
        </w:rPr>
        <w:t>④</w:t>
      </w:r>
      <w:r>
        <w:rPr>
          <w:spacing w:val="-6"/>
          <w:lang w:val="zh-CN" w:bidi="zh-CN"/>
        </w:rPr>
        <w:t>少量液体泄漏：用砂土或其它不燃材料吸附或吸收，也可以用大量水冲洗，稀释水排</w:t>
      </w:r>
      <w:r>
        <w:rPr>
          <w:spacing w:val="-8"/>
          <w:lang w:val="zh-CN" w:bidi="zh-CN"/>
        </w:rPr>
        <w:t>入废水系统；大量液体泄漏：构筑临时围堤收容，用泡沫覆盖，降低挥发蒸气灾害，用防爆</w:t>
      </w:r>
      <w:r>
        <w:rPr>
          <w:lang w:val="zh-CN" w:bidi="zh-CN"/>
        </w:rPr>
        <w:t>泵转移至槽车或专用收集器内，回收或运至废物处理场所处置。</w:t>
      </w:r>
    </w:p>
    <w:p w14:paraId="580B6ED9">
      <w:pPr>
        <w:pStyle w:val="16"/>
        <w:ind w:firstLine="452"/>
        <w:rPr>
          <w:lang w:val="zh-CN" w:bidi="zh-CN"/>
        </w:rPr>
      </w:pPr>
      <w:r>
        <w:rPr>
          <w:rFonts w:hint="eastAsia" w:ascii="宋体" w:hAnsi="宋体" w:cs="宋体"/>
          <w:spacing w:val="-7"/>
          <w:lang w:val="zh-CN" w:bidi="zh-CN"/>
        </w:rPr>
        <w:t>⑤</w:t>
      </w:r>
      <w:r>
        <w:rPr>
          <w:spacing w:val="-7"/>
          <w:lang w:val="zh-CN" w:bidi="zh-CN"/>
        </w:rPr>
        <w:t>喷雾吸收或中和：对某些可通过物理、化学反应中和或吸收的气体发生泄漏，可喷相</w:t>
      </w:r>
      <w:r>
        <w:rPr>
          <w:lang w:val="zh-CN" w:bidi="zh-CN"/>
        </w:rPr>
        <w:t>关雾状液进行中和或吸收。</w:t>
      </w:r>
    </w:p>
    <w:p w14:paraId="49A862C2">
      <w:pPr>
        <w:pStyle w:val="16"/>
        <w:ind w:firstLine="480"/>
        <w:rPr>
          <w:lang w:val="zh-CN" w:bidi="zh-CN"/>
        </w:rPr>
      </w:pPr>
      <w:r>
        <w:rPr>
          <w:rFonts w:hint="eastAsia"/>
          <w:lang w:val="zh-CN" w:bidi="zh-CN"/>
        </w:rPr>
        <w:t>(4)</w:t>
      </w:r>
      <w:r>
        <w:rPr>
          <w:lang w:val="zh-CN" w:bidi="zh-CN"/>
        </w:rPr>
        <w:t>火灾、爆炸应急、减缓措施</w:t>
      </w:r>
    </w:p>
    <w:p w14:paraId="5BE183D7">
      <w:pPr>
        <w:pStyle w:val="16"/>
        <w:ind w:firstLine="480"/>
        <w:rPr>
          <w:lang w:val="zh-CN" w:bidi="zh-CN"/>
        </w:rPr>
      </w:pPr>
      <w:r>
        <w:rPr>
          <w:rFonts w:hint="eastAsia" w:ascii="宋体" w:hAnsi="宋体" w:cs="宋体"/>
          <w:lang w:val="zh-CN" w:bidi="zh-CN"/>
        </w:rPr>
        <w:t>①</w:t>
      </w:r>
      <w:r>
        <w:rPr>
          <w:lang w:val="zh-CN" w:bidi="zh-CN"/>
        </w:rPr>
        <w:t>根据事故级别启动应急预案。</w:t>
      </w:r>
    </w:p>
    <w:p w14:paraId="758BC75D">
      <w:pPr>
        <w:pStyle w:val="16"/>
        <w:ind w:firstLine="480"/>
        <w:rPr>
          <w:lang w:val="zh-CN" w:bidi="zh-CN"/>
        </w:rPr>
      </w:pPr>
      <w:r>
        <w:rPr>
          <w:rFonts w:hint="eastAsia" w:ascii="宋体" w:hAnsi="宋体" w:cs="宋体"/>
          <w:lang w:val="zh-CN" w:bidi="zh-CN"/>
        </w:rPr>
        <w:t>②</w:t>
      </w:r>
      <w:r>
        <w:rPr>
          <w:lang w:val="zh-CN" w:bidi="zh-CN"/>
        </w:rPr>
        <w:t>根据需要，切断着火设施上、下游物料，尽可能倒空着火设施附近装置或贮罐物料，防止发生连锁效应。</w:t>
      </w:r>
    </w:p>
    <w:p w14:paraId="0E6C2915">
      <w:pPr>
        <w:pStyle w:val="16"/>
        <w:ind w:firstLine="480"/>
        <w:rPr>
          <w:lang w:val="zh-CN" w:bidi="zh-CN"/>
        </w:rPr>
      </w:pPr>
      <w:r>
        <w:rPr>
          <w:rFonts w:hint="eastAsia" w:ascii="宋体" w:hAnsi="宋体" w:cs="宋体"/>
          <w:lang w:val="zh-CN" w:bidi="zh-CN"/>
        </w:rPr>
        <w:t>③</w:t>
      </w:r>
      <w:r>
        <w:rPr>
          <w:lang w:val="zh-CN" w:bidi="zh-CN"/>
        </w:rPr>
        <w:t>在救火的同时，采用水幕或喷淋的方法，防止引发继发事故。</w:t>
      </w:r>
    </w:p>
    <w:p w14:paraId="6670CC7D">
      <w:pPr>
        <w:pStyle w:val="16"/>
        <w:ind w:firstLine="480"/>
        <w:rPr>
          <w:lang w:val="zh-CN" w:bidi="zh-CN"/>
        </w:rPr>
      </w:pPr>
      <w:r>
        <w:rPr>
          <w:rFonts w:hint="eastAsia" w:ascii="宋体" w:hAnsi="宋体" w:cs="宋体"/>
          <w:lang w:val="zh-CN" w:bidi="zh-CN"/>
        </w:rPr>
        <w:t>④</w:t>
      </w:r>
      <w:r>
        <w:rPr>
          <w:lang w:val="zh-CN" w:bidi="zh-CN"/>
        </w:rPr>
        <w:t>根据事故级别疏散周围居住区人群。</w:t>
      </w:r>
    </w:p>
    <w:p w14:paraId="1061CAA7">
      <w:pPr>
        <w:pStyle w:val="16"/>
        <w:ind w:firstLine="480"/>
        <w:rPr>
          <w:lang w:val="zh-CN" w:bidi="zh-CN"/>
        </w:rPr>
      </w:pPr>
      <w:r>
        <w:rPr>
          <w:rFonts w:hint="eastAsia"/>
          <w:lang w:val="zh-CN" w:bidi="zh-CN"/>
        </w:rPr>
        <w:t>(5)</w:t>
      </w:r>
      <w:r>
        <w:rPr>
          <w:lang w:val="zh-CN" w:bidi="zh-CN"/>
        </w:rPr>
        <w:t>危险物质风险监控措施</w:t>
      </w:r>
    </w:p>
    <w:p w14:paraId="12A82A15">
      <w:pPr>
        <w:pStyle w:val="16"/>
        <w:ind w:firstLine="480"/>
        <w:rPr>
          <w:lang w:val="zh-CN" w:bidi="zh-CN"/>
        </w:rPr>
      </w:pPr>
      <w:r>
        <w:rPr>
          <w:rFonts w:hint="eastAsia" w:ascii="宋体" w:hAnsi="宋体" w:cs="宋体"/>
          <w:lang w:val="zh-CN" w:bidi="zh-CN"/>
        </w:rPr>
        <w:t>①</w:t>
      </w:r>
      <w:r>
        <w:rPr>
          <w:rFonts w:hint="eastAsia"/>
          <w:lang w:val="zh-CN" w:bidi="zh-CN"/>
        </w:rPr>
        <w:t>间对甲酚</w:t>
      </w:r>
      <w:r>
        <w:rPr>
          <w:lang w:val="zh-CN" w:bidi="zh-CN"/>
        </w:rPr>
        <w:t>、</w:t>
      </w:r>
      <w:r>
        <w:rPr>
          <w:rFonts w:hint="eastAsia"/>
          <w:lang w:val="zh-CN" w:bidi="zh-CN"/>
        </w:rPr>
        <w:t>异丁烯</w:t>
      </w:r>
      <w:r>
        <w:rPr>
          <w:lang w:val="zh-CN" w:bidi="zh-CN"/>
        </w:rPr>
        <w:t>等危险物质</w:t>
      </w:r>
    </w:p>
    <w:p w14:paraId="5863310F">
      <w:pPr>
        <w:pStyle w:val="16"/>
        <w:ind w:firstLine="416"/>
        <w:rPr>
          <w:lang w:val="zh-CN" w:bidi="zh-CN"/>
        </w:rPr>
      </w:pPr>
      <w:r>
        <w:rPr>
          <w:spacing w:val="-16"/>
          <w:lang w:val="zh-CN" w:bidi="zh-CN"/>
        </w:rPr>
        <w:t>间对甲酚、异丁烯等危险物质生产装置、储罐采取密闭措施，使物料始终处于密闭的管道设备。</w:t>
      </w:r>
      <w:r>
        <w:rPr>
          <w:rFonts w:hint="eastAsia"/>
          <w:lang w:val="zh-CN" w:bidi="zh-CN"/>
        </w:rPr>
        <w:t>异丁烯</w:t>
      </w:r>
      <w:r>
        <w:rPr>
          <w:lang w:val="zh-CN" w:bidi="zh-CN"/>
        </w:rPr>
        <w:t>等物料装卸车采用密闭装车以减少其挥发量。</w:t>
      </w:r>
    </w:p>
    <w:p w14:paraId="705DE696">
      <w:pPr>
        <w:pStyle w:val="16"/>
        <w:ind w:firstLine="480"/>
        <w:rPr>
          <w:rFonts w:eastAsia="Times New Roman"/>
          <w:lang w:val="zh-CN" w:bidi="zh-CN"/>
        </w:rPr>
      </w:pPr>
      <w:r>
        <w:rPr>
          <w:rFonts w:hint="eastAsia" w:ascii="宋体" w:hAnsi="宋体" w:cs="宋体"/>
          <w:lang w:val="zh-CN" w:bidi="zh-CN"/>
        </w:rPr>
        <w:t>②</w:t>
      </w:r>
      <w:r>
        <w:rPr>
          <w:lang w:val="zh-CN" w:bidi="zh-CN"/>
        </w:rPr>
        <w:t>次生</w:t>
      </w:r>
      <w:r>
        <w:rPr>
          <w:rFonts w:eastAsia="Times New Roman"/>
          <w:lang w:val="zh-CN" w:bidi="zh-CN"/>
        </w:rPr>
        <w:t>CO</w:t>
      </w:r>
    </w:p>
    <w:p w14:paraId="5D63F609">
      <w:pPr>
        <w:pStyle w:val="16"/>
        <w:ind w:firstLine="448"/>
        <w:rPr>
          <w:lang w:val="zh-CN" w:bidi="zh-CN"/>
        </w:rPr>
      </w:pPr>
      <w:r>
        <w:rPr>
          <w:spacing w:val="-8"/>
          <w:lang w:val="zh-CN" w:bidi="zh-CN"/>
        </w:rPr>
        <w:t>在生产、储存区域可能泄漏间甲酚等危险物质，且容易发生火灾爆炸等危险区域，设置</w:t>
      </w:r>
      <w:r>
        <w:rPr>
          <w:lang w:val="zh-CN" w:bidi="zh-CN"/>
        </w:rPr>
        <w:t>可燃气体检测报警器。在管线和设备连接处选用适当垫片，加强密封。</w:t>
      </w:r>
    </w:p>
    <w:p w14:paraId="5EE2A6B0">
      <w:pPr>
        <w:pStyle w:val="82"/>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lang w:val="zh-CN" w:bidi="zh-CN"/>
          <w14:textFill>
            <w14:solidFill>
              <w14:schemeClr w14:val="tx1"/>
            </w14:solidFill>
          </w14:textFill>
        </w:rPr>
        <w:t>(6)</w:t>
      </w:r>
      <w:r>
        <w:rPr>
          <w:rFonts w:ascii="Times New Roman" w:hAnsi="Times New Roman" w:cs="Times New Roman"/>
          <w:color w:val="000000" w:themeColor="text1"/>
          <w14:textFill>
            <w14:solidFill>
              <w14:schemeClr w14:val="tx1"/>
            </w14:solidFill>
          </w14:textFill>
        </w:rPr>
        <w:t>应急预案</w:t>
      </w:r>
    </w:p>
    <w:p w14:paraId="38218B99">
      <w:pPr>
        <w:pStyle w:val="16"/>
        <w:ind w:firstLine="480"/>
      </w:pPr>
      <w:r>
        <w:t>项目建成运行后，应尽快组织修编突发环境事件应急预案，并报地方环境保护行政主管部门重新备案。预案应明确厂内人员和厂界外受影响人群撤离方案和疏散路线。事故有可能危及事故下风向敏感点前，由公司指挥领导小组及时向主管部门请求派出治安人员进行道路交通管制，并组织群众紧急疏散，同时公司保卫部人员进行协助疏散。园区突发环境事件应急指挥部应在企业较聚集的道路醒目位置设置疏散和撤离的路线指示牌，指示牌应附相应的文字提醒，如人员不要在低洼处滞留、撤离时应往事发地的上风向或侧风向转移等。</w:t>
      </w:r>
    </w:p>
    <w:p w14:paraId="79F5485E">
      <w:pPr>
        <w:pStyle w:val="16"/>
        <w:ind w:firstLine="480"/>
      </w:pPr>
      <w:r>
        <w:t>项目建成后建设单位应与征求地方人民政府应急中心意见制定专项事故应急预案，保证在接到事故通报1h内将可能受影响的全部人员撤离到安全地带。根据不同突发环境事件情景，建设单位应立即启动应急预案，并及时根据事态发展与地方政府部门联系，启动园区、地方应急预案。</w:t>
      </w:r>
    </w:p>
    <w:p w14:paraId="51E62B8B">
      <w:pPr>
        <w:pStyle w:val="16"/>
        <w:ind w:firstLine="480"/>
      </w:pPr>
      <w:r>
        <w:rPr>
          <w:rFonts w:hint="eastAsia"/>
        </w:rPr>
        <w:t>2、事故废水风险防范措施</w:t>
      </w:r>
    </w:p>
    <w:p w14:paraId="062154D5">
      <w:pPr>
        <w:pStyle w:val="16"/>
        <w:ind w:firstLine="432"/>
        <w:rPr>
          <w:lang w:val="zh-CN" w:bidi="zh-CN"/>
        </w:rPr>
      </w:pPr>
      <w:r>
        <w:rPr>
          <w:spacing w:val="-12"/>
          <w:lang w:val="zh-CN" w:bidi="zh-CN"/>
        </w:rPr>
        <w:t>结合设计方案和工程分析，项目</w:t>
      </w:r>
      <w:r>
        <w:rPr>
          <w:rFonts w:hint="eastAsia"/>
          <w:spacing w:val="-12"/>
          <w:lang w:val="zh-CN" w:bidi="zh-CN"/>
        </w:rPr>
        <w:t>高浓</w:t>
      </w:r>
      <w:r>
        <w:rPr>
          <w:spacing w:val="-2"/>
          <w:lang w:val="zh-CN" w:bidi="zh-CN"/>
        </w:rPr>
        <w:t>废水</w:t>
      </w:r>
      <w:r>
        <w:rPr>
          <w:rFonts w:hint="eastAsia"/>
          <w:spacing w:val="-2"/>
          <w:lang w:val="zh-CN" w:bidi="zh-CN"/>
        </w:rPr>
        <w:t>进入东厂区经废水暂存罐进入</w:t>
      </w:r>
      <w:r>
        <w:rPr>
          <w:spacing w:val="-2"/>
          <w:lang w:val="zh-CN" w:bidi="zh-CN"/>
        </w:rPr>
        <w:t>脱盐</w:t>
      </w:r>
      <w:r>
        <w:rPr>
          <w:rFonts w:hint="eastAsia"/>
          <w:spacing w:val="-2"/>
          <w:lang w:val="zh-CN" w:bidi="zh-CN"/>
        </w:rPr>
        <w:t>设施</w:t>
      </w:r>
      <w:r>
        <w:rPr>
          <w:spacing w:val="-2"/>
          <w:lang w:val="zh-CN" w:bidi="zh-CN"/>
        </w:rPr>
        <w:t>预处理后与其他废水一并</w:t>
      </w:r>
      <w:r>
        <w:rPr>
          <w:spacing w:val="-5"/>
          <w:lang w:val="zh-CN" w:bidi="zh-CN"/>
        </w:rPr>
        <w:t>进入厂内综合污水处理站进行处理达到接管标准后排入沫河口园区污水处理厂处理，经</w:t>
      </w:r>
      <w:r>
        <w:rPr>
          <w:rFonts w:hint="eastAsia"/>
          <w:spacing w:val="-5"/>
          <w:lang w:val="zh-CN" w:bidi="zh-CN"/>
        </w:rPr>
        <w:t>沫冲引河</w:t>
      </w:r>
      <w:r>
        <w:rPr>
          <w:lang w:val="zh-CN" w:bidi="zh-CN"/>
        </w:rPr>
        <w:t>排至淮河蚌埠段。为了杜绝事故状况，事故废水进入地表水环境，对区域地表水环境造</w:t>
      </w:r>
      <w:r>
        <w:rPr>
          <w:spacing w:val="-8"/>
          <w:lang w:val="zh-CN" w:bidi="zh-CN"/>
        </w:rPr>
        <w:t>成不利影响，</w:t>
      </w:r>
      <w:r>
        <w:rPr>
          <w:rFonts w:hint="eastAsia"/>
          <w:spacing w:val="-8"/>
          <w:lang w:val="zh-CN" w:bidi="zh-CN"/>
        </w:rPr>
        <w:t>本</w:t>
      </w:r>
      <w:r>
        <w:rPr>
          <w:spacing w:val="-8"/>
          <w:lang w:val="zh-CN" w:bidi="zh-CN"/>
        </w:rPr>
        <w:t>项目计划依托现有厂区已建成事故废水收集系统、末</w:t>
      </w:r>
      <w:r>
        <w:rPr>
          <w:lang w:val="zh-CN" w:bidi="zh-CN"/>
        </w:rPr>
        <w:t>端处理系统。</w:t>
      </w:r>
    </w:p>
    <w:p w14:paraId="47C020FB">
      <w:pPr>
        <w:pStyle w:val="16"/>
        <w:ind w:firstLine="480"/>
        <w:rPr>
          <w:lang w:val="zh-CN" w:bidi="zh-CN"/>
        </w:rPr>
      </w:pPr>
      <w:r>
        <w:rPr>
          <w:lang w:val="zh-CN" w:bidi="zh-CN"/>
        </w:rPr>
        <w:t>本评价仅对事故状况下事故废水收集方案的有效性进行分析，并提出相应的事故防范措施及应急预案，不再对地表水环境风险影响进行评价。</w:t>
      </w:r>
    </w:p>
    <w:p w14:paraId="30BE2077">
      <w:pPr>
        <w:pStyle w:val="16"/>
        <w:ind w:firstLine="428"/>
        <w:rPr>
          <w:lang w:val="zh-CN" w:bidi="zh-CN"/>
        </w:rPr>
      </w:pPr>
      <w:r>
        <w:rPr>
          <w:spacing w:val="-13"/>
          <w:lang w:val="zh-CN" w:bidi="zh-CN"/>
        </w:rPr>
        <w:t>项目涉及的物料大多为易燃、易爆、有毒有害危险物质，且涉及的物质储存量较大，</w:t>
      </w:r>
      <w:r>
        <w:rPr>
          <w:spacing w:val="-6"/>
          <w:lang w:val="zh-CN" w:bidi="zh-CN"/>
        </w:rPr>
        <w:t>一旦发生火灾事故，在火灾扑救过程中，会形成消防废水；同时，本项目生产装置多为露天</w:t>
      </w:r>
      <w:r>
        <w:rPr>
          <w:spacing w:val="-9"/>
          <w:lang w:val="zh-CN" w:bidi="zh-CN"/>
        </w:rPr>
        <w:t>布置，降雨时会形成初期雨水。为此，厂内计划设置事故废水收集系统，对事故废水进行三级防控预防管理，具体如下：</w:t>
      </w:r>
    </w:p>
    <w:p w14:paraId="08F0428F">
      <w:pPr>
        <w:pStyle w:val="16"/>
        <w:ind w:firstLine="480"/>
        <w:rPr>
          <w:lang w:val="zh-CN" w:bidi="zh-CN"/>
        </w:rPr>
      </w:pPr>
      <w:bookmarkStart w:id="136" w:name="_Hlk164879290"/>
      <w:r>
        <w:rPr>
          <w:rFonts w:hint="eastAsia"/>
          <w:lang w:val="zh-CN" w:bidi="zh-CN"/>
        </w:rPr>
        <w:t>第一级防控措施是设置装置区导液系统和罐区围堰，构筑生产过程中环境安全的第一级防控网，将泄漏物料切换到处理系统，防止污染雨水和轻微事故泄漏造成的环境污染；</w:t>
      </w:r>
    </w:p>
    <w:p w14:paraId="04362CD0">
      <w:pPr>
        <w:pStyle w:val="16"/>
        <w:ind w:firstLine="480"/>
        <w:rPr>
          <w:lang w:val="zh-CN" w:bidi="zh-CN"/>
        </w:rPr>
      </w:pPr>
      <w:r>
        <w:rPr>
          <w:rFonts w:hint="eastAsia"/>
          <w:lang w:val="zh-CN" w:bidi="zh-CN"/>
        </w:rPr>
        <w:t>当企业罐区物料泄漏，通过储罐外的围堰和导流系统，将泄漏物料储存到备用罐或企业事故池中，防止污染雨水和物料泄漏造成的环境污染。</w:t>
      </w:r>
    </w:p>
    <w:p w14:paraId="2D61D844">
      <w:pPr>
        <w:pStyle w:val="16"/>
        <w:ind w:firstLine="480"/>
        <w:rPr>
          <w:lang w:val="zh-CN" w:bidi="zh-CN"/>
        </w:rPr>
      </w:pPr>
      <w:r>
        <w:rPr>
          <w:rFonts w:hint="eastAsia"/>
          <w:lang w:val="zh-CN" w:bidi="zh-CN"/>
        </w:rPr>
        <w:t>第二级防控措施是在产生剧毒或者污染严重的污染物装置或厂区设置事故应急池，切断污染物与外部的通道、导入污水处理系统，将污染控制在厂内，防止重大事故泄漏物料和废水造成的环境污染；</w:t>
      </w:r>
    </w:p>
    <w:p w14:paraId="1DB28518">
      <w:pPr>
        <w:pStyle w:val="16"/>
        <w:ind w:firstLine="480"/>
        <w:rPr>
          <w:lang w:val="zh-CN" w:bidi="zh-CN"/>
        </w:rPr>
      </w:pPr>
      <w:r>
        <w:rPr>
          <w:rFonts w:hint="eastAsia"/>
          <w:lang w:val="zh-CN" w:bidi="zh-CN"/>
        </w:rPr>
        <w:t>当企业罐区大量物料泄漏或物料进入厂区雨水管网或产生废水时，通过关闭企业雨水总排口，开启企业事故池阀门，将事故废水导入事故池，将污染控制在厂内。</w:t>
      </w:r>
    </w:p>
    <w:p w14:paraId="64A89BC5">
      <w:pPr>
        <w:pStyle w:val="16"/>
        <w:ind w:firstLine="480"/>
        <w:rPr>
          <w:lang w:val="zh-CN" w:bidi="zh-CN"/>
        </w:rPr>
      </w:pPr>
      <w:r>
        <w:rPr>
          <w:rFonts w:hint="eastAsia"/>
          <w:lang w:val="zh-CN" w:bidi="zh-CN"/>
        </w:rPr>
        <w:t>第三级防控措施是在园区污水处理厂终端建设终端事故应急池，作为事故状态下废水的储存与调控手段，将污染物控制在产业基地内，防止重大事故泄漏物料和水造成的环境污染。</w:t>
      </w:r>
    </w:p>
    <w:p w14:paraId="336CBB4B">
      <w:pPr>
        <w:pStyle w:val="16"/>
        <w:ind w:firstLine="480"/>
        <w:rPr>
          <w:lang w:val="zh-CN" w:bidi="zh-CN"/>
        </w:rPr>
      </w:pPr>
      <w:r>
        <w:rPr>
          <w:rFonts w:hint="eastAsia"/>
          <w:lang w:val="zh-CN" w:bidi="zh-CN"/>
        </w:rPr>
        <w:t>当企业罐区大量物料泄漏或物料进入市政雨水管网或产生大量废水导致企业事故池容积不够时，通过关闭产业基地雨水总排口，开启产业基地污水处理厂事故池阀门，将事故废水导入产业基地污水处理厂事故池，将污染控制在产业基地内。</w:t>
      </w:r>
    </w:p>
    <w:p w14:paraId="6D5A0735">
      <w:pPr>
        <w:pStyle w:val="16"/>
        <w:ind w:firstLine="480"/>
        <w:rPr>
          <w:lang w:val="zh-CN" w:bidi="zh-CN"/>
        </w:rPr>
      </w:pPr>
      <w:r>
        <w:rPr>
          <w:lang w:val="zh-CN" w:bidi="zh-CN"/>
        </w:rPr>
        <w:t>本项目事故废水三级防控示意见图</w:t>
      </w:r>
      <w:r>
        <w:rPr>
          <w:rFonts w:hint="eastAsia" w:eastAsiaTheme="minorEastAsia"/>
          <w:lang w:val="zh-CN" w:bidi="zh-CN"/>
        </w:rPr>
        <w:t>6.8-7</w:t>
      </w:r>
      <w:r>
        <w:rPr>
          <w:lang w:val="zh-CN" w:bidi="zh-CN"/>
        </w:rPr>
        <w:t>所示。</w:t>
      </w:r>
    </w:p>
    <w:p w14:paraId="31D369BA">
      <w:pPr>
        <w:spacing w:line="240" w:lineRule="auto"/>
        <w:jc w:val="center"/>
        <w:rPr>
          <w:lang w:val="zh-CN" w:bidi="zh-CN"/>
        </w:rPr>
      </w:pPr>
      <w:r>
        <w:drawing>
          <wp:inline distT="0" distB="0" distL="0" distR="0">
            <wp:extent cx="5759450" cy="2289175"/>
            <wp:effectExtent l="0" t="0" r="0" b="0"/>
            <wp:docPr id="186089336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893366" name="图片 1"/>
                    <pic:cNvPicPr>
                      <a:picLocks noChangeAspect="1"/>
                    </pic:cNvPicPr>
                  </pic:nvPicPr>
                  <pic:blipFill>
                    <a:blip r:embed="rId71"/>
                    <a:stretch>
                      <a:fillRect/>
                    </a:stretch>
                  </pic:blipFill>
                  <pic:spPr>
                    <a:xfrm>
                      <a:off x="0" y="0"/>
                      <a:ext cx="5759450" cy="2289175"/>
                    </a:xfrm>
                    <a:prstGeom prst="rect">
                      <a:avLst/>
                    </a:prstGeom>
                  </pic:spPr>
                </pic:pic>
              </a:graphicData>
            </a:graphic>
          </wp:inline>
        </w:drawing>
      </w:r>
    </w:p>
    <w:p w14:paraId="168BC696">
      <w:pPr>
        <w:pStyle w:val="28"/>
        <w:rPr>
          <w:rFonts w:hint="eastAsia"/>
          <w:lang w:val="zh-CN" w:bidi="zh-CN"/>
        </w:rPr>
      </w:pPr>
      <w:r>
        <w:rPr>
          <w:rFonts w:hint="eastAsia"/>
        </w:rPr>
        <w:t>图</w:t>
      </w:r>
      <w:r>
        <w:rPr>
          <w:rFonts w:hint="eastAsia" w:eastAsiaTheme="minorEastAsia"/>
          <w:lang w:val="zh-CN" w:bidi="zh-CN"/>
        </w:rPr>
        <w:t>6.8-7</w:t>
      </w:r>
      <w:r>
        <w:rPr>
          <w:rFonts w:hint="eastAsia"/>
        </w:rPr>
        <w:t xml:space="preserve"> 项目事故废水三级防控示意图</w:t>
      </w:r>
      <w:bookmarkEnd w:id="136"/>
    </w:p>
    <w:p w14:paraId="0B4E1CF2">
      <w:pPr>
        <w:pStyle w:val="16"/>
        <w:ind w:firstLine="480"/>
        <w:rPr>
          <w:lang w:val="zh-CN" w:bidi="zh-CN"/>
        </w:rPr>
      </w:pPr>
      <w:r>
        <w:rPr>
          <w:lang w:val="zh-CN" w:bidi="zh-CN"/>
        </w:rPr>
        <w:t>项目火灾事故废水控制分级与事故废水应急池的具体设置情况如下。</w:t>
      </w:r>
    </w:p>
    <w:p w14:paraId="4EB92915">
      <w:pPr>
        <w:pStyle w:val="16"/>
        <w:ind w:firstLine="480"/>
        <w:rPr>
          <w:lang w:val="zh-CN" w:bidi="zh-CN"/>
        </w:rPr>
      </w:pPr>
      <w:r>
        <w:rPr>
          <w:rFonts w:hint="eastAsia" w:ascii="宋体" w:hAnsi="宋体" w:cs="宋体"/>
          <w:lang w:val="zh-CN" w:bidi="zh-CN"/>
        </w:rPr>
        <w:t>①</w:t>
      </w:r>
      <w:r>
        <w:rPr>
          <w:lang w:val="zh-CN" w:bidi="zh-CN"/>
        </w:rPr>
        <w:t>一级防控</w:t>
      </w:r>
    </w:p>
    <w:p w14:paraId="3069FB2C">
      <w:pPr>
        <w:pStyle w:val="16"/>
        <w:ind w:firstLine="480"/>
        <w:rPr>
          <w:lang w:val="zh-CN" w:bidi="zh-CN"/>
        </w:rPr>
      </w:pPr>
      <w:r>
        <w:rPr>
          <w:lang w:val="zh-CN" w:bidi="zh-CN"/>
        </w:rPr>
        <w:t>依据上述的三级防控机制，工艺装置区的导流沟、围堰和储罐区防火堤作为项目事故废水的一级防线。</w:t>
      </w:r>
    </w:p>
    <w:p w14:paraId="6CD59A14">
      <w:pPr>
        <w:pStyle w:val="16"/>
        <w:ind w:firstLine="480"/>
        <w:rPr>
          <w:lang w:val="zh-CN" w:bidi="zh-CN"/>
        </w:rPr>
      </w:pPr>
      <w:r>
        <w:rPr>
          <w:rFonts w:eastAsia="Times New Roman"/>
          <w:lang w:val="zh-CN" w:bidi="zh-CN"/>
        </w:rPr>
        <w:t>A</w:t>
      </w:r>
      <w:r>
        <w:rPr>
          <w:lang w:val="zh-CN" w:bidi="zh-CN"/>
        </w:rPr>
        <w:t>、生产装置区</w:t>
      </w:r>
    </w:p>
    <w:p w14:paraId="5984DBF6">
      <w:pPr>
        <w:pStyle w:val="16"/>
        <w:ind w:firstLine="480"/>
        <w:rPr>
          <w:lang w:val="zh-CN" w:bidi="zh-CN"/>
        </w:rPr>
      </w:pPr>
      <w:r>
        <w:rPr>
          <w:lang w:val="zh-CN" w:bidi="zh-CN"/>
        </w:rPr>
        <w:t>根据工程设计方案，本项目受污染生产区域主要包括</w:t>
      </w:r>
      <w:r>
        <w:rPr>
          <w:rFonts w:hint="eastAsia"/>
          <w:lang w:val="zh-CN" w:bidi="zh-CN"/>
        </w:rPr>
        <w:t>间甲酚生产车间和储罐区</w:t>
      </w:r>
      <w:r>
        <w:rPr>
          <w:lang w:val="zh-CN" w:bidi="zh-CN"/>
        </w:rPr>
        <w:t>。</w:t>
      </w:r>
    </w:p>
    <w:p w14:paraId="58F75F62">
      <w:pPr>
        <w:pStyle w:val="16"/>
        <w:ind w:firstLine="436"/>
        <w:rPr>
          <w:lang w:val="zh-CN" w:bidi="zh-CN"/>
        </w:rPr>
      </w:pPr>
      <w:r>
        <w:rPr>
          <w:spacing w:val="-11"/>
          <w:lang w:val="zh-CN" w:bidi="zh-CN"/>
        </w:rPr>
        <w:t>污染装置区设置雨水收集系统，该系统由排水沟、事故收集池和切换阀门、管线等组成，</w:t>
      </w:r>
      <w:r>
        <w:rPr>
          <w:spacing w:val="-2"/>
          <w:lang w:val="zh-CN" w:bidi="zh-CN"/>
        </w:rPr>
        <w:t>装置区内的事故雨水和后期雨水由切换阀门分别引入厂区初期雨水收集管线和雨水管线。收</w:t>
      </w:r>
      <w:r>
        <w:rPr>
          <w:spacing w:val="-5"/>
          <w:lang w:val="zh-CN" w:bidi="zh-CN"/>
        </w:rPr>
        <w:t>集后的初期雨水排入初期雨水池，管道采用</w:t>
      </w:r>
      <w:r>
        <w:rPr>
          <w:rFonts w:eastAsia="Times New Roman"/>
          <w:lang w:val="zh-CN" w:bidi="zh-CN"/>
        </w:rPr>
        <w:t>PE</w:t>
      </w:r>
      <w:r>
        <w:rPr>
          <w:lang w:val="zh-CN" w:bidi="zh-CN"/>
        </w:rPr>
        <w:t>双壁波纹管。</w:t>
      </w:r>
    </w:p>
    <w:p w14:paraId="25130579">
      <w:pPr>
        <w:pStyle w:val="16"/>
        <w:ind w:firstLine="480"/>
        <w:rPr>
          <w:lang w:val="zh-CN" w:bidi="zh-CN"/>
        </w:rPr>
      </w:pPr>
      <w:r>
        <w:rPr>
          <w:lang w:val="zh-CN" w:bidi="zh-CN"/>
        </w:rPr>
        <w:t>本项目位于安徽蚌埠淮上经济开发区，</w:t>
      </w:r>
      <w:r>
        <w:rPr>
          <w:rFonts w:ascii="宋体" w:hAnsi="宋体"/>
        </w:rPr>
        <w:t>初期雨水根据当地暴雨强度、汇水区域的面积进行估算。</w:t>
      </w:r>
      <w:r>
        <w:rPr>
          <w:rFonts w:hint="eastAsia" w:ascii="宋体" w:hAnsi="宋体"/>
        </w:rPr>
        <w:t>根据蚌埠市</w:t>
      </w:r>
      <w:r>
        <w:rPr>
          <w:rFonts w:ascii="宋体" w:hAnsi="宋体"/>
        </w:rPr>
        <w:t>暴雨强度公式进行计算。雨水设计流量、暴雨强度公式如下：</w:t>
      </w:r>
    </w:p>
    <w:p w14:paraId="65C5C8BF">
      <w:pPr>
        <w:ind w:firstLine="480" w:firstLineChars="200"/>
        <w:jc w:val="center"/>
        <w:rPr>
          <w:rFonts w:cs="Times New Roman"/>
          <w14:ligatures w14:val="none"/>
        </w:rPr>
      </w:pPr>
      <w:r>
        <w:rPr>
          <w:rFonts w:cs="Times New Roman"/>
          <w14:ligatures w14:val="none"/>
        </w:rPr>
        <w:t>Q=Ψ×q×F</w:t>
      </w:r>
    </w:p>
    <w:p w14:paraId="6FB346C3">
      <w:pPr>
        <w:ind w:firstLine="480" w:firstLineChars="200"/>
        <w:rPr>
          <w:rFonts w:cs="Times New Roman"/>
          <w14:ligatures w14:val="none"/>
        </w:rPr>
      </w:pPr>
      <w:r>
        <w:rPr>
          <w:rFonts w:ascii="宋体" w:hAnsi="宋体" w:cs="Times New Roman"/>
          <w14:ligatures w14:val="none"/>
        </w:rPr>
        <w:t>式中：</w:t>
      </w:r>
      <w:r>
        <w:rPr>
          <w:rFonts w:cs="Times New Roman"/>
          <w14:ligatures w14:val="none"/>
        </w:rPr>
        <w:t>Q—</w:t>
      </w:r>
      <w:r>
        <w:rPr>
          <w:rFonts w:ascii="宋体" w:hAnsi="宋体" w:cs="Times New Roman"/>
          <w14:ligatures w14:val="none"/>
        </w:rPr>
        <w:t>雨水</w:t>
      </w:r>
      <w:r>
        <w:rPr>
          <w:rFonts w:cs="Times New Roman"/>
          <w14:ligatures w14:val="none"/>
        </w:rPr>
        <w:t>设计流量(L/s)；</w:t>
      </w:r>
    </w:p>
    <w:p w14:paraId="4BAE9EF3">
      <w:pPr>
        <w:ind w:firstLine="1200" w:firstLineChars="500"/>
        <w:rPr>
          <w:rFonts w:cs="Times New Roman"/>
          <w14:ligatures w14:val="none"/>
        </w:rPr>
      </w:pPr>
      <w:r>
        <w:rPr>
          <w:rFonts w:cs="Times New Roman"/>
          <w14:ligatures w14:val="none"/>
        </w:rPr>
        <w:t>Ψ—径流系数，蚌埠地区径流系数取0.</w:t>
      </w:r>
      <w:r>
        <w:rPr>
          <w:rFonts w:hint="eastAsia" w:cs="Times New Roman"/>
          <w14:ligatures w14:val="none"/>
        </w:rPr>
        <w:t>6</w:t>
      </w:r>
      <w:r>
        <w:rPr>
          <w:rFonts w:cs="Times New Roman"/>
          <w14:ligatures w14:val="none"/>
        </w:rPr>
        <w:t>；</w:t>
      </w:r>
    </w:p>
    <w:p w14:paraId="0514B0B7">
      <w:pPr>
        <w:ind w:firstLine="1200" w:firstLineChars="500"/>
        <w:rPr>
          <w:rFonts w:cs="Times New Roman"/>
          <w14:ligatures w14:val="none"/>
        </w:rPr>
      </w:pPr>
      <w:r>
        <w:rPr>
          <w:rFonts w:cs="Times New Roman"/>
          <w14:ligatures w14:val="none"/>
        </w:rPr>
        <w:t>q—设计暴雨强度(L/s·ha)；</w:t>
      </w:r>
    </w:p>
    <w:p w14:paraId="05CC0732">
      <w:pPr>
        <w:ind w:firstLine="1200" w:firstLineChars="500"/>
        <w:rPr>
          <w:rFonts w:cs="Times New Roman"/>
          <w14:ligatures w14:val="none"/>
        </w:rPr>
      </w:pPr>
      <w:r>
        <w:rPr>
          <w:rFonts w:cs="Times New Roman"/>
          <w14:ligatures w14:val="none"/>
        </w:rPr>
        <w:t>F—汇水面积(公顷)，取本项目</w:t>
      </w:r>
      <w:r>
        <w:rPr>
          <w:rFonts w:hint="eastAsia" w:cs="Times New Roman"/>
          <w14:ligatures w14:val="none"/>
        </w:rPr>
        <w:t>主要生产</w:t>
      </w:r>
      <w:r>
        <w:rPr>
          <w:rFonts w:cs="Times New Roman"/>
          <w14:ligatures w14:val="none"/>
        </w:rPr>
        <w:t>区域</w:t>
      </w:r>
      <w:r>
        <w:rPr>
          <w:rFonts w:hint="eastAsia" w:cs="Times New Roman"/>
          <w14:ligatures w14:val="none"/>
        </w:rPr>
        <w:t>和储罐区域</w:t>
      </w:r>
      <w:r>
        <w:rPr>
          <w:rFonts w:hint="eastAsia" w:ascii="宋体" w:hAnsi="宋体" w:cs="Times New Roman"/>
          <w14:ligatures w14:val="none"/>
        </w:rPr>
        <w:t>，约</w:t>
      </w:r>
      <w:r>
        <w:rPr>
          <w:rFonts w:hint="eastAsia" w:cs="Times New Roman"/>
          <w14:ligatures w14:val="none"/>
        </w:rPr>
        <w:t>1.717ha</w:t>
      </w:r>
      <w:r>
        <w:rPr>
          <w:rFonts w:ascii="宋体" w:hAnsi="宋体" w:cs="Times New Roman"/>
          <w14:ligatures w14:val="none"/>
        </w:rPr>
        <w:t>。</w:t>
      </w:r>
    </w:p>
    <w:p w14:paraId="7F3CAACE">
      <w:pPr>
        <w:ind w:firstLine="480" w:firstLineChars="200"/>
        <w:jc w:val="center"/>
        <w:rPr>
          <w:rFonts w:cs="Times New Roman"/>
          <w14:ligatures w14:val="none"/>
        </w:rPr>
      </w:pPr>
      <w:r>
        <w:rPr>
          <w:rFonts w:cs="Times New Roman"/>
          <w14:ligatures w14:val="none"/>
        </w:rPr>
        <w:t>q=</w:t>
      </w:r>
      <w:r>
        <w:rPr>
          <w:rFonts w:hint="eastAsia" w:cs="Times New Roman"/>
          <w14:ligatures w14:val="none"/>
        </w:rPr>
        <w:t>1453.565</w:t>
      </w:r>
      <w:r>
        <w:rPr>
          <w:rFonts w:cs="Times New Roman"/>
          <w14:ligatures w14:val="none"/>
        </w:rPr>
        <w:t>(1+</w:t>
      </w:r>
      <w:r>
        <w:rPr>
          <w:rFonts w:hint="eastAsia" w:cs="Times New Roman"/>
          <w14:ligatures w14:val="none"/>
        </w:rPr>
        <w:t>0.997</w:t>
      </w:r>
      <w:r>
        <w:rPr>
          <w:rFonts w:cs="Times New Roman"/>
          <w14:ligatures w14:val="none"/>
        </w:rPr>
        <w:t>lgP)/(t+</w:t>
      </w:r>
      <w:r>
        <w:rPr>
          <w:rFonts w:hint="eastAsia" w:cs="Times New Roman"/>
          <w14:ligatures w14:val="none"/>
        </w:rPr>
        <w:t>8.251</w:t>
      </w:r>
      <w:r>
        <w:rPr>
          <w:rFonts w:cs="Times New Roman"/>
          <w14:ligatures w14:val="none"/>
        </w:rPr>
        <w:t>)</w:t>
      </w:r>
      <w:r>
        <w:rPr>
          <w:rFonts w:cs="Times New Roman"/>
          <w:vertAlign w:val="superscript"/>
          <w14:ligatures w14:val="none"/>
        </w:rPr>
        <w:t>0.</w:t>
      </w:r>
      <w:r>
        <w:rPr>
          <w:rFonts w:hint="eastAsia" w:cs="Times New Roman"/>
          <w:vertAlign w:val="superscript"/>
          <w14:ligatures w14:val="none"/>
        </w:rPr>
        <w:t>660</w:t>
      </w:r>
    </w:p>
    <w:p w14:paraId="55719007">
      <w:pPr>
        <w:ind w:firstLine="480" w:firstLineChars="200"/>
        <w:rPr>
          <w:rFonts w:cs="Times New Roman"/>
          <w14:ligatures w14:val="none"/>
        </w:rPr>
      </w:pPr>
      <w:r>
        <w:rPr>
          <w:rFonts w:ascii="宋体" w:hAnsi="宋体" w:cs="Times New Roman"/>
          <w14:ligatures w14:val="none"/>
        </w:rPr>
        <w:t>其中：</w:t>
      </w:r>
      <w:r>
        <w:rPr>
          <w:rFonts w:cs="Times New Roman"/>
          <w14:ligatures w14:val="none"/>
        </w:rPr>
        <w:t>q—</w:t>
      </w:r>
      <w:r>
        <w:rPr>
          <w:rFonts w:ascii="宋体" w:hAnsi="宋体" w:cs="Times New Roman"/>
          <w14:ligatures w14:val="none"/>
        </w:rPr>
        <w:t>暴雨强度</w:t>
      </w:r>
      <w:r>
        <w:rPr>
          <w:rFonts w:cs="Times New Roman"/>
          <w14:ligatures w14:val="none"/>
        </w:rPr>
        <w:t>(L/S·ha)</w:t>
      </w:r>
      <w:r>
        <w:rPr>
          <w:rFonts w:ascii="宋体" w:hAnsi="宋体" w:cs="Times New Roman"/>
          <w14:ligatures w14:val="none"/>
        </w:rPr>
        <w:t>；</w:t>
      </w:r>
    </w:p>
    <w:p w14:paraId="00AF4BAA">
      <w:pPr>
        <w:ind w:firstLine="1200" w:firstLineChars="500"/>
        <w:rPr>
          <w:rFonts w:cs="Times New Roman"/>
          <w14:ligatures w14:val="none"/>
        </w:rPr>
      </w:pPr>
      <w:r>
        <w:rPr>
          <w:rFonts w:cs="Times New Roman"/>
          <w14:ligatures w14:val="none"/>
        </w:rPr>
        <w:t>P—</w:t>
      </w:r>
      <w:r>
        <w:rPr>
          <w:rFonts w:ascii="宋体" w:hAnsi="宋体" w:cs="Times New Roman"/>
          <w14:ligatures w14:val="none"/>
        </w:rPr>
        <w:t>重现期</w:t>
      </w:r>
      <w:r>
        <w:rPr>
          <w:rFonts w:cs="Times New Roman"/>
          <w14:ligatures w14:val="none"/>
        </w:rPr>
        <w:t>(a)</w:t>
      </w:r>
      <w:r>
        <w:rPr>
          <w:rFonts w:ascii="宋体" w:hAnsi="宋体" w:cs="Times New Roman"/>
          <w14:ligatures w14:val="none"/>
        </w:rPr>
        <w:t>；</w:t>
      </w:r>
    </w:p>
    <w:p w14:paraId="5FF67A8B">
      <w:pPr>
        <w:ind w:firstLine="1200" w:firstLineChars="500"/>
        <w:rPr>
          <w:rFonts w:cs="Times New Roman"/>
          <w14:ligatures w14:val="none"/>
        </w:rPr>
      </w:pPr>
      <w:r>
        <w:rPr>
          <w:rFonts w:cs="Times New Roman"/>
          <w14:ligatures w14:val="none"/>
        </w:rPr>
        <w:t>t—</w:t>
      </w:r>
      <w:r>
        <w:rPr>
          <w:rFonts w:ascii="宋体" w:hAnsi="宋体" w:cs="Times New Roman"/>
          <w14:ligatures w14:val="none"/>
        </w:rPr>
        <w:t>降雨历时</w:t>
      </w:r>
      <w:r>
        <w:rPr>
          <w:rFonts w:cs="Times New Roman"/>
          <w14:ligatures w14:val="none"/>
        </w:rPr>
        <w:t>(min)</w:t>
      </w:r>
      <w:r>
        <w:rPr>
          <w:rFonts w:ascii="宋体" w:hAnsi="宋体" w:cs="Times New Roman"/>
          <w14:ligatures w14:val="none"/>
        </w:rPr>
        <w:t>。</w:t>
      </w:r>
    </w:p>
    <w:p w14:paraId="0DC812C6">
      <w:pPr>
        <w:ind w:firstLine="480" w:firstLineChars="200"/>
        <w:rPr>
          <w:rFonts w:hint="eastAsia" w:ascii="宋体" w:hAnsi="宋体" w:cs="Times New Roman"/>
          <w14:ligatures w14:val="none"/>
        </w:rPr>
      </w:pPr>
      <w:r>
        <w:rPr>
          <w:rFonts w:hint="eastAsia" w:ascii="宋体" w:hAnsi="宋体" w:cs="Times New Roman"/>
          <w14:ligatures w14:val="none"/>
        </w:rPr>
        <w:t>地面集水时间降雨历时取</w:t>
      </w:r>
      <w:r>
        <w:rPr>
          <w:rFonts w:hint="eastAsia" w:cs="Times New Roman"/>
          <w14:ligatures w14:val="none"/>
        </w:rPr>
        <w:t>15min</w:t>
      </w:r>
      <w:r>
        <w:rPr>
          <w:rFonts w:hint="eastAsia" w:ascii="宋体" w:hAnsi="宋体" w:cs="Times New Roman"/>
          <w14:ligatures w14:val="none"/>
        </w:rPr>
        <w:t>；重现期</w:t>
      </w:r>
      <w:r>
        <w:rPr>
          <w:rFonts w:hint="eastAsia" w:cs="Times New Roman"/>
          <w14:ligatures w14:val="none"/>
        </w:rPr>
        <w:t>P</w:t>
      </w:r>
      <w:r>
        <w:rPr>
          <w:rFonts w:hint="eastAsia" w:ascii="宋体" w:hAnsi="宋体" w:cs="Times New Roman"/>
          <w14:ligatures w14:val="none"/>
        </w:rPr>
        <w:t>采用</w:t>
      </w:r>
      <w:r>
        <w:rPr>
          <w:rFonts w:hint="eastAsia" w:cs="Times New Roman"/>
          <w14:ligatures w14:val="none"/>
        </w:rPr>
        <w:t>1</w:t>
      </w:r>
      <w:r>
        <w:rPr>
          <w:rFonts w:hint="eastAsia" w:ascii="宋体" w:hAnsi="宋体" w:cs="Times New Roman"/>
          <w14:ligatures w14:val="none"/>
        </w:rPr>
        <w:t>年。经计算，项目区域暴雨强度</w:t>
      </w:r>
      <w:r>
        <w:rPr>
          <w:rFonts w:hint="eastAsia" w:cs="Times New Roman"/>
          <w14:ligatures w14:val="none"/>
        </w:rPr>
        <w:t>q</w:t>
      </w:r>
      <w:r>
        <w:rPr>
          <w:rFonts w:hint="eastAsia" w:ascii="宋体" w:hAnsi="宋体" w:cs="Times New Roman"/>
          <w14:ligatures w14:val="none"/>
        </w:rPr>
        <w:t>约为</w:t>
      </w:r>
      <w:r>
        <w:rPr>
          <w:rFonts w:cs="Times New Roman"/>
          <w14:ligatures w14:val="none"/>
        </w:rPr>
        <w:t>182.2</w:t>
      </w:r>
      <w:r>
        <w:rPr>
          <w:rFonts w:hint="eastAsia" w:cs="Times New Roman"/>
          <w14:ligatures w14:val="none"/>
        </w:rPr>
        <w:t>L/s.hm</w:t>
      </w:r>
      <w:r>
        <w:rPr>
          <w:rFonts w:hint="eastAsia" w:cs="Times New Roman"/>
          <w:vertAlign w:val="superscript"/>
          <w14:ligatures w14:val="none"/>
        </w:rPr>
        <w:t>2</w:t>
      </w:r>
      <w:r>
        <w:rPr>
          <w:rFonts w:hint="eastAsia" w:ascii="宋体" w:hAnsi="宋体" w:cs="Times New Roman"/>
          <w14:ligatures w14:val="none"/>
        </w:rPr>
        <w:t>。雨水设计流量</w:t>
      </w:r>
      <w:r>
        <w:rPr>
          <w:rFonts w:hint="eastAsia" w:cs="Times New Roman"/>
          <w14:ligatures w14:val="none"/>
        </w:rPr>
        <w:t>Q</w:t>
      </w:r>
      <w:r>
        <w:rPr>
          <w:rFonts w:hint="eastAsia" w:ascii="宋体" w:hAnsi="宋体" w:cs="Times New Roman"/>
          <w14:ligatures w14:val="none"/>
        </w:rPr>
        <w:t>＝</w:t>
      </w:r>
      <w:r>
        <w:rPr>
          <w:rFonts w:cs="Times New Roman"/>
          <w14:ligatures w14:val="none"/>
        </w:rPr>
        <w:t>187.7L</w:t>
      </w:r>
      <w:r>
        <w:rPr>
          <w:rFonts w:hint="eastAsia" w:cs="Times New Roman"/>
          <w14:ligatures w14:val="none"/>
        </w:rPr>
        <w:t>/s</w:t>
      </w:r>
      <w:r>
        <w:rPr>
          <w:rFonts w:hint="eastAsia" w:ascii="宋体" w:hAnsi="宋体" w:cs="Times New Roman"/>
          <w14:ligatures w14:val="none"/>
        </w:rPr>
        <w:t>，初期雨水收集时间为</w:t>
      </w:r>
      <w:r>
        <w:rPr>
          <w:rFonts w:hint="eastAsia" w:cs="Times New Roman"/>
          <w14:ligatures w14:val="none"/>
        </w:rPr>
        <w:t>15min</w:t>
      </w:r>
      <w:r>
        <w:rPr>
          <w:rFonts w:hint="eastAsia" w:ascii="宋体" w:hAnsi="宋体" w:cs="Times New Roman"/>
          <w14:ligatures w14:val="none"/>
        </w:rPr>
        <w:t>，则每次收集到的初期雨水量约为</w:t>
      </w:r>
      <w:r>
        <w:rPr>
          <w:rFonts w:hint="eastAsia" w:cs="Times New Roman"/>
          <w14:ligatures w14:val="none"/>
        </w:rPr>
        <w:t>169m</w:t>
      </w:r>
      <w:r>
        <w:rPr>
          <w:rFonts w:hint="eastAsia" w:cs="Times New Roman"/>
          <w:vertAlign w:val="superscript"/>
          <w14:ligatures w14:val="none"/>
        </w:rPr>
        <w:t>3</w:t>
      </w:r>
      <w:r>
        <w:rPr>
          <w:rFonts w:hint="eastAsia" w:cs="Times New Roman"/>
          <w14:ligatures w14:val="none"/>
        </w:rPr>
        <w:t>/</w:t>
      </w:r>
      <w:r>
        <w:rPr>
          <w:rFonts w:hint="eastAsia" w:ascii="宋体" w:hAnsi="宋体" w:cs="Times New Roman"/>
          <w14:ligatures w14:val="none"/>
        </w:rPr>
        <w:t>次。</w:t>
      </w:r>
    </w:p>
    <w:p w14:paraId="4F84E090">
      <w:pPr>
        <w:pStyle w:val="16"/>
        <w:ind w:firstLine="480"/>
        <w:rPr>
          <w:lang w:val="zh-CN" w:bidi="zh-CN"/>
        </w:rPr>
      </w:pPr>
      <w:r>
        <w:rPr>
          <w:rFonts w:hint="eastAsia"/>
          <w:lang w:val="zh-CN" w:bidi="zh-CN"/>
        </w:rPr>
        <w:t>企业东厂区现</w:t>
      </w:r>
      <w:r>
        <w:rPr>
          <w:lang w:val="zh-CN" w:bidi="zh-CN"/>
        </w:rPr>
        <w:t>已建成</w:t>
      </w:r>
      <w:r>
        <w:rPr>
          <w:rFonts w:eastAsia="Times New Roman"/>
          <w:lang w:val="zh-CN" w:bidi="zh-CN"/>
        </w:rPr>
        <w:t>1</w:t>
      </w:r>
      <w:r>
        <w:rPr>
          <w:lang w:val="zh-CN" w:bidi="zh-CN"/>
        </w:rPr>
        <w:t>座</w:t>
      </w:r>
      <w:r>
        <w:rPr>
          <w:rFonts w:hint="eastAsia" w:eastAsiaTheme="minorEastAsia"/>
          <w:lang w:val="zh-CN" w:bidi="zh-CN"/>
        </w:rPr>
        <w:t>10</w:t>
      </w:r>
      <w:r>
        <w:rPr>
          <w:rFonts w:eastAsia="Times New Roman"/>
          <w:lang w:val="zh-CN" w:bidi="zh-CN"/>
        </w:rPr>
        <w:t>00m</w:t>
      </w:r>
      <w:r>
        <w:rPr>
          <w:rFonts w:eastAsia="Times New Roman"/>
          <w:vertAlign w:val="superscript"/>
          <w:lang w:val="zh-CN" w:bidi="zh-CN"/>
        </w:rPr>
        <w:t>3</w:t>
      </w:r>
      <w:r>
        <w:rPr>
          <w:lang w:val="zh-CN" w:bidi="zh-CN"/>
        </w:rPr>
        <w:t>初期雨水池，能够满足初期雨水收集要求。</w:t>
      </w:r>
    </w:p>
    <w:p w14:paraId="37A7DBB7">
      <w:pPr>
        <w:pStyle w:val="16"/>
        <w:ind w:firstLine="480"/>
        <w:rPr>
          <w:lang w:val="zh-CN" w:bidi="zh-CN"/>
        </w:rPr>
      </w:pPr>
      <w:r>
        <w:rPr>
          <w:rFonts w:eastAsia="Times New Roman"/>
          <w:lang w:val="zh-CN" w:bidi="zh-CN"/>
        </w:rPr>
        <w:t>B</w:t>
      </w:r>
      <w:r>
        <w:rPr>
          <w:lang w:val="zh-CN" w:bidi="zh-CN"/>
        </w:rPr>
        <w:t>、罐区</w:t>
      </w:r>
    </w:p>
    <w:p w14:paraId="3DA4C86F">
      <w:pPr>
        <w:pStyle w:val="16"/>
        <w:ind w:firstLine="460"/>
        <w:rPr>
          <w:lang w:val="zh-CN" w:bidi="zh-CN"/>
        </w:rPr>
      </w:pPr>
      <w:r>
        <w:rPr>
          <w:spacing w:val="-5"/>
          <w:lang w:val="zh-CN" w:bidi="zh-CN"/>
        </w:rPr>
        <w:t>厂内原料成品罐区等各种储罐全部采用露天布置，共同布置在罐区围堰内，围堰均进行</w:t>
      </w:r>
      <w:r>
        <w:rPr>
          <w:lang w:val="zh-CN" w:bidi="zh-CN"/>
        </w:rPr>
        <w:t>防渗漏处理，管道穿越围堰处采用非燃烧材料严密封闭，在围堰内雨水沟穿越处，设防止物料流出堤外的措施。围堰内均设有排水沟，围堰外设有阀门井与围堰内排水沟相接，正常时阀门井内阀门打开，事故时阀门井内阀门关闭。易燃易爆及有毒有害物储存区的消防排水进入事故应急池。</w:t>
      </w:r>
    </w:p>
    <w:p w14:paraId="75AA12B4">
      <w:pPr>
        <w:pStyle w:val="16"/>
        <w:ind w:firstLine="464"/>
        <w:rPr>
          <w:lang w:val="zh-CN" w:bidi="zh-CN"/>
        </w:rPr>
      </w:pPr>
      <w:r>
        <w:rPr>
          <w:spacing w:val="-4"/>
          <w:lang w:val="zh-CN" w:bidi="zh-CN"/>
        </w:rPr>
        <w:t>罐组的围堰容积不应小于罐组内</w:t>
      </w:r>
      <w:r>
        <w:rPr>
          <w:rFonts w:eastAsia="Times New Roman"/>
          <w:lang w:val="zh-CN" w:bidi="zh-CN"/>
        </w:rPr>
        <w:t>1</w:t>
      </w:r>
      <w:r>
        <w:rPr>
          <w:spacing w:val="-8"/>
          <w:lang w:val="zh-CN" w:bidi="zh-CN"/>
        </w:rPr>
        <w:t>个最大储罐的容积，混放时按容积较大者设计。发生</w:t>
      </w:r>
      <w:r>
        <w:rPr>
          <w:lang w:val="zh-CN" w:bidi="zh-CN"/>
        </w:rPr>
        <w:t>一般事故时，围堰内容积能够作为消防事故污水的暂时应急缓冲池。</w:t>
      </w:r>
    </w:p>
    <w:p w14:paraId="189C6F11">
      <w:pPr>
        <w:pStyle w:val="16"/>
        <w:ind w:firstLine="476"/>
        <w:rPr>
          <w:lang w:val="zh-CN" w:bidi="zh-CN"/>
        </w:rPr>
      </w:pPr>
      <w:r>
        <w:rPr>
          <w:spacing w:val="-1"/>
          <w:lang w:val="zh-CN" w:bidi="zh-CN"/>
        </w:rPr>
        <w:t>本项目罐区设置的围堰可以</w:t>
      </w:r>
      <w:r>
        <w:rPr>
          <w:lang w:val="zh-CN" w:bidi="zh-CN"/>
        </w:rPr>
        <w:t>满足事故状况下泄漏物料的储存要求。</w:t>
      </w:r>
    </w:p>
    <w:p w14:paraId="445D9367">
      <w:pPr>
        <w:pStyle w:val="16"/>
        <w:ind w:firstLine="480"/>
        <w:rPr>
          <w:lang w:val="zh-CN" w:bidi="zh-CN"/>
        </w:rPr>
      </w:pPr>
      <w:r>
        <w:rPr>
          <w:rFonts w:hint="eastAsia" w:ascii="宋体" w:hAnsi="宋体" w:cs="宋体"/>
          <w:lang w:val="zh-CN" w:bidi="zh-CN"/>
        </w:rPr>
        <w:t>②</w:t>
      </w:r>
      <w:r>
        <w:rPr>
          <w:lang w:val="zh-CN" w:bidi="zh-CN"/>
        </w:rPr>
        <w:t>二级防控</w:t>
      </w:r>
    </w:p>
    <w:p w14:paraId="54ECA10C">
      <w:pPr>
        <w:pStyle w:val="16"/>
        <w:ind w:firstLine="480"/>
        <w:rPr>
          <w:lang w:val="zh-CN" w:bidi="zh-CN"/>
        </w:rPr>
      </w:pPr>
      <w:r>
        <w:rPr>
          <w:lang w:val="zh-CN" w:bidi="zh-CN"/>
        </w:rPr>
        <w:t>现有厂区雨排水切断系统和事故缓冲设施作为项目事故废水的二级防线。</w:t>
      </w:r>
    </w:p>
    <w:p w14:paraId="14EB1FE8">
      <w:pPr>
        <w:pStyle w:val="16"/>
        <w:ind w:firstLine="480"/>
        <w:rPr>
          <w:lang w:val="zh-CN" w:bidi="zh-CN"/>
        </w:rPr>
      </w:pPr>
      <w:r>
        <w:rPr>
          <w:rFonts w:eastAsia="Times New Roman"/>
          <w:lang w:val="zh-CN" w:bidi="zh-CN"/>
        </w:rPr>
        <w:t>A</w:t>
      </w:r>
      <w:r>
        <w:rPr>
          <w:spacing w:val="-4"/>
          <w:lang w:val="zh-CN" w:bidi="zh-CN"/>
        </w:rPr>
        <w:t>、根据设计方案，为满足事故状况下厂内消防废水、降雨等储存要求，依托全厂现有</w:t>
      </w:r>
      <w:r>
        <w:rPr>
          <w:rFonts w:hint="eastAsia" w:eastAsiaTheme="minorEastAsia"/>
          <w:lang w:val="zh-CN" w:bidi="zh-CN"/>
        </w:rPr>
        <w:t>2</w:t>
      </w:r>
      <w:r>
        <w:rPr>
          <w:spacing w:val="-4"/>
          <w:lang w:val="zh-CN" w:bidi="zh-CN"/>
        </w:rPr>
        <w:t>座事故水池，设计总有效容积</w:t>
      </w:r>
      <w:r>
        <w:rPr>
          <w:rFonts w:hint="eastAsia"/>
          <w:spacing w:val="-4"/>
          <w:lang w:val="zh-CN" w:bidi="zh-CN"/>
        </w:rPr>
        <w:t>均</w:t>
      </w:r>
      <w:r>
        <w:rPr>
          <w:spacing w:val="-4"/>
          <w:lang w:val="zh-CN" w:bidi="zh-CN"/>
        </w:rPr>
        <w:t>为</w:t>
      </w:r>
      <w:r>
        <w:rPr>
          <w:rFonts w:eastAsia="Times New Roman"/>
          <w:lang w:val="zh-CN" w:bidi="zh-CN"/>
        </w:rPr>
        <w:t>2000m</w:t>
      </w:r>
      <w:r>
        <w:rPr>
          <w:rFonts w:eastAsia="Times New Roman"/>
          <w:vertAlign w:val="superscript"/>
          <w:lang w:val="zh-CN" w:bidi="zh-CN"/>
        </w:rPr>
        <w:t>3</w:t>
      </w:r>
      <w:r>
        <w:rPr>
          <w:rFonts w:hint="eastAsia"/>
          <w:lang w:val="zh-CN" w:bidi="zh-CN"/>
        </w:rPr>
        <w:t>，可联通</w:t>
      </w:r>
      <w:r>
        <w:rPr>
          <w:lang w:val="zh-CN" w:bidi="zh-CN"/>
        </w:rPr>
        <w:t>。</w:t>
      </w:r>
    </w:p>
    <w:p w14:paraId="1B33B2E4">
      <w:pPr>
        <w:pStyle w:val="16"/>
        <w:ind w:firstLine="480"/>
        <w:rPr>
          <w:lang w:val="zh-CN" w:bidi="zh-CN"/>
        </w:rPr>
      </w:pPr>
      <w:r>
        <w:rPr>
          <w:rFonts w:eastAsia="Times New Roman"/>
          <w:lang w:val="zh-CN" w:bidi="zh-CN"/>
        </w:rPr>
        <w:t>B</w:t>
      </w:r>
      <w:r>
        <w:rPr>
          <w:lang w:val="zh-CN" w:bidi="zh-CN"/>
        </w:rPr>
        <w:t>、雨排水切断系统</w:t>
      </w:r>
    </w:p>
    <w:p w14:paraId="2962A3BB">
      <w:pPr>
        <w:pStyle w:val="16"/>
        <w:ind w:firstLine="444"/>
        <w:rPr>
          <w:lang w:val="zh-CN" w:bidi="zh-CN"/>
        </w:rPr>
      </w:pPr>
      <w:r>
        <w:rPr>
          <w:spacing w:val="-9"/>
          <w:lang w:val="zh-CN" w:bidi="zh-CN"/>
        </w:rPr>
        <w:t>根据设计资料，海华科技公司雨水排口已设置自动切断装置，确保初期雨水和事故状态</w:t>
      </w:r>
      <w:r>
        <w:rPr>
          <w:lang w:val="zh-CN" w:bidi="zh-CN"/>
        </w:rPr>
        <w:t>下事故废水不通过雨水排放口外排造成环境污染事故。</w:t>
      </w:r>
    </w:p>
    <w:p w14:paraId="482FFAAD">
      <w:pPr>
        <w:pStyle w:val="16"/>
        <w:ind w:firstLine="480"/>
        <w:rPr>
          <w:lang w:val="zh-CN" w:bidi="zh-CN"/>
        </w:rPr>
      </w:pPr>
      <w:r>
        <w:rPr>
          <w:rFonts w:eastAsia="Times New Roman"/>
          <w:lang w:val="zh-CN" w:bidi="zh-CN"/>
        </w:rPr>
        <w:t>C</w:t>
      </w:r>
      <w:r>
        <w:rPr>
          <w:lang w:val="zh-CN" w:bidi="zh-CN"/>
        </w:rPr>
        <w:t>、储罐区围堰、防火堤内部容积可作为事故缓冲设施。</w:t>
      </w:r>
    </w:p>
    <w:p w14:paraId="73B08C19">
      <w:pPr>
        <w:pStyle w:val="16"/>
        <w:ind w:firstLine="480"/>
        <w:rPr>
          <w:lang w:val="zh-CN" w:bidi="zh-CN"/>
        </w:rPr>
      </w:pPr>
      <w:r>
        <w:rPr>
          <w:rFonts w:hint="eastAsia" w:ascii="宋体" w:hAnsi="宋体" w:cs="宋体"/>
          <w:lang w:val="zh-CN" w:bidi="zh-CN"/>
        </w:rPr>
        <w:t>③</w:t>
      </w:r>
      <w:r>
        <w:rPr>
          <w:lang w:val="zh-CN" w:bidi="zh-CN"/>
        </w:rPr>
        <w:t>三级防控</w:t>
      </w:r>
    </w:p>
    <w:p w14:paraId="56FB7F56">
      <w:pPr>
        <w:pStyle w:val="16"/>
        <w:ind w:firstLine="480"/>
      </w:pPr>
      <w:r>
        <w:rPr>
          <w:rFonts w:hint="eastAsia"/>
        </w:rPr>
        <w:t>进入污水处理厂终端建设终端事故缓冲池，沫河口污水处理厂事故池作为三级防线。</w:t>
      </w:r>
    </w:p>
    <w:p w14:paraId="0950E195">
      <w:pPr>
        <w:pStyle w:val="16"/>
        <w:ind w:firstLine="480"/>
      </w:pPr>
      <w:r>
        <w:rPr>
          <w:rFonts w:hint="eastAsia"/>
        </w:rPr>
        <w:t>项目事故后事故池通过泵分批泵入厂区污水处理站，再进入园区污水处理厂，沫河口污水处理厂目前已建事故池1座，容积13000m</w:t>
      </w:r>
      <w:r>
        <w:rPr>
          <w:rFonts w:hint="eastAsia"/>
          <w:vertAlign w:val="superscript"/>
        </w:rPr>
        <w:t>3</w:t>
      </w:r>
      <w:r>
        <w:rPr>
          <w:rFonts w:hint="eastAsia"/>
        </w:rPr>
        <w:t>[(上底25.6m、下底46.8m)×33.0m]，事故时，当来水pH超出设计允许范围值时，为保护生化系统不受破坏，自动切换至事故池，并在事故池内调整pH值，使其pH值在6～9之间。同时，当来水水质(COD、NH</w:t>
      </w:r>
      <w:r>
        <w:rPr>
          <w:rFonts w:hint="eastAsia"/>
          <w:vertAlign w:val="subscript"/>
        </w:rPr>
        <w:t>3</w:t>
      </w:r>
      <w:r>
        <w:rPr>
          <w:rFonts w:hint="eastAsia"/>
        </w:rPr>
        <w:t>-N)超标时，也可直接切换至事故调节池，事故调节池内水经过小流量泵均匀地提升至匀质池；有机废水出水先通过气浮设备去除废水中含有石油类的物质后进入预缺氧池，后进入厌氧池，在厌氧池中释放磷，同时把部分有机物进行氧化，确保事故状况下能够及时对厂内事故废水进行末端处理。</w:t>
      </w:r>
    </w:p>
    <w:p w14:paraId="7EEAD4B6">
      <w:pPr>
        <w:spacing w:line="240" w:lineRule="auto"/>
        <w:jc w:val="left"/>
        <w:rPr>
          <w:rFonts w:cs="Times New Roman"/>
        </w:rPr>
      </w:pPr>
      <w:r>
        <w:drawing>
          <wp:inline distT="0" distB="0" distL="0" distR="0">
            <wp:extent cx="5759450" cy="3720465"/>
            <wp:effectExtent l="0" t="0" r="0" b="0"/>
            <wp:docPr id="958" name="图片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 name="图片 958"/>
                    <pic:cNvPicPr>
                      <a:picLocks noChangeAspect="1"/>
                    </pic:cNvPicPr>
                  </pic:nvPicPr>
                  <pic:blipFill>
                    <a:blip r:embed="rId72"/>
                    <a:stretch>
                      <a:fillRect/>
                    </a:stretch>
                  </pic:blipFill>
                  <pic:spPr>
                    <a:xfrm>
                      <a:off x="0" y="0"/>
                      <a:ext cx="5759450" cy="3720465"/>
                    </a:xfrm>
                    <a:prstGeom prst="rect">
                      <a:avLst/>
                    </a:prstGeom>
                  </pic:spPr>
                </pic:pic>
              </a:graphicData>
            </a:graphic>
          </wp:inline>
        </w:drawing>
      </w:r>
    </w:p>
    <w:p w14:paraId="11EF442E">
      <w:pPr>
        <w:pStyle w:val="64"/>
        <w:rPr>
          <w:lang w:val="zh-CN" w:bidi="zh-CN"/>
        </w:rPr>
      </w:pPr>
      <w:r>
        <w:rPr>
          <w:rFonts w:hint="eastAsia"/>
        </w:rPr>
        <w:t>图5.</w:t>
      </w:r>
      <w:r>
        <w:t xml:space="preserve">6-8 </w:t>
      </w:r>
      <w:r>
        <w:rPr>
          <w:rFonts w:hint="eastAsia"/>
        </w:rPr>
        <w:t xml:space="preserve"> 沫河口污水处理厂污水处理工艺</w:t>
      </w:r>
    </w:p>
    <w:p w14:paraId="23174825">
      <w:pPr>
        <w:ind w:firstLine="480" w:firstLineChars="200"/>
        <w:rPr>
          <w:lang w:val="zh-CN" w:bidi="zh-CN"/>
        </w:rPr>
      </w:pPr>
      <w:r>
        <w:rPr>
          <w:lang w:val="zh-CN" w:bidi="zh-CN"/>
        </w:rPr>
        <w:t>(</w:t>
      </w:r>
      <w:r>
        <w:rPr>
          <w:rFonts w:eastAsia="Times New Roman"/>
          <w:lang w:val="zh-CN" w:bidi="zh-CN"/>
        </w:rPr>
        <w:t>3</w:t>
      </w:r>
      <w:r>
        <w:rPr>
          <w:lang w:val="zh-CN" w:bidi="zh-CN"/>
        </w:rPr>
        <w:t>)风险防范措施有效性</w:t>
      </w:r>
    </w:p>
    <w:p w14:paraId="4F376618">
      <w:pPr>
        <w:ind w:firstLine="480" w:firstLineChars="200"/>
        <w:jc w:val="left"/>
        <w:rPr>
          <w:rFonts w:cs="Times New Roman"/>
        </w:rPr>
      </w:pPr>
      <w:r>
        <w:rPr>
          <w:rFonts w:hint="eastAsia" w:cs="Times New Roman"/>
        </w:rPr>
        <w:t>事故废水处置要求：在生产过程中发生事故，如泄漏、火灾等，在事故处理过程中，产生如消防废水等事故废水。事故废水直接排放，对环境影响较大，为防止发生水污染，必须对事故废水进行收集并设置事故池。</w:t>
      </w:r>
    </w:p>
    <w:p w14:paraId="1B547878">
      <w:pPr>
        <w:ind w:firstLine="480" w:firstLineChars="200"/>
        <w:jc w:val="left"/>
        <w:rPr>
          <w:rFonts w:cs="Times New Roman"/>
        </w:rPr>
      </w:pPr>
      <w:r>
        <w:rPr>
          <w:rFonts w:hint="eastAsia" w:cs="Times New Roman"/>
        </w:rPr>
        <w:t>根据中石化“关于印发《水体污染防控紧急措施设计导则》的通知”以及《事故状态下水体污染的预防和控制规范》(Q/SY 08190-2019)中关于事故储存设施总有效容积的计算的计算方法：</w:t>
      </w:r>
    </w:p>
    <w:p w14:paraId="129E4D97">
      <w:pPr>
        <w:jc w:val="center"/>
        <w:rPr>
          <w:rFonts w:cs="Times New Roman"/>
        </w:rPr>
      </w:pPr>
      <w:r>
        <w:rPr>
          <w:rFonts w:hint="eastAsia" w:cs="Times New Roman"/>
        </w:rPr>
        <w:t>V</w:t>
      </w:r>
      <w:r>
        <w:rPr>
          <w:rFonts w:hint="eastAsia" w:cs="Times New Roman"/>
          <w:vertAlign w:val="subscript"/>
        </w:rPr>
        <w:t>总</w:t>
      </w:r>
      <w:r>
        <w:rPr>
          <w:rFonts w:hint="eastAsia" w:cs="Times New Roman"/>
        </w:rPr>
        <w:t>＝(V</w:t>
      </w:r>
      <w:r>
        <w:rPr>
          <w:rFonts w:hint="eastAsia" w:cs="Times New Roman"/>
          <w:vertAlign w:val="subscript"/>
        </w:rPr>
        <w:t>1</w:t>
      </w:r>
      <w:r>
        <w:rPr>
          <w:rFonts w:hint="eastAsia" w:cs="Times New Roman"/>
        </w:rPr>
        <w:t>＋V</w:t>
      </w:r>
      <w:r>
        <w:rPr>
          <w:rFonts w:hint="eastAsia" w:cs="Times New Roman"/>
          <w:vertAlign w:val="subscript"/>
        </w:rPr>
        <w:t>2</w:t>
      </w:r>
      <w:r>
        <w:rPr>
          <w:rFonts w:hint="eastAsia" w:cs="Times New Roman"/>
        </w:rPr>
        <w:t>-V</w:t>
      </w:r>
      <w:r>
        <w:rPr>
          <w:rFonts w:hint="eastAsia" w:cs="Times New Roman"/>
          <w:vertAlign w:val="subscript"/>
        </w:rPr>
        <w:t>3</w:t>
      </w:r>
      <w:r>
        <w:rPr>
          <w:rFonts w:hint="eastAsia" w:cs="Times New Roman"/>
        </w:rPr>
        <w:t>)</w:t>
      </w:r>
      <w:r>
        <w:rPr>
          <w:rFonts w:hint="eastAsia" w:cs="Times New Roman"/>
          <w:vertAlign w:val="subscript"/>
        </w:rPr>
        <w:t>max</w:t>
      </w:r>
      <w:r>
        <w:rPr>
          <w:rFonts w:hint="eastAsia" w:cs="Times New Roman"/>
        </w:rPr>
        <w:t>+V</w:t>
      </w:r>
      <w:r>
        <w:rPr>
          <w:rFonts w:hint="eastAsia" w:cs="Times New Roman"/>
          <w:vertAlign w:val="subscript"/>
        </w:rPr>
        <w:t>4</w:t>
      </w:r>
      <w:r>
        <w:rPr>
          <w:rFonts w:hint="eastAsia" w:cs="Times New Roman"/>
        </w:rPr>
        <w:t>+V</w:t>
      </w:r>
      <w:r>
        <w:rPr>
          <w:rFonts w:hint="eastAsia" w:cs="Times New Roman"/>
          <w:vertAlign w:val="subscript"/>
        </w:rPr>
        <w:t>5</w:t>
      </w:r>
    </w:p>
    <w:p w14:paraId="5E1363F5">
      <w:pPr>
        <w:ind w:firstLine="480" w:firstLineChars="200"/>
        <w:jc w:val="left"/>
        <w:rPr>
          <w:rFonts w:cs="Times New Roman"/>
        </w:rPr>
      </w:pPr>
      <w:r>
        <w:rPr>
          <w:rFonts w:hint="eastAsia" w:cs="Times New Roman"/>
        </w:rPr>
        <w:t>注：(V</w:t>
      </w:r>
      <w:r>
        <w:rPr>
          <w:rFonts w:hint="eastAsia" w:cs="Times New Roman"/>
          <w:vertAlign w:val="subscript"/>
        </w:rPr>
        <w:t>1</w:t>
      </w:r>
      <w:r>
        <w:rPr>
          <w:rFonts w:hint="eastAsia" w:cs="Times New Roman"/>
        </w:rPr>
        <w:t>+V</w:t>
      </w:r>
      <w:r>
        <w:rPr>
          <w:rFonts w:hint="eastAsia" w:cs="Times New Roman"/>
          <w:vertAlign w:val="subscript"/>
        </w:rPr>
        <w:t>2</w:t>
      </w:r>
      <w:r>
        <w:rPr>
          <w:rFonts w:hint="eastAsia" w:cs="Times New Roman"/>
        </w:rPr>
        <w:t>-V</w:t>
      </w:r>
      <w:r>
        <w:rPr>
          <w:rFonts w:hint="eastAsia" w:cs="Times New Roman"/>
          <w:vertAlign w:val="subscript"/>
        </w:rPr>
        <w:t>3</w:t>
      </w:r>
      <w:r>
        <w:rPr>
          <w:rFonts w:hint="eastAsia" w:cs="Times New Roman"/>
        </w:rPr>
        <w:t>)</w:t>
      </w:r>
      <w:r>
        <w:rPr>
          <w:rFonts w:hint="eastAsia" w:cs="Times New Roman"/>
          <w:vertAlign w:val="subscript"/>
        </w:rPr>
        <w:t>max</w:t>
      </w:r>
      <w:r>
        <w:rPr>
          <w:rFonts w:hint="eastAsia" w:cs="Times New Roman"/>
        </w:rPr>
        <w:t>是指对收集系统范围内不同罐组或装置分别计算V</w:t>
      </w:r>
      <w:r>
        <w:rPr>
          <w:rFonts w:hint="eastAsia" w:cs="Times New Roman"/>
          <w:vertAlign w:val="subscript"/>
        </w:rPr>
        <w:t>1</w:t>
      </w:r>
      <w:r>
        <w:rPr>
          <w:rFonts w:hint="eastAsia" w:cs="Times New Roman"/>
        </w:rPr>
        <w:t>+V</w:t>
      </w:r>
      <w:r>
        <w:rPr>
          <w:rFonts w:hint="eastAsia" w:cs="Times New Roman"/>
          <w:vertAlign w:val="subscript"/>
        </w:rPr>
        <w:t>2</w:t>
      </w:r>
      <w:r>
        <w:rPr>
          <w:rFonts w:hint="eastAsia" w:cs="Times New Roman"/>
        </w:rPr>
        <w:t>-V</w:t>
      </w:r>
      <w:r>
        <w:rPr>
          <w:rFonts w:hint="eastAsia" w:cs="Times New Roman"/>
          <w:vertAlign w:val="subscript"/>
        </w:rPr>
        <w:t>3</w:t>
      </w:r>
      <w:r>
        <w:rPr>
          <w:rFonts w:hint="eastAsia" w:cs="Times New Roman"/>
        </w:rPr>
        <w:t>，取其中最大值。</w:t>
      </w:r>
    </w:p>
    <w:p w14:paraId="28EEA07F">
      <w:pPr>
        <w:ind w:firstLine="480" w:firstLineChars="200"/>
        <w:jc w:val="left"/>
        <w:rPr>
          <w:rFonts w:cs="Times New Roman"/>
        </w:rPr>
      </w:pPr>
      <w:r>
        <w:rPr>
          <w:rFonts w:hint="eastAsia" w:cs="Times New Roman"/>
        </w:rPr>
        <w:t>V</w:t>
      </w:r>
      <w:r>
        <w:rPr>
          <w:rFonts w:hint="eastAsia" w:cs="Times New Roman"/>
          <w:vertAlign w:val="subscript"/>
        </w:rPr>
        <w:t>1</w:t>
      </w:r>
      <w:r>
        <w:rPr>
          <w:rFonts w:hint="eastAsia" w:cs="Times New Roman"/>
        </w:rPr>
        <w:t>——收集系统范围内发生事故的一个罐组或一套装置的物料量(注:储存相同物料的罐组按一个最大储罐计，装置物料量按存留最大物料量的一台反应器或中间储罐计)。</w:t>
      </w:r>
    </w:p>
    <w:p w14:paraId="658FF097">
      <w:pPr>
        <w:ind w:firstLine="480" w:firstLineChars="200"/>
        <w:jc w:val="left"/>
        <w:rPr>
          <w:rFonts w:cs="Times New Roman"/>
        </w:rPr>
      </w:pPr>
      <w:r>
        <w:rPr>
          <w:rFonts w:hint="eastAsia" w:cs="Times New Roman"/>
        </w:rPr>
        <w:t>V</w:t>
      </w:r>
      <w:r>
        <w:rPr>
          <w:rFonts w:hint="eastAsia" w:cs="Times New Roman"/>
          <w:vertAlign w:val="subscript"/>
        </w:rPr>
        <w:t>2</w:t>
      </w:r>
      <w:r>
        <w:rPr>
          <w:rFonts w:hint="eastAsia" w:cs="Times New Roman"/>
        </w:rPr>
        <w:t>——发生事故的储罐或装置的消防水量，m</w:t>
      </w:r>
      <w:r>
        <w:rPr>
          <w:rFonts w:hint="eastAsia" w:cs="Times New Roman"/>
          <w:vertAlign w:val="superscript"/>
        </w:rPr>
        <w:t>3</w:t>
      </w:r>
      <w:r>
        <w:rPr>
          <w:rFonts w:hint="eastAsia" w:cs="Times New Roman"/>
        </w:rPr>
        <w:t>；V</w:t>
      </w:r>
      <w:r>
        <w:rPr>
          <w:rFonts w:hint="eastAsia" w:cs="Times New Roman"/>
          <w:vertAlign w:val="subscript"/>
        </w:rPr>
        <w:t>2</w:t>
      </w:r>
      <w:r>
        <w:rPr>
          <w:rFonts w:hint="eastAsia" w:cs="Times New Roman"/>
        </w:rPr>
        <w:t>=ΣQ</w:t>
      </w:r>
      <w:r>
        <w:rPr>
          <w:rFonts w:hint="eastAsia" w:cs="Times New Roman"/>
          <w:vertAlign w:val="subscript"/>
        </w:rPr>
        <w:t>消</w:t>
      </w:r>
      <w:r>
        <w:rPr>
          <w:rFonts w:hint="eastAsia" w:cs="Times New Roman"/>
        </w:rPr>
        <w:t>t</w:t>
      </w:r>
      <w:r>
        <w:rPr>
          <w:rFonts w:hint="eastAsia" w:cs="Times New Roman"/>
          <w:vertAlign w:val="subscript"/>
        </w:rPr>
        <w:t>消</w:t>
      </w:r>
    </w:p>
    <w:p w14:paraId="5E0DC37F">
      <w:pPr>
        <w:ind w:firstLine="480" w:firstLineChars="200"/>
        <w:jc w:val="left"/>
        <w:rPr>
          <w:rFonts w:cs="Times New Roman"/>
        </w:rPr>
      </w:pPr>
      <w:r>
        <w:rPr>
          <w:rFonts w:hint="eastAsia" w:cs="Times New Roman"/>
        </w:rPr>
        <w:t>V</w:t>
      </w:r>
      <w:r>
        <w:rPr>
          <w:rFonts w:hint="eastAsia" w:cs="Times New Roman"/>
          <w:vertAlign w:val="subscript"/>
        </w:rPr>
        <w:t>3</w:t>
      </w:r>
      <w:r>
        <w:rPr>
          <w:rFonts w:hint="eastAsia" w:cs="Times New Roman"/>
        </w:rPr>
        <w:t>——发生事故时可以转输到其他储存或处理设施的物料量，m</w:t>
      </w:r>
      <w:r>
        <w:rPr>
          <w:rFonts w:hint="eastAsia" w:cs="Times New Roman"/>
          <w:vertAlign w:val="superscript"/>
        </w:rPr>
        <w:t>2</w:t>
      </w:r>
      <w:r>
        <w:rPr>
          <w:rFonts w:hint="eastAsia" w:cs="Times New Roman"/>
        </w:rPr>
        <w:t>；</w:t>
      </w:r>
    </w:p>
    <w:p w14:paraId="5111B587">
      <w:pPr>
        <w:ind w:firstLine="480" w:firstLineChars="200"/>
        <w:jc w:val="left"/>
        <w:rPr>
          <w:rFonts w:cs="Times New Roman"/>
        </w:rPr>
      </w:pPr>
      <w:r>
        <w:rPr>
          <w:rFonts w:hint="eastAsia" w:cs="Times New Roman"/>
        </w:rPr>
        <w:t>V</w:t>
      </w:r>
      <w:r>
        <w:rPr>
          <w:rFonts w:hint="eastAsia" w:cs="Times New Roman"/>
          <w:vertAlign w:val="subscript"/>
        </w:rPr>
        <w:t>4</w:t>
      </w:r>
      <w:r>
        <w:rPr>
          <w:rFonts w:hint="eastAsia" w:cs="Times New Roman"/>
        </w:rPr>
        <w:t>——发生事故时仍必须进入该收集系统的生产废水量，m</w:t>
      </w:r>
      <w:r>
        <w:rPr>
          <w:rFonts w:hint="eastAsia" w:cs="Times New Roman"/>
          <w:vertAlign w:val="superscript"/>
        </w:rPr>
        <w:t>3</w:t>
      </w:r>
      <w:r>
        <w:rPr>
          <w:rFonts w:hint="eastAsia" w:cs="Times New Roman"/>
        </w:rPr>
        <w:t>；</w:t>
      </w:r>
    </w:p>
    <w:p w14:paraId="2F6DE671">
      <w:pPr>
        <w:ind w:firstLine="480" w:firstLineChars="200"/>
        <w:jc w:val="left"/>
        <w:rPr>
          <w:rFonts w:cs="Times New Roman"/>
        </w:rPr>
      </w:pPr>
      <w:r>
        <w:rPr>
          <w:rFonts w:hint="eastAsia" w:cs="Times New Roman"/>
        </w:rPr>
        <w:t>V</w:t>
      </w:r>
      <w:r>
        <w:rPr>
          <w:rFonts w:hint="eastAsia" w:cs="Times New Roman"/>
          <w:vertAlign w:val="subscript"/>
        </w:rPr>
        <w:t>5</w:t>
      </w:r>
      <w:r>
        <w:rPr>
          <w:rFonts w:hint="eastAsia" w:cs="Times New Roman"/>
        </w:rPr>
        <w:t>——发生事故时可能进入该收集系统的降雨量，m</w:t>
      </w:r>
      <w:r>
        <w:rPr>
          <w:rFonts w:hint="eastAsia" w:cs="Times New Roman"/>
          <w:vertAlign w:val="superscript"/>
        </w:rPr>
        <w:t>3</w:t>
      </w:r>
      <w:r>
        <w:rPr>
          <w:rFonts w:hint="eastAsia" w:cs="Times New Roman"/>
        </w:rPr>
        <w:t>；</w:t>
      </w:r>
    </w:p>
    <w:p w14:paraId="262E5432">
      <w:pPr>
        <w:jc w:val="center"/>
        <w:rPr>
          <w:rFonts w:cs="Times New Roman"/>
        </w:rPr>
      </w:pPr>
      <w:r>
        <w:rPr>
          <w:rFonts w:hint="eastAsia" w:cs="Times New Roman"/>
        </w:rPr>
        <w:t>V</w:t>
      </w:r>
      <w:r>
        <w:rPr>
          <w:rFonts w:hint="eastAsia" w:cs="Times New Roman"/>
          <w:vertAlign w:val="subscript"/>
        </w:rPr>
        <w:t>5</w:t>
      </w:r>
      <w:r>
        <w:rPr>
          <w:rFonts w:hint="eastAsia" w:cs="Times New Roman"/>
        </w:rPr>
        <w:t>=10qF</w:t>
      </w:r>
    </w:p>
    <w:p w14:paraId="5A60BF28">
      <w:pPr>
        <w:ind w:firstLine="480" w:firstLineChars="200"/>
        <w:jc w:val="left"/>
        <w:rPr>
          <w:rFonts w:cs="Times New Roman"/>
        </w:rPr>
      </w:pPr>
      <w:r>
        <w:rPr>
          <w:rFonts w:cs="Times New Roman"/>
        </w:rPr>
        <w:t>q</w:t>
      </w:r>
      <w:r>
        <w:rPr>
          <w:rFonts w:hint="eastAsia" w:cs="Times New Roman"/>
        </w:rPr>
        <w:t>——降雨强度，mm；按平均日降雨量；q=q</w:t>
      </w:r>
      <w:r>
        <w:rPr>
          <w:rFonts w:hint="eastAsia" w:cs="Times New Roman"/>
          <w:vertAlign w:val="subscript"/>
        </w:rPr>
        <w:t>a</w:t>
      </w:r>
      <w:r>
        <w:rPr>
          <w:rFonts w:hint="eastAsia" w:cs="Times New Roman"/>
        </w:rPr>
        <w:t>/n</w:t>
      </w:r>
    </w:p>
    <w:p w14:paraId="4C9235D3">
      <w:pPr>
        <w:ind w:firstLine="480" w:firstLineChars="200"/>
        <w:jc w:val="left"/>
        <w:rPr>
          <w:rFonts w:cs="Times New Roman"/>
        </w:rPr>
      </w:pPr>
      <w:r>
        <w:rPr>
          <w:rFonts w:hint="eastAsia" w:cs="Times New Roman"/>
        </w:rPr>
        <w:t>q</w:t>
      </w:r>
      <w:r>
        <w:rPr>
          <w:rFonts w:hint="eastAsia" w:cs="Times New Roman"/>
          <w:vertAlign w:val="subscript"/>
        </w:rPr>
        <w:t>a</w:t>
      </w:r>
      <w:r>
        <w:rPr>
          <w:rFonts w:hint="eastAsia" w:cs="Times New Roman"/>
        </w:rPr>
        <w:t>——年平均降雨量，mm，蚌埠市年均降雨量为987.3mm；</w:t>
      </w:r>
    </w:p>
    <w:p w14:paraId="2027C6C2">
      <w:pPr>
        <w:ind w:firstLine="480" w:firstLineChars="200"/>
        <w:jc w:val="left"/>
        <w:rPr>
          <w:rFonts w:cs="Times New Roman"/>
        </w:rPr>
      </w:pPr>
      <w:r>
        <w:rPr>
          <w:rFonts w:hint="eastAsia" w:cs="Times New Roman"/>
        </w:rPr>
        <w:t>n——年平均降雨日数，蚌埠市平均降雨日数为115d；</w:t>
      </w:r>
    </w:p>
    <w:p w14:paraId="3100B18E">
      <w:pPr>
        <w:ind w:firstLine="480" w:firstLineChars="200"/>
        <w:jc w:val="left"/>
        <w:rPr>
          <w:rFonts w:cs="Times New Roman"/>
        </w:rPr>
      </w:pPr>
      <w:r>
        <w:rPr>
          <w:rFonts w:hint="eastAsia" w:cs="Times New Roman"/>
        </w:rPr>
        <w:t>F——必须进入事故废水收集系统的雨水汇水面积，以东厂区面积约18.9ha计。</w:t>
      </w:r>
    </w:p>
    <w:p w14:paraId="02A86D74">
      <w:pPr>
        <w:ind w:firstLine="482" w:firstLineChars="200"/>
        <w:jc w:val="left"/>
        <w:rPr>
          <w:rFonts w:cs="Times New Roman"/>
          <w:b/>
          <w:bCs/>
        </w:rPr>
      </w:pPr>
      <w:bookmarkStart w:id="137" w:name="_Hlk164882994"/>
      <w:r>
        <w:rPr>
          <w:rFonts w:hint="eastAsia" w:cs="Times New Roman"/>
          <w:b/>
          <w:bCs/>
        </w:rPr>
        <w:t>本项目事故废水核算</w:t>
      </w:r>
    </w:p>
    <w:p w14:paraId="127BBEF4">
      <w:pPr>
        <w:ind w:firstLine="480" w:firstLineChars="200"/>
        <w:rPr>
          <w:rFonts w:cs="Times New Roman"/>
        </w:rPr>
      </w:pPr>
      <w:bookmarkStart w:id="138" w:name="_Hlk140782701"/>
      <w:r>
        <w:rPr>
          <w:rFonts w:hint="eastAsia" w:cs="Times New Roman"/>
        </w:rPr>
        <w:t>V</w:t>
      </w:r>
      <w:r>
        <w:rPr>
          <w:rFonts w:hint="eastAsia" w:cs="Times New Roman"/>
          <w:vertAlign w:val="subscript"/>
        </w:rPr>
        <w:t>1</w:t>
      </w:r>
      <w:r>
        <w:rPr>
          <w:rFonts w:hint="eastAsia" w:cs="Times New Roman"/>
        </w:rPr>
        <w:t>=1600m</w:t>
      </w:r>
      <w:r>
        <w:rPr>
          <w:rFonts w:hint="eastAsia" w:cs="Times New Roman"/>
          <w:vertAlign w:val="superscript"/>
        </w:rPr>
        <w:t>3</w:t>
      </w:r>
      <w:r>
        <w:rPr>
          <w:rFonts w:hint="eastAsia" w:cs="Times New Roman"/>
        </w:rPr>
        <w:t>，本项目中的最大储罐容积为2000m</w:t>
      </w:r>
      <w:r>
        <w:rPr>
          <w:rFonts w:hint="eastAsia" w:cs="Times New Roman"/>
          <w:vertAlign w:val="superscript"/>
        </w:rPr>
        <w:t>3</w:t>
      </w:r>
      <w:r>
        <w:rPr>
          <w:rFonts w:hint="eastAsia" w:cs="Times New Roman"/>
        </w:rPr>
        <w:t>，最大装填系数0.8，因此V</w:t>
      </w:r>
      <w:r>
        <w:rPr>
          <w:rFonts w:hint="eastAsia" w:cs="Times New Roman"/>
          <w:vertAlign w:val="subscript"/>
        </w:rPr>
        <w:t>1</w:t>
      </w:r>
      <w:r>
        <w:rPr>
          <w:rFonts w:hint="eastAsia" w:cs="Times New Roman"/>
        </w:rPr>
        <w:t>=160</w:t>
      </w:r>
      <w:r>
        <w:rPr>
          <w:rFonts w:cs="Times New Roman"/>
        </w:rPr>
        <w:t>0</w:t>
      </w:r>
      <w:r>
        <w:rPr>
          <w:rFonts w:hint="eastAsia" w:cs="Times New Roman"/>
        </w:rPr>
        <w:t>m</w:t>
      </w:r>
      <w:r>
        <w:rPr>
          <w:rFonts w:hint="eastAsia" w:cs="Times New Roman"/>
          <w:vertAlign w:val="superscript"/>
        </w:rPr>
        <w:t>3</w:t>
      </w:r>
      <w:r>
        <w:rPr>
          <w:rFonts w:hint="eastAsia" w:cs="Times New Roman"/>
        </w:rPr>
        <w:t>。</w:t>
      </w:r>
    </w:p>
    <w:p w14:paraId="305958E2">
      <w:pPr>
        <w:ind w:firstLine="480" w:firstLineChars="200"/>
        <w:rPr>
          <w:rFonts w:cs="Times New Roman"/>
        </w:rPr>
      </w:pPr>
      <w:bookmarkStart w:id="139" w:name="_Hlk140669486"/>
      <w:r>
        <w:rPr>
          <w:rFonts w:hint="eastAsia" w:cs="Times New Roman"/>
        </w:rPr>
        <w:t>V</w:t>
      </w:r>
      <w:r>
        <w:rPr>
          <w:rFonts w:hint="eastAsia" w:cs="Times New Roman"/>
          <w:vertAlign w:val="subscript"/>
        </w:rPr>
        <w:t>2</w:t>
      </w:r>
      <w:r>
        <w:rPr>
          <w:rFonts w:hint="eastAsia" w:cs="Times New Roman"/>
        </w:rPr>
        <w:t>=2296.8m</w:t>
      </w:r>
      <w:r>
        <w:rPr>
          <w:rFonts w:hint="eastAsia" w:cs="Times New Roman"/>
          <w:vertAlign w:val="superscript"/>
        </w:rPr>
        <w:t>3</w:t>
      </w:r>
      <w:r>
        <w:rPr>
          <w:rFonts w:hint="eastAsia" w:cs="Times New Roman"/>
        </w:rPr>
        <w:t>，V</w:t>
      </w:r>
      <w:r>
        <w:rPr>
          <w:rFonts w:hint="eastAsia" w:cs="Times New Roman"/>
          <w:vertAlign w:val="subscript"/>
        </w:rPr>
        <w:t>2</w:t>
      </w:r>
      <w:r>
        <w:rPr>
          <w:rFonts w:hint="eastAsia" w:cs="Times New Roman"/>
        </w:rPr>
        <w:t>为在装置区或贮罐区一旦发生火灾爆炸及泄漏时的最大消防用水量(m</w:t>
      </w:r>
      <w:r>
        <w:rPr>
          <w:rFonts w:hint="eastAsia" w:cs="Times New Roman"/>
          <w:vertAlign w:val="superscript"/>
        </w:rPr>
        <w:t>3</w:t>
      </w:r>
      <w:r>
        <w:rPr>
          <w:rFonts w:hint="eastAsia" w:cs="Times New Roman"/>
        </w:rPr>
        <w:t>)。项目设计消防用水量150L/s，消防水用时按4h计，泡沫混合液系统设计流量为76L/s，泡沫混合液用时按30min计，则厂区消防废水量约为2296.8m</w:t>
      </w:r>
      <w:r>
        <w:rPr>
          <w:rFonts w:hint="eastAsia" w:cs="Times New Roman"/>
          <w:vertAlign w:val="superscript"/>
        </w:rPr>
        <w:t>3</w:t>
      </w:r>
      <w:r>
        <w:rPr>
          <w:rFonts w:hint="eastAsia" w:cs="Times New Roman"/>
        </w:rPr>
        <w:t>。</w:t>
      </w:r>
    </w:p>
    <w:bookmarkEnd w:id="139"/>
    <w:p w14:paraId="6EB39018">
      <w:pPr>
        <w:ind w:firstLine="480" w:firstLineChars="200"/>
        <w:rPr>
          <w:rFonts w:cs="Times New Roman"/>
        </w:rPr>
      </w:pPr>
      <w:r>
        <w:rPr>
          <w:rFonts w:hint="eastAsia" w:cs="Times New Roman"/>
        </w:rPr>
        <w:t>V</w:t>
      </w:r>
      <w:r>
        <w:rPr>
          <w:rFonts w:hint="eastAsia" w:cs="Times New Roman"/>
          <w:vertAlign w:val="subscript"/>
        </w:rPr>
        <w:t>3</w:t>
      </w:r>
      <w:r>
        <w:rPr>
          <w:rFonts w:hint="eastAsia" w:cs="Times New Roman"/>
        </w:rPr>
        <w:t>=4000m</w:t>
      </w:r>
      <w:r>
        <w:rPr>
          <w:rFonts w:hint="eastAsia" w:cs="Times New Roman"/>
          <w:vertAlign w:val="superscript"/>
        </w:rPr>
        <w:t>3</w:t>
      </w:r>
      <w:r>
        <w:rPr>
          <w:rFonts w:hint="eastAsia" w:cs="Times New Roman"/>
        </w:rPr>
        <w:t>，发生事故时可以转输到其他储存或处理设施的物料量以原料罐区围堰(100m</w:t>
      </w:r>
      <w:r>
        <w:rPr>
          <w:rFonts w:cs="Times New Roman"/>
        </w:rPr>
        <w:t>×</w:t>
      </w:r>
      <w:r>
        <w:rPr>
          <w:rFonts w:hint="eastAsia" w:cs="Times New Roman"/>
        </w:rPr>
        <w:t>50m)有效容积约3000m</w:t>
      </w:r>
      <w:r>
        <w:rPr>
          <w:rFonts w:hint="eastAsia" w:cs="Times New Roman"/>
          <w:vertAlign w:val="superscript"/>
        </w:rPr>
        <w:t>3</w:t>
      </w:r>
      <w:r>
        <w:rPr>
          <w:rFonts w:hint="eastAsia" w:cs="Times New Roman"/>
        </w:rPr>
        <w:t>计，为3000m</w:t>
      </w:r>
      <w:r>
        <w:rPr>
          <w:rFonts w:hint="eastAsia" w:cs="Times New Roman"/>
          <w:vertAlign w:val="superscript"/>
        </w:rPr>
        <w:t>3</w:t>
      </w:r>
      <w:r>
        <w:rPr>
          <w:rFonts w:hint="eastAsia" w:cs="Times New Roman"/>
        </w:rPr>
        <w:t>。发生事故时，初期雨水池可用于暂存事故状态下雨水，东厂区初期雨水池容积1000m</w:t>
      </w:r>
      <w:r>
        <w:rPr>
          <w:rFonts w:hint="eastAsia" w:cs="Times New Roman"/>
          <w:vertAlign w:val="superscript"/>
        </w:rPr>
        <w:t>3</w:t>
      </w:r>
      <w:r>
        <w:rPr>
          <w:rFonts w:hint="eastAsia" w:cs="Times New Roman"/>
        </w:rPr>
        <w:t>。</w:t>
      </w:r>
    </w:p>
    <w:p w14:paraId="79ABD92F">
      <w:pPr>
        <w:ind w:firstLine="480" w:firstLineChars="200"/>
        <w:rPr>
          <w:rFonts w:cs="Times New Roman"/>
        </w:rPr>
      </w:pPr>
      <w:r>
        <w:rPr>
          <w:rFonts w:hint="eastAsia" w:cs="Times New Roman"/>
        </w:rPr>
        <w:t>V</w:t>
      </w:r>
      <w:r>
        <w:rPr>
          <w:rFonts w:hint="eastAsia" w:cs="Times New Roman"/>
          <w:vertAlign w:val="subscript"/>
        </w:rPr>
        <w:t>4</w:t>
      </w:r>
      <w:r>
        <w:rPr>
          <w:rFonts w:hint="eastAsia" w:cs="Times New Roman"/>
        </w:rPr>
        <w:t>=0m</w:t>
      </w:r>
      <w:r>
        <w:rPr>
          <w:rFonts w:hint="eastAsia" w:cs="Times New Roman"/>
          <w:vertAlign w:val="superscript"/>
        </w:rPr>
        <w:t>3</w:t>
      </w:r>
      <w:r>
        <w:rPr>
          <w:rFonts w:hint="eastAsia" w:cs="Times New Roman"/>
        </w:rPr>
        <w:t>，本项目发生事故时无必须进入该收集系统的生产废水。</w:t>
      </w:r>
    </w:p>
    <w:p w14:paraId="50B7D2A4">
      <w:pPr>
        <w:ind w:firstLine="480" w:firstLineChars="200"/>
        <w:rPr>
          <w:rFonts w:cs="Times New Roman"/>
        </w:rPr>
      </w:pPr>
      <w:r>
        <w:rPr>
          <w:rFonts w:hint="eastAsia" w:cs="Times New Roman"/>
        </w:rPr>
        <w:t>V</w:t>
      </w:r>
      <w:r>
        <w:rPr>
          <w:rFonts w:hint="eastAsia" w:cs="Times New Roman"/>
          <w:vertAlign w:val="subscript"/>
        </w:rPr>
        <w:t>5</w:t>
      </w:r>
      <w:r>
        <w:rPr>
          <w:rFonts w:hint="eastAsia" w:cs="Times New Roman"/>
        </w:rPr>
        <w:t>=1622.6m</w:t>
      </w:r>
      <w:r>
        <w:rPr>
          <w:rFonts w:hint="eastAsia" w:cs="Times New Roman"/>
          <w:vertAlign w:val="superscript"/>
        </w:rPr>
        <w:t>3</w:t>
      </w:r>
      <w:r>
        <w:rPr>
          <w:rFonts w:hint="eastAsia" w:cs="Times New Roman"/>
        </w:rPr>
        <w:t>，经核算东厂区暴雨强度下降雨量为1622.6m</w:t>
      </w:r>
      <w:r>
        <w:rPr>
          <w:rFonts w:hint="eastAsia" w:cs="Times New Roman"/>
          <w:vertAlign w:val="superscript"/>
        </w:rPr>
        <w:t>3</w:t>
      </w:r>
      <w:r>
        <w:rPr>
          <w:rFonts w:hint="eastAsia" w:cs="Times New Roman"/>
        </w:rPr>
        <w:t>/d。</w:t>
      </w:r>
    </w:p>
    <w:p w14:paraId="3718AD14">
      <w:pPr>
        <w:ind w:firstLine="480" w:firstLineChars="200"/>
        <w:rPr>
          <w:rFonts w:cs="Times New Roman"/>
        </w:rPr>
      </w:pPr>
      <w:r>
        <w:rPr>
          <w:rFonts w:hint="eastAsia" w:cs="Times New Roman"/>
        </w:rPr>
        <w:t>根据上述计算可知，本项目所需事故池容积需大于1519.4m</w:t>
      </w:r>
      <w:r>
        <w:rPr>
          <w:rFonts w:cs="Times New Roman"/>
          <w:vertAlign w:val="superscript"/>
        </w:rPr>
        <w:t>3</w:t>
      </w:r>
      <w:r>
        <w:rPr>
          <w:rFonts w:hint="eastAsia" w:cs="Times New Roman"/>
        </w:rPr>
        <w:t>。</w:t>
      </w:r>
    </w:p>
    <w:p w14:paraId="48B4A764">
      <w:pPr>
        <w:ind w:firstLine="480" w:firstLineChars="200"/>
        <w:rPr>
          <w:rFonts w:cs="Times New Roman"/>
        </w:rPr>
      </w:pPr>
      <w:r>
        <w:rPr>
          <w:rFonts w:hint="eastAsia" w:cs="Times New Roman"/>
        </w:rPr>
        <w:t>企业东片区现有</w:t>
      </w:r>
      <w:r>
        <w:rPr>
          <w:rFonts w:cs="Times New Roman"/>
        </w:rPr>
        <w:t>1</w:t>
      </w:r>
      <w:r>
        <w:rPr>
          <w:rFonts w:hint="eastAsia" w:cs="Times New Roman"/>
        </w:rPr>
        <w:t>处有效容积为2000m</w:t>
      </w:r>
      <w:r>
        <w:rPr>
          <w:rFonts w:hint="eastAsia" w:cs="Times New Roman"/>
          <w:vertAlign w:val="superscript"/>
        </w:rPr>
        <w:t>3</w:t>
      </w:r>
      <w:r>
        <w:rPr>
          <w:rFonts w:hint="eastAsia" w:cs="Times New Roman"/>
        </w:rPr>
        <w:t>的事故水池，已和西厂区2000m</w:t>
      </w:r>
      <w:r>
        <w:rPr>
          <w:rFonts w:hint="eastAsia" w:cs="Times New Roman"/>
          <w:vertAlign w:val="superscript"/>
        </w:rPr>
        <w:t>3</w:t>
      </w:r>
      <w:r>
        <w:rPr>
          <w:rFonts w:hint="eastAsia" w:cs="Times New Roman"/>
        </w:rPr>
        <w:t>事故池联通，总容积为4000m</w:t>
      </w:r>
      <w:r>
        <w:rPr>
          <w:rFonts w:hint="eastAsia" w:cs="Times New Roman"/>
          <w:vertAlign w:val="superscript"/>
        </w:rPr>
        <w:t>3</w:t>
      </w:r>
      <w:r>
        <w:rPr>
          <w:rFonts w:hint="eastAsia" w:cs="Times New Roman"/>
        </w:rPr>
        <w:t>，能够满足事故状况下项目事故废水收集。企业已配备必要的自发电机设施和提升泵，确保事故断电情况下事故废水能顺利输送至事故池。本项目依托该事故池可行</w:t>
      </w:r>
      <w:bookmarkEnd w:id="138"/>
      <w:r>
        <w:rPr>
          <w:lang w:val="zh-CN" w:bidi="zh-CN"/>
        </w:rPr>
        <w:t>。</w:t>
      </w:r>
    </w:p>
    <w:bookmarkEnd w:id="137"/>
    <w:p w14:paraId="558679F9">
      <w:pPr>
        <w:ind w:firstLine="444" w:firstLineChars="200"/>
        <w:rPr>
          <w:lang w:val="zh-CN" w:bidi="zh-CN"/>
        </w:rPr>
      </w:pPr>
      <w:r>
        <w:rPr>
          <w:spacing w:val="-9"/>
          <w:lang w:val="zh-CN" w:bidi="zh-CN"/>
        </w:rPr>
        <w:t>综上所述，根据中国石油天然气集团公司企业标准《事故状态下水体污染的预防与控制</w:t>
      </w:r>
      <w:r>
        <w:rPr>
          <w:spacing w:val="-4"/>
          <w:lang w:val="zh-CN" w:bidi="zh-CN"/>
        </w:rPr>
        <w:t>技术要求》</w:t>
      </w:r>
      <w:r>
        <w:rPr>
          <w:lang w:val="zh-CN" w:bidi="zh-CN"/>
        </w:rPr>
        <w:t>(</w:t>
      </w:r>
      <w:r>
        <w:rPr>
          <w:rFonts w:eastAsia="Times New Roman"/>
          <w:lang w:val="zh-CN" w:bidi="zh-CN"/>
        </w:rPr>
        <w:t>Q/SY1190-2013</w:t>
      </w:r>
      <w:r>
        <w:rPr>
          <w:lang w:val="zh-CN" w:bidi="zh-CN"/>
        </w:rPr>
        <w:t>)</w:t>
      </w:r>
      <w:r>
        <w:rPr>
          <w:spacing w:val="-3"/>
          <w:lang w:val="zh-CN" w:bidi="zh-CN"/>
        </w:rPr>
        <w:t>中相关要求，本项目依托现有事故水储存设施的总有效容积</w:t>
      </w:r>
      <w:r>
        <w:rPr>
          <w:spacing w:val="-6"/>
          <w:lang w:val="zh-CN" w:bidi="zh-CN"/>
        </w:rPr>
        <w:t>可以满足事故状况下泄漏物料、消防废水、生产废水以及事故降雨的收集和储存要求，可以</w:t>
      </w:r>
      <w:r>
        <w:rPr>
          <w:lang w:val="zh-CN" w:bidi="zh-CN"/>
        </w:rPr>
        <w:t>做到事故废水不外排，避免了对区域地表水环境造成的事故影响。</w:t>
      </w:r>
    </w:p>
    <w:p w14:paraId="23022CB6">
      <w:pPr>
        <w:ind w:firstLine="468" w:firstLineChars="200"/>
        <w:rPr>
          <w:rFonts w:cs="Times New Roman"/>
          <w:spacing w:val="-3"/>
        </w:rPr>
      </w:pPr>
      <w:r>
        <w:rPr>
          <w:rFonts w:hint="eastAsia" w:cs="Times New Roman"/>
          <w:spacing w:val="-3"/>
        </w:rPr>
        <w:t>3、地下水风险防范措施</w:t>
      </w:r>
    </w:p>
    <w:p w14:paraId="257A0122">
      <w:pPr>
        <w:ind w:firstLine="480" w:firstLineChars="200"/>
        <w:rPr>
          <w:lang w:val="zh-CN" w:bidi="zh-CN"/>
        </w:rPr>
      </w:pPr>
      <w:r>
        <w:rPr>
          <w:lang w:val="zh-CN" w:bidi="zh-CN"/>
        </w:rPr>
        <w:t>建设单位从源头控制、分区防渗、跟踪监测与应急响应等方面采取了地下水污染防治措施，具体内容详见小节“</w:t>
      </w:r>
      <w:r>
        <w:rPr>
          <w:rFonts w:hint="eastAsia" w:eastAsiaTheme="minorEastAsia"/>
          <w:lang w:val="zh-CN" w:bidi="zh-CN"/>
        </w:rPr>
        <w:t>7.5</w:t>
      </w:r>
      <w:r>
        <w:rPr>
          <w:lang w:val="zh-CN" w:bidi="zh-CN"/>
        </w:rPr>
        <w:t>地下水污染防治措施”。</w:t>
      </w:r>
    </w:p>
    <w:p w14:paraId="548A45F9">
      <w:pPr>
        <w:pStyle w:val="4"/>
        <w:rPr>
          <w:rFonts w:hint="eastAsia"/>
        </w:rPr>
      </w:pPr>
      <w:bookmarkStart w:id="140" w:name="_Toc210925780"/>
      <w:bookmarkStart w:id="141" w:name="_Toc221056445"/>
      <w:bookmarkStart w:id="142" w:name="_Toc195625015"/>
      <w:r>
        <w:rPr>
          <w:rFonts w:hint="eastAsia"/>
        </w:rPr>
        <w:t>6.8.10评价结论与建议</w:t>
      </w:r>
      <w:bookmarkEnd w:id="140"/>
      <w:bookmarkEnd w:id="141"/>
      <w:bookmarkEnd w:id="142"/>
    </w:p>
    <w:p w14:paraId="57AB4C61">
      <w:pPr>
        <w:pStyle w:val="16"/>
        <w:ind w:firstLine="480"/>
      </w:pPr>
      <w:r>
        <w:rPr>
          <w:rFonts w:hint="eastAsia"/>
        </w:rPr>
        <w:t>(1)根据《建设项目环境风险评价技术导则》(HJ169-2018)附录B进行识别本项目的危险物质主要为异丁烯、浓硫酸、间甲酚、对甲酚以及高浓有机废水。</w:t>
      </w:r>
    </w:p>
    <w:p w14:paraId="619E06CB">
      <w:pPr>
        <w:pStyle w:val="16"/>
        <w:ind w:firstLine="480"/>
      </w:pPr>
      <w:r>
        <w:rPr>
          <w:rFonts w:hint="eastAsia"/>
        </w:rPr>
        <w:t>(2)本项目重点风险源主要包括：生产装置(烷基化和减压精馏装置)、原料罐区、高浓废水暂存罐及各类危险物质输送管线。</w:t>
      </w:r>
    </w:p>
    <w:p w14:paraId="0677869F">
      <w:pPr>
        <w:pStyle w:val="16"/>
        <w:ind w:firstLine="480"/>
      </w:pPr>
      <w:r>
        <w:rPr>
          <w:rFonts w:hint="eastAsia"/>
        </w:rPr>
        <w:t>(3)项目对厂区事故废水采取“三级防控”预防管理，在雨水排放口和污水排放口设置切断阀，确保事故状态下泄漏物料、消防废水进入事故池，事故废水不外排；车间产生的高浓废水及时暂存，避免事故泄漏。</w:t>
      </w:r>
    </w:p>
    <w:p w14:paraId="32743251">
      <w:pPr>
        <w:pStyle w:val="16"/>
        <w:ind w:firstLine="480"/>
      </w:pPr>
      <w:r>
        <w:rPr>
          <w:rFonts w:hint="eastAsia"/>
        </w:rPr>
        <w:t>(4)建设单位对装置区、罐区采取了重点防渗，罐区设置围堰和导流沟，避免泄漏物质外泄，可最大程度降低土壤和地下水环境风险。</w:t>
      </w:r>
    </w:p>
    <w:p w14:paraId="2EBB1BE1">
      <w:pPr>
        <w:ind w:firstLine="480" w:firstLineChars="200"/>
      </w:pPr>
      <w:r>
        <w:t>本项目制定了一系列风险防范措施，</w:t>
      </w:r>
      <w:r>
        <w:rPr>
          <w:rFonts w:hint="eastAsia"/>
        </w:rPr>
        <w:t>根据预测结果，</w:t>
      </w:r>
      <w:r>
        <w:t>本项目在风险防范措施落实到位的情况下，环境风险可接受。</w:t>
      </w:r>
    </w:p>
    <w:p w14:paraId="5B294108">
      <w:pPr>
        <w:rPr>
          <w:rFonts w:cs="Times New Roman"/>
          <w:spacing w:val="-3"/>
        </w:rPr>
      </w:pPr>
    </w:p>
    <w:p w14:paraId="58B0B5E2">
      <w:pPr>
        <w:rPr>
          <w:rFonts w:cs="Times New Roman"/>
          <w:spacing w:val="-3"/>
        </w:rPr>
        <w:sectPr>
          <w:pgSz w:w="11906" w:h="16838"/>
          <w:pgMar w:top="1418" w:right="1418" w:bottom="1418" w:left="1418" w:header="851" w:footer="992" w:gutter="0"/>
          <w:cols w:space="425" w:num="1"/>
          <w:docGrid w:type="lines" w:linePitch="326" w:charSpace="0"/>
        </w:sectPr>
      </w:pPr>
    </w:p>
    <w:p w14:paraId="0E3E811C">
      <w:pPr>
        <w:pStyle w:val="2"/>
        <w:spacing w:before="163" w:after="163"/>
        <w:rPr>
          <w:rFonts w:hint="eastAsia"/>
        </w:rPr>
      </w:pPr>
      <w:bookmarkStart w:id="143" w:name="_Toc221056446"/>
      <w:r>
        <w:rPr>
          <w:rFonts w:hint="eastAsia"/>
        </w:rPr>
        <w:t>7环境保护措施及可行性论证</w:t>
      </w:r>
      <w:bookmarkEnd w:id="143"/>
    </w:p>
    <w:p w14:paraId="0EEBD921">
      <w:pPr>
        <w:pStyle w:val="3"/>
        <w:spacing w:before="326"/>
        <w:rPr>
          <w:rFonts w:hint="eastAsia"/>
        </w:rPr>
      </w:pPr>
      <w:bookmarkStart w:id="144" w:name="_Toc221056447"/>
      <w:r>
        <w:rPr>
          <w:rFonts w:hint="eastAsia"/>
        </w:rPr>
        <w:t>7.1废气治理措施</w:t>
      </w:r>
      <w:bookmarkEnd w:id="144"/>
    </w:p>
    <w:p w14:paraId="08F5852F">
      <w:pPr>
        <w:pStyle w:val="4"/>
        <w:rPr>
          <w:rFonts w:hint="eastAsia"/>
        </w:rPr>
      </w:pPr>
      <w:bookmarkStart w:id="145" w:name="_Toc221056448"/>
      <w:r>
        <w:rPr>
          <w:rFonts w:hint="eastAsia"/>
        </w:rPr>
        <w:t>7.1.1有组织废气治理措施</w:t>
      </w:r>
      <w:bookmarkEnd w:id="145"/>
    </w:p>
    <w:p w14:paraId="4E030668">
      <w:pPr>
        <w:pStyle w:val="16"/>
        <w:ind w:firstLine="480"/>
      </w:pPr>
      <w:r>
        <w:rPr>
          <w:rFonts w:hint="eastAsia"/>
        </w:rPr>
        <w:t>技改项目新增1个烷基化釜，其他生产设施依托现有工程，现有工程从原料、装置到产品均密闭设置，采用管道输送，整个装置为负压状态。</w:t>
      </w:r>
    </w:p>
    <w:p w14:paraId="6519B5AC">
      <w:pPr>
        <w:pStyle w:val="16"/>
        <w:ind w:firstLine="480"/>
      </w:pPr>
      <w:r>
        <w:t>1、项目原料间对甲酚储存在原料储罐中，通过密闭管道密闭输送至装置区中间储罐，采用计量泵直接通过管道加入烷基化反应塔；原料异丁烯储存在专用异丁烯罐区，异丁烯通过管道密闭输送至装置区的密闭气化罐通过管道加入烷基化反应塔；原料硫酸采用计量泵直接管道密闭输送至烷基化反应塔，项目原料全部采用管道密闭输送，减少废气无组织排放。</w:t>
      </w:r>
    </w:p>
    <w:p w14:paraId="265B64EC">
      <w:pPr>
        <w:pStyle w:val="16"/>
        <w:ind w:firstLine="480"/>
        <w:rPr>
          <w:kern w:val="0"/>
        </w:rPr>
      </w:pPr>
      <w:r>
        <w:t>2、技改项目实施后产品方案为：</w:t>
      </w:r>
      <w:r>
        <w:rPr>
          <w:kern w:val="0"/>
        </w:rPr>
        <w:t>间甲酚、2、6-二叔丁基对甲酚(BHT粗品)、对甲酚、2-叔丁基对甲酚、叔丁醇、二聚异丁烯等，其中2、6-二叔丁基对甲酚(BHT粗品)精馏釜采出后直接通过密闭管道输送至厂区BHT精制车间；间甲酚、对甲酚、2-叔丁基对甲酚、叔丁醇溶液、二聚异丁烯等产品通过密闭管道输送至专用产品储罐，从生产到输送环节全部密闭。</w:t>
      </w:r>
    </w:p>
    <w:p w14:paraId="1B3B789E">
      <w:pPr>
        <w:pStyle w:val="16"/>
        <w:ind w:firstLine="480"/>
      </w:pPr>
      <w:r>
        <w:t>3、项目为减压蒸馏，整个工艺过程为负压状态，抽真空废气通过管道进入真空系统，真空泵采用干式真空泵。现有工程环评报告中提出真空泵前设置两级常温水冷凝，不凝气引入2#RTO炉中，现有工程实际建设情况为精馏塔真空泵前设置了两级常温水冷凝，不凝气进入间甲酚车间尾气总管，经“两级溶剂吸收+一级水吸收+一级深冷”后，不凝气排入海华科技集团东厂区废气总管，与其他生产装置废气、罐区呼吸废气等一起进入东厂区2#RTO处理，处理后的废气经1座20m高排气筒排放。</w:t>
      </w:r>
    </w:p>
    <w:p w14:paraId="538F18CB">
      <w:pPr>
        <w:pStyle w:val="16"/>
        <w:ind w:firstLine="480"/>
      </w:pPr>
      <w:r>
        <w:t>由于废气中主要污染物为间对甲酚等酚类污染物，沸点较高&gt;200</w:t>
      </w:r>
      <w:r>
        <w:rPr>
          <w:vertAlign w:val="superscript"/>
        </w:rPr>
        <w:t>o</w:t>
      </w:r>
      <w:r>
        <w:t>C，因此本次技改项目拟在间甲酚车间尾气总管末端增加一级深度冷却，以进一步减少进入溶剂吸收塔、2#RTO炉的废气量，从而减少污染物排放。</w:t>
      </w:r>
    </w:p>
    <w:p w14:paraId="33B703F5">
      <w:pPr>
        <w:pStyle w:val="16"/>
        <w:ind w:firstLine="480"/>
      </w:pPr>
      <w:r>
        <w:t>技改项目实施后，各精馏塔真空泵前端采用“两级常温水冷凝”，精馏塔不凝气进入间甲酚车间尾气管网，在车间尾气管网末端新增一级深度冷凝，不凝气在经“两级溶剂吸收+一级碱液吸收+一级深冷”后在将少量不凝气并入东厂区废气管网，经2#RTO炉处理后通过1座20m高排气筒排放。</w:t>
      </w:r>
    </w:p>
    <w:p w14:paraId="0F1F8A2D">
      <w:pPr>
        <w:ind w:firstLine="480" w:firstLineChars="200"/>
        <w:rPr>
          <w:rFonts w:cs="Times New Roman"/>
        </w:rPr>
      </w:pPr>
      <w:r>
        <w:rPr>
          <w:rFonts w:cs="Times New Roman"/>
        </w:rPr>
        <w:t>根据预测，技改后非甲烷总烃排放速率为0.019kg/h、排放浓度为9.53mg/m</w:t>
      </w:r>
      <w:r>
        <w:rPr>
          <w:rFonts w:cs="Times New Roman"/>
          <w:vertAlign w:val="superscript"/>
        </w:rPr>
        <w:t>3</w:t>
      </w:r>
      <w:r>
        <w:rPr>
          <w:rFonts w:cs="Times New Roman"/>
        </w:rPr>
        <w:t>，酚类排放速率为0.016kg/h、排放浓度为8.13 mg/m</w:t>
      </w:r>
      <w:r>
        <w:rPr>
          <w:rFonts w:cs="Times New Roman"/>
          <w:vertAlign w:val="superscript"/>
        </w:rPr>
        <w:t>3</w:t>
      </w:r>
      <w:r>
        <w:rPr>
          <w:rFonts w:cs="Times New Roman"/>
        </w:rPr>
        <w:t>，非甲烷总烃、酚类排放能够满足《固定源挥发性有机物综合排放标准第3部分：有机化学品制造工业》(DB34/4812.3-2024)中表1、表2污染物排放限值要求。</w:t>
      </w:r>
    </w:p>
    <w:p w14:paraId="48048E5A">
      <w:pPr>
        <w:ind w:firstLine="480" w:firstLineChars="200"/>
        <w:rPr>
          <w:rFonts w:cs="Times New Roman"/>
        </w:rPr>
      </w:pPr>
      <w:r>
        <w:rPr>
          <w:rFonts w:cs="Times New Roman"/>
        </w:rPr>
        <w:t>与现有工程相比较，废气污染物产生量及排放量均有所降低，根据现有工程排污许可自行监测报告，2#RTO炉非甲烷总烃排放速率在0.0019~0.057kg/h、排放浓度在0.37~16.7mg/m</w:t>
      </w:r>
      <w:r>
        <w:rPr>
          <w:rFonts w:cs="Times New Roman"/>
          <w:vertAlign w:val="superscript"/>
        </w:rPr>
        <w:t>3</w:t>
      </w:r>
      <w:r>
        <w:rPr>
          <w:rFonts w:cs="Times New Roman"/>
        </w:rPr>
        <w:t>；酚类排放速率在0.00139~0.00639 kg/h、排放浓度在0.4~1.9mg/m</w:t>
      </w:r>
      <w:r>
        <w:rPr>
          <w:rFonts w:cs="Times New Roman"/>
          <w:vertAlign w:val="superscript"/>
        </w:rPr>
        <w:t>3</w:t>
      </w:r>
      <w:r>
        <w:rPr>
          <w:rFonts w:cs="Times New Roman"/>
        </w:rPr>
        <w:t>，现有2#RTO炉非甲烷总烃、酚类排放能够满足《固定源挥发性有机物综合排放标准第3部分：有机化学品制造工业》(DB34/4812.3-2024)中表1、表2污染物排放限值要求。与现有工程相比较，废气污染物产生量及排放量均有所降低，因此技改项目实施后，大气污染物能够做到稳定达标排放。</w:t>
      </w:r>
    </w:p>
    <w:p w14:paraId="71D600C3">
      <w:pPr>
        <w:pStyle w:val="4"/>
        <w:rPr>
          <w:rFonts w:hint="eastAsia"/>
        </w:rPr>
      </w:pPr>
      <w:bookmarkStart w:id="146" w:name="_Toc221056449"/>
      <w:r>
        <w:rPr>
          <w:rFonts w:hint="eastAsia"/>
        </w:rPr>
        <w:t>7.1.2无组织废气治理措施</w:t>
      </w:r>
      <w:bookmarkEnd w:id="146"/>
    </w:p>
    <w:p w14:paraId="39E83286">
      <w:pPr>
        <w:pStyle w:val="16"/>
        <w:ind w:firstLine="480"/>
      </w:pPr>
      <w:r>
        <w:rPr>
          <w:rFonts w:hint="eastAsia"/>
        </w:rPr>
        <w:t>项目原料和成品储罐采用固定顶管，设置氮封，储罐呼吸废气通过管道收集并入厂区废气管网引入2</w:t>
      </w:r>
      <w:r>
        <w:t>#RTO</w:t>
      </w:r>
      <w:r>
        <w:rPr>
          <w:rFonts w:hint="eastAsia"/>
        </w:rPr>
        <w:t>装置集中处理，并设置阻火器。</w:t>
      </w:r>
    </w:p>
    <w:p w14:paraId="1BE717EC">
      <w:pPr>
        <w:pStyle w:val="16"/>
        <w:ind w:firstLine="480"/>
      </w:pPr>
      <w:r>
        <w:rPr>
          <w:rFonts w:hint="eastAsia"/>
        </w:rPr>
        <w:t>项目无组织排放的废气主要是输送过程中各种阀门、泵、管件等逸出的少量酚类和异丁烯，企业实际建设中也已考虑到了管道、阀门的密封性能，选择质量好的管道、阀门，因此无组织排放废气量较少。</w:t>
      </w:r>
    </w:p>
    <w:p w14:paraId="0B8D7907">
      <w:pPr>
        <w:ind w:firstLine="480" w:firstLineChars="200"/>
      </w:pPr>
      <w:r>
        <w:rPr>
          <w:rFonts w:hint="eastAsia"/>
        </w:rPr>
        <w:t>根据</w:t>
      </w:r>
      <w:r>
        <w:rPr>
          <w:rFonts w:cs="Times New Roman"/>
        </w:rPr>
        <w:t>现有工程排污许可自行监测报告，</w:t>
      </w:r>
      <w:r>
        <w:rPr>
          <w:rFonts w:hint="eastAsia"/>
        </w:rPr>
        <w:t>厂界VOCs无组织排放能满足</w:t>
      </w:r>
      <w:r>
        <w:t>《石油化学工业污染物排放标准》(GB31571-2015)</w:t>
      </w:r>
      <w:r>
        <w:rPr>
          <w:rFonts w:hint="eastAsia"/>
        </w:rPr>
        <w:t>表7中企业边界大气污染物浓度限值，酚类无组织排放满足《固定源挥发性有机物综合排放标准第3部分：有机化学品制造工业》(</w:t>
      </w:r>
      <w:r>
        <w:t>DB34/4812.3-2024</w:t>
      </w:r>
      <w:r>
        <w:rPr>
          <w:rFonts w:hint="eastAsia"/>
        </w:rPr>
        <w:t>)表4企业边界VOCs排放限值，</w:t>
      </w:r>
      <w:r>
        <w:t>硫酸雾</w:t>
      </w:r>
      <w:r>
        <w:rPr>
          <w:rFonts w:hint="eastAsia"/>
        </w:rPr>
        <w:t>无组织排放满足</w:t>
      </w:r>
      <w:r>
        <w:t>《大气污染物综合排放标准》(GB16297-1996)表2标准要求</w:t>
      </w:r>
      <w:r>
        <w:rPr>
          <w:rFonts w:hint="eastAsia"/>
        </w:rPr>
        <w:t>。</w:t>
      </w:r>
    </w:p>
    <w:p w14:paraId="4D68AF2C">
      <w:pPr>
        <w:pStyle w:val="16"/>
        <w:ind w:firstLine="480"/>
      </w:pPr>
      <w:r>
        <w:rPr>
          <w:rFonts w:hint="eastAsia"/>
        </w:rPr>
        <w:t>现有工程已采取的无组织排放控制措施见表7</w:t>
      </w:r>
      <w:r>
        <w:t>.1-1</w:t>
      </w:r>
      <w:r>
        <w:rPr>
          <w:rFonts w:hint="eastAsia"/>
        </w:rPr>
        <w:t>。</w:t>
      </w:r>
    </w:p>
    <w:p w14:paraId="44151C93">
      <w:pPr>
        <w:pStyle w:val="28"/>
        <w:rPr>
          <w:rFonts w:hint="eastAsia"/>
        </w:rPr>
      </w:pPr>
      <w:r>
        <w:rPr>
          <w:rFonts w:hint="eastAsia"/>
        </w:rPr>
        <w:t>表7.1</w:t>
      </w:r>
      <w:r>
        <w:t>-</w:t>
      </w:r>
      <w:r>
        <w:rPr>
          <w:rFonts w:hint="eastAsia"/>
        </w:rPr>
        <w:t>1</w:t>
      </w:r>
      <w:r>
        <w:t xml:space="preserve">  </w:t>
      </w:r>
      <w:r>
        <w:rPr>
          <w:rFonts w:hint="eastAsia"/>
        </w:rPr>
        <w:t>项目已采取的无组织排放控制措施一览表</w:t>
      </w:r>
    </w:p>
    <w:tbl>
      <w:tblPr>
        <w:tblStyle w:val="36"/>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895"/>
        <w:gridCol w:w="1839"/>
        <w:gridCol w:w="6326"/>
      </w:tblGrid>
      <w:tr w14:paraId="2B7E93A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494" w:type="pct"/>
            <w:tcBorders>
              <w:top w:val="single" w:color="auto" w:sz="4" w:space="0"/>
              <w:left w:val="single" w:color="auto" w:sz="4" w:space="0"/>
              <w:bottom w:val="single" w:color="auto" w:sz="4" w:space="0"/>
              <w:right w:val="single" w:color="auto" w:sz="4" w:space="0"/>
            </w:tcBorders>
            <w:vAlign w:val="center"/>
          </w:tcPr>
          <w:p w14:paraId="78F61B53">
            <w:pPr>
              <w:pStyle w:val="64"/>
            </w:pPr>
            <w:r>
              <w:rPr>
                <w:rFonts w:hint="eastAsia"/>
              </w:rPr>
              <w:t>序号</w:t>
            </w:r>
          </w:p>
        </w:tc>
        <w:tc>
          <w:tcPr>
            <w:tcW w:w="1015" w:type="pct"/>
            <w:tcBorders>
              <w:top w:val="single" w:color="auto" w:sz="4" w:space="0"/>
              <w:left w:val="single" w:color="auto" w:sz="4" w:space="0"/>
              <w:bottom w:val="single" w:color="auto" w:sz="4" w:space="0"/>
              <w:right w:val="single" w:color="auto" w:sz="4" w:space="0"/>
            </w:tcBorders>
            <w:vAlign w:val="center"/>
          </w:tcPr>
          <w:p w14:paraId="14833CE3">
            <w:pPr>
              <w:pStyle w:val="64"/>
            </w:pPr>
            <w:r>
              <w:rPr>
                <w:rFonts w:hint="eastAsia"/>
              </w:rPr>
              <w:t>控制环节</w:t>
            </w:r>
          </w:p>
        </w:tc>
        <w:tc>
          <w:tcPr>
            <w:tcW w:w="3491" w:type="pct"/>
            <w:tcBorders>
              <w:top w:val="single" w:color="auto" w:sz="4" w:space="0"/>
              <w:left w:val="single" w:color="auto" w:sz="4" w:space="0"/>
              <w:bottom w:val="single" w:color="auto" w:sz="4" w:space="0"/>
              <w:right w:val="single" w:color="auto" w:sz="4" w:space="0"/>
            </w:tcBorders>
            <w:vAlign w:val="center"/>
          </w:tcPr>
          <w:p w14:paraId="09C37C27">
            <w:pPr>
              <w:pStyle w:val="64"/>
            </w:pPr>
            <w:r>
              <w:rPr>
                <w:rFonts w:hint="eastAsia"/>
              </w:rPr>
              <w:t>已采取的控制措施</w:t>
            </w:r>
          </w:p>
        </w:tc>
      </w:tr>
      <w:tr w14:paraId="7E19893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494" w:type="pct"/>
            <w:tcBorders>
              <w:top w:val="single" w:color="auto" w:sz="4" w:space="0"/>
              <w:left w:val="single" w:color="auto" w:sz="4" w:space="0"/>
              <w:bottom w:val="single" w:color="auto" w:sz="4" w:space="0"/>
              <w:right w:val="single" w:color="auto" w:sz="4" w:space="0"/>
            </w:tcBorders>
            <w:vAlign w:val="center"/>
          </w:tcPr>
          <w:p w14:paraId="31F40D78">
            <w:pPr>
              <w:pStyle w:val="64"/>
            </w:pPr>
            <w:r>
              <w:rPr>
                <w:rFonts w:hint="eastAsia"/>
              </w:rPr>
              <w:t>1</w:t>
            </w:r>
          </w:p>
        </w:tc>
        <w:tc>
          <w:tcPr>
            <w:tcW w:w="1015" w:type="pct"/>
            <w:tcBorders>
              <w:top w:val="single" w:color="auto" w:sz="4" w:space="0"/>
              <w:left w:val="single" w:color="auto" w:sz="4" w:space="0"/>
              <w:bottom w:val="single" w:color="auto" w:sz="4" w:space="0"/>
              <w:right w:val="single" w:color="auto" w:sz="4" w:space="0"/>
            </w:tcBorders>
            <w:vAlign w:val="center"/>
          </w:tcPr>
          <w:p w14:paraId="7AB58237">
            <w:pPr>
              <w:pStyle w:val="64"/>
            </w:pPr>
            <w:r>
              <w:rPr>
                <w:rFonts w:hint="eastAsia"/>
              </w:rPr>
              <w:t>物料储存无组织排放控制要求</w:t>
            </w:r>
          </w:p>
        </w:tc>
        <w:tc>
          <w:tcPr>
            <w:tcW w:w="3491" w:type="pct"/>
            <w:tcBorders>
              <w:top w:val="single" w:color="auto" w:sz="4" w:space="0"/>
              <w:left w:val="single" w:color="auto" w:sz="4" w:space="0"/>
              <w:bottom w:val="single" w:color="auto" w:sz="4" w:space="0"/>
              <w:right w:val="single" w:color="auto" w:sz="4" w:space="0"/>
            </w:tcBorders>
            <w:vAlign w:val="center"/>
          </w:tcPr>
          <w:p w14:paraId="20517F14">
            <w:pPr>
              <w:pStyle w:val="64"/>
              <w:jc w:val="both"/>
            </w:pPr>
            <w:r>
              <w:rPr>
                <w:rFonts w:hint="eastAsia"/>
              </w:rPr>
              <w:t>1、项目所有原料、中间物料和产品均设置了专用储罐。</w:t>
            </w:r>
          </w:p>
          <w:p w14:paraId="7184E8EC">
            <w:pPr>
              <w:pStyle w:val="64"/>
              <w:jc w:val="both"/>
            </w:pPr>
            <w:r>
              <w:rPr>
                <w:rFonts w:hint="eastAsia"/>
              </w:rPr>
              <w:t>2、项目有机液体中间罐罐采用固定顶罐并进行氮封，顶罐呼吸后进行废气集中收集，进入海华东厂区的有机废气总管，采用2</w:t>
            </w:r>
            <w:r>
              <w:t>#</w:t>
            </w:r>
            <w:r>
              <w:rPr>
                <w:rFonts w:hint="eastAsia"/>
              </w:rPr>
              <w:t>R</w:t>
            </w:r>
            <w:r>
              <w:t>TO</w:t>
            </w:r>
            <w:r>
              <w:rPr>
                <w:rFonts w:hint="eastAsia"/>
              </w:rPr>
              <w:t>装置集中处理，处理效率9</w:t>
            </w:r>
            <w:r>
              <w:t>8</w:t>
            </w:r>
            <w:r>
              <w:rPr>
                <w:rFonts w:hint="eastAsia"/>
              </w:rPr>
              <w:t>%。</w:t>
            </w:r>
          </w:p>
          <w:p w14:paraId="12E88A97">
            <w:pPr>
              <w:pStyle w:val="64"/>
              <w:jc w:val="both"/>
            </w:pPr>
            <w:r>
              <w:rPr>
                <w:rFonts w:hint="eastAsia"/>
              </w:rPr>
              <w:t>3、固定顶罐罐体应保持完好，无孔洞、缝隙；储罐附件开口(孔)，除采样、计量、例行检查、维护和其他正常活动外，应密闭；定期检查呼吸阀的定压是否符合设定要求。</w:t>
            </w:r>
          </w:p>
        </w:tc>
      </w:tr>
      <w:tr w14:paraId="1BDD6A9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494" w:type="pct"/>
            <w:tcBorders>
              <w:top w:val="single" w:color="auto" w:sz="4" w:space="0"/>
              <w:left w:val="single" w:color="auto" w:sz="4" w:space="0"/>
              <w:bottom w:val="single" w:color="auto" w:sz="4" w:space="0"/>
              <w:right w:val="single" w:color="auto" w:sz="4" w:space="0"/>
            </w:tcBorders>
            <w:vAlign w:val="center"/>
          </w:tcPr>
          <w:p w14:paraId="34B1CBF6">
            <w:pPr>
              <w:pStyle w:val="64"/>
            </w:pPr>
            <w:r>
              <w:rPr>
                <w:rFonts w:hint="eastAsia"/>
              </w:rPr>
              <w:t>2</w:t>
            </w:r>
          </w:p>
        </w:tc>
        <w:tc>
          <w:tcPr>
            <w:tcW w:w="1015" w:type="pct"/>
            <w:tcBorders>
              <w:top w:val="single" w:color="auto" w:sz="4" w:space="0"/>
              <w:left w:val="single" w:color="auto" w:sz="4" w:space="0"/>
              <w:bottom w:val="single" w:color="auto" w:sz="4" w:space="0"/>
              <w:right w:val="single" w:color="auto" w:sz="4" w:space="0"/>
            </w:tcBorders>
            <w:vAlign w:val="center"/>
          </w:tcPr>
          <w:p w14:paraId="23EA7336">
            <w:pPr>
              <w:pStyle w:val="64"/>
            </w:pPr>
            <w:r>
              <w:rPr>
                <w:rFonts w:hint="eastAsia"/>
              </w:rPr>
              <w:t>物料转移和输送无组织排放控制要求</w:t>
            </w:r>
          </w:p>
        </w:tc>
        <w:tc>
          <w:tcPr>
            <w:tcW w:w="3491" w:type="pct"/>
            <w:tcBorders>
              <w:top w:val="single" w:color="auto" w:sz="4" w:space="0"/>
              <w:left w:val="single" w:color="auto" w:sz="4" w:space="0"/>
              <w:bottom w:val="single" w:color="auto" w:sz="4" w:space="0"/>
              <w:right w:val="single" w:color="auto" w:sz="4" w:space="0"/>
            </w:tcBorders>
            <w:vAlign w:val="center"/>
          </w:tcPr>
          <w:p w14:paraId="7452A619">
            <w:pPr>
              <w:pStyle w:val="64"/>
              <w:jc w:val="both"/>
            </w:pPr>
            <w:r>
              <w:rPr>
                <w:rFonts w:hint="eastAsia"/>
              </w:rPr>
              <w:t>1、项目原料采用密闭管道直接输送至本项目进料缓冲罐；工艺过程中物料均采用密闭管道输送，成品运输均采用罐车运输。</w:t>
            </w:r>
          </w:p>
          <w:p w14:paraId="21BAF1DD">
            <w:pPr>
              <w:pStyle w:val="64"/>
              <w:jc w:val="both"/>
            </w:pPr>
            <w:r>
              <w:rPr>
                <w:rFonts w:hint="eastAsia"/>
              </w:rPr>
              <w:t>2、项目有机液体采用底部装载方式，装载过程产生的大呼吸接入厂区废气总管，采用R</w:t>
            </w:r>
            <w:r>
              <w:t>TO</w:t>
            </w:r>
            <w:r>
              <w:rPr>
                <w:rFonts w:hint="eastAsia"/>
              </w:rPr>
              <w:t>装置集中处理，处理效率9</w:t>
            </w:r>
            <w:r>
              <w:t>8</w:t>
            </w:r>
            <w:r>
              <w:rPr>
                <w:rFonts w:hint="eastAsia"/>
              </w:rPr>
              <w:t>%。</w:t>
            </w:r>
          </w:p>
        </w:tc>
      </w:tr>
      <w:tr w14:paraId="578D51B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494" w:type="pct"/>
            <w:tcBorders>
              <w:top w:val="single" w:color="auto" w:sz="4" w:space="0"/>
              <w:left w:val="single" w:color="auto" w:sz="4" w:space="0"/>
              <w:bottom w:val="single" w:color="auto" w:sz="4" w:space="0"/>
              <w:right w:val="single" w:color="auto" w:sz="4" w:space="0"/>
            </w:tcBorders>
            <w:vAlign w:val="center"/>
          </w:tcPr>
          <w:p w14:paraId="184F5C15">
            <w:pPr>
              <w:pStyle w:val="64"/>
            </w:pPr>
            <w:r>
              <w:rPr>
                <w:rFonts w:hint="eastAsia"/>
              </w:rPr>
              <w:t>3</w:t>
            </w:r>
          </w:p>
        </w:tc>
        <w:tc>
          <w:tcPr>
            <w:tcW w:w="1015" w:type="pct"/>
            <w:tcBorders>
              <w:top w:val="single" w:color="auto" w:sz="4" w:space="0"/>
              <w:left w:val="single" w:color="auto" w:sz="4" w:space="0"/>
              <w:bottom w:val="single" w:color="auto" w:sz="4" w:space="0"/>
              <w:right w:val="single" w:color="auto" w:sz="4" w:space="0"/>
            </w:tcBorders>
            <w:vAlign w:val="center"/>
          </w:tcPr>
          <w:p w14:paraId="378C45B4">
            <w:pPr>
              <w:pStyle w:val="64"/>
            </w:pPr>
            <w:r>
              <w:rPr>
                <w:rFonts w:hint="eastAsia"/>
              </w:rPr>
              <w:t>工艺过程中无组织排放控制要求</w:t>
            </w:r>
          </w:p>
        </w:tc>
        <w:tc>
          <w:tcPr>
            <w:tcW w:w="3491" w:type="pct"/>
            <w:tcBorders>
              <w:top w:val="single" w:color="auto" w:sz="4" w:space="0"/>
              <w:left w:val="single" w:color="auto" w:sz="4" w:space="0"/>
              <w:bottom w:val="single" w:color="auto" w:sz="4" w:space="0"/>
              <w:right w:val="single" w:color="auto" w:sz="4" w:space="0"/>
            </w:tcBorders>
            <w:vAlign w:val="center"/>
          </w:tcPr>
          <w:p w14:paraId="1B5AED73">
            <w:pPr>
              <w:pStyle w:val="64"/>
              <w:jc w:val="both"/>
            </w:pPr>
            <w:r>
              <w:t>1</w:t>
            </w:r>
            <w:r>
              <w:rPr>
                <w:rFonts w:hint="eastAsia"/>
              </w:rPr>
              <w:t>、项目生产过程中所有物料均采用密闭管道输送。</w:t>
            </w:r>
          </w:p>
          <w:p w14:paraId="0A540D34">
            <w:pPr>
              <w:pStyle w:val="64"/>
              <w:jc w:val="both"/>
            </w:pPr>
            <w:r>
              <w:rPr>
                <w:rFonts w:hint="eastAsia"/>
              </w:rPr>
              <w:t>2、项目精制过程中产生的废气进入装置真空系统，尾气排入废气总管，采用R</w:t>
            </w:r>
            <w:r>
              <w:t>TO</w:t>
            </w:r>
            <w:r>
              <w:rPr>
                <w:rFonts w:hint="eastAsia"/>
              </w:rPr>
              <w:t>装置集中处理。</w:t>
            </w:r>
          </w:p>
          <w:p w14:paraId="558B2EC0">
            <w:pPr>
              <w:pStyle w:val="64"/>
              <w:jc w:val="both"/>
            </w:pPr>
            <w:r>
              <w:rPr>
                <w:rFonts w:hint="eastAsia"/>
              </w:rPr>
              <w:t>3、本项目真空系统采用干式螺杆真空泵，真空排气接入R</w:t>
            </w:r>
            <w:r>
              <w:t>TO</w:t>
            </w:r>
            <w:r>
              <w:rPr>
                <w:rFonts w:hint="eastAsia"/>
              </w:rPr>
              <w:t>装置集中处理，去除效率大于9</w:t>
            </w:r>
            <w:r>
              <w:t>8</w:t>
            </w:r>
            <w:r>
              <w:rPr>
                <w:rFonts w:hint="eastAsia"/>
              </w:rPr>
              <w:t>%。</w:t>
            </w:r>
          </w:p>
        </w:tc>
      </w:tr>
      <w:tr w14:paraId="45DB30C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494" w:type="pct"/>
            <w:tcBorders>
              <w:top w:val="single" w:color="auto" w:sz="4" w:space="0"/>
              <w:left w:val="single" w:color="auto" w:sz="4" w:space="0"/>
              <w:bottom w:val="single" w:color="auto" w:sz="4" w:space="0"/>
              <w:right w:val="single" w:color="auto" w:sz="4" w:space="0"/>
            </w:tcBorders>
            <w:vAlign w:val="center"/>
          </w:tcPr>
          <w:p w14:paraId="6383DA40">
            <w:pPr>
              <w:pStyle w:val="64"/>
            </w:pPr>
            <w:r>
              <w:rPr>
                <w:rFonts w:hint="eastAsia"/>
              </w:rPr>
              <w:t>5</w:t>
            </w:r>
          </w:p>
        </w:tc>
        <w:tc>
          <w:tcPr>
            <w:tcW w:w="1015" w:type="pct"/>
            <w:tcBorders>
              <w:top w:val="single" w:color="auto" w:sz="4" w:space="0"/>
              <w:left w:val="single" w:color="auto" w:sz="4" w:space="0"/>
              <w:bottom w:val="single" w:color="auto" w:sz="4" w:space="0"/>
              <w:right w:val="single" w:color="auto" w:sz="4" w:space="0"/>
            </w:tcBorders>
            <w:vAlign w:val="center"/>
          </w:tcPr>
          <w:p w14:paraId="5458B91E">
            <w:pPr>
              <w:pStyle w:val="64"/>
            </w:pPr>
            <w:r>
              <w:rPr>
                <w:rFonts w:hint="eastAsia"/>
              </w:rPr>
              <w:t>含挥发性有机物产品的使用过程</w:t>
            </w:r>
          </w:p>
        </w:tc>
        <w:tc>
          <w:tcPr>
            <w:tcW w:w="3491" w:type="pct"/>
            <w:tcBorders>
              <w:top w:val="single" w:color="auto" w:sz="4" w:space="0"/>
              <w:left w:val="single" w:color="auto" w:sz="4" w:space="0"/>
              <w:bottom w:val="single" w:color="auto" w:sz="4" w:space="0"/>
              <w:right w:val="single" w:color="auto" w:sz="4" w:space="0"/>
            </w:tcBorders>
            <w:vAlign w:val="center"/>
          </w:tcPr>
          <w:p w14:paraId="6AC29501">
            <w:pPr>
              <w:pStyle w:val="64"/>
              <w:jc w:val="both"/>
            </w:pPr>
            <w:r>
              <w:rPr>
                <w:rFonts w:hint="eastAsia"/>
              </w:rPr>
              <w:t>本项目使用的液体有机原料均采用密闭设备操作，收集有机废气R</w:t>
            </w:r>
            <w:r>
              <w:t>TO</w:t>
            </w:r>
            <w:r>
              <w:rPr>
                <w:rFonts w:hint="eastAsia"/>
              </w:rPr>
              <w:t>装置集中处理，去除效率大于9</w:t>
            </w:r>
            <w:r>
              <w:t>8</w:t>
            </w:r>
            <w:r>
              <w:rPr>
                <w:rFonts w:hint="eastAsia"/>
              </w:rPr>
              <w:t>%。</w:t>
            </w:r>
          </w:p>
        </w:tc>
      </w:tr>
      <w:tr w14:paraId="55C552E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494" w:type="pct"/>
            <w:tcBorders>
              <w:top w:val="single" w:color="auto" w:sz="4" w:space="0"/>
              <w:left w:val="single" w:color="auto" w:sz="4" w:space="0"/>
              <w:bottom w:val="single" w:color="auto" w:sz="4" w:space="0"/>
              <w:right w:val="single" w:color="auto" w:sz="4" w:space="0"/>
            </w:tcBorders>
            <w:vAlign w:val="center"/>
          </w:tcPr>
          <w:p w14:paraId="04EB7EAB">
            <w:pPr>
              <w:pStyle w:val="64"/>
            </w:pPr>
            <w:r>
              <w:rPr>
                <w:rFonts w:hint="eastAsia"/>
              </w:rPr>
              <w:t>6</w:t>
            </w:r>
          </w:p>
        </w:tc>
        <w:tc>
          <w:tcPr>
            <w:tcW w:w="1015" w:type="pct"/>
            <w:tcBorders>
              <w:top w:val="single" w:color="auto" w:sz="4" w:space="0"/>
              <w:left w:val="single" w:color="auto" w:sz="4" w:space="0"/>
              <w:bottom w:val="single" w:color="auto" w:sz="4" w:space="0"/>
              <w:right w:val="single" w:color="auto" w:sz="4" w:space="0"/>
            </w:tcBorders>
            <w:vAlign w:val="center"/>
          </w:tcPr>
          <w:p w14:paraId="59670BF5">
            <w:pPr>
              <w:pStyle w:val="64"/>
            </w:pPr>
            <w:r>
              <w:rPr>
                <w:rFonts w:hint="eastAsia"/>
              </w:rPr>
              <w:t>设备及管线组装有机物泄漏控制要求</w:t>
            </w:r>
          </w:p>
        </w:tc>
        <w:tc>
          <w:tcPr>
            <w:tcW w:w="3491" w:type="pct"/>
            <w:tcBorders>
              <w:top w:val="single" w:color="auto" w:sz="4" w:space="0"/>
              <w:left w:val="single" w:color="auto" w:sz="4" w:space="0"/>
              <w:bottom w:val="single" w:color="auto" w:sz="4" w:space="0"/>
              <w:right w:val="single" w:color="auto" w:sz="4" w:space="0"/>
            </w:tcBorders>
            <w:vAlign w:val="center"/>
          </w:tcPr>
          <w:p w14:paraId="6142ABCA">
            <w:pPr>
              <w:pStyle w:val="64"/>
              <w:jc w:val="both"/>
            </w:pPr>
            <w:r>
              <w:rPr>
                <w:rFonts w:hint="eastAsia"/>
              </w:rPr>
              <w:t>本项目液态有机物料的设备和管线组件密封点较多，开展泄漏检测与修复工作，企业应加强现有设备和管件密封点的每周目视检查。</w:t>
            </w:r>
          </w:p>
        </w:tc>
      </w:tr>
      <w:tr w14:paraId="70A68DF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494" w:type="pct"/>
            <w:tcBorders>
              <w:top w:val="single" w:color="auto" w:sz="4" w:space="0"/>
              <w:left w:val="single" w:color="auto" w:sz="4" w:space="0"/>
              <w:bottom w:val="single" w:color="auto" w:sz="4" w:space="0"/>
              <w:right w:val="single" w:color="auto" w:sz="4" w:space="0"/>
            </w:tcBorders>
            <w:vAlign w:val="center"/>
          </w:tcPr>
          <w:p w14:paraId="0E0A3EB0">
            <w:pPr>
              <w:pStyle w:val="64"/>
            </w:pPr>
            <w:r>
              <w:rPr>
                <w:rFonts w:hint="eastAsia"/>
              </w:rPr>
              <w:t>7</w:t>
            </w:r>
          </w:p>
        </w:tc>
        <w:tc>
          <w:tcPr>
            <w:tcW w:w="1015" w:type="pct"/>
            <w:tcBorders>
              <w:top w:val="single" w:color="auto" w:sz="4" w:space="0"/>
              <w:left w:val="single" w:color="auto" w:sz="4" w:space="0"/>
              <w:bottom w:val="single" w:color="auto" w:sz="4" w:space="0"/>
              <w:right w:val="single" w:color="auto" w:sz="4" w:space="0"/>
            </w:tcBorders>
            <w:vAlign w:val="center"/>
          </w:tcPr>
          <w:p w14:paraId="3A13A674">
            <w:pPr>
              <w:pStyle w:val="64"/>
            </w:pPr>
            <w:r>
              <w:rPr>
                <w:rFonts w:hint="eastAsia"/>
              </w:rPr>
              <w:t>敞开液面挥发性有机物无组织控制要求</w:t>
            </w:r>
          </w:p>
        </w:tc>
        <w:tc>
          <w:tcPr>
            <w:tcW w:w="3491" w:type="pct"/>
            <w:tcBorders>
              <w:top w:val="single" w:color="auto" w:sz="4" w:space="0"/>
              <w:left w:val="single" w:color="auto" w:sz="4" w:space="0"/>
              <w:bottom w:val="single" w:color="auto" w:sz="4" w:space="0"/>
              <w:right w:val="single" w:color="auto" w:sz="4" w:space="0"/>
            </w:tcBorders>
            <w:vAlign w:val="center"/>
          </w:tcPr>
          <w:p w14:paraId="1EE572AE">
            <w:pPr>
              <w:pStyle w:val="64"/>
              <w:jc w:val="both"/>
            </w:pPr>
            <w:r>
              <w:rPr>
                <w:rFonts w:hint="eastAsia"/>
              </w:rPr>
              <w:t>1、本项目生产过程中产生的高浓度废水经过密闭管道输送，不逸散。</w:t>
            </w:r>
          </w:p>
          <w:p w14:paraId="636D3C13">
            <w:pPr>
              <w:pStyle w:val="64"/>
              <w:jc w:val="both"/>
            </w:pPr>
            <w:r>
              <w:rPr>
                <w:rFonts w:hint="eastAsia"/>
              </w:rPr>
              <w:t>2、本项目采用的闭式循环冷却水系统，循环冷却水不与物料接触，液面无挥发性有机物排放。</w:t>
            </w:r>
          </w:p>
        </w:tc>
      </w:tr>
      <w:tr w14:paraId="53DAFF8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494" w:type="pct"/>
            <w:tcBorders>
              <w:top w:val="single" w:color="auto" w:sz="4" w:space="0"/>
              <w:left w:val="single" w:color="auto" w:sz="4" w:space="0"/>
              <w:bottom w:val="single" w:color="auto" w:sz="4" w:space="0"/>
              <w:right w:val="single" w:color="auto" w:sz="4" w:space="0"/>
            </w:tcBorders>
            <w:vAlign w:val="center"/>
          </w:tcPr>
          <w:p w14:paraId="40A09671">
            <w:pPr>
              <w:pStyle w:val="64"/>
            </w:pPr>
            <w:r>
              <w:rPr>
                <w:rFonts w:hint="eastAsia"/>
              </w:rPr>
              <w:t>8</w:t>
            </w:r>
          </w:p>
        </w:tc>
        <w:tc>
          <w:tcPr>
            <w:tcW w:w="1015" w:type="pct"/>
            <w:tcBorders>
              <w:top w:val="single" w:color="auto" w:sz="4" w:space="0"/>
              <w:left w:val="single" w:color="auto" w:sz="4" w:space="0"/>
              <w:bottom w:val="single" w:color="auto" w:sz="4" w:space="0"/>
              <w:right w:val="single" w:color="auto" w:sz="4" w:space="0"/>
            </w:tcBorders>
            <w:vAlign w:val="center"/>
          </w:tcPr>
          <w:p w14:paraId="6BB84DEE">
            <w:pPr>
              <w:pStyle w:val="64"/>
            </w:pPr>
            <w:r>
              <w:rPr>
                <w:rFonts w:hint="eastAsia"/>
              </w:rPr>
              <w:t>无组织排放废气收集处理系统</w:t>
            </w:r>
          </w:p>
        </w:tc>
        <w:tc>
          <w:tcPr>
            <w:tcW w:w="3491" w:type="pct"/>
            <w:tcBorders>
              <w:top w:val="single" w:color="auto" w:sz="4" w:space="0"/>
              <w:left w:val="single" w:color="auto" w:sz="4" w:space="0"/>
              <w:bottom w:val="single" w:color="auto" w:sz="4" w:space="0"/>
              <w:right w:val="single" w:color="auto" w:sz="4" w:space="0"/>
            </w:tcBorders>
            <w:vAlign w:val="center"/>
          </w:tcPr>
          <w:p w14:paraId="18929E59">
            <w:pPr>
              <w:pStyle w:val="64"/>
              <w:jc w:val="both"/>
            </w:pPr>
            <w:r>
              <w:rPr>
                <w:rFonts w:hint="eastAsia"/>
              </w:rPr>
              <w:t>1、本项目收集的挥发性有机物主要成分为酚类和异丁烯，废气收集处理系统与生产工艺设备同步运行，一旦发生故障，生产工艺立即停止运行。</w:t>
            </w:r>
          </w:p>
          <w:p w14:paraId="4BD16B9D">
            <w:pPr>
              <w:pStyle w:val="64"/>
              <w:jc w:val="both"/>
            </w:pPr>
            <w:r>
              <w:rPr>
                <w:rFonts w:hint="eastAsia"/>
              </w:rPr>
              <w:t>2、项目废气收集系统输送管道密闭，整个收集系统处于微负压运行状态。</w:t>
            </w:r>
          </w:p>
          <w:p w14:paraId="3C1A311D">
            <w:pPr>
              <w:pStyle w:val="64"/>
              <w:jc w:val="both"/>
            </w:pPr>
            <w:r>
              <w:rPr>
                <w:rFonts w:hint="eastAsia"/>
              </w:rPr>
              <w:t>3、项目废气处理设施的排气筒高度为</w:t>
            </w:r>
            <w:r>
              <w:t>20</w:t>
            </w:r>
            <w:r>
              <w:rPr>
                <w:rFonts w:hint="eastAsia"/>
              </w:rPr>
              <w:t>m。</w:t>
            </w:r>
          </w:p>
        </w:tc>
      </w:tr>
    </w:tbl>
    <w:p w14:paraId="1389974B">
      <w:pPr>
        <w:rPr>
          <w:rFonts w:cs="Times New Roman"/>
          <w:spacing w:val="-3"/>
        </w:rPr>
      </w:pPr>
    </w:p>
    <w:p w14:paraId="207DC308">
      <w:pPr>
        <w:pStyle w:val="3"/>
        <w:spacing w:before="326"/>
        <w:rPr>
          <w:rFonts w:hint="eastAsia"/>
        </w:rPr>
      </w:pPr>
      <w:bookmarkStart w:id="147" w:name="_Toc221056450"/>
      <w:r>
        <w:rPr>
          <w:rFonts w:hint="eastAsia"/>
        </w:rPr>
        <w:t>7.2废水治理措施</w:t>
      </w:r>
      <w:bookmarkEnd w:id="147"/>
    </w:p>
    <w:p w14:paraId="13AFD8E2">
      <w:pPr>
        <w:pStyle w:val="4"/>
        <w:rPr>
          <w:rFonts w:hint="eastAsia"/>
        </w:rPr>
      </w:pPr>
      <w:bookmarkStart w:id="148" w:name="_Toc219021046"/>
      <w:bookmarkStart w:id="149" w:name="_Toc221056451"/>
      <w:r>
        <w:rPr>
          <w:rFonts w:hint="eastAsia"/>
        </w:rPr>
        <w:t>7.2.1废水收集、处理</w:t>
      </w:r>
      <w:bookmarkEnd w:id="148"/>
      <w:r>
        <w:rPr>
          <w:rFonts w:hint="eastAsia"/>
        </w:rPr>
        <w:t>措施</w:t>
      </w:r>
      <w:bookmarkEnd w:id="149"/>
    </w:p>
    <w:p w14:paraId="5C201ACF">
      <w:pPr>
        <w:pStyle w:val="16"/>
        <w:ind w:firstLine="480"/>
      </w:pPr>
      <w:r>
        <w:rPr>
          <w:rFonts w:hint="eastAsia"/>
        </w:rPr>
        <w:t>东厂区现有废水收集、处理采用“分类收集、分质处理”的原则。技改项目实施后的工艺废水种类、水质与现有工程基本相同，产生的废水为分层罐、干燥塔产生的高盐、高有机物废水，此部分废水含盐量高、有机物浓度较高，暂存在废水罐中，定期通过管网输送至西厂区脱盐、高浓有机废水处理装置进行处理，预处理后排入西厂区综合污水处理站。</w:t>
      </w:r>
    </w:p>
    <w:p w14:paraId="56B166B1">
      <w:pPr>
        <w:pStyle w:val="16"/>
        <w:ind w:firstLine="480"/>
      </w:pPr>
      <w:r>
        <w:rPr>
          <w:rFonts w:hint="eastAsia"/>
        </w:rPr>
        <w:t>东厂区设置废水收集池，地坪冲洗水、循环水系统排污水等暂存在废水收集池中，定期通过管道输送至西厂区综合污水处理站；东厂区设置生活污水池一座，初期雨水池一座，分别定期将生活污水、初期雨水通过管道送至西厂区污水处理站。</w:t>
      </w:r>
    </w:p>
    <w:p w14:paraId="6EBD78ED">
      <w:pPr>
        <w:pStyle w:val="4"/>
        <w:rPr>
          <w:rFonts w:hint="eastAsia"/>
        </w:rPr>
      </w:pPr>
      <w:bookmarkStart w:id="150" w:name="_Toc221056452"/>
      <w:r>
        <w:rPr>
          <w:rFonts w:hint="eastAsia"/>
        </w:rPr>
        <w:t>7.2.2依托厂区现有废水处理系统可行性</w:t>
      </w:r>
      <w:bookmarkEnd w:id="150"/>
    </w:p>
    <w:p w14:paraId="75D51A20">
      <w:pPr>
        <w:pStyle w:val="16"/>
        <w:ind w:firstLine="480"/>
      </w:pPr>
      <w:r>
        <w:rPr>
          <w:rFonts w:hint="eastAsia"/>
        </w:rPr>
        <w:t>1、高浓有机废水预处理</w:t>
      </w:r>
    </w:p>
    <w:p w14:paraId="0B582B8C">
      <w:pPr>
        <w:pStyle w:val="16"/>
        <w:ind w:firstLine="480"/>
      </w:pPr>
      <w:r>
        <w:rPr>
          <w:rFonts w:hint="eastAsia"/>
        </w:rPr>
        <w:t>技改</w:t>
      </w:r>
      <w:r>
        <w:t>项目高浓度有机废水经收集</w:t>
      </w:r>
      <w:r>
        <w:rPr>
          <w:rFonts w:hint="eastAsia"/>
        </w:rPr>
        <w:t>脱盐预处理后</w:t>
      </w:r>
      <w:r>
        <w:t>进入高浓度废水调节池，废水经</w:t>
      </w:r>
      <w:r>
        <w:rPr>
          <w:rFonts w:hint="eastAsia"/>
        </w:rPr>
        <w:t>经“絮凝沉淀+高效微纳米气浮+两级LEM/LFD电化学多相催化氧化+高效厌氧反应器”</w:t>
      </w:r>
      <w:r>
        <w:t>进行预处理，主要目的是降低废水中含氧量和悬浮物，同时破坏大分子类有机物质的分子结构和活性，降低COD浓度，大大提高废水中有机污染物的生化处理效果。</w:t>
      </w:r>
    </w:p>
    <w:p w14:paraId="508B5F51">
      <w:pPr>
        <w:pStyle w:val="16"/>
        <w:ind w:firstLine="480"/>
      </w:pPr>
      <w:r>
        <w:t>高浓度有机废水</w:t>
      </w:r>
      <w:r>
        <w:rPr>
          <w:rFonts w:hint="eastAsia"/>
        </w:rPr>
        <w:t>预处理设施</w:t>
      </w:r>
      <w:r>
        <w:t>设计处理能力</w:t>
      </w:r>
      <w:r>
        <w:rPr>
          <w:rFonts w:hint="eastAsia"/>
        </w:rPr>
        <w:t>2</w:t>
      </w:r>
      <w:r>
        <w:t>00m</w:t>
      </w:r>
      <w:r>
        <w:rPr>
          <w:vertAlign w:val="superscript"/>
        </w:rPr>
        <w:t>3</w:t>
      </w:r>
      <w:r>
        <w:t>/d，</w:t>
      </w:r>
      <w:r>
        <w:rPr>
          <w:rFonts w:hint="eastAsia"/>
        </w:rPr>
        <w:t>技改项目高浓废水量较少，仅为</w:t>
      </w:r>
      <w:r>
        <w:t>4.0m</w:t>
      </w:r>
      <w:r>
        <w:rPr>
          <w:vertAlign w:val="superscript"/>
        </w:rPr>
        <w:t>3</w:t>
      </w:r>
      <w:r>
        <w:t>/d</w:t>
      </w:r>
      <w:r>
        <w:rPr>
          <w:rFonts w:hint="eastAsia"/>
        </w:rPr>
        <w:t>，现有高浓废水处理能力能够满足本项目的需求。</w:t>
      </w:r>
    </w:p>
    <w:p w14:paraId="0DD48EE1">
      <w:pPr>
        <w:pStyle w:val="16"/>
        <w:ind w:firstLine="480"/>
      </w:pPr>
      <w:r>
        <w:rPr>
          <w:rFonts w:hint="eastAsia"/>
        </w:rPr>
        <w:t>2、综合污水处理站可行性分析</w:t>
      </w:r>
    </w:p>
    <w:p w14:paraId="2E7A0928">
      <w:pPr>
        <w:pStyle w:val="16"/>
        <w:ind w:firstLine="480"/>
      </w:pPr>
      <w:r>
        <w:t>安徽海华科技集团有限公司已建设一座处理能力为500m</w:t>
      </w:r>
      <w:r>
        <w:rPr>
          <w:vertAlign w:val="superscript"/>
        </w:rPr>
        <w:t>3</w:t>
      </w:r>
      <w:r>
        <w:t>/d的污水处理站，采用“调节(水解酸化)+絮凝沉淀+UASB+接触氧化+二沉+</w:t>
      </w:r>
      <w:r>
        <w:rPr>
          <w:rFonts w:hint="eastAsia"/>
        </w:rPr>
        <w:t>臭氧氧化</w:t>
      </w:r>
      <w:r>
        <w:t>”工艺，并通过了环保竣工验收，厂区污水处理站工艺流程见图2.1-5。</w:t>
      </w:r>
    </w:p>
    <w:p w14:paraId="1ABE1EF2">
      <w:pPr>
        <w:pStyle w:val="16"/>
        <w:ind w:firstLine="480"/>
      </w:pPr>
      <w:r>
        <w:rPr>
          <w:rFonts w:hint="eastAsia"/>
        </w:rPr>
        <w:t>类比现有间甲酚工艺废水产生浓度</w:t>
      </w:r>
      <w:r>
        <w:t>，中和釜和干燥塔冷凝废水COD</w:t>
      </w:r>
      <w:r>
        <w:rPr>
          <w:rFonts w:hint="eastAsia"/>
        </w:rPr>
        <w:t>最大</w:t>
      </w:r>
      <w:r>
        <w:t>浓度约为</w:t>
      </w:r>
      <w:r>
        <w:rPr>
          <w:rFonts w:hint="eastAsia"/>
        </w:rPr>
        <w:t>480</w:t>
      </w:r>
      <w:r>
        <w:t>00mg/L，</w:t>
      </w:r>
      <w:r>
        <w:rPr>
          <w:rFonts w:hint="eastAsia"/>
        </w:rPr>
        <w:t>经预处理后和其</w:t>
      </w:r>
      <w:r>
        <w:t>他废水混合后COD约为2847 mg/L，BOD</w:t>
      </w:r>
      <w:r>
        <w:rPr>
          <w:vertAlign w:val="subscript"/>
        </w:rPr>
        <w:t>5</w:t>
      </w:r>
      <w:r>
        <w:t>/COD约为0.38，满足污水处理站进水水质4000mg/L，接触氧化池进水比B/C≥0.3要求，不会对厂区污水处理工艺造成影响。</w:t>
      </w:r>
    </w:p>
    <w:p w14:paraId="0AB5F479">
      <w:pPr>
        <w:pStyle w:val="16"/>
        <w:ind w:firstLine="480"/>
      </w:pPr>
      <w:r>
        <w:rPr>
          <w:rFonts w:hint="eastAsia"/>
        </w:rPr>
        <w:t>《安徽海华科技股份有限公司500吨/天废水生化处理项目环境影响报告表》中厂区污水处理站进水、出水水质和设计处理效率见下表所示。</w:t>
      </w:r>
    </w:p>
    <w:p w14:paraId="01706F2C">
      <w:pPr>
        <w:pStyle w:val="28"/>
        <w:rPr>
          <w:rFonts w:hint="eastAsia"/>
        </w:rPr>
      </w:pPr>
      <w:r>
        <w:t>表</w:t>
      </w:r>
      <w:r>
        <w:rPr>
          <w:rFonts w:hint="eastAsia"/>
        </w:rPr>
        <w:t>7.2-1  设计进水水质参数要求</w:t>
      </w:r>
    </w:p>
    <w:tbl>
      <w:tblPr>
        <w:tblStyle w:val="3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Layout w:type="autofit"/>
        <w:tblCellMar>
          <w:top w:w="0" w:type="dxa"/>
          <w:left w:w="108" w:type="dxa"/>
          <w:bottom w:w="0" w:type="dxa"/>
          <w:right w:w="108" w:type="dxa"/>
        </w:tblCellMar>
      </w:tblPr>
      <w:tblGrid>
        <w:gridCol w:w="2424"/>
        <w:gridCol w:w="1756"/>
        <w:gridCol w:w="2024"/>
        <w:gridCol w:w="2856"/>
      </w:tblGrid>
      <w:tr w14:paraId="2D775F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40" w:hRule="atLeast"/>
          <w:jc w:val="center"/>
        </w:trPr>
        <w:tc>
          <w:tcPr>
            <w:tcW w:w="1338" w:type="pct"/>
            <w:shd w:val="clear" w:color="auto" w:fill="FFFFFF"/>
            <w:vAlign w:val="center"/>
          </w:tcPr>
          <w:p w14:paraId="51659AB7">
            <w:pPr>
              <w:pStyle w:val="64"/>
            </w:pPr>
            <w:r>
              <w:t>项目</w:t>
            </w:r>
          </w:p>
        </w:tc>
        <w:tc>
          <w:tcPr>
            <w:tcW w:w="969" w:type="pct"/>
            <w:shd w:val="clear" w:color="auto" w:fill="FFFFFF"/>
            <w:vAlign w:val="center"/>
          </w:tcPr>
          <w:p w14:paraId="41ED2D02">
            <w:pPr>
              <w:pStyle w:val="64"/>
            </w:pPr>
            <w:r>
              <w:t>pH</w:t>
            </w:r>
          </w:p>
        </w:tc>
        <w:tc>
          <w:tcPr>
            <w:tcW w:w="1117" w:type="pct"/>
            <w:shd w:val="clear" w:color="auto" w:fill="FFFFFF"/>
            <w:vAlign w:val="center"/>
          </w:tcPr>
          <w:p w14:paraId="42E47274">
            <w:pPr>
              <w:pStyle w:val="64"/>
              <w:rPr>
                <w:lang w:bidi="ar"/>
              </w:rPr>
            </w:pPr>
            <w:r>
              <w:t>COD</w:t>
            </w:r>
            <w:r>
              <w:rPr>
                <w:lang w:bidi="ar"/>
              </w:rPr>
              <w:t xml:space="preserve"> mg/L</w:t>
            </w:r>
          </w:p>
        </w:tc>
        <w:tc>
          <w:tcPr>
            <w:tcW w:w="1576" w:type="pct"/>
            <w:shd w:val="clear" w:color="auto" w:fill="FFFFFF"/>
            <w:vAlign w:val="center"/>
          </w:tcPr>
          <w:p w14:paraId="5107A5FB">
            <w:pPr>
              <w:pStyle w:val="64"/>
            </w:pPr>
            <w:r>
              <w:t>接触氧化池进水B/C比</w:t>
            </w:r>
          </w:p>
        </w:tc>
      </w:tr>
      <w:tr w14:paraId="0BD80D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38" w:type="pct"/>
            <w:shd w:val="clear" w:color="auto" w:fill="FFFFFF"/>
            <w:vAlign w:val="center"/>
          </w:tcPr>
          <w:p w14:paraId="57A52DF2">
            <w:pPr>
              <w:pStyle w:val="64"/>
            </w:pPr>
            <w:r>
              <w:t>设计进水水质</w:t>
            </w:r>
          </w:p>
        </w:tc>
        <w:tc>
          <w:tcPr>
            <w:tcW w:w="969" w:type="pct"/>
            <w:shd w:val="clear" w:color="auto" w:fill="FFFFFF"/>
            <w:vAlign w:val="center"/>
          </w:tcPr>
          <w:p w14:paraId="76E09180">
            <w:pPr>
              <w:pStyle w:val="64"/>
            </w:pPr>
            <w:r>
              <w:t>6-9</w:t>
            </w:r>
          </w:p>
        </w:tc>
        <w:tc>
          <w:tcPr>
            <w:tcW w:w="1117" w:type="pct"/>
            <w:shd w:val="clear" w:color="auto" w:fill="FFFFFF"/>
            <w:vAlign w:val="center"/>
          </w:tcPr>
          <w:p w14:paraId="203ACD9E">
            <w:pPr>
              <w:pStyle w:val="64"/>
            </w:pPr>
            <w:r>
              <w:t>≤4000</w:t>
            </w:r>
          </w:p>
        </w:tc>
        <w:tc>
          <w:tcPr>
            <w:tcW w:w="1576" w:type="pct"/>
            <w:shd w:val="clear" w:color="auto" w:fill="FFFFFF"/>
            <w:vAlign w:val="center"/>
          </w:tcPr>
          <w:p w14:paraId="0AEEF274">
            <w:pPr>
              <w:pStyle w:val="64"/>
            </w:pPr>
            <w:r>
              <w:t>≥0.3</w:t>
            </w:r>
          </w:p>
        </w:tc>
      </w:tr>
    </w:tbl>
    <w:p w14:paraId="7A8FA9E2">
      <w:pPr>
        <w:spacing w:line="360" w:lineRule="auto"/>
        <w:ind w:firstLine="480" w:firstLineChars="200"/>
        <w:jc w:val="center"/>
        <w:rPr>
          <w:rFonts w:hint="eastAsia" w:ascii="黑体" w:hAnsi="黑体" w:eastAsia="黑体"/>
        </w:rPr>
      </w:pPr>
    </w:p>
    <w:p w14:paraId="74753F7B">
      <w:pPr>
        <w:pStyle w:val="28"/>
        <w:rPr>
          <w:rFonts w:hint="eastAsia"/>
        </w:rPr>
      </w:pPr>
      <w:r>
        <w:t>表</w:t>
      </w:r>
      <w:r>
        <w:rPr>
          <w:rFonts w:hint="eastAsia"/>
        </w:rPr>
        <w:t>7.2-2  出水水质标准要求(即接管标准)(</w:t>
      </w:r>
      <w:r>
        <w:t>mg/L,pH</w:t>
      </w:r>
      <w:r>
        <w:rPr>
          <w:rFonts w:hint="eastAsia"/>
        </w:rPr>
        <w:t>除外)</w:t>
      </w:r>
    </w:p>
    <w:tbl>
      <w:tblPr>
        <w:tblStyle w:val="3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Layout w:type="autofit"/>
        <w:tblCellMar>
          <w:top w:w="0" w:type="dxa"/>
          <w:left w:w="108" w:type="dxa"/>
          <w:bottom w:w="0" w:type="dxa"/>
          <w:right w:w="108" w:type="dxa"/>
        </w:tblCellMar>
      </w:tblPr>
      <w:tblGrid>
        <w:gridCol w:w="1342"/>
        <w:gridCol w:w="535"/>
        <w:gridCol w:w="660"/>
        <w:gridCol w:w="837"/>
        <w:gridCol w:w="875"/>
        <w:gridCol w:w="743"/>
        <w:gridCol w:w="808"/>
        <w:gridCol w:w="948"/>
        <w:gridCol w:w="1214"/>
        <w:gridCol w:w="1098"/>
      </w:tblGrid>
      <w:tr w14:paraId="421878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40" w:hRule="atLeast"/>
          <w:jc w:val="center"/>
        </w:trPr>
        <w:tc>
          <w:tcPr>
            <w:tcW w:w="740" w:type="pct"/>
            <w:shd w:val="clear" w:color="auto" w:fill="FFFFFF"/>
            <w:vAlign w:val="center"/>
          </w:tcPr>
          <w:p w14:paraId="51113F9A">
            <w:pPr>
              <w:pStyle w:val="64"/>
            </w:pPr>
            <w:r>
              <w:t>项目</w:t>
            </w:r>
          </w:p>
        </w:tc>
        <w:tc>
          <w:tcPr>
            <w:tcW w:w="295" w:type="pct"/>
            <w:shd w:val="clear" w:color="auto" w:fill="FFFFFF"/>
            <w:vAlign w:val="center"/>
          </w:tcPr>
          <w:p w14:paraId="1DC1E2C5">
            <w:pPr>
              <w:pStyle w:val="64"/>
            </w:pPr>
            <w:r>
              <w:t>pH</w:t>
            </w:r>
          </w:p>
        </w:tc>
        <w:tc>
          <w:tcPr>
            <w:tcW w:w="364" w:type="pct"/>
            <w:shd w:val="clear" w:color="auto" w:fill="FFFFFF"/>
            <w:vAlign w:val="center"/>
          </w:tcPr>
          <w:p w14:paraId="322561A8">
            <w:pPr>
              <w:pStyle w:val="64"/>
            </w:pPr>
            <w:r>
              <w:t>COD</w:t>
            </w:r>
          </w:p>
        </w:tc>
        <w:tc>
          <w:tcPr>
            <w:tcW w:w="462" w:type="pct"/>
            <w:shd w:val="clear" w:color="auto" w:fill="FFFFFF"/>
            <w:vAlign w:val="center"/>
          </w:tcPr>
          <w:p w14:paraId="5F202573">
            <w:pPr>
              <w:pStyle w:val="64"/>
            </w:pPr>
            <w:r>
              <w:t>BOD</w:t>
            </w:r>
            <w:r>
              <w:rPr>
                <w:vertAlign w:val="subscript"/>
              </w:rPr>
              <w:t>5</w:t>
            </w:r>
          </w:p>
        </w:tc>
        <w:tc>
          <w:tcPr>
            <w:tcW w:w="483" w:type="pct"/>
            <w:shd w:val="clear" w:color="auto" w:fill="FFFFFF"/>
            <w:vAlign w:val="center"/>
          </w:tcPr>
          <w:p w14:paraId="6F498830">
            <w:pPr>
              <w:pStyle w:val="64"/>
            </w:pPr>
            <w:r>
              <w:t>NH</w:t>
            </w:r>
            <w:r>
              <w:rPr>
                <w:vertAlign w:val="subscript"/>
              </w:rPr>
              <w:t>3</w:t>
            </w:r>
            <w:r>
              <w:t>-N</w:t>
            </w:r>
          </w:p>
        </w:tc>
        <w:tc>
          <w:tcPr>
            <w:tcW w:w="410" w:type="pct"/>
            <w:shd w:val="clear" w:color="auto" w:fill="FFFFFF"/>
            <w:vAlign w:val="center"/>
          </w:tcPr>
          <w:p w14:paraId="72FA8A5A">
            <w:pPr>
              <w:pStyle w:val="64"/>
            </w:pPr>
            <w:r>
              <w:t>SS</w:t>
            </w:r>
          </w:p>
        </w:tc>
        <w:tc>
          <w:tcPr>
            <w:tcW w:w="446" w:type="pct"/>
            <w:shd w:val="clear" w:color="auto" w:fill="FFFFFF"/>
            <w:vAlign w:val="center"/>
          </w:tcPr>
          <w:p w14:paraId="109A94B6">
            <w:pPr>
              <w:pStyle w:val="64"/>
            </w:pPr>
            <w:r>
              <w:rPr>
                <w:rFonts w:hint="eastAsia"/>
              </w:rPr>
              <w:t>甲苯</w:t>
            </w:r>
          </w:p>
        </w:tc>
        <w:tc>
          <w:tcPr>
            <w:tcW w:w="523" w:type="pct"/>
            <w:shd w:val="clear" w:color="auto" w:fill="FFFFFF"/>
            <w:vAlign w:val="center"/>
          </w:tcPr>
          <w:p w14:paraId="1547C0E5">
            <w:pPr>
              <w:pStyle w:val="64"/>
            </w:pPr>
            <w:r>
              <w:t>挥发酚</w:t>
            </w:r>
          </w:p>
        </w:tc>
        <w:tc>
          <w:tcPr>
            <w:tcW w:w="670" w:type="pct"/>
            <w:shd w:val="clear" w:color="auto" w:fill="FFFFFF"/>
            <w:vAlign w:val="center"/>
          </w:tcPr>
          <w:p w14:paraId="7CBFBC32">
            <w:pPr>
              <w:pStyle w:val="64"/>
            </w:pPr>
            <w:r>
              <w:t>三氯甲烷</w:t>
            </w:r>
          </w:p>
        </w:tc>
        <w:tc>
          <w:tcPr>
            <w:tcW w:w="606" w:type="pct"/>
            <w:shd w:val="clear" w:color="auto" w:fill="FFFFFF"/>
            <w:vAlign w:val="center"/>
          </w:tcPr>
          <w:p w14:paraId="62A3D468">
            <w:pPr>
              <w:pStyle w:val="64"/>
              <w:rPr>
                <w:rFonts w:hint="eastAsia" w:ascii="宋体" w:hAnsi="宋体" w:cs="宋体"/>
                <w:kern w:val="0"/>
              </w:rPr>
            </w:pPr>
            <w:r>
              <w:rPr>
                <w:rFonts w:hint="eastAsia" w:ascii="宋体" w:hAnsi="宋体" w:cs="宋体"/>
                <w:kern w:val="0"/>
              </w:rPr>
              <w:t>三氯乙烯</w:t>
            </w:r>
          </w:p>
        </w:tc>
      </w:tr>
      <w:tr w14:paraId="7AEAE7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40" w:hRule="atLeast"/>
          <w:jc w:val="center"/>
        </w:trPr>
        <w:tc>
          <w:tcPr>
            <w:tcW w:w="740" w:type="pct"/>
            <w:shd w:val="clear" w:color="auto" w:fill="FFFFFF"/>
            <w:vAlign w:val="center"/>
          </w:tcPr>
          <w:p w14:paraId="3FD623E6">
            <w:pPr>
              <w:pStyle w:val="64"/>
            </w:pPr>
            <w:r>
              <w:rPr>
                <w:rFonts w:hint="eastAsia"/>
              </w:rPr>
              <w:t>沫河口污水处理厂接管标准</w:t>
            </w:r>
          </w:p>
        </w:tc>
        <w:tc>
          <w:tcPr>
            <w:tcW w:w="295" w:type="pct"/>
            <w:shd w:val="clear" w:color="auto" w:fill="FFFFFF"/>
            <w:vAlign w:val="center"/>
          </w:tcPr>
          <w:p w14:paraId="152C0480">
            <w:pPr>
              <w:pStyle w:val="64"/>
            </w:pPr>
            <w:r>
              <w:t>6-9</w:t>
            </w:r>
          </w:p>
        </w:tc>
        <w:tc>
          <w:tcPr>
            <w:tcW w:w="364" w:type="pct"/>
            <w:shd w:val="clear" w:color="auto" w:fill="FFFFFF"/>
            <w:vAlign w:val="center"/>
          </w:tcPr>
          <w:p w14:paraId="54B56316">
            <w:pPr>
              <w:pStyle w:val="64"/>
            </w:pPr>
            <w:r>
              <w:t>≤500</w:t>
            </w:r>
          </w:p>
        </w:tc>
        <w:tc>
          <w:tcPr>
            <w:tcW w:w="462" w:type="pct"/>
            <w:shd w:val="clear" w:color="auto" w:fill="FFFFFF"/>
            <w:vAlign w:val="center"/>
          </w:tcPr>
          <w:p w14:paraId="4DA732DC">
            <w:pPr>
              <w:pStyle w:val="64"/>
            </w:pPr>
            <w:r>
              <w:t>≤120</w:t>
            </w:r>
          </w:p>
        </w:tc>
        <w:tc>
          <w:tcPr>
            <w:tcW w:w="483" w:type="pct"/>
            <w:shd w:val="clear" w:color="auto" w:fill="FFFFFF"/>
            <w:vAlign w:val="center"/>
          </w:tcPr>
          <w:p w14:paraId="22570308">
            <w:pPr>
              <w:pStyle w:val="64"/>
            </w:pPr>
            <w:r>
              <w:t>≤30</w:t>
            </w:r>
          </w:p>
        </w:tc>
        <w:tc>
          <w:tcPr>
            <w:tcW w:w="410" w:type="pct"/>
            <w:shd w:val="clear" w:color="auto" w:fill="FFFFFF"/>
            <w:vAlign w:val="center"/>
          </w:tcPr>
          <w:p w14:paraId="7F1C0CF7">
            <w:pPr>
              <w:pStyle w:val="64"/>
            </w:pPr>
            <w:r>
              <w:t>≤200</w:t>
            </w:r>
          </w:p>
        </w:tc>
        <w:tc>
          <w:tcPr>
            <w:tcW w:w="446" w:type="pct"/>
            <w:shd w:val="clear" w:color="auto" w:fill="FFFFFF"/>
            <w:vAlign w:val="center"/>
          </w:tcPr>
          <w:p w14:paraId="722A4F5F">
            <w:pPr>
              <w:pStyle w:val="64"/>
            </w:pPr>
            <w:r>
              <w:t>≤0.5</w:t>
            </w:r>
          </w:p>
        </w:tc>
        <w:tc>
          <w:tcPr>
            <w:tcW w:w="523" w:type="pct"/>
            <w:shd w:val="clear" w:color="auto" w:fill="FFFFFF"/>
            <w:vAlign w:val="center"/>
          </w:tcPr>
          <w:p w14:paraId="5C33E23A">
            <w:pPr>
              <w:pStyle w:val="64"/>
            </w:pPr>
            <w:r>
              <w:t>≤2.0</w:t>
            </w:r>
          </w:p>
        </w:tc>
        <w:tc>
          <w:tcPr>
            <w:tcW w:w="670" w:type="pct"/>
            <w:shd w:val="clear" w:color="auto" w:fill="FFFFFF"/>
            <w:vAlign w:val="center"/>
          </w:tcPr>
          <w:p w14:paraId="4D7AA881">
            <w:pPr>
              <w:pStyle w:val="64"/>
            </w:pPr>
            <w:r>
              <w:t>≤0.3</w:t>
            </w:r>
          </w:p>
        </w:tc>
        <w:tc>
          <w:tcPr>
            <w:tcW w:w="606" w:type="pct"/>
            <w:shd w:val="clear" w:color="auto" w:fill="FFFFFF"/>
            <w:vAlign w:val="center"/>
          </w:tcPr>
          <w:p w14:paraId="759F4A1B">
            <w:pPr>
              <w:pStyle w:val="64"/>
            </w:pPr>
            <w:r>
              <w:t>≤0.3</w:t>
            </w:r>
          </w:p>
        </w:tc>
      </w:tr>
    </w:tbl>
    <w:p w14:paraId="20C285F6">
      <w:pPr>
        <w:spacing w:line="360" w:lineRule="auto"/>
        <w:ind w:firstLine="480" w:firstLineChars="200"/>
        <w:jc w:val="center"/>
        <w:rPr>
          <w:rFonts w:hint="eastAsia" w:ascii="黑体" w:hAnsi="黑体" w:eastAsia="黑体"/>
        </w:rPr>
      </w:pPr>
    </w:p>
    <w:p w14:paraId="6199F193">
      <w:pPr>
        <w:spacing w:line="360" w:lineRule="auto"/>
        <w:ind w:firstLine="480" w:firstLineChars="200"/>
        <w:jc w:val="center"/>
        <w:rPr>
          <w:rFonts w:hint="eastAsia" w:ascii="黑体" w:hAnsi="黑体" w:eastAsia="黑体"/>
        </w:rPr>
      </w:pPr>
    </w:p>
    <w:p w14:paraId="69D591FB">
      <w:pPr>
        <w:spacing w:line="360" w:lineRule="auto"/>
        <w:ind w:firstLine="480" w:firstLineChars="200"/>
        <w:jc w:val="center"/>
        <w:rPr>
          <w:rFonts w:hint="eastAsia" w:ascii="黑体" w:hAnsi="黑体" w:eastAsia="黑体"/>
        </w:rPr>
      </w:pPr>
    </w:p>
    <w:p w14:paraId="414E3482">
      <w:pPr>
        <w:pStyle w:val="28"/>
        <w:rPr>
          <w:rFonts w:hint="eastAsia"/>
        </w:rPr>
      </w:pPr>
      <w:r>
        <w:t>表</w:t>
      </w:r>
      <w:r>
        <w:rPr>
          <w:rFonts w:hint="eastAsia"/>
        </w:rPr>
        <w:t>7.2-3</w:t>
      </w:r>
      <w:r>
        <w:t xml:space="preserve">  污水处理站各主要工段去除效率分析</w:t>
      </w:r>
    </w:p>
    <w:tbl>
      <w:tblPr>
        <w:tblStyle w:val="36"/>
        <w:tblW w:w="5000" w:type="pct"/>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866"/>
        <w:gridCol w:w="1961"/>
        <w:gridCol w:w="962"/>
        <w:gridCol w:w="793"/>
        <w:gridCol w:w="840"/>
        <w:gridCol w:w="838"/>
        <w:gridCol w:w="701"/>
        <w:gridCol w:w="701"/>
        <w:gridCol w:w="703"/>
        <w:gridCol w:w="689"/>
      </w:tblGrid>
      <w:tr w14:paraId="7AA1ED9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561" w:type="pct"/>
            <w:gridSpan w:val="2"/>
            <w:vAlign w:val="center"/>
          </w:tcPr>
          <w:p w14:paraId="70412F66">
            <w:pPr>
              <w:pStyle w:val="64"/>
            </w:pPr>
            <w:r>
              <w:t>处理工段名称</w:t>
            </w:r>
          </w:p>
        </w:tc>
        <w:tc>
          <w:tcPr>
            <w:tcW w:w="531" w:type="pct"/>
            <w:vAlign w:val="center"/>
          </w:tcPr>
          <w:p w14:paraId="0FC44389">
            <w:pPr>
              <w:pStyle w:val="64"/>
            </w:pPr>
            <w:r>
              <w:t>COD</w:t>
            </w:r>
          </w:p>
        </w:tc>
        <w:tc>
          <w:tcPr>
            <w:tcW w:w="438" w:type="pct"/>
            <w:vAlign w:val="center"/>
          </w:tcPr>
          <w:p w14:paraId="775F8C66">
            <w:pPr>
              <w:pStyle w:val="64"/>
            </w:pPr>
            <w:r>
              <w:t>BOD</w:t>
            </w:r>
            <w:r>
              <w:rPr>
                <w:vertAlign w:val="subscript"/>
              </w:rPr>
              <w:t>5</w:t>
            </w:r>
          </w:p>
        </w:tc>
        <w:tc>
          <w:tcPr>
            <w:tcW w:w="464" w:type="pct"/>
            <w:vAlign w:val="center"/>
          </w:tcPr>
          <w:p w14:paraId="279A16A6">
            <w:pPr>
              <w:pStyle w:val="64"/>
            </w:pPr>
            <w:r>
              <w:t>SS</w:t>
            </w:r>
          </w:p>
        </w:tc>
        <w:tc>
          <w:tcPr>
            <w:tcW w:w="463" w:type="pct"/>
            <w:vAlign w:val="center"/>
          </w:tcPr>
          <w:p w14:paraId="5D639FDE">
            <w:pPr>
              <w:pStyle w:val="64"/>
            </w:pPr>
            <w:r>
              <w:t>NH</w:t>
            </w:r>
            <w:r>
              <w:rPr>
                <w:vertAlign w:val="subscript"/>
              </w:rPr>
              <w:t>3</w:t>
            </w:r>
            <w:r>
              <w:t>-N</w:t>
            </w:r>
          </w:p>
        </w:tc>
        <w:tc>
          <w:tcPr>
            <w:tcW w:w="387" w:type="pct"/>
            <w:vAlign w:val="center"/>
          </w:tcPr>
          <w:p w14:paraId="51F8DF04">
            <w:pPr>
              <w:pStyle w:val="64"/>
            </w:pPr>
            <w:r>
              <w:t>甲苯</w:t>
            </w:r>
          </w:p>
        </w:tc>
        <w:tc>
          <w:tcPr>
            <w:tcW w:w="387" w:type="pct"/>
            <w:vAlign w:val="center"/>
          </w:tcPr>
          <w:p w14:paraId="53906E59">
            <w:pPr>
              <w:pStyle w:val="64"/>
            </w:pPr>
            <w:r>
              <w:t>挥发酚</w:t>
            </w:r>
          </w:p>
        </w:tc>
        <w:tc>
          <w:tcPr>
            <w:tcW w:w="388" w:type="pct"/>
            <w:vAlign w:val="center"/>
          </w:tcPr>
          <w:p w14:paraId="66E63AA0">
            <w:pPr>
              <w:pStyle w:val="64"/>
            </w:pPr>
            <w:r>
              <w:t>三氯甲烷</w:t>
            </w:r>
          </w:p>
        </w:tc>
        <w:tc>
          <w:tcPr>
            <w:tcW w:w="380" w:type="pct"/>
            <w:vAlign w:val="center"/>
          </w:tcPr>
          <w:p w14:paraId="2963F45A">
            <w:pPr>
              <w:pStyle w:val="64"/>
            </w:pPr>
            <w:r>
              <w:t>三氯乙烯</w:t>
            </w:r>
          </w:p>
        </w:tc>
      </w:tr>
      <w:tr w14:paraId="41ED37D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561" w:type="pct"/>
            <w:gridSpan w:val="2"/>
            <w:vAlign w:val="center"/>
          </w:tcPr>
          <w:p w14:paraId="3123E1D1">
            <w:pPr>
              <w:pStyle w:val="64"/>
            </w:pPr>
            <w:r>
              <w:t>原  水</w:t>
            </w:r>
          </w:p>
        </w:tc>
        <w:tc>
          <w:tcPr>
            <w:tcW w:w="531" w:type="pct"/>
            <w:noWrap/>
            <w:vAlign w:val="center"/>
          </w:tcPr>
          <w:p w14:paraId="489AD86E">
            <w:pPr>
              <w:pStyle w:val="64"/>
            </w:pPr>
            <w:r>
              <w:t>4000</w:t>
            </w:r>
          </w:p>
        </w:tc>
        <w:tc>
          <w:tcPr>
            <w:tcW w:w="438" w:type="pct"/>
            <w:noWrap/>
            <w:vAlign w:val="center"/>
          </w:tcPr>
          <w:p w14:paraId="776DD511">
            <w:pPr>
              <w:pStyle w:val="64"/>
            </w:pPr>
            <w:r>
              <w:t>1100</w:t>
            </w:r>
          </w:p>
        </w:tc>
        <w:tc>
          <w:tcPr>
            <w:tcW w:w="464" w:type="pct"/>
            <w:noWrap/>
            <w:vAlign w:val="center"/>
          </w:tcPr>
          <w:p w14:paraId="4B93D699">
            <w:pPr>
              <w:pStyle w:val="64"/>
            </w:pPr>
            <w:r>
              <w:t>300</w:t>
            </w:r>
          </w:p>
        </w:tc>
        <w:tc>
          <w:tcPr>
            <w:tcW w:w="463" w:type="pct"/>
            <w:noWrap/>
            <w:vAlign w:val="center"/>
          </w:tcPr>
          <w:p w14:paraId="019C9B4E">
            <w:pPr>
              <w:pStyle w:val="64"/>
            </w:pPr>
            <w:r>
              <w:t>15</w:t>
            </w:r>
          </w:p>
        </w:tc>
        <w:tc>
          <w:tcPr>
            <w:tcW w:w="387" w:type="pct"/>
            <w:vAlign w:val="center"/>
          </w:tcPr>
          <w:p w14:paraId="6FFEAC24">
            <w:pPr>
              <w:pStyle w:val="64"/>
            </w:pPr>
            <w:r>
              <w:t>1</w:t>
            </w:r>
          </w:p>
        </w:tc>
        <w:tc>
          <w:tcPr>
            <w:tcW w:w="387" w:type="pct"/>
            <w:vAlign w:val="center"/>
          </w:tcPr>
          <w:p w14:paraId="181ED2C0">
            <w:pPr>
              <w:pStyle w:val="64"/>
            </w:pPr>
            <w:r>
              <w:t>2</w:t>
            </w:r>
          </w:p>
        </w:tc>
        <w:tc>
          <w:tcPr>
            <w:tcW w:w="388" w:type="pct"/>
            <w:vAlign w:val="center"/>
          </w:tcPr>
          <w:p w14:paraId="7187BD87">
            <w:pPr>
              <w:pStyle w:val="64"/>
            </w:pPr>
            <w:r>
              <w:t>0.5</w:t>
            </w:r>
          </w:p>
        </w:tc>
        <w:tc>
          <w:tcPr>
            <w:tcW w:w="380" w:type="pct"/>
            <w:vAlign w:val="center"/>
          </w:tcPr>
          <w:p w14:paraId="7F7EE391">
            <w:pPr>
              <w:pStyle w:val="64"/>
            </w:pPr>
            <w:r>
              <w:t>0.5</w:t>
            </w:r>
          </w:p>
        </w:tc>
      </w:tr>
      <w:tr w14:paraId="4F3B6E4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78" w:type="pct"/>
            <w:vMerge w:val="restart"/>
            <w:vAlign w:val="center"/>
          </w:tcPr>
          <w:p w14:paraId="44854C24">
            <w:pPr>
              <w:pStyle w:val="64"/>
            </w:pPr>
            <w:r>
              <w:t>水解酸化</w:t>
            </w:r>
          </w:p>
        </w:tc>
        <w:tc>
          <w:tcPr>
            <w:tcW w:w="1083" w:type="pct"/>
            <w:vAlign w:val="center"/>
          </w:tcPr>
          <w:p w14:paraId="48C6CAA8">
            <w:pPr>
              <w:pStyle w:val="64"/>
            </w:pPr>
            <w:r>
              <w:t>去除率(%)</w:t>
            </w:r>
          </w:p>
        </w:tc>
        <w:tc>
          <w:tcPr>
            <w:tcW w:w="531" w:type="pct"/>
            <w:noWrap/>
            <w:vAlign w:val="center"/>
          </w:tcPr>
          <w:p w14:paraId="0D59771C">
            <w:pPr>
              <w:pStyle w:val="64"/>
            </w:pPr>
            <w:r>
              <w:t>10</w:t>
            </w:r>
          </w:p>
        </w:tc>
        <w:tc>
          <w:tcPr>
            <w:tcW w:w="438" w:type="pct"/>
            <w:noWrap/>
            <w:vAlign w:val="center"/>
          </w:tcPr>
          <w:p w14:paraId="3C3B2C1D">
            <w:pPr>
              <w:pStyle w:val="64"/>
            </w:pPr>
            <w:r>
              <w:t>——</w:t>
            </w:r>
          </w:p>
        </w:tc>
        <w:tc>
          <w:tcPr>
            <w:tcW w:w="464" w:type="pct"/>
            <w:noWrap/>
            <w:vAlign w:val="center"/>
          </w:tcPr>
          <w:p w14:paraId="45181E31">
            <w:pPr>
              <w:pStyle w:val="64"/>
            </w:pPr>
            <w:r>
              <w:t>——</w:t>
            </w:r>
          </w:p>
        </w:tc>
        <w:tc>
          <w:tcPr>
            <w:tcW w:w="463" w:type="pct"/>
            <w:noWrap/>
            <w:vAlign w:val="center"/>
          </w:tcPr>
          <w:p w14:paraId="494B067B">
            <w:pPr>
              <w:pStyle w:val="64"/>
            </w:pPr>
            <w:r>
              <w:t>5</w:t>
            </w:r>
          </w:p>
        </w:tc>
        <w:tc>
          <w:tcPr>
            <w:tcW w:w="387" w:type="pct"/>
            <w:vAlign w:val="center"/>
          </w:tcPr>
          <w:p w14:paraId="5E447DDD">
            <w:pPr>
              <w:pStyle w:val="64"/>
            </w:pPr>
            <w:r>
              <w:t>——</w:t>
            </w:r>
          </w:p>
        </w:tc>
        <w:tc>
          <w:tcPr>
            <w:tcW w:w="387" w:type="pct"/>
            <w:vAlign w:val="center"/>
          </w:tcPr>
          <w:p w14:paraId="049D77AE">
            <w:pPr>
              <w:pStyle w:val="64"/>
            </w:pPr>
            <w:r>
              <w:t>——</w:t>
            </w:r>
          </w:p>
        </w:tc>
        <w:tc>
          <w:tcPr>
            <w:tcW w:w="388" w:type="pct"/>
            <w:vAlign w:val="center"/>
          </w:tcPr>
          <w:p w14:paraId="2805135F">
            <w:pPr>
              <w:pStyle w:val="64"/>
            </w:pPr>
            <w:r>
              <w:t>——</w:t>
            </w:r>
          </w:p>
        </w:tc>
        <w:tc>
          <w:tcPr>
            <w:tcW w:w="380" w:type="pct"/>
            <w:vAlign w:val="center"/>
          </w:tcPr>
          <w:p w14:paraId="65C4F016">
            <w:pPr>
              <w:pStyle w:val="64"/>
            </w:pPr>
            <w:r>
              <w:t>——</w:t>
            </w:r>
          </w:p>
        </w:tc>
      </w:tr>
      <w:tr w14:paraId="0970216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78" w:type="pct"/>
            <w:vMerge w:val="continue"/>
            <w:vAlign w:val="center"/>
          </w:tcPr>
          <w:p w14:paraId="3601B3E4">
            <w:pPr>
              <w:pStyle w:val="64"/>
            </w:pPr>
          </w:p>
        </w:tc>
        <w:tc>
          <w:tcPr>
            <w:tcW w:w="1083" w:type="pct"/>
            <w:vAlign w:val="center"/>
          </w:tcPr>
          <w:p w14:paraId="7A5F0A77">
            <w:pPr>
              <w:pStyle w:val="64"/>
            </w:pPr>
            <w:r>
              <w:t>出水(mg/L)</w:t>
            </w:r>
          </w:p>
        </w:tc>
        <w:tc>
          <w:tcPr>
            <w:tcW w:w="531" w:type="pct"/>
            <w:noWrap/>
            <w:vAlign w:val="center"/>
          </w:tcPr>
          <w:p w14:paraId="2B2172DD">
            <w:pPr>
              <w:pStyle w:val="64"/>
            </w:pPr>
            <w:r>
              <w:t>3600</w:t>
            </w:r>
          </w:p>
        </w:tc>
        <w:tc>
          <w:tcPr>
            <w:tcW w:w="438" w:type="pct"/>
            <w:noWrap/>
            <w:vAlign w:val="center"/>
          </w:tcPr>
          <w:p w14:paraId="3D405709">
            <w:pPr>
              <w:pStyle w:val="64"/>
            </w:pPr>
            <w:r>
              <w:t>1100</w:t>
            </w:r>
          </w:p>
        </w:tc>
        <w:tc>
          <w:tcPr>
            <w:tcW w:w="464" w:type="pct"/>
            <w:noWrap/>
            <w:vAlign w:val="center"/>
          </w:tcPr>
          <w:p w14:paraId="6857CA6F">
            <w:pPr>
              <w:pStyle w:val="64"/>
            </w:pPr>
            <w:r>
              <w:t>300</w:t>
            </w:r>
          </w:p>
        </w:tc>
        <w:tc>
          <w:tcPr>
            <w:tcW w:w="463" w:type="pct"/>
            <w:noWrap/>
            <w:vAlign w:val="center"/>
          </w:tcPr>
          <w:p w14:paraId="0AFE002F">
            <w:pPr>
              <w:pStyle w:val="64"/>
            </w:pPr>
            <w:r>
              <w:t>14.25</w:t>
            </w:r>
          </w:p>
        </w:tc>
        <w:tc>
          <w:tcPr>
            <w:tcW w:w="387" w:type="pct"/>
            <w:vAlign w:val="center"/>
          </w:tcPr>
          <w:p w14:paraId="4D59C837">
            <w:pPr>
              <w:pStyle w:val="64"/>
            </w:pPr>
            <w:r>
              <w:t>1</w:t>
            </w:r>
          </w:p>
        </w:tc>
        <w:tc>
          <w:tcPr>
            <w:tcW w:w="387" w:type="pct"/>
            <w:vAlign w:val="center"/>
          </w:tcPr>
          <w:p w14:paraId="0862C837">
            <w:pPr>
              <w:pStyle w:val="64"/>
            </w:pPr>
            <w:r>
              <w:t>2</w:t>
            </w:r>
          </w:p>
        </w:tc>
        <w:tc>
          <w:tcPr>
            <w:tcW w:w="388" w:type="pct"/>
            <w:vAlign w:val="center"/>
          </w:tcPr>
          <w:p w14:paraId="50A79E7A">
            <w:pPr>
              <w:pStyle w:val="64"/>
            </w:pPr>
            <w:r>
              <w:t>0.5</w:t>
            </w:r>
          </w:p>
        </w:tc>
        <w:tc>
          <w:tcPr>
            <w:tcW w:w="380" w:type="pct"/>
            <w:vAlign w:val="center"/>
          </w:tcPr>
          <w:p w14:paraId="49778683">
            <w:pPr>
              <w:pStyle w:val="64"/>
            </w:pPr>
            <w:r>
              <w:t>0.5</w:t>
            </w:r>
          </w:p>
        </w:tc>
      </w:tr>
      <w:tr w14:paraId="0259AD8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78" w:type="pct"/>
            <w:vMerge w:val="restart"/>
            <w:vAlign w:val="center"/>
          </w:tcPr>
          <w:p w14:paraId="2DBEA079">
            <w:pPr>
              <w:pStyle w:val="64"/>
            </w:pPr>
            <w:r>
              <w:t>絮凝沉淀</w:t>
            </w:r>
          </w:p>
        </w:tc>
        <w:tc>
          <w:tcPr>
            <w:tcW w:w="1083" w:type="pct"/>
            <w:vAlign w:val="center"/>
          </w:tcPr>
          <w:p w14:paraId="051F07F2">
            <w:pPr>
              <w:pStyle w:val="64"/>
            </w:pPr>
            <w:r>
              <w:t>去除率(%)</w:t>
            </w:r>
          </w:p>
        </w:tc>
        <w:tc>
          <w:tcPr>
            <w:tcW w:w="531" w:type="pct"/>
            <w:noWrap/>
            <w:vAlign w:val="center"/>
          </w:tcPr>
          <w:p w14:paraId="1280750E">
            <w:pPr>
              <w:pStyle w:val="64"/>
            </w:pPr>
            <w:r>
              <w:t>0</w:t>
            </w:r>
          </w:p>
        </w:tc>
        <w:tc>
          <w:tcPr>
            <w:tcW w:w="438" w:type="pct"/>
            <w:noWrap/>
            <w:vAlign w:val="center"/>
          </w:tcPr>
          <w:p w14:paraId="65175F05">
            <w:pPr>
              <w:pStyle w:val="64"/>
            </w:pPr>
            <w:r>
              <w:t>——</w:t>
            </w:r>
          </w:p>
        </w:tc>
        <w:tc>
          <w:tcPr>
            <w:tcW w:w="464" w:type="pct"/>
            <w:noWrap/>
            <w:vAlign w:val="center"/>
          </w:tcPr>
          <w:p w14:paraId="4CA520DA">
            <w:pPr>
              <w:pStyle w:val="64"/>
            </w:pPr>
            <w:r>
              <w:t>35</w:t>
            </w:r>
          </w:p>
        </w:tc>
        <w:tc>
          <w:tcPr>
            <w:tcW w:w="463" w:type="pct"/>
            <w:noWrap/>
            <w:vAlign w:val="center"/>
          </w:tcPr>
          <w:p w14:paraId="75EA2375">
            <w:pPr>
              <w:pStyle w:val="64"/>
            </w:pPr>
            <w:r>
              <w:t>——</w:t>
            </w:r>
          </w:p>
        </w:tc>
        <w:tc>
          <w:tcPr>
            <w:tcW w:w="387" w:type="pct"/>
            <w:vAlign w:val="center"/>
          </w:tcPr>
          <w:p w14:paraId="325F3EA9">
            <w:pPr>
              <w:pStyle w:val="64"/>
            </w:pPr>
            <w:r>
              <w:t>——</w:t>
            </w:r>
          </w:p>
        </w:tc>
        <w:tc>
          <w:tcPr>
            <w:tcW w:w="387" w:type="pct"/>
            <w:vAlign w:val="center"/>
          </w:tcPr>
          <w:p w14:paraId="0AF39651">
            <w:pPr>
              <w:pStyle w:val="64"/>
            </w:pPr>
            <w:r>
              <w:t>——</w:t>
            </w:r>
          </w:p>
        </w:tc>
        <w:tc>
          <w:tcPr>
            <w:tcW w:w="388" w:type="pct"/>
            <w:vAlign w:val="center"/>
          </w:tcPr>
          <w:p w14:paraId="3DDA4864">
            <w:pPr>
              <w:pStyle w:val="64"/>
            </w:pPr>
            <w:r>
              <w:t>40</w:t>
            </w:r>
          </w:p>
        </w:tc>
        <w:tc>
          <w:tcPr>
            <w:tcW w:w="380" w:type="pct"/>
            <w:vAlign w:val="center"/>
          </w:tcPr>
          <w:p w14:paraId="7A17E92F">
            <w:pPr>
              <w:pStyle w:val="64"/>
            </w:pPr>
            <w:r>
              <w:t>40</w:t>
            </w:r>
          </w:p>
        </w:tc>
      </w:tr>
      <w:tr w14:paraId="53BD27F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78" w:type="pct"/>
            <w:vMerge w:val="continue"/>
            <w:vAlign w:val="center"/>
          </w:tcPr>
          <w:p w14:paraId="45620A66">
            <w:pPr>
              <w:pStyle w:val="64"/>
            </w:pPr>
          </w:p>
        </w:tc>
        <w:tc>
          <w:tcPr>
            <w:tcW w:w="1083" w:type="pct"/>
            <w:vAlign w:val="center"/>
          </w:tcPr>
          <w:p w14:paraId="5D35D168">
            <w:pPr>
              <w:pStyle w:val="64"/>
            </w:pPr>
            <w:r>
              <w:t>出水(mg/L)</w:t>
            </w:r>
          </w:p>
        </w:tc>
        <w:tc>
          <w:tcPr>
            <w:tcW w:w="531" w:type="pct"/>
            <w:noWrap/>
            <w:vAlign w:val="center"/>
          </w:tcPr>
          <w:p w14:paraId="74AF7844">
            <w:pPr>
              <w:pStyle w:val="64"/>
            </w:pPr>
            <w:r>
              <w:t>3600</w:t>
            </w:r>
          </w:p>
        </w:tc>
        <w:tc>
          <w:tcPr>
            <w:tcW w:w="438" w:type="pct"/>
            <w:noWrap/>
            <w:vAlign w:val="center"/>
          </w:tcPr>
          <w:p w14:paraId="0AA5C1B7">
            <w:pPr>
              <w:pStyle w:val="64"/>
            </w:pPr>
            <w:r>
              <w:t>1100</w:t>
            </w:r>
          </w:p>
        </w:tc>
        <w:tc>
          <w:tcPr>
            <w:tcW w:w="464" w:type="pct"/>
            <w:noWrap/>
            <w:vAlign w:val="center"/>
          </w:tcPr>
          <w:p w14:paraId="14054A72">
            <w:pPr>
              <w:pStyle w:val="64"/>
            </w:pPr>
            <w:r>
              <w:t>195</w:t>
            </w:r>
          </w:p>
        </w:tc>
        <w:tc>
          <w:tcPr>
            <w:tcW w:w="463" w:type="pct"/>
            <w:noWrap/>
            <w:vAlign w:val="center"/>
          </w:tcPr>
          <w:p w14:paraId="2A05BD66">
            <w:pPr>
              <w:pStyle w:val="64"/>
            </w:pPr>
            <w:r>
              <w:t>14.25</w:t>
            </w:r>
          </w:p>
        </w:tc>
        <w:tc>
          <w:tcPr>
            <w:tcW w:w="387" w:type="pct"/>
            <w:vAlign w:val="center"/>
          </w:tcPr>
          <w:p w14:paraId="393FBE8F">
            <w:pPr>
              <w:pStyle w:val="64"/>
            </w:pPr>
            <w:r>
              <w:t>1</w:t>
            </w:r>
          </w:p>
        </w:tc>
        <w:tc>
          <w:tcPr>
            <w:tcW w:w="387" w:type="pct"/>
            <w:vAlign w:val="center"/>
          </w:tcPr>
          <w:p w14:paraId="5D7E38E2">
            <w:pPr>
              <w:pStyle w:val="64"/>
            </w:pPr>
            <w:r>
              <w:t>2</w:t>
            </w:r>
          </w:p>
        </w:tc>
        <w:tc>
          <w:tcPr>
            <w:tcW w:w="388" w:type="pct"/>
            <w:noWrap/>
            <w:vAlign w:val="center"/>
          </w:tcPr>
          <w:p w14:paraId="4E591423">
            <w:pPr>
              <w:pStyle w:val="64"/>
            </w:pPr>
            <w:r>
              <w:t>0.3</w:t>
            </w:r>
          </w:p>
        </w:tc>
        <w:tc>
          <w:tcPr>
            <w:tcW w:w="380" w:type="pct"/>
            <w:noWrap/>
            <w:vAlign w:val="center"/>
          </w:tcPr>
          <w:p w14:paraId="4A665AFB">
            <w:pPr>
              <w:pStyle w:val="64"/>
            </w:pPr>
            <w:r>
              <w:t>0.3</w:t>
            </w:r>
          </w:p>
        </w:tc>
      </w:tr>
      <w:tr w14:paraId="3C8D2A5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78" w:type="pct"/>
            <w:vMerge w:val="restart"/>
            <w:vAlign w:val="center"/>
          </w:tcPr>
          <w:p w14:paraId="1AB35EAA">
            <w:pPr>
              <w:pStyle w:val="64"/>
            </w:pPr>
            <w:r>
              <w:t>UASB</w:t>
            </w:r>
          </w:p>
        </w:tc>
        <w:tc>
          <w:tcPr>
            <w:tcW w:w="1083" w:type="pct"/>
            <w:vAlign w:val="center"/>
          </w:tcPr>
          <w:p w14:paraId="6E43661D">
            <w:pPr>
              <w:pStyle w:val="64"/>
            </w:pPr>
            <w:r>
              <w:t>去除率(%)</w:t>
            </w:r>
          </w:p>
        </w:tc>
        <w:tc>
          <w:tcPr>
            <w:tcW w:w="531" w:type="pct"/>
            <w:vAlign w:val="center"/>
          </w:tcPr>
          <w:p w14:paraId="2AB155E1">
            <w:pPr>
              <w:pStyle w:val="64"/>
            </w:pPr>
            <w:r>
              <w:t>65</w:t>
            </w:r>
          </w:p>
        </w:tc>
        <w:tc>
          <w:tcPr>
            <w:tcW w:w="438" w:type="pct"/>
            <w:vAlign w:val="center"/>
          </w:tcPr>
          <w:p w14:paraId="70386F94">
            <w:pPr>
              <w:pStyle w:val="64"/>
            </w:pPr>
            <w:r>
              <w:t>65</w:t>
            </w:r>
          </w:p>
        </w:tc>
        <w:tc>
          <w:tcPr>
            <w:tcW w:w="464" w:type="pct"/>
            <w:vAlign w:val="center"/>
          </w:tcPr>
          <w:p w14:paraId="401D6E9C">
            <w:pPr>
              <w:pStyle w:val="64"/>
            </w:pPr>
            <w:r>
              <w:t>20</w:t>
            </w:r>
          </w:p>
        </w:tc>
        <w:tc>
          <w:tcPr>
            <w:tcW w:w="463" w:type="pct"/>
            <w:vAlign w:val="center"/>
          </w:tcPr>
          <w:p w14:paraId="44293B9A">
            <w:pPr>
              <w:pStyle w:val="64"/>
            </w:pPr>
            <w:r>
              <w:t>——</w:t>
            </w:r>
          </w:p>
        </w:tc>
        <w:tc>
          <w:tcPr>
            <w:tcW w:w="387" w:type="pct"/>
            <w:vAlign w:val="center"/>
          </w:tcPr>
          <w:p w14:paraId="7CE0501E">
            <w:pPr>
              <w:pStyle w:val="64"/>
            </w:pPr>
            <w:r>
              <w:t>40</w:t>
            </w:r>
          </w:p>
        </w:tc>
        <w:tc>
          <w:tcPr>
            <w:tcW w:w="387" w:type="pct"/>
            <w:vAlign w:val="center"/>
          </w:tcPr>
          <w:p w14:paraId="446E928C">
            <w:pPr>
              <w:pStyle w:val="64"/>
            </w:pPr>
            <w:r>
              <w:t>10</w:t>
            </w:r>
          </w:p>
        </w:tc>
        <w:tc>
          <w:tcPr>
            <w:tcW w:w="388" w:type="pct"/>
            <w:vAlign w:val="center"/>
          </w:tcPr>
          <w:p w14:paraId="60F8E43E">
            <w:pPr>
              <w:pStyle w:val="64"/>
            </w:pPr>
            <w:r>
              <w:t>——</w:t>
            </w:r>
          </w:p>
        </w:tc>
        <w:tc>
          <w:tcPr>
            <w:tcW w:w="380" w:type="pct"/>
            <w:vAlign w:val="center"/>
          </w:tcPr>
          <w:p w14:paraId="47590121">
            <w:pPr>
              <w:pStyle w:val="64"/>
            </w:pPr>
            <w:r>
              <w:t>——</w:t>
            </w:r>
          </w:p>
        </w:tc>
      </w:tr>
      <w:tr w14:paraId="0413906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78" w:type="pct"/>
            <w:vMerge w:val="continue"/>
            <w:vAlign w:val="center"/>
          </w:tcPr>
          <w:p w14:paraId="0E9D9C1B">
            <w:pPr>
              <w:pStyle w:val="64"/>
            </w:pPr>
          </w:p>
        </w:tc>
        <w:tc>
          <w:tcPr>
            <w:tcW w:w="1083" w:type="pct"/>
            <w:vAlign w:val="center"/>
          </w:tcPr>
          <w:p w14:paraId="4F7A6524">
            <w:pPr>
              <w:pStyle w:val="64"/>
            </w:pPr>
            <w:r>
              <w:t>出水(mg/L)</w:t>
            </w:r>
          </w:p>
        </w:tc>
        <w:tc>
          <w:tcPr>
            <w:tcW w:w="531" w:type="pct"/>
            <w:noWrap/>
            <w:vAlign w:val="center"/>
          </w:tcPr>
          <w:p w14:paraId="2586EBCC">
            <w:pPr>
              <w:pStyle w:val="64"/>
            </w:pPr>
            <w:r>
              <w:t>1260</w:t>
            </w:r>
          </w:p>
        </w:tc>
        <w:tc>
          <w:tcPr>
            <w:tcW w:w="438" w:type="pct"/>
            <w:noWrap/>
            <w:vAlign w:val="center"/>
          </w:tcPr>
          <w:p w14:paraId="4410C328">
            <w:pPr>
              <w:pStyle w:val="64"/>
            </w:pPr>
            <w:r>
              <w:t>385</w:t>
            </w:r>
          </w:p>
        </w:tc>
        <w:tc>
          <w:tcPr>
            <w:tcW w:w="464" w:type="pct"/>
            <w:noWrap/>
            <w:vAlign w:val="center"/>
          </w:tcPr>
          <w:p w14:paraId="521BAB66">
            <w:pPr>
              <w:pStyle w:val="64"/>
            </w:pPr>
            <w:r>
              <w:t>156</w:t>
            </w:r>
          </w:p>
        </w:tc>
        <w:tc>
          <w:tcPr>
            <w:tcW w:w="463" w:type="pct"/>
            <w:noWrap/>
            <w:vAlign w:val="center"/>
          </w:tcPr>
          <w:p w14:paraId="0A8B480B">
            <w:pPr>
              <w:pStyle w:val="64"/>
            </w:pPr>
            <w:r>
              <w:t>14.25</w:t>
            </w:r>
          </w:p>
        </w:tc>
        <w:tc>
          <w:tcPr>
            <w:tcW w:w="387" w:type="pct"/>
            <w:noWrap/>
            <w:vAlign w:val="center"/>
          </w:tcPr>
          <w:p w14:paraId="1C577543">
            <w:pPr>
              <w:pStyle w:val="64"/>
            </w:pPr>
            <w:r>
              <w:t>0.6</w:t>
            </w:r>
          </w:p>
        </w:tc>
        <w:tc>
          <w:tcPr>
            <w:tcW w:w="387" w:type="pct"/>
            <w:noWrap/>
            <w:vAlign w:val="center"/>
          </w:tcPr>
          <w:p w14:paraId="623A45B5">
            <w:pPr>
              <w:pStyle w:val="64"/>
            </w:pPr>
            <w:r>
              <w:t>1.8</w:t>
            </w:r>
          </w:p>
        </w:tc>
        <w:tc>
          <w:tcPr>
            <w:tcW w:w="388" w:type="pct"/>
            <w:vAlign w:val="center"/>
          </w:tcPr>
          <w:p w14:paraId="70911DB2">
            <w:pPr>
              <w:pStyle w:val="64"/>
            </w:pPr>
            <w:r>
              <w:t>0.3</w:t>
            </w:r>
          </w:p>
        </w:tc>
        <w:tc>
          <w:tcPr>
            <w:tcW w:w="380" w:type="pct"/>
            <w:vAlign w:val="center"/>
          </w:tcPr>
          <w:p w14:paraId="0A2D39EB">
            <w:pPr>
              <w:pStyle w:val="64"/>
            </w:pPr>
            <w:r>
              <w:t>0.3</w:t>
            </w:r>
          </w:p>
        </w:tc>
      </w:tr>
      <w:tr w14:paraId="4D70BF5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78" w:type="pct"/>
            <w:vMerge w:val="restart"/>
            <w:vAlign w:val="center"/>
          </w:tcPr>
          <w:p w14:paraId="7D97F424">
            <w:pPr>
              <w:pStyle w:val="64"/>
            </w:pPr>
            <w:r>
              <w:t>生物接触氧化</w:t>
            </w:r>
          </w:p>
        </w:tc>
        <w:tc>
          <w:tcPr>
            <w:tcW w:w="1083" w:type="pct"/>
            <w:vAlign w:val="center"/>
          </w:tcPr>
          <w:p w14:paraId="497E0DC7">
            <w:pPr>
              <w:pStyle w:val="64"/>
            </w:pPr>
            <w:r>
              <w:t>去除率(%)</w:t>
            </w:r>
          </w:p>
        </w:tc>
        <w:tc>
          <w:tcPr>
            <w:tcW w:w="531" w:type="pct"/>
            <w:vAlign w:val="center"/>
          </w:tcPr>
          <w:p w14:paraId="03E35926">
            <w:pPr>
              <w:pStyle w:val="64"/>
            </w:pPr>
            <w:r>
              <w:t>70</w:t>
            </w:r>
          </w:p>
        </w:tc>
        <w:tc>
          <w:tcPr>
            <w:tcW w:w="438" w:type="pct"/>
            <w:vAlign w:val="center"/>
          </w:tcPr>
          <w:p w14:paraId="43DFAFB7">
            <w:pPr>
              <w:pStyle w:val="64"/>
            </w:pPr>
            <w:r>
              <w:t>75</w:t>
            </w:r>
          </w:p>
        </w:tc>
        <w:tc>
          <w:tcPr>
            <w:tcW w:w="464" w:type="pct"/>
            <w:vAlign w:val="center"/>
          </w:tcPr>
          <w:p w14:paraId="7764E00F">
            <w:pPr>
              <w:pStyle w:val="64"/>
            </w:pPr>
            <w:r>
              <w:t>——</w:t>
            </w:r>
          </w:p>
        </w:tc>
        <w:tc>
          <w:tcPr>
            <w:tcW w:w="463" w:type="pct"/>
            <w:vAlign w:val="center"/>
          </w:tcPr>
          <w:p w14:paraId="73F4A4D2">
            <w:pPr>
              <w:pStyle w:val="64"/>
            </w:pPr>
            <w:r>
              <w:t>35</w:t>
            </w:r>
          </w:p>
        </w:tc>
        <w:tc>
          <w:tcPr>
            <w:tcW w:w="387" w:type="pct"/>
            <w:vAlign w:val="center"/>
          </w:tcPr>
          <w:p w14:paraId="0B63F26B">
            <w:pPr>
              <w:pStyle w:val="64"/>
            </w:pPr>
            <w:r>
              <w:t>20</w:t>
            </w:r>
          </w:p>
        </w:tc>
        <w:tc>
          <w:tcPr>
            <w:tcW w:w="387" w:type="pct"/>
            <w:vAlign w:val="center"/>
          </w:tcPr>
          <w:p w14:paraId="1457BC87">
            <w:pPr>
              <w:pStyle w:val="64"/>
            </w:pPr>
            <w:r>
              <w:t>——</w:t>
            </w:r>
          </w:p>
        </w:tc>
        <w:tc>
          <w:tcPr>
            <w:tcW w:w="388" w:type="pct"/>
            <w:vAlign w:val="center"/>
          </w:tcPr>
          <w:p w14:paraId="04E84FBA">
            <w:pPr>
              <w:pStyle w:val="64"/>
            </w:pPr>
            <w:r>
              <w:t>——</w:t>
            </w:r>
          </w:p>
        </w:tc>
        <w:tc>
          <w:tcPr>
            <w:tcW w:w="380" w:type="pct"/>
            <w:vAlign w:val="center"/>
          </w:tcPr>
          <w:p w14:paraId="5F474D63">
            <w:pPr>
              <w:pStyle w:val="64"/>
            </w:pPr>
            <w:r>
              <w:t>——</w:t>
            </w:r>
          </w:p>
        </w:tc>
      </w:tr>
      <w:tr w14:paraId="2246F82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78" w:type="pct"/>
            <w:vMerge w:val="continue"/>
            <w:vAlign w:val="center"/>
          </w:tcPr>
          <w:p w14:paraId="7969F194">
            <w:pPr>
              <w:pStyle w:val="64"/>
            </w:pPr>
          </w:p>
        </w:tc>
        <w:tc>
          <w:tcPr>
            <w:tcW w:w="1083" w:type="pct"/>
            <w:vAlign w:val="center"/>
          </w:tcPr>
          <w:p w14:paraId="7065ADB4">
            <w:pPr>
              <w:pStyle w:val="64"/>
            </w:pPr>
            <w:r>
              <w:t>出水(mg/L)</w:t>
            </w:r>
          </w:p>
        </w:tc>
        <w:tc>
          <w:tcPr>
            <w:tcW w:w="531" w:type="pct"/>
            <w:noWrap/>
            <w:vAlign w:val="center"/>
          </w:tcPr>
          <w:p w14:paraId="07C5C4CF">
            <w:pPr>
              <w:pStyle w:val="64"/>
            </w:pPr>
            <w:r>
              <w:t>378</w:t>
            </w:r>
          </w:p>
        </w:tc>
        <w:tc>
          <w:tcPr>
            <w:tcW w:w="438" w:type="pct"/>
            <w:noWrap/>
            <w:vAlign w:val="center"/>
          </w:tcPr>
          <w:p w14:paraId="491BFAC3">
            <w:pPr>
              <w:pStyle w:val="64"/>
            </w:pPr>
            <w:r>
              <w:t>96.2</w:t>
            </w:r>
          </w:p>
        </w:tc>
        <w:tc>
          <w:tcPr>
            <w:tcW w:w="464" w:type="pct"/>
            <w:noWrap/>
            <w:vAlign w:val="center"/>
          </w:tcPr>
          <w:p w14:paraId="516FE235">
            <w:pPr>
              <w:pStyle w:val="64"/>
            </w:pPr>
            <w:r>
              <w:t>156</w:t>
            </w:r>
          </w:p>
        </w:tc>
        <w:tc>
          <w:tcPr>
            <w:tcW w:w="463" w:type="pct"/>
            <w:noWrap/>
            <w:vAlign w:val="center"/>
          </w:tcPr>
          <w:p w14:paraId="4C45DD26">
            <w:pPr>
              <w:pStyle w:val="64"/>
            </w:pPr>
            <w:r>
              <w:t>9.26</w:t>
            </w:r>
          </w:p>
        </w:tc>
        <w:tc>
          <w:tcPr>
            <w:tcW w:w="387" w:type="pct"/>
            <w:noWrap/>
            <w:vAlign w:val="center"/>
          </w:tcPr>
          <w:p w14:paraId="2F41E91A">
            <w:pPr>
              <w:pStyle w:val="64"/>
            </w:pPr>
            <w:r>
              <w:t>0.48</w:t>
            </w:r>
          </w:p>
        </w:tc>
        <w:tc>
          <w:tcPr>
            <w:tcW w:w="387" w:type="pct"/>
            <w:vAlign w:val="center"/>
          </w:tcPr>
          <w:p w14:paraId="0E984C50">
            <w:pPr>
              <w:pStyle w:val="64"/>
            </w:pPr>
            <w:r>
              <w:t>1.8</w:t>
            </w:r>
          </w:p>
        </w:tc>
        <w:tc>
          <w:tcPr>
            <w:tcW w:w="388" w:type="pct"/>
            <w:vAlign w:val="center"/>
          </w:tcPr>
          <w:p w14:paraId="03B43F94">
            <w:pPr>
              <w:pStyle w:val="64"/>
            </w:pPr>
            <w:r>
              <w:t>0.3</w:t>
            </w:r>
          </w:p>
        </w:tc>
        <w:tc>
          <w:tcPr>
            <w:tcW w:w="380" w:type="pct"/>
            <w:vAlign w:val="center"/>
          </w:tcPr>
          <w:p w14:paraId="34F7D22E">
            <w:pPr>
              <w:pStyle w:val="64"/>
            </w:pPr>
            <w:r>
              <w:t>0.3</w:t>
            </w:r>
          </w:p>
        </w:tc>
      </w:tr>
      <w:tr w14:paraId="4907EA8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78" w:type="pct"/>
            <w:vMerge w:val="restart"/>
            <w:vAlign w:val="center"/>
          </w:tcPr>
          <w:p w14:paraId="17AA5738">
            <w:pPr>
              <w:pStyle w:val="64"/>
            </w:pPr>
            <w:r>
              <w:t>二沉+臭氧氧化</w:t>
            </w:r>
          </w:p>
        </w:tc>
        <w:tc>
          <w:tcPr>
            <w:tcW w:w="1083" w:type="pct"/>
            <w:vAlign w:val="center"/>
          </w:tcPr>
          <w:p w14:paraId="7CE0C686">
            <w:pPr>
              <w:pStyle w:val="64"/>
            </w:pPr>
            <w:r>
              <w:t>去除率(%)</w:t>
            </w:r>
          </w:p>
        </w:tc>
        <w:tc>
          <w:tcPr>
            <w:tcW w:w="531" w:type="pct"/>
            <w:vAlign w:val="center"/>
          </w:tcPr>
          <w:p w14:paraId="562CF1F2">
            <w:pPr>
              <w:pStyle w:val="64"/>
            </w:pPr>
            <w:r>
              <w:t>10</w:t>
            </w:r>
          </w:p>
        </w:tc>
        <w:tc>
          <w:tcPr>
            <w:tcW w:w="438" w:type="pct"/>
            <w:vAlign w:val="center"/>
          </w:tcPr>
          <w:p w14:paraId="154AC714">
            <w:pPr>
              <w:pStyle w:val="64"/>
            </w:pPr>
            <w:r>
              <w:t>10</w:t>
            </w:r>
          </w:p>
        </w:tc>
        <w:tc>
          <w:tcPr>
            <w:tcW w:w="464" w:type="pct"/>
            <w:vAlign w:val="center"/>
          </w:tcPr>
          <w:p w14:paraId="70C40EE6">
            <w:pPr>
              <w:pStyle w:val="64"/>
            </w:pPr>
            <w:r>
              <w:t>35</w:t>
            </w:r>
          </w:p>
        </w:tc>
        <w:tc>
          <w:tcPr>
            <w:tcW w:w="463" w:type="pct"/>
            <w:vAlign w:val="center"/>
          </w:tcPr>
          <w:p w14:paraId="2C7C7615">
            <w:pPr>
              <w:pStyle w:val="64"/>
            </w:pPr>
            <w:r>
              <w:t>——</w:t>
            </w:r>
          </w:p>
        </w:tc>
        <w:tc>
          <w:tcPr>
            <w:tcW w:w="387" w:type="pct"/>
            <w:vAlign w:val="center"/>
          </w:tcPr>
          <w:p w14:paraId="3DCAC617">
            <w:pPr>
              <w:pStyle w:val="64"/>
            </w:pPr>
            <w:r>
              <w:t>——</w:t>
            </w:r>
          </w:p>
        </w:tc>
        <w:tc>
          <w:tcPr>
            <w:tcW w:w="387" w:type="pct"/>
            <w:vAlign w:val="center"/>
          </w:tcPr>
          <w:p w14:paraId="271E3E9E">
            <w:pPr>
              <w:pStyle w:val="64"/>
            </w:pPr>
            <w:r>
              <w:t>——</w:t>
            </w:r>
          </w:p>
        </w:tc>
        <w:tc>
          <w:tcPr>
            <w:tcW w:w="388" w:type="pct"/>
            <w:vAlign w:val="center"/>
          </w:tcPr>
          <w:p w14:paraId="4E54FA35">
            <w:pPr>
              <w:pStyle w:val="64"/>
            </w:pPr>
            <w:r>
              <w:t>——</w:t>
            </w:r>
          </w:p>
        </w:tc>
        <w:tc>
          <w:tcPr>
            <w:tcW w:w="380" w:type="pct"/>
            <w:vAlign w:val="center"/>
          </w:tcPr>
          <w:p w14:paraId="2D0F8FAF">
            <w:pPr>
              <w:pStyle w:val="64"/>
            </w:pPr>
            <w:r>
              <w:t>——</w:t>
            </w:r>
          </w:p>
        </w:tc>
      </w:tr>
      <w:tr w14:paraId="6DCA438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78" w:type="pct"/>
            <w:vMerge w:val="continue"/>
            <w:vAlign w:val="center"/>
          </w:tcPr>
          <w:p w14:paraId="4FBD924A">
            <w:pPr>
              <w:pStyle w:val="64"/>
            </w:pPr>
          </w:p>
        </w:tc>
        <w:tc>
          <w:tcPr>
            <w:tcW w:w="1083" w:type="pct"/>
            <w:vAlign w:val="center"/>
          </w:tcPr>
          <w:p w14:paraId="36A1F8C6">
            <w:pPr>
              <w:pStyle w:val="64"/>
            </w:pPr>
            <w:r>
              <w:t>出水(mg/L)</w:t>
            </w:r>
          </w:p>
        </w:tc>
        <w:tc>
          <w:tcPr>
            <w:tcW w:w="531" w:type="pct"/>
            <w:noWrap/>
            <w:vAlign w:val="center"/>
          </w:tcPr>
          <w:p w14:paraId="7ED1A03D">
            <w:pPr>
              <w:pStyle w:val="64"/>
            </w:pPr>
            <w:r>
              <w:t>340.2</w:t>
            </w:r>
          </w:p>
        </w:tc>
        <w:tc>
          <w:tcPr>
            <w:tcW w:w="438" w:type="pct"/>
            <w:noWrap/>
            <w:vAlign w:val="center"/>
          </w:tcPr>
          <w:p w14:paraId="4AFD3BF8">
            <w:pPr>
              <w:pStyle w:val="64"/>
            </w:pPr>
            <w:r>
              <w:t>86.6</w:t>
            </w:r>
          </w:p>
        </w:tc>
        <w:tc>
          <w:tcPr>
            <w:tcW w:w="464" w:type="pct"/>
            <w:noWrap/>
            <w:vAlign w:val="center"/>
          </w:tcPr>
          <w:p w14:paraId="6FF28404">
            <w:pPr>
              <w:pStyle w:val="64"/>
            </w:pPr>
            <w:r>
              <w:t>101.4</w:t>
            </w:r>
          </w:p>
        </w:tc>
        <w:tc>
          <w:tcPr>
            <w:tcW w:w="463" w:type="pct"/>
            <w:noWrap/>
            <w:vAlign w:val="center"/>
          </w:tcPr>
          <w:p w14:paraId="45BF6F02">
            <w:pPr>
              <w:pStyle w:val="64"/>
            </w:pPr>
            <w:r>
              <w:t>9.26</w:t>
            </w:r>
          </w:p>
        </w:tc>
        <w:tc>
          <w:tcPr>
            <w:tcW w:w="387" w:type="pct"/>
            <w:noWrap/>
            <w:vAlign w:val="center"/>
          </w:tcPr>
          <w:p w14:paraId="5C128CBF">
            <w:pPr>
              <w:pStyle w:val="64"/>
            </w:pPr>
            <w:r>
              <w:t>0.48</w:t>
            </w:r>
          </w:p>
        </w:tc>
        <w:tc>
          <w:tcPr>
            <w:tcW w:w="387" w:type="pct"/>
            <w:noWrap/>
            <w:vAlign w:val="center"/>
          </w:tcPr>
          <w:p w14:paraId="4EAE603D">
            <w:pPr>
              <w:pStyle w:val="64"/>
            </w:pPr>
            <w:r>
              <w:t>1.8</w:t>
            </w:r>
          </w:p>
        </w:tc>
        <w:tc>
          <w:tcPr>
            <w:tcW w:w="388" w:type="pct"/>
            <w:vAlign w:val="center"/>
          </w:tcPr>
          <w:p w14:paraId="12AEF0BC">
            <w:pPr>
              <w:pStyle w:val="64"/>
            </w:pPr>
            <w:r>
              <w:t>0.3</w:t>
            </w:r>
          </w:p>
        </w:tc>
        <w:tc>
          <w:tcPr>
            <w:tcW w:w="380" w:type="pct"/>
            <w:vAlign w:val="center"/>
          </w:tcPr>
          <w:p w14:paraId="5C561757">
            <w:pPr>
              <w:pStyle w:val="64"/>
            </w:pPr>
            <w:r>
              <w:t>0.3</w:t>
            </w:r>
          </w:p>
        </w:tc>
      </w:tr>
      <w:tr w14:paraId="0D55BCA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561" w:type="pct"/>
            <w:gridSpan w:val="2"/>
            <w:vAlign w:val="center"/>
          </w:tcPr>
          <w:p w14:paraId="038DE44C">
            <w:pPr>
              <w:pStyle w:val="64"/>
            </w:pPr>
            <w:r>
              <w:t>排放水质</w:t>
            </w:r>
          </w:p>
        </w:tc>
        <w:tc>
          <w:tcPr>
            <w:tcW w:w="531" w:type="pct"/>
            <w:vAlign w:val="center"/>
          </w:tcPr>
          <w:p w14:paraId="757BDF18">
            <w:pPr>
              <w:pStyle w:val="64"/>
            </w:pPr>
            <w:r>
              <w:t>340.2</w:t>
            </w:r>
          </w:p>
        </w:tc>
        <w:tc>
          <w:tcPr>
            <w:tcW w:w="438" w:type="pct"/>
            <w:vAlign w:val="center"/>
          </w:tcPr>
          <w:p w14:paraId="2C2A915C">
            <w:pPr>
              <w:pStyle w:val="64"/>
            </w:pPr>
            <w:r>
              <w:t>86.6</w:t>
            </w:r>
          </w:p>
        </w:tc>
        <w:tc>
          <w:tcPr>
            <w:tcW w:w="464" w:type="pct"/>
            <w:vAlign w:val="center"/>
          </w:tcPr>
          <w:p w14:paraId="781730CA">
            <w:pPr>
              <w:pStyle w:val="64"/>
            </w:pPr>
            <w:r>
              <w:t>101.4</w:t>
            </w:r>
          </w:p>
        </w:tc>
        <w:tc>
          <w:tcPr>
            <w:tcW w:w="463" w:type="pct"/>
            <w:vAlign w:val="center"/>
          </w:tcPr>
          <w:p w14:paraId="2CB7A254">
            <w:pPr>
              <w:pStyle w:val="64"/>
            </w:pPr>
            <w:r>
              <w:t>9.26</w:t>
            </w:r>
          </w:p>
        </w:tc>
        <w:tc>
          <w:tcPr>
            <w:tcW w:w="387" w:type="pct"/>
            <w:vAlign w:val="center"/>
          </w:tcPr>
          <w:p w14:paraId="1BDB4E8E">
            <w:pPr>
              <w:pStyle w:val="64"/>
            </w:pPr>
            <w:r>
              <w:t>0.48</w:t>
            </w:r>
          </w:p>
        </w:tc>
        <w:tc>
          <w:tcPr>
            <w:tcW w:w="387" w:type="pct"/>
            <w:vAlign w:val="center"/>
          </w:tcPr>
          <w:p w14:paraId="47614F7D">
            <w:pPr>
              <w:pStyle w:val="64"/>
            </w:pPr>
            <w:r>
              <w:t>1.8</w:t>
            </w:r>
          </w:p>
        </w:tc>
        <w:tc>
          <w:tcPr>
            <w:tcW w:w="388" w:type="pct"/>
            <w:vAlign w:val="center"/>
          </w:tcPr>
          <w:p w14:paraId="7B334732">
            <w:pPr>
              <w:pStyle w:val="64"/>
            </w:pPr>
            <w:r>
              <w:t>0.3</w:t>
            </w:r>
          </w:p>
        </w:tc>
        <w:tc>
          <w:tcPr>
            <w:tcW w:w="380" w:type="pct"/>
            <w:vAlign w:val="center"/>
          </w:tcPr>
          <w:p w14:paraId="793F52BB">
            <w:pPr>
              <w:pStyle w:val="64"/>
            </w:pPr>
            <w:r>
              <w:t>0.3</w:t>
            </w:r>
          </w:p>
        </w:tc>
      </w:tr>
      <w:tr w14:paraId="252AB2F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561" w:type="pct"/>
            <w:gridSpan w:val="2"/>
            <w:vAlign w:val="center"/>
          </w:tcPr>
          <w:p w14:paraId="2D334216">
            <w:pPr>
              <w:pStyle w:val="64"/>
            </w:pPr>
            <w:r>
              <w:t>沫河口污水处理厂接管标准</w:t>
            </w:r>
          </w:p>
        </w:tc>
        <w:tc>
          <w:tcPr>
            <w:tcW w:w="531" w:type="pct"/>
            <w:vAlign w:val="center"/>
          </w:tcPr>
          <w:p w14:paraId="227B23A8">
            <w:pPr>
              <w:pStyle w:val="64"/>
            </w:pPr>
            <w:r>
              <w:t>≤500</w:t>
            </w:r>
          </w:p>
        </w:tc>
        <w:tc>
          <w:tcPr>
            <w:tcW w:w="438" w:type="pct"/>
            <w:vAlign w:val="center"/>
          </w:tcPr>
          <w:p w14:paraId="69139974">
            <w:pPr>
              <w:pStyle w:val="64"/>
            </w:pPr>
            <w:r>
              <w:t>≤120</w:t>
            </w:r>
          </w:p>
        </w:tc>
        <w:tc>
          <w:tcPr>
            <w:tcW w:w="464" w:type="pct"/>
            <w:vAlign w:val="center"/>
          </w:tcPr>
          <w:p w14:paraId="2FF2E48A">
            <w:pPr>
              <w:pStyle w:val="64"/>
            </w:pPr>
            <w:r>
              <w:t>≤200</w:t>
            </w:r>
          </w:p>
        </w:tc>
        <w:tc>
          <w:tcPr>
            <w:tcW w:w="463" w:type="pct"/>
            <w:vAlign w:val="center"/>
          </w:tcPr>
          <w:p w14:paraId="14363D1B">
            <w:pPr>
              <w:pStyle w:val="64"/>
            </w:pPr>
            <w:r>
              <w:t>≤30</w:t>
            </w:r>
          </w:p>
        </w:tc>
        <w:tc>
          <w:tcPr>
            <w:tcW w:w="387" w:type="pct"/>
            <w:vAlign w:val="center"/>
          </w:tcPr>
          <w:p w14:paraId="7FD2E668">
            <w:pPr>
              <w:pStyle w:val="64"/>
            </w:pPr>
            <w:r>
              <w:t>≤0.5</w:t>
            </w:r>
          </w:p>
        </w:tc>
        <w:tc>
          <w:tcPr>
            <w:tcW w:w="387" w:type="pct"/>
            <w:vAlign w:val="center"/>
          </w:tcPr>
          <w:p w14:paraId="58DE2D6C">
            <w:pPr>
              <w:pStyle w:val="64"/>
            </w:pPr>
            <w:r>
              <w:t>≤2</w:t>
            </w:r>
          </w:p>
        </w:tc>
        <w:tc>
          <w:tcPr>
            <w:tcW w:w="388" w:type="pct"/>
            <w:vAlign w:val="center"/>
          </w:tcPr>
          <w:p w14:paraId="5E817BFF">
            <w:pPr>
              <w:pStyle w:val="64"/>
            </w:pPr>
            <w:r>
              <w:t>≤0.3</w:t>
            </w:r>
          </w:p>
        </w:tc>
        <w:tc>
          <w:tcPr>
            <w:tcW w:w="380" w:type="pct"/>
            <w:vAlign w:val="center"/>
          </w:tcPr>
          <w:p w14:paraId="287ED7D4">
            <w:pPr>
              <w:pStyle w:val="64"/>
            </w:pPr>
            <w:r>
              <w:t>≤0.3</w:t>
            </w:r>
          </w:p>
        </w:tc>
      </w:tr>
      <w:tr w14:paraId="4F253EA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561" w:type="pct"/>
            <w:gridSpan w:val="2"/>
            <w:vAlign w:val="center"/>
          </w:tcPr>
          <w:p w14:paraId="72206420">
            <w:pPr>
              <w:pStyle w:val="64"/>
            </w:pPr>
            <w:r>
              <w:t>总去除率(%)</w:t>
            </w:r>
          </w:p>
        </w:tc>
        <w:tc>
          <w:tcPr>
            <w:tcW w:w="531" w:type="pct"/>
            <w:vAlign w:val="center"/>
          </w:tcPr>
          <w:p w14:paraId="5FAE1AE1">
            <w:pPr>
              <w:pStyle w:val="64"/>
            </w:pPr>
            <w:r>
              <w:t>91.50</w:t>
            </w:r>
          </w:p>
        </w:tc>
        <w:tc>
          <w:tcPr>
            <w:tcW w:w="438" w:type="pct"/>
            <w:vAlign w:val="center"/>
          </w:tcPr>
          <w:p w14:paraId="354A224D">
            <w:pPr>
              <w:pStyle w:val="64"/>
            </w:pPr>
            <w:r>
              <w:t>92.13</w:t>
            </w:r>
          </w:p>
        </w:tc>
        <w:tc>
          <w:tcPr>
            <w:tcW w:w="464" w:type="pct"/>
            <w:vAlign w:val="center"/>
          </w:tcPr>
          <w:p w14:paraId="7812A169">
            <w:pPr>
              <w:pStyle w:val="64"/>
            </w:pPr>
            <w:r>
              <w:t>66.20</w:t>
            </w:r>
          </w:p>
        </w:tc>
        <w:tc>
          <w:tcPr>
            <w:tcW w:w="463" w:type="pct"/>
            <w:vAlign w:val="center"/>
          </w:tcPr>
          <w:p w14:paraId="7DC7373F">
            <w:pPr>
              <w:pStyle w:val="64"/>
            </w:pPr>
            <w:r>
              <w:t>38.25</w:t>
            </w:r>
          </w:p>
        </w:tc>
        <w:tc>
          <w:tcPr>
            <w:tcW w:w="387" w:type="pct"/>
            <w:vAlign w:val="center"/>
          </w:tcPr>
          <w:p w14:paraId="5E9F60B3">
            <w:pPr>
              <w:pStyle w:val="64"/>
            </w:pPr>
            <w:r>
              <w:t>52.00</w:t>
            </w:r>
          </w:p>
        </w:tc>
        <w:tc>
          <w:tcPr>
            <w:tcW w:w="387" w:type="pct"/>
            <w:vAlign w:val="center"/>
          </w:tcPr>
          <w:p w14:paraId="234D93C3">
            <w:pPr>
              <w:pStyle w:val="64"/>
            </w:pPr>
            <w:r>
              <w:t>10.00</w:t>
            </w:r>
          </w:p>
        </w:tc>
        <w:tc>
          <w:tcPr>
            <w:tcW w:w="388" w:type="pct"/>
            <w:vAlign w:val="center"/>
          </w:tcPr>
          <w:p w14:paraId="722A666B">
            <w:pPr>
              <w:pStyle w:val="64"/>
            </w:pPr>
            <w:r>
              <w:t>40.00</w:t>
            </w:r>
          </w:p>
        </w:tc>
        <w:tc>
          <w:tcPr>
            <w:tcW w:w="380" w:type="pct"/>
            <w:vAlign w:val="center"/>
          </w:tcPr>
          <w:p w14:paraId="5FA81B1E">
            <w:pPr>
              <w:pStyle w:val="64"/>
            </w:pPr>
            <w:r>
              <w:t>40.00</w:t>
            </w:r>
          </w:p>
        </w:tc>
      </w:tr>
    </w:tbl>
    <w:p w14:paraId="62E1E7C2">
      <w:pPr>
        <w:spacing w:line="240" w:lineRule="auto"/>
        <w:rPr>
          <w:rFonts w:hint="eastAsia" w:ascii="黑体" w:hAnsi="黑体" w:eastAsia="黑体"/>
          <w:bCs/>
          <w:sz w:val="18"/>
          <w:szCs w:val="18"/>
        </w:rPr>
      </w:pPr>
      <w:r>
        <w:rPr>
          <w:rFonts w:ascii="黑体" w:hAnsi="黑体" w:eastAsia="黑体"/>
          <w:bCs/>
          <w:sz w:val="18"/>
          <w:szCs w:val="18"/>
        </w:rPr>
        <w:t>注</w:t>
      </w:r>
      <w:r>
        <w:rPr>
          <w:rFonts w:hint="eastAsia" w:ascii="黑体" w:hAnsi="黑体" w:eastAsia="黑体"/>
          <w:bCs/>
          <w:sz w:val="18"/>
          <w:szCs w:val="18"/>
        </w:rPr>
        <w:t>：原水按设计值给出。</w:t>
      </w:r>
    </w:p>
    <w:p w14:paraId="0F84DBD1">
      <w:pPr>
        <w:ind w:firstLine="480" w:firstLineChars="200"/>
      </w:pPr>
    </w:p>
    <w:p w14:paraId="76F18856">
      <w:pPr>
        <w:ind w:firstLine="480" w:firstLineChars="200"/>
      </w:pPr>
      <w:r>
        <w:rPr>
          <w:rFonts w:hint="eastAsia"/>
        </w:rPr>
        <w:t>综上分析，从处理规模、处理工艺来看，项目依托现有厂区污水处理措施可行，能够满足处理要求。根据西厂区污水处理站排污许可自行监测报告，现有西厂区综合污水处理站COD排放浓度1</w:t>
      </w:r>
      <w:r>
        <w:t>02~342</w:t>
      </w:r>
      <w:r>
        <w:rPr>
          <w:rFonts w:hint="eastAsia"/>
        </w:rPr>
        <w:t>mg/L、BOD</w:t>
      </w:r>
      <w:r>
        <w:rPr>
          <w:vertAlign w:val="subscript"/>
        </w:rPr>
        <w:t>5</w:t>
      </w:r>
      <w:r>
        <w:rPr>
          <w:rFonts w:hint="eastAsia"/>
        </w:rPr>
        <w:t>排放浓度在3</w:t>
      </w:r>
      <w:r>
        <w:t>4~38</w:t>
      </w:r>
      <w:r>
        <w:rPr>
          <w:rFonts w:hint="eastAsia"/>
        </w:rPr>
        <w:t>mg/L、NH</w:t>
      </w:r>
      <w:r>
        <w:rPr>
          <w:rFonts w:hint="eastAsia"/>
          <w:vertAlign w:val="subscript"/>
        </w:rPr>
        <w:t>3</w:t>
      </w:r>
      <w:r>
        <w:rPr>
          <w:rFonts w:hint="eastAsia"/>
        </w:rPr>
        <w:t>-N排放浓度在8</w:t>
      </w:r>
      <w:r>
        <w:t>.47~13.7</w:t>
      </w:r>
      <w:r>
        <w:rPr>
          <w:rFonts w:hint="eastAsia"/>
        </w:rPr>
        <w:t>mg/L、挥发酚排放浓度在0</w:t>
      </w:r>
      <w:r>
        <w:t>.07~0.203</w:t>
      </w:r>
      <w:r>
        <w:rPr>
          <w:rFonts w:hint="eastAsia"/>
        </w:rPr>
        <w:t>mg/L，能够满足</w:t>
      </w:r>
      <w:r>
        <w:t>《石油化学工业污染物排放标准》(GB31571-2015)</w:t>
      </w:r>
      <w:r>
        <w:rPr>
          <w:rFonts w:hint="eastAsia"/>
        </w:rPr>
        <w:t>和</w:t>
      </w:r>
      <w:r>
        <w:t>沫河口污水处理厂接管</w:t>
      </w:r>
      <w:r>
        <w:rPr>
          <w:rFonts w:hint="eastAsia"/>
        </w:rPr>
        <w:t>标准的限值要求。</w:t>
      </w:r>
    </w:p>
    <w:p w14:paraId="2B0839EA">
      <w:pPr>
        <w:pStyle w:val="3"/>
        <w:spacing w:before="326"/>
        <w:rPr>
          <w:rFonts w:hint="eastAsia"/>
        </w:rPr>
      </w:pPr>
      <w:bookmarkStart w:id="151" w:name="_Toc221056453"/>
      <w:r>
        <w:rPr>
          <w:rFonts w:hint="eastAsia"/>
        </w:rPr>
        <w:t>7.3噪声治理措施</w:t>
      </w:r>
      <w:bookmarkEnd w:id="151"/>
    </w:p>
    <w:p w14:paraId="75A2846C">
      <w:pPr>
        <w:pStyle w:val="16"/>
        <w:ind w:firstLine="480"/>
      </w:pPr>
      <w:r>
        <w:rPr>
          <w:rFonts w:hint="eastAsia"/>
        </w:rPr>
        <w:t>技改项目生产全部依托现有工程已建设施，新增1个烷基化反应釜和2台泵，新增噪声源数量少，根据项目噪声特点，评价建议采取以下针对性的噪声控制措施，确保厂界噪声达标。</w:t>
      </w:r>
    </w:p>
    <w:p w14:paraId="76BF08D6">
      <w:pPr>
        <w:pStyle w:val="16"/>
        <w:ind w:firstLine="480"/>
      </w:pPr>
      <w:r>
        <w:rPr>
          <w:rFonts w:hint="eastAsia"/>
        </w:rPr>
        <w:t>①项目优化设备选型，选用低噪声泵、风机和其它设备，从而从声源上降低设备本身的噪声。</w:t>
      </w:r>
    </w:p>
    <w:p w14:paraId="19C2DF46">
      <w:pPr>
        <w:pStyle w:val="16"/>
        <w:ind w:firstLine="480"/>
      </w:pPr>
      <w:r>
        <w:rPr>
          <w:rFonts w:hint="eastAsia"/>
        </w:rPr>
        <w:t>②为防止振动产生的噪声污染，拟采取相应的减振措施：各种输送泵等设置单独基础，并加设减振垫，以防治振动产生噪音。</w:t>
      </w:r>
    </w:p>
    <w:p w14:paraId="63FC38B3">
      <w:pPr>
        <w:pStyle w:val="16"/>
        <w:ind w:firstLine="480"/>
      </w:pPr>
      <w:r>
        <w:rPr>
          <w:rFonts w:hint="eastAsia"/>
        </w:rPr>
        <w:t>③对可能产生噪声的管道和阀门，泵与风机出口管道采用低噪声阀门、柔性联接措施，以控制流体噪声；在风机的进出口管道上安装消音器。</w:t>
      </w:r>
    </w:p>
    <w:p w14:paraId="5E1814AD">
      <w:pPr>
        <w:pStyle w:val="16"/>
        <w:ind w:firstLine="480"/>
      </w:pPr>
      <w:r>
        <w:rPr>
          <w:rFonts w:hint="eastAsia"/>
        </w:rPr>
        <w:t>④维持各设备处于良好的运行状态，避免因设备运转不正常时造成的厂界噪声升高。</w:t>
      </w:r>
    </w:p>
    <w:p w14:paraId="5CDE0F08">
      <w:pPr>
        <w:pStyle w:val="3"/>
        <w:spacing w:before="326"/>
        <w:rPr>
          <w:rFonts w:hint="eastAsia"/>
        </w:rPr>
      </w:pPr>
      <w:bookmarkStart w:id="152" w:name="_Toc221056454"/>
      <w:r>
        <w:rPr>
          <w:rFonts w:hint="eastAsia"/>
        </w:rPr>
        <w:t>7.4固体废物治理措施</w:t>
      </w:r>
      <w:bookmarkEnd w:id="152"/>
    </w:p>
    <w:p w14:paraId="4DF38C1C">
      <w:pPr>
        <w:pStyle w:val="4"/>
        <w:rPr>
          <w:rFonts w:hint="eastAsia"/>
        </w:rPr>
      </w:pPr>
      <w:bookmarkStart w:id="153" w:name="_Toc219021051"/>
      <w:bookmarkStart w:id="154" w:name="_Toc221056455"/>
      <w:r>
        <w:rPr>
          <w:rFonts w:hint="eastAsia"/>
        </w:rPr>
        <w:t>7</w:t>
      </w:r>
      <w:r>
        <w:t>.</w:t>
      </w:r>
      <w:r>
        <w:rPr>
          <w:rFonts w:hint="eastAsia"/>
        </w:rPr>
        <w:t>4</w:t>
      </w:r>
      <w:r>
        <w:t>.1</w:t>
      </w:r>
      <w:r>
        <w:rPr>
          <w:rFonts w:hint="eastAsia"/>
        </w:rPr>
        <w:t>固废处理措施</w:t>
      </w:r>
      <w:bookmarkEnd w:id="153"/>
      <w:bookmarkEnd w:id="154"/>
    </w:p>
    <w:p w14:paraId="1352DEB9">
      <w:pPr>
        <w:pStyle w:val="16"/>
        <w:ind w:firstLine="480"/>
        <w:rPr>
          <w:spacing w:val="-3"/>
        </w:rPr>
      </w:pPr>
      <w:r>
        <w:rPr>
          <w:rFonts w:hint="eastAsia"/>
        </w:rPr>
        <w:t>技改项目生产过程中产生的固体废物主要为精馏残渣、以及员工产生的生活垃圾。精馏残渣为危险废物依托东厂区已建危废临时暂存场所，定期交给有资质单位处理处置，生活垃圾交给环卫部门处理处置。</w:t>
      </w:r>
    </w:p>
    <w:p w14:paraId="6D371CCC">
      <w:pPr>
        <w:pStyle w:val="4"/>
        <w:rPr>
          <w:rFonts w:hint="eastAsia"/>
        </w:rPr>
      </w:pPr>
      <w:bookmarkStart w:id="155" w:name="_Toc219021052"/>
      <w:bookmarkStart w:id="156" w:name="_Toc221056456"/>
      <w:r>
        <w:rPr>
          <w:rFonts w:hint="eastAsia"/>
        </w:rPr>
        <w:t>7</w:t>
      </w:r>
      <w:r>
        <w:t>.</w:t>
      </w:r>
      <w:r>
        <w:rPr>
          <w:rFonts w:hint="eastAsia"/>
        </w:rPr>
        <w:t>4</w:t>
      </w:r>
      <w:r>
        <w:t>.</w:t>
      </w:r>
      <w:r>
        <w:rPr>
          <w:rFonts w:hint="eastAsia"/>
        </w:rPr>
        <w:t>2二次污染控制措施</w:t>
      </w:r>
      <w:bookmarkEnd w:id="155"/>
      <w:bookmarkEnd w:id="156"/>
    </w:p>
    <w:p w14:paraId="7658A3C9">
      <w:pPr>
        <w:pStyle w:val="16"/>
        <w:ind w:firstLine="480"/>
      </w:pPr>
      <w:r>
        <w:rPr>
          <w:rFonts w:hint="eastAsia"/>
        </w:rPr>
        <w:t>海华科技集团有限公司对危险废物管理高度重视，厂区内危废库均按照相规范要求建设，同时已建立了</w:t>
      </w:r>
      <w:r>
        <w:t>对危险废物的管理</w:t>
      </w:r>
      <w:r>
        <w:rPr>
          <w:rFonts w:hint="eastAsia"/>
        </w:rPr>
        <w:t>制度</w:t>
      </w:r>
      <w:r>
        <w:t>。为防止废弃物逸散、流失，采取有害废物分类集中堆放、专人负责等措施，可有效地防止废弃物的二次污染。</w:t>
      </w:r>
    </w:p>
    <w:p w14:paraId="41904297">
      <w:pPr>
        <w:pStyle w:val="16"/>
        <w:ind w:firstLine="480"/>
        <w:rPr>
          <w:spacing w:val="-3"/>
        </w:rPr>
      </w:pPr>
      <w:r>
        <w:rPr>
          <w:rFonts w:hint="eastAsia"/>
        </w:rPr>
        <w:t>建议技改项目实施后</w:t>
      </w:r>
      <w:r>
        <w:t>针对危险废物收集、贮存、运输过程中的事故易发环节定期组织应急演练。</w:t>
      </w:r>
      <w:r>
        <w:rPr>
          <w:rFonts w:hint="eastAsia"/>
          <w:spacing w:val="-3"/>
        </w:rPr>
        <w:t>本项目技改后危废产生种类与技改前基本一致，产生量较技改前略有增加，因此依托现有危废暂存库并委托有资质单位处理处置是可行的。</w:t>
      </w:r>
    </w:p>
    <w:p w14:paraId="56577C56">
      <w:pPr>
        <w:pStyle w:val="3"/>
        <w:spacing w:before="326"/>
        <w:rPr>
          <w:rFonts w:hint="eastAsia"/>
        </w:rPr>
      </w:pPr>
      <w:bookmarkStart w:id="157" w:name="_Toc221056457"/>
      <w:bookmarkStart w:id="158" w:name="_Toc219021053"/>
      <w:r>
        <w:rPr>
          <w:rFonts w:hint="eastAsia"/>
        </w:rPr>
        <w:t>7.5土壤、地下水污染防治措施</w:t>
      </w:r>
      <w:bookmarkEnd w:id="157"/>
      <w:bookmarkEnd w:id="158"/>
    </w:p>
    <w:p w14:paraId="7549D524">
      <w:pPr>
        <w:pStyle w:val="4"/>
        <w:rPr>
          <w:rFonts w:hint="eastAsia"/>
        </w:rPr>
      </w:pPr>
      <w:bookmarkStart w:id="159" w:name="_Toc221056458"/>
      <w:bookmarkStart w:id="160" w:name="_Toc219021054"/>
      <w:r>
        <w:rPr>
          <w:rFonts w:hint="eastAsia"/>
        </w:rPr>
        <w:t>7.5.1地下水污染防治</w:t>
      </w:r>
      <w:bookmarkEnd w:id="159"/>
      <w:bookmarkEnd w:id="160"/>
    </w:p>
    <w:p w14:paraId="2C82C77B">
      <w:pPr>
        <w:pStyle w:val="16"/>
        <w:ind w:firstLine="480"/>
      </w:pPr>
      <w:r>
        <w:rPr>
          <w:rFonts w:hint="eastAsia"/>
        </w:rPr>
        <w:t>海华科技集团有限公司</w:t>
      </w:r>
      <w:r>
        <w:t>地下水污染防治措施</w:t>
      </w:r>
      <w:r>
        <w:rPr>
          <w:rFonts w:hint="eastAsia"/>
        </w:rPr>
        <w:t>已</w:t>
      </w:r>
      <w:r>
        <w:t>按照“源头控制、分区防治、污染监控、应急响应”相结合的原则，从污染物的产生、入渗、扩散、应急响应全方位进行防控。</w:t>
      </w:r>
    </w:p>
    <w:p w14:paraId="302B87D6">
      <w:pPr>
        <w:pStyle w:val="16"/>
        <w:ind w:firstLine="480"/>
      </w:pPr>
      <w:r>
        <w:t>(一)源头控制措施</w:t>
      </w:r>
    </w:p>
    <w:p w14:paraId="1106E188">
      <w:pPr>
        <w:pStyle w:val="16"/>
        <w:ind w:firstLine="480"/>
      </w:pPr>
      <w:r>
        <w:t>项目选择先进、成熟、可靠的工艺技术和较清洁的原辅材料，采用清洁生产审核等手段对生产全过程进行控制，并对产生的各类废物进行合理的回用和治理，尽可能从源头上减少污染物的产生和排放，降低生产过程和末端治理的成本</w:t>
      </w:r>
      <w:r>
        <w:rPr>
          <w:rFonts w:hint="eastAsia"/>
        </w:rPr>
        <w:t>，</w:t>
      </w:r>
      <w:r>
        <w:t>减少废水的产生和排放。</w:t>
      </w:r>
    </w:p>
    <w:p w14:paraId="5006C824">
      <w:pPr>
        <w:pStyle w:val="16"/>
        <w:ind w:firstLine="480"/>
      </w:pPr>
      <w:r>
        <w:rPr>
          <w:rFonts w:hint="eastAsia"/>
        </w:rPr>
        <w:t>已</w:t>
      </w:r>
      <w:r>
        <w:t>严格按照国家相关规范要求，对工艺、管道、设备、储罐和构筑物采取相应措施，以防止和降低污染物的</w:t>
      </w:r>
      <w:r>
        <w:rPr>
          <w:rFonts w:hint="eastAsia"/>
        </w:rPr>
        <w:t>“</w:t>
      </w:r>
      <w:r>
        <w:t>跑、冒、滴、漏</w:t>
      </w:r>
      <w:r>
        <w:rPr>
          <w:rFonts w:hint="eastAsia"/>
        </w:rPr>
        <w:t>”</w:t>
      </w:r>
      <w:r>
        <w:t>，将污染物泄漏环境风险事故降到最低程度。</w:t>
      </w:r>
    </w:p>
    <w:p w14:paraId="2F38ED96">
      <w:pPr>
        <w:pStyle w:val="16"/>
        <w:ind w:firstLine="480"/>
      </w:pPr>
      <w:r>
        <w:rPr>
          <w:rFonts w:hint="eastAsia"/>
        </w:rPr>
        <w:t>生产过程中涉及的各类储罐和容器</w:t>
      </w:r>
      <w:r>
        <w:t>、存放危险废物的危险固废暂存库以及储存各种废液的废液存储罐区</w:t>
      </w:r>
      <w:r>
        <w:rPr>
          <w:rFonts w:hint="eastAsia"/>
        </w:rPr>
        <w:t>已</w:t>
      </w:r>
      <w:r>
        <w:t>按照国家相关规范要求，采取防泄漏、防溢流、防腐蚀等措施，严格危险化学品的管理。</w:t>
      </w:r>
    </w:p>
    <w:p w14:paraId="35FF6B89">
      <w:pPr>
        <w:pStyle w:val="16"/>
        <w:ind w:firstLine="480"/>
      </w:pPr>
      <w:r>
        <w:t>对可能泄漏有害介质和污染物的设备和管道敷设</w:t>
      </w:r>
      <w:r>
        <w:rPr>
          <w:rFonts w:hint="eastAsia"/>
        </w:rPr>
        <w:t>均</w:t>
      </w:r>
      <w:r>
        <w:t>采用“可视化”原则，管道</w:t>
      </w:r>
      <w:r>
        <w:rPr>
          <w:rFonts w:hint="eastAsia"/>
        </w:rPr>
        <w:t>为架空形式</w:t>
      </w:r>
      <w:r>
        <w:t>，</w:t>
      </w:r>
      <w:r>
        <w:rPr>
          <w:rFonts w:hint="eastAsia"/>
        </w:rPr>
        <w:t>能</w:t>
      </w:r>
      <w:r>
        <w:t>做到污染物“早发现、早处理”，以减少由于埋地管道泄漏而可能造成的地下水污染。</w:t>
      </w:r>
    </w:p>
    <w:p w14:paraId="22CD2AA8">
      <w:pPr>
        <w:pStyle w:val="16"/>
        <w:ind w:firstLine="480"/>
      </w:pPr>
      <w:r>
        <w:t>(二)分区防治措施</w:t>
      </w:r>
    </w:p>
    <w:p w14:paraId="33EA383D">
      <w:pPr>
        <w:pStyle w:val="16"/>
        <w:ind w:firstLine="480"/>
      </w:pPr>
      <w:r>
        <w:t>根据厂区各生产功能单元是否可能对地下水造成污染及其风险程度，</w:t>
      </w:r>
      <w:r>
        <w:rPr>
          <w:rFonts w:hint="eastAsia"/>
        </w:rPr>
        <w:t>现有厂区已</w:t>
      </w:r>
      <w:r>
        <w:t>将划分为重点污染防治区</w:t>
      </w:r>
      <w:r>
        <w:rPr>
          <w:rFonts w:hint="eastAsia"/>
        </w:rPr>
        <w:t>和</w:t>
      </w:r>
      <w:r>
        <w:t>一般污染防治区。重点污染防治区是可能会对地下水造成污染，风险程度较高，需要重点防治的区域，主要包括储罐区</w:t>
      </w:r>
      <w:r>
        <w:rPr>
          <w:rFonts w:hint="eastAsia"/>
        </w:rPr>
        <w:t>、</w:t>
      </w:r>
      <w:r>
        <w:t>生产装置区</w:t>
      </w:r>
      <w:r>
        <w:rPr>
          <w:rFonts w:hint="eastAsia"/>
        </w:rPr>
        <w:t>和废水收集池</w:t>
      </w:r>
      <w:r>
        <w:t>。一般污染防治区是可能会对地下水造成污染，但危害性或风险程度相对较低的区域，包括公用工程区域等。</w:t>
      </w:r>
    </w:p>
    <w:p w14:paraId="3B7C4165">
      <w:pPr>
        <w:pStyle w:val="16"/>
        <w:ind w:firstLine="480"/>
      </w:pPr>
      <w:r>
        <w:rPr>
          <w:rFonts w:hint="eastAsia"/>
        </w:rPr>
        <w:t>间甲酚车间装置区、储罐区内全部为重点防渗区，具体措施如下表：</w:t>
      </w:r>
    </w:p>
    <w:p w14:paraId="28E5933D">
      <w:pPr>
        <w:pStyle w:val="28"/>
        <w:rPr>
          <w:rFonts w:hint="eastAsia"/>
        </w:rPr>
      </w:pPr>
      <w:r>
        <w:rPr>
          <w:rFonts w:hint="eastAsia"/>
        </w:rPr>
        <w:t>表7.5-1  本项目区域内地下水污染防治措施</w:t>
      </w:r>
    </w:p>
    <w:tbl>
      <w:tblPr>
        <w:tblStyle w:val="36"/>
        <w:tblW w:w="9075" w:type="dxa"/>
        <w:jc w:val="center"/>
        <w:tblBorders>
          <w:top w:val="single" w:color="auto" w:sz="8" w:space="0"/>
          <w:left w:val="none" w:color="auto" w:sz="0" w:space="0"/>
          <w:bottom w:val="single" w:color="auto" w:sz="8" w:space="0"/>
          <w:right w:val="none" w:color="auto" w:sz="0" w:space="0"/>
          <w:insideH w:val="single" w:color="auto" w:sz="6" w:space="0"/>
          <w:insideV w:val="single" w:color="auto" w:sz="4" w:space="0"/>
        </w:tblBorders>
        <w:tblLayout w:type="fixed"/>
        <w:tblCellMar>
          <w:top w:w="0" w:type="dxa"/>
          <w:left w:w="108" w:type="dxa"/>
          <w:bottom w:w="0" w:type="dxa"/>
          <w:right w:w="108" w:type="dxa"/>
        </w:tblCellMar>
      </w:tblPr>
      <w:tblGrid>
        <w:gridCol w:w="727"/>
        <w:gridCol w:w="2181"/>
        <w:gridCol w:w="4033"/>
        <w:gridCol w:w="2134"/>
      </w:tblGrid>
      <w:tr w14:paraId="6CC5B3BB">
        <w:tblPrEx>
          <w:tblBorders>
            <w:top w:val="single" w:color="auto" w:sz="8" w:space="0"/>
            <w:left w:val="none" w:color="auto" w:sz="0" w:space="0"/>
            <w:bottom w:val="single" w:color="auto" w:sz="8"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124" w:hRule="atLeast"/>
          <w:jc w:val="center"/>
        </w:trPr>
        <w:tc>
          <w:tcPr>
            <w:tcW w:w="2908" w:type="dxa"/>
            <w:gridSpan w:val="2"/>
            <w:tcBorders>
              <w:top w:val="single" w:color="auto" w:sz="4" w:space="0"/>
              <w:left w:val="single" w:color="auto" w:sz="4" w:space="0"/>
              <w:bottom w:val="single" w:color="auto" w:sz="4" w:space="0"/>
            </w:tcBorders>
            <w:vAlign w:val="center"/>
          </w:tcPr>
          <w:p w14:paraId="0A4E52F2">
            <w:pPr>
              <w:pStyle w:val="64"/>
            </w:pPr>
            <w:r>
              <w:rPr>
                <w:rFonts w:hint="eastAsia"/>
              </w:rPr>
              <w:t>类别</w:t>
            </w:r>
          </w:p>
        </w:tc>
        <w:tc>
          <w:tcPr>
            <w:tcW w:w="4033" w:type="dxa"/>
            <w:tcBorders>
              <w:top w:val="single" w:color="auto" w:sz="4" w:space="0"/>
              <w:bottom w:val="single" w:color="auto" w:sz="4" w:space="0"/>
            </w:tcBorders>
            <w:vAlign w:val="center"/>
          </w:tcPr>
          <w:p w14:paraId="79D0C1D6">
            <w:pPr>
              <w:pStyle w:val="64"/>
            </w:pPr>
            <w:r>
              <w:rPr>
                <w:rFonts w:hint="eastAsia"/>
              </w:rPr>
              <w:t>防渗措施说明</w:t>
            </w:r>
          </w:p>
        </w:tc>
        <w:tc>
          <w:tcPr>
            <w:tcW w:w="2134" w:type="dxa"/>
            <w:tcBorders>
              <w:top w:val="single" w:color="auto" w:sz="4" w:space="0"/>
              <w:bottom w:val="single" w:color="auto" w:sz="4" w:space="0"/>
              <w:right w:val="single" w:color="auto" w:sz="4" w:space="0"/>
            </w:tcBorders>
            <w:vAlign w:val="center"/>
          </w:tcPr>
          <w:p w14:paraId="58A92A39">
            <w:pPr>
              <w:pStyle w:val="64"/>
            </w:pPr>
            <w:r>
              <w:rPr>
                <w:rFonts w:hint="eastAsia"/>
              </w:rPr>
              <w:t>设计要求</w:t>
            </w:r>
          </w:p>
        </w:tc>
      </w:tr>
      <w:tr w14:paraId="30FDDE64">
        <w:tblPrEx>
          <w:tblBorders>
            <w:top w:val="single" w:color="auto" w:sz="8" w:space="0"/>
            <w:left w:val="none" w:color="auto" w:sz="0" w:space="0"/>
            <w:bottom w:val="single" w:color="auto" w:sz="8"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503" w:hRule="atLeast"/>
          <w:jc w:val="center"/>
        </w:trPr>
        <w:tc>
          <w:tcPr>
            <w:tcW w:w="727" w:type="dxa"/>
            <w:vMerge w:val="restart"/>
            <w:tcBorders>
              <w:top w:val="single" w:color="auto" w:sz="4" w:space="0"/>
              <w:left w:val="single" w:color="auto" w:sz="4" w:space="0"/>
              <w:bottom w:val="single" w:color="auto" w:sz="4" w:space="0"/>
            </w:tcBorders>
            <w:vAlign w:val="center"/>
          </w:tcPr>
          <w:p w14:paraId="778D03C4">
            <w:pPr>
              <w:pStyle w:val="64"/>
            </w:pPr>
            <w:r>
              <w:rPr>
                <w:rFonts w:hint="eastAsia"/>
              </w:rPr>
              <w:t>重点污染防渗区</w:t>
            </w:r>
          </w:p>
        </w:tc>
        <w:tc>
          <w:tcPr>
            <w:tcW w:w="2181" w:type="dxa"/>
            <w:tcBorders>
              <w:top w:val="single" w:color="auto" w:sz="4" w:space="0"/>
              <w:bottom w:val="single" w:color="auto" w:sz="4" w:space="0"/>
            </w:tcBorders>
            <w:vAlign w:val="center"/>
          </w:tcPr>
          <w:p w14:paraId="77D679B3">
            <w:pPr>
              <w:pStyle w:val="64"/>
            </w:pPr>
            <w:r>
              <w:rPr>
                <w:rFonts w:hint="eastAsia"/>
              </w:rPr>
              <w:t>项目装置区</w:t>
            </w:r>
          </w:p>
        </w:tc>
        <w:tc>
          <w:tcPr>
            <w:tcW w:w="4033" w:type="dxa"/>
            <w:vMerge w:val="restart"/>
            <w:tcBorders>
              <w:top w:val="single" w:color="auto" w:sz="4" w:space="0"/>
              <w:bottom w:val="single" w:color="auto" w:sz="4" w:space="0"/>
            </w:tcBorders>
            <w:vAlign w:val="center"/>
          </w:tcPr>
          <w:p w14:paraId="7A07BFD6">
            <w:pPr>
              <w:pStyle w:val="64"/>
            </w:pPr>
            <w:r>
              <w:rPr>
                <w:rFonts w:hint="eastAsia"/>
              </w:rPr>
              <w:t>采用</w:t>
            </w:r>
            <w:r>
              <w:t>水泥基渗透结晶型抗渗混凝土(厚度不宜小于150mm)+水泥基渗透结晶型防渗涂层(厚度不小于0.8mm)的结构型式；防渗结构层渗透系数不应大于1.0×10</w:t>
            </w:r>
            <w:r>
              <w:rPr>
                <w:vertAlign w:val="superscript"/>
              </w:rPr>
              <w:t>-10</w:t>
            </w:r>
            <w:r>
              <w:t>cm/s</w:t>
            </w:r>
          </w:p>
        </w:tc>
        <w:tc>
          <w:tcPr>
            <w:tcW w:w="2134" w:type="dxa"/>
            <w:vMerge w:val="restart"/>
            <w:tcBorders>
              <w:top w:val="single" w:color="auto" w:sz="4" w:space="0"/>
              <w:bottom w:val="single" w:color="auto" w:sz="4" w:space="0"/>
              <w:right w:val="single" w:color="auto" w:sz="4" w:space="0"/>
            </w:tcBorders>
            <w:vAlign w:val="center"/>
          </w:tcPr>
          <w:p w14:paraId="16575FAB">
            <w:pPr>
              <w:pStyle w:val="64"/>
            </w:pPr>
            <w:r>
              <w:rPr>
                <w:rFonts w:hint="eastAsia"/>
              </w:rPr>
              <w:t>符合《石油化工工程防渗技术规范》</w:t>
            </w:r>
            <w:r>
              <w:t>(GB/T50934-2013)</w:t>
            </w:r>
          </w:p>
        </w:tc>
      </w:tr>
      <w:tr w14:paraId="407D2AFF">
        <w:tblPrEx>
          <w:tblBorders>
            <w:top w:val="single" w:color="auto" w:sz="8" w:space="0"/>
            <w:left w:val="none" w:color="auto" w:sz="0" w:space="0"/>
            <w:bottom w:val="single" w:color="auto" w:sz="8"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412" w:hRule="atLeast"/>
          <w:jc w:val="center"/>
        </w:trPr>
        <w:tc>
          <w:tcPr>
            <w:tcW w:w="727" w:type="dxa"/>
            <w:vMerge w:val="continue"/>
            <w:tcBorders>
              <w:top w:val="single" w:color="auto" w:sz="4" w:space="0"/>
              <w:left w:val="single" w:color="auto" w:sz="4" w:space="0"/>
              <w:bottom w:val="single" w:color="auto" w:sz="4" w:space="0"/>
            </w:tcBorders>
            <w:vAlign w:val="center"/>
          </w:tcPr>
          <w:p w14:paraId="16496FCF">
            <w:pPr>
              <w:pStyle w:val="64"/>
            </w:pPr>
          </w:p>
        </w:tc>
        <w:tc>
          <w:tcPr>
            <w:tcW w:w="2181" w:type="dxa"/>
            <w:tcBorders>
              <w:top w:val="single" w:color="auto" w:sz="4" w:space="0"/>
              <w:bottom w:val="single" w:color="auto" w:sz="4" w:space="0"/>
            </w:tcBorders>
            <w:vAlign w:val="center"/>
          </w:tcPr>
          <w:p w14:paraId="1A5304A2">
            <w:pPr>
              <w:pStyle w:val="64"/>
            </w:pPr>
            <w:r>
              <w:rPr>
                <w:rFonts w:hint="eastAsia"/>
              </w:rPr>
              <w:t>储罐区</w:t>
            </w:r>
          </w:p>
        </w:tc>
        <w:tc>
          <w:tcPr>
            <w:tcW w:w="4033" w:type="dxa"/>
            <w:vMerge w:val="continue"/>
            <w:tcBorders>
              <w:top w:val="single" w:color="auto" w:sz="4" w:space="0"/>
              <w:bottom w:val="single" w:color="auto" w:sz="4" w:space="0"/>
            </w:tcBorders>
            <w:vAlign w:val="center"/>
          </w:tcPr>
          <w:p w14:paraId="7DE589AC">
            <w:pPr>
              <w:pStyle w:val="64"/>
            </w:pPr>
          </w:p>
        </w:tc>
        <w:tc>
          <w:tcPr>
            <w:tcW w:w="2134" w:type="dxa"/>
            <w:vMerge w:val="continue"/>
            <w:tcBorders>
              <w:top w:val="single" w:color="auto" w:sz="4" w:space="0"/>
              <w:bottom w:val="single" w:color="auto" w:sz="4" w:space="0"/>
              <w:right w:val="single" w:color="auto" w:sz="4" w:space="0"/>
            </w:tcBorders>
            <w:vAlign w:val="center"/>
          </w:tcPr>
          <w:p w14:paraId="69DF8EFB">
            <w:pPr>
              <w:pStyle w:val="64"/>
            </w:pPr>
          </w:p>
        </w:tc>
      </w:tr>
      <w:tr w14:paraId="668DF635">
        <w:tblPrEx>
          <w:tblBorders>
            <w:top w:val="single" w:color="auto" w:sz="8" w:space="0"/>
            <w:left w:val="none" w:color="auto" w:sz="0" w:space="0"/>
            <w:bottom w:val="single" w:color="auto" w:sz="8"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560" w:hRule="atLeast"/>
          <w:jc w:val="center"/>
        </w:trPr>
        <w:tc>
          <w:tcPr>
            <w:tcW w:w="727" w:type="dxa"/>
            <w:vMerge w:val="continue"/>
            <w:tcBorders>
              <w:top w:val="single" w:color="auto" w:sz="4" w:space="0"/>
              <w:left w:val="single" w:color="auto" w:sz="4" w:space="0"/>
              <w:bottom w:val="single" w:color="auto" w:sz="4" w:space="0"/>
            </w:tcBorders>
            <w:vAlign w:val="center"/>
          </w:tcPr>
          <w:p w14:paraId="1CE73D20">
            <w:pPr>
              <w:pStyle w:val="64"/>
            </w:pPr>
          </w:p>
        </w:tc>
        <w:tc>
          <w:tcPr>
            <w:tcW w:w="2181" w:type="dxa"/>
            <w:tcBorders>
              <w:top w:val="single" w:color="auto" w:sz="4" w:space="0"/>
              <w:bottom w:val="single" w:color="auto" w:sz="4" w:space="0"/>
            </w:tcBorders>
            <w:vAlign w:val="center"/>
          </w:tcPr>
          <w:p w14:paraId="6E20A8D9">
            <w:pPr>
              <w:pStyle w:val="64"/>
            </w:pPr>
            <w:r>
              <w:rPr>
                <w:rFonts w:hint="eastAsia"/>
              </w:rPr>
              <w:t>废水收集池</w:t>
            </w:r>
          </w:p>
        </w:tc>
        <w:tc>
          <w:tcPr>
            <w:tcW w:w="4033" w:type="dxa"/>
            <w:vMerge w:val="continue"/>
            <w:tcBorders>
              <w:top w:val="single" w:color="auto" w:sz="4" w:space="0"/>
              <w:bottom w:val="single" w:color="auto" w:sz="4" w:space="0"/>
            </w:tcBorders>
            <w:vAlign w:val="center"/>
          </w:tcPr>
          <w:p w14:paraId="75FA7DD2">
            <w:pPr>
              <w:pStyle w:val="64"/>
            </w:pPr>
          </w:p>
        </w:tc>
        <w:tc>
          <w:tcPr>
            <w:tcW w:w="2134" w:type="dxa"/>
            <w:vMerge w:val="continue"/>
            <w:tcBorders>
              <w:top w:val="single" w:color="auto" w:sz="4" w:space="0"/>
              <w:bottom w:val="single" w:color="auto" w:sz="4" w:space="0"/>
              <w:right w:val="single" w:color="auto" w:sz="4" w:space="0"/>
            </w:tcBorders>
            <w:vAlign w:val="center"/>
          </w:tcPr>
          <w:p w14:paraId="25B9DE32">
            <w:pPr>
              <w:pStyle w:val="64"/>
            </w:pPr>
          </w:p>
        </w:tc>
      </w:tr>
      <w:tr w14:paraId="7FC4F36B">
        <w:tblPrEx>
          <w:tblBorders>
            <w:top w:val="single" w:color="auto" w:sz="8" w:space="0"/>
            <w:left w:val="none" w:color="auto" w:sz="0" w:space="0"/>
            <w:bottom w:val="single" w:color="auto" w:sz="8"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20" w:hRule="atLeast"/>
          <w:jc w:val="center"/>
        </w:trPr>
        <w:tc>
          <w:tcPr>
            <w:tcW w:w="727" w:type="dxa"/>
            <w:tcBorders>
              <w:top w:val="single" w:color="auto" w:sz="4" w:space="0"/>
              <w:left w:val="single" w:color="auto" w:sz="4" w:space="0"/>
              <w:bottom w:val="single" w:color="auto" w:sz="4" w:space="0"/>
            </w:tcBorders>
            <w:vAlign w:val="center"/>
          </w:tcPr>
          <w:p w14:paraId="6F2B4B7C">
            <w:pPr>
              <w:pStyle w:val="64"/>
            </w:pPr>
            <w:r>
              <w:rPr>
                <w:rFonts w:hint="eastAsia"/>
              </w:rPr>
              <w:t>一般防渗区</w:t>
            </w:r>
          </w:p>
        </w:tc>
        <w:tc>
          <w:tcPr>
            <w:tcW w:w="2181" w:type="dxa"/>
            <w:tcBorders>
              <w:top w:val="single" w:color="auto" w:sz="4" w:space="0"/>
              <w:bottom w:val="single" w:color="auto" w:sz="4" w:space="0"/>
            </w:tcBorders>
            <w:vAlign w:val="center"/>
          </w:tcPr>
          <w:p w14:paraId="6AFBB407">
            <w:pPr>
              <w:pStyle w:val="64"/>
            </w:pPr>
            <w:r>
              <w:rPr>
                <w:rFonts w:hint="eastAsia"/>
              </w:rPr>
              <w:t>动力车间、循环水池</w:t>
            </w:r>
          </w:p>
        </w:tc>
        <w:tc>
          <w:tcPr>
            <w:tcW w:w="4033" w:type="dxa"/>
            <w:tcBorders>
              <w:top w:val="single" w:color="auto" w:sz="4" w:space="0"/>
              <w:bottom w:val="single" w:color="auto" w:sz="4" w:space="0"/>
            </w:tcBorders>
            <w:vAlign w:val="center"/>
          </w:tcPr>
          <w:p w14:paraId="5536649B">
            <w:pPr>
              <w:pStyle w:val="64"/>
            </w:pPr>
            <w:r>
              <w:rPr>
                <w:rFonts w:hint="eastAsia"/>
              </w:rPr>
              <w:t>混凝土强度等级不应低于C</w:t>
            </w:r>
            <w:r>
              <w:t>25</w:t>
            </w:r>
            <w:r>
              <w:rPr>
                <w:rFonts w:hint="eastAsia"/>
              </w:rPr>
              <w:t>，抗渗等级不低于P</w:t>
            </w:r>
            <w:r>
              <w:t>6</w:t>
            </w:r>
            <w:r>
              <w:rPr>
                <w:rFonts w:hint="eastAsia"/>
              </w:rPr>
              <w:t>，</w:t>
            </w:r>
            <w:r>
              <w:t>防渗结构层渗透系数不应大于1.0×10</w:t>
            </w:r>
            <w:r>
              <w:rPr>
                <w:vertAlign w:val="superscript"/>
              </w:rPr>
              <w:t>-7</w:t>
            </w:r>
            <w:r>
              <w:t>cm/s</w:t>
            </w:r>
          </w:p>
        </w:tc>
        <w:tc>
          <w:tcPr>
            <w:tcW w:w="2134" w:type="dxa"/>
            <w:vMerge w:val="continue"/>
            <w:tcBorders>
              <w:top w:val="single" w:color="auto" w:sz="4" w:space="0"/>
              <w:bottom w:val="single" w:color="auto" w:sz="4" w:space="0"/>
              <w:right w:val="single" w:color="auto" w:sz="4" w:space="0"/>
            </w:tcBorders>
            <w:vAlign w:val="center"/>
          </w:tcPr>
          <w:p w14:paraId="22BE7616">
            <w:pPr>
              <w:pStyle w:val="64"/>
            </w:pPr>
          </w:p>
        </w:tc>
      </w:tr>
    </w:tbl>
    <w:p w14:paraId="41BB5060">
      <w:pPr>
        <w:ind w:firstLine="480" w:firstLineChars="200"/>
      </w:pPr>
    </w:p>
    <w:p w14:paraId="4A073A22">
      <w:pPr>
        <w:pStyle w:val="4"/>
        <w:rPr>
          <w:rFonts w:hint="eastAsia"/>
        </w:rPr>
      </w:pPr>
      <w:bookmarkStart w:id="161" w:name="_Toc219021055"/>
      <w:bookmarkStart w:id="162" w:name="_Toc221056459"/>
      <w:r>
        <w:rPr>
          <w:rFonts w:hint="eastAsia"/>
        </w:rPr>
        <w:t>7.5.2</w:t>
      </w:r>
      <w:bookmarkEnd w:id="161"/>
      <w:bookmarkStart w:id="163" w:name="_Toc219021056"/>
      <w:r>
        <w:rPr>
          <w:rFonts w:hint="eastAsia"/>
        </w:rPr>
        <w:t>土壤污染防治措施</w:t>
      </w:r>
      <w:bookmarkEnd w:id="162"/>
      <w:bookmarkEnd w:id="163"/>
    </w:p>
    <w:p w14:paraId="124DFA3A">
      <w:pPr>
        <w:pStyle w:val="16"/>
        <w:ind w:firstLine="480"/>
      </w:pPr>
      <w:r>
        <w:rPr>
          <w:rFonts w:hint="eastAsia"/>
        </w:rPr>
        <w:t>本项目</w:t>
      </w:r>
      <w:r>
        <w:t>事故废水依托现有事故水池</w:t>
      </w:r>
      <w:r>
        <w:rPr>
          <w:rFonts w:hint="eastAsia"/>
        </w:rPr>
        <w:t>贮存、废水依托西厂区综合污水处理站处理、初期雨水依托现有初期雨水池贮存</w:t>
      </w:r>
      <w:r>
        <w:t>，上述构筑物及储罐区防渗已完成</w:t>
      </w:r>
      <w:r>
        <w:rPr>
          <w:rFonts w:hint="eastAsia"/>
        </w:rPr>
        <w:t>，在充分利用已有防渗措施的基础上，其他其余如装置区、罐区、高浓废水收集区、废水管网、事故水收集管网均已采取重点防渗措施，采用</w:t>
      </w:r>
      <w:r>
        <w:t>水泥基渗透结晶型抗渗混凝土(厚度不宜小于150mm)+水泥基渗透结晶型防渗涂层(厚度不小于0.8mm)的结构型式</w:t>
      </w:r>
      <w:r>
        <w:rPr>
          <w:rFonts w:hint="eastAsia"/>
        </w:rPr>
        <w:t>，渗透系数小于</w:t>
      </w:r>
      <w:r>
        <w:t>10</w:t>
      </w:r>
      <w:r>
        <w:rPr>
          <w:vertAlign w:val="superscript"/>
        </w:rPr>
        <w:t>-1</w:t>
      </w:r>
      <w:r>
        <w:rPr>
          <w:rFonts w:hint="eastAsia"/>
          <w:vertAlign w:val="superscript"/>
        </w:rPr>
        <w:t>0</w:t>
      </w:r>
      <w:r>
        <w:t>cm/s</w:t>
      </w:r>
      <w:r>
        <w:rPr>
          <w:rFonts w:hint="eastAsia"/>
        </w:rPr>
        <w:t>，能防止物料下渗对土壤环境造成影响。项目物料输送管线和污水管网等全部为架空管网，可以做到</w:t>
      </w:r>
      <w:r>
        <w:t>污染物“早发现、早处理”，以减少由于埋地管道泄漏而可能造成的</w:t>
      </w:r>
      <w:r>
        <w:rPr>
          <w:rFonts w:hint="eastAsia"/>
        </w:rPr>
        <w:t>土壤</w:t>
      </w:r>
      <w:r>
        <w:t>污染。</w:t>
      </w:r>
    </w:p>
    <w:p w14:paraId="54854EAC">
      <w:pPr>
        <w:pStyle w:val="16"/>
        <w:ind w:firstLine="480"/>
      </w:pPr>
      <w:r>
        <w:rPr>
          <w:rFonts w:hint="eastAsia"/>
        </w:rPr>
        <w:t>项目厂区建构筑物及道路均已进行了硬化处理，对重点防渗区域采取了重点防渗措施，厂区内的空地采取了绿化措施，通过植物吸附作用减少污染物排放对土壤环境影响；同时对装置区设置导流沟，中间罐区设置围堰，并连通事故应急池，防止物料渗漏对土壤环境。</w:t>
      </w:r>
    </w:p>
    <w:p w14:paraId="192800E4">
      <w:pPr>
        <w:rPr>
          <w:rFonts w:cs="Times New Roman"/>
          <w:spacing w:val="-3"/>
        </w:rPr>
      </w:pPr>
    </w:p>
    <w:p w14:paraId="2EB6ED97">
      <w:pPr>
        <w:rPr>
          <w:rFonts w:cs="Times New Roman"/>
          <w:spacing w:val="-3"/>
        </w:rPr>
      </w:pPr>
    </w:p>
    <w:p w14:paraId="3AC58DA0">
      <w:pPr>
        <w:rPr>
          <w:rFonts w:cs="Times New Roman"/>
          <w:spacing w:val="-3"/>
        </w:rPr>
        <w:sectPr>
          <w:pgSz w:w="11906" w:h="16838"/>
          <w:pgMar w:top="1418" w:right="1418" w:bottom="1418" w:left="1418" w:header="851" w:footer="992" w:gutter="0"/>
          <w:cols w:space="425" w:num="1"/>
          <w:docGrid w:type="lines" w:linePitch="326" w:charSpace="0"/>
        </w:sectPr>
      </w:pPr>
    </w:p>
    <w:p w14:paraId="47D70FD0">
      <w:pPr>
        <w:pStyle w:val="2"/>
        <w:spacing w:before="163" w:after="163"/>
        <w:rPr>
          <w:rFonts w:hint="eastAsia"/>
        </w:rPr>
      </w:pPr>
      <w:bookmarkStart w:id="164" w:name="_Toc221056460"/>
      <w:r>
        <w:rPr>
          <w:rFonts w:hint="eastAsia"/>
        </w:rPr>
        <w:t>8环境影响经济损益分析</w:t>
      </w:r>
      <w:bookmarkEnd w:id="164"/>
    </w:p>
    <w:p w14:paraId="20866C7D">
      <w:pPr>
        <w:ind w:firstLine="480" w:firstLineChars="200"/>
      </w:pPr>
      <w:r>
        <w:rPr>
          <w:rFonts w:hint="eastAsia"/>
        </w:rPr>
        <w:t>环境经济损益分析是项目环境影响评价的一个重要组成部分。其主要任务是衡量建设项目需要投入的环保投资及所能收到的环境保护效果。因此，在环境损益分析中除需要计算用于控制污染所需投资和运行费用外，还要同时核算可能收到的环境与经济实效，甚至还包括项目的社会经济效益，以求对项目环保投资取得的环境保护效果有全面和明确的评价。</w:t>
      </w:r>
    </w:p>
    <w:p w14:paraId="5FFCCDA7">
      <w:pPr>
        <w:pStyle w:val="3"/>
        <w:spacing w:before="326"/>
        <w:rPr>
          <w:rFonts w:hint="eastAsia"/>
        </w:rPr>
      </w:pPr>
      <w:bookmarkStart w:id="165" w:name="_Toc221056461"/>
      <w:bookmarkStart w:id="166" w:name="_Toc195625041"/>
      <w:r>
        <w:rPr>
          <w:rFonts w:hint="eastAsia"/>
        </w:rPr>
        <w:t>8.1经济效益分析</w:t>
      </w:r>
      <w:bookmarkEnd w:id="165"/>
      <w:bookmarkEnd w:id="166"/>
    </w:p>
    <w:p w14:paraId="006A5C22">
      <w:pPr>
        <w:ind w:firstLine="480" w:firstLineChars="200"/>
      </w:pPr>
      <w:r>
        <w:t>本项目总投资为</w:t>
      </w:r>
      <w:r>
        <w:rPr>
          <w:rFonts w:hint="eastAsia"/>
        </w:rPr>
        <w:t>140</w:t>
      </w:r>
      <w:r>
        <w:t>万元</w:t>
      </w:r>
      <w:r>
        <w:rPr>
          <w:rFonts w:hint="eastAsia"/>
        </w:rPr>
        <w:t>，环保投资10万元，占总投资比例7.14%</w:t>
      </w:r>
      <w:r>
        <w:t>。项目运行后，可为国家及地方增加</w:t>
      </w:r>
      <w:r>
        <w:rPr>
          <w:rFonts w:hint="eastAsia"/>
        </w:rPr>
        <w:t>一定</w:t>
      </w:r>
      <w:r>
        <w:t>数量的税收，进一步推动当地社会经济的发展，提高当地人民群众的生活水平，由此可见项目也具有</w:t>
      </w:r>
      <w:r>
        <w:rPr>
          <w:rFonts w:hint="eastAsia"/>
        </w:rPr>
        <w:t>一定</w:t>
      </w:r>
      <w:r>
        <w:t>的社会经济效益。</w:t>
      </w:r>
    </w:p>
    <w:p w14:paraId="0B5D3D60">
      <w:pPr>
        <w:ind w:firstLine="480" w:firstLineChars="200"/>
      </w:pPr>
      <w:r>
        <w:rPr>
          <w:rFonts w:hint="eastAsia"/>
        </w:rPr>
        <w:t>技改项目实施后，用电量减少205</w:t>
      </w:r>
      <w:r>
        <w:t>万kwh</w:t>
      </w:r>
      <w:r>
        <w:rPr>
          <w:rFonts w:hint="eastAsia"/>
        </w:rPr>
        <w:t>/</w:t>
      </w:r>
      <w:r>
        <w:t>a</w:t>
      </w:r>
      <w:r>
        <w:rPr>
          <w:rFonts w:hint="eastAsia"/>
        </w:rPr>
        <w:t>，蒸汽用量减少61200t/a，能节约1</w:t>
      </w:r>
      <w:r>
        <w:t>591.8</w:t>
      </w:r>
      <w:r>
        <w:rPr>
          <w:rFonts w:hint="eastAsia"/>
        </w:rPr>
        <w:t>万元，技改项目实施后具有良好的经济效益。</w:t>
      </w:r>
    </w:p>
    <w:p w14:paraId="1308481F">
      <w:pPr>
        <w:pStyle w:val="3"/>
        <w:spacing w:before="326"/>
        <w:rPr>
          <w:rFonts w:hint="eastAsia"/>
        </w:rPr>
      </w:pPr>
      <w:bookmarkStart w:id="167" w:name="_Toc195625042"/>
      <w:bookmarkStart w:id="168" w:name="_Toc221056462"/>
      <w:r>
        <w:rPr>
          <w:rFonts w:hint="eastAsia"/>
        </w:rPr>
        <w:t>8.2社会效益分析</w:t>
      </w:r>
      <w:bookmarkEnd w:id="167"/>
      <w:bookmarkEnd w:id="168"/>
    </w:p>
    <w:p w14:paraId="3FC38DBD">
      <w:pPr>
        <w:pStyle w:val="82"/>
        <w:ind w:firstLine="48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项目社会效益主要体现在对当地社会经济的正面影响，以及对市场和国家经济的贡献。</w:t>
      </w:r>
    </w:p>
    <w:p w14:paraId="4C215DE5">
      <w:pPr>
        <w:pStyle w:val="82"/>
        <w:ind w:firstLine="48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项目建成后的社会效益主要体现在以下几个方面：</w:t>
      </w:r>
    </w:p>
    <w:p w14:paraId="371BEE43">
      <w:pPr>
        <w:pStyle w:val="82"/>
        <w:ind w:firstLine="48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w:t>
      </w:r>
      <w:r>
        <w:rPr>
          <w:rFonts w:hint="eastAsia" w:ascii="Times New Roman" w:hAnsi="Times New Roman" w:cs="Times New Roman"/>
          <w:color w:val="000000" w:themeColor="text1"/>
          <w14:textFill>
            <w14:solidFill>
              <w14:schemeClr w14:val="tx1"/>
            </w14:solidFill>
          </w14:textFill>
        </w:rPr>
        <w:t>1</w:t>
      </w:r>
      <w:r>
        <w:rPr>
          <w:rFonts w:ascii="Times New Roman" w:hAnsi="Times New Roman" w:cs="Times New Roman"/>
          <w:color w:val="000000" w:themeColor="text1"/>
          <w14:textFill>
            <w14:solidFill>
              <w14:schemeClr w14:val="tx1"/>
            </w14:solidFill>
          </w14:textFill>
        </w:rPr>
        <w:t>)项目采用先进工艺与设备，工艺技术成熟，设备运行稳定，产品质量好，收率较高，生产成本低，有利于市场竞争。</w:t>
      </w:r>
    </w:p>
    <w:p w14:paraId="45905289">
      <w:pPr>
        <w:pStyle w:val="82"/>
        <w:ind w:firstLine="48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w:t>
      </w:r>
      <w:r>
        <w:rPr>
          <w:rFonts w:hint="eastAsia" w:ascii="Times New Roman" w:hAnsi="Times New Roman" w:cs="Times New Roman"/>
          <w:color w:val="000000" w:themeColor="text1"/>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)项目建成后，</w:t>
      </w:r>
      <w:r>
        <w:rPr>
          <w:rFonts w:hint="eastAsia" w:ascii="Times New Roman" w:hAnsi="Times New Roman" w:cs="Times New Roman"/>
          <w:color w:val="000000" w:themeColor="text1"/>
          <w14:textFill>
            <w14:solidFill>
              <w14:schemeClr w14:val="tx1"/>
            </w14:solidFill>
          </w14:textFill>
        </w:rPr>
        <w:t>有利于企业和地方产业链的完善，</w:t>
      </w:r>
      <w:r>
        <w:rPr>
          <w:rFonts w:ascii="Times New Roman" w:hAnsi="Times New Roman" w:cs="Times New Roman"/>
          <w:color w:val="000000" w:themeColor="text1"/>
          <w14:textFill>
            <w14:solidFill>
              <w14:schemeClr w14:val="tx1"/>
            </w14:solidFill>
          </w14:textFill>
        </w:rPr>
        <w:t>可扩大市场竞争力，开拓新型产品市场，为国家和地方增加相当数量的税收，促进当地工业的发展和增加地方经济实力。</w:t>
      </w:r>
    </w:p>
    <w:p w14:paraId="4CBB3593">
      <w:pPr>
        <w:pStyle w:val="3"/>
        <w:spacing w:before="326"/>
        <w:rPr>
          <w:rFonts w:hint="eastAsia"/>
        </w:rPr>
      </w:pPr>
      <w:bookmarkStart w:id="169" w:name="_Toc221056463"/>
      <w:bookmarkStart w:id="170" w:name="_Toc195625043"/>
      <w:r>
        <w:rPr>
          <w:rFonts w:hint="eastAsia"/>
        </w:rPr>
        <w:t>8.3环境效益分析</w:t>
      </w:r>
      <w:bookmarkEnd w:id="169"/>
      <w:bookmarkEnd w:id="170"/>
    </w:p>
    <w:p w14:paraId="45032025">
      <w:pPr>
        <w:ind w:firstLine="480" w:firstLineChars="200"/>
      </w:pPr>
      <w:r>
        <w:t>因目前国内对环保投资获得效益的测算方法尚不成熟，有许多指标还无法直接货币化。因此，本环评中对环保投资所获得的环境效益只进行定性的描述，不做定量计算。本项目环保投资所获得的正面效益主要表现在以下几个方面：</w:t>
      </w:r>
    </w:p>
    <w:p w14:paraId="23F4F9D2">
      <w:pPr>
        <w:ind w:firstLine="480" w:firstLineChars="200"/>
      </w:pPr>
      <w:r>
        <w:t>(1)本项目产生的废气处理可有效地减少废气污染物的排放量，可减轻对周围空气质量的影响，有效减缓了对区域内人体健康和农业生态的影响。</w:t>
      </w:r>
    </w:p>
    <w:p w14:paraId="0820A09E">
      <w:pPr>
        <w:ind w:firstLine="480" w:firstLineChars="200"/>
      </w:pPr>
      <w:r>
        <w:t>(2)建设项目设备采用低噪声设备、隔声、消声等措施，减少噪声对厂界的影响，同时改善了工作环境，保护劳动者的身心健康。</w:t>
      </w:r>
    </w:p>
    <w:p w14:paraId="66BE9122">
      <w:pPr>
        <w:ind w:firstLine="480" w:firstLineChars="200"/>
      </w:pPr>
      <w:r>
        <w:t>(3)项目产生的危险废物能妥善处置，减轻了对环境的影响。</w:t>
      </w:r>
    </w:p>
    <w:p w14:paraId="37D2A6FC">
      <w:pPr>
        <w:ind w:firstLine="480" w:firstLineChars="200"/>
      </w:pPr>
      <w:r>
        <w:rPr>
          <w:rFonts w:hint="eastAsia"/>
        </w:rPr>
        <w:t>(4)技改项目实施后蒸汽、耗电量等与现有工程相比较均有所降低.</w:t>
      </w:r>
    </w:p>
    <w:p w14:paraId="275CDF06">
      <w:pPr>
        <w:ind w:firstLine="480" w:firstLineChars="200"/>
      </w:pPr>
      <w:r>
        <w:rPr>
          <w:rFonts w:hint="eastAsia"/>
        </w:rPr>
        <w:t>(5)与技改前项目相比，本项目技改后污染物排放减少，减轻了对环境的影响。</w:t>
      </w:r>
    </w:p>
    <w:p w14:paraId="30E4BBFA">
      <w:pPr>
        <w:ind w:firstLine="480" w:firstLineChars="200"/>
      </w:pPr>
      <w:r>
        <w:t>综合分析，本项目实施后环境效益较好，各项措施到位后可以有效规避环境污染事故发生，保护区域生态环境，并做到污染物达标排放。</w:t>
      </w:r>
    </w:p>
    <w:p w14:paraId="520C34A5">
      <w:pPr>
        <w:pStyle w:val="3"/>
        <w:spacing w:before="326"/>
        <w:rPr>
          <w:rFonts w:hint="eastAsia"/>
        </w:rPr>
      </w:pPr>
      <w:bookmarkStart w:id="171" w:name="_Toc195625044"/>
      <w:bookmarkStart w:id="172" w:name="_Toc221056464"/>
      <w:r>
        <w:rPr>
          <w:rFonts w:hint="eastAsia"/>
        </w:rPr>
        <w:t>8.4小结</w:t>
      </w:r>
      <w:bookmarkEnd w:id="171"/>
      <w:bookmarkEnd w:id="172"/>
    </w:p>
    <w:p w14:paraId="394C7B14">
      <w:pPr>
        <w:ind w:firstLine="480" w:firstLineChars="200"/>
      </w:pPr>
      <w:r>
        <w:rPr>
          <w:rFonts w:hint="eastAsia"/>
        </w:rPr>
        <w:t>本评价认为，安徽海华科技集团有限公司在本项目的建设过程中，通过合理的环保投资，保证各项污染防治措施的落实，可以使运行后的各类污染物做到稳定、达标排放，从而实现经济效益、社会效益和环境效益的统一。</w:t>
      </w:r>
    </w:p>
    <w:p w14:paraId="461A7FA3">
      <w:pPr>
        <w:rPr>
          <w:rFonts w:cs="Times New Roman"/>
          <w:spacing w:val="-3"/>
        </w:rPr>
      </w:pPr>
    </w:p>
    <w:p w14:paraId="019F7419">
      <w:pPr>
        <w:rPr>
          <w:rFonts w:cs="Times New Roman"/>
          <w:spacing w:val="-3"/>
        </w:rPr>
      </w:pPr>
    </w:p>
    <w:p w14:paraId="5D359B6D">
      <w:pPr>
        <w:rPr>
          <w:rFonts w:cs="Times New Roman"/>
          <w:spacing w:val="-3"/>
        </w:rPr>
        <w:sectPr>
          <w:pgSz w:w="11906" w:h="16838"/>
          <w:pgMar w:top="1418" w:right="1418" w:bottom="1418" w:left="1418" w:header="851" w:footer="992" w:gutter="0"/>
          <w:cols w:space="425" w:num="1"/>
          <w:docGrid w:type="lines" w:linePitch="326" w:charSpace="0"/>
        </w:sectPr>
      </w:pPr>
    </w:p>
    <w:p w14:paraId="6C989537">
      <w:pPr>
        <w:pStyle w:val="2"/>
        <w:spacing w:before="163" w:after="163"/>
        <w:rPr>
          <w:rFonts w:hint="eastAsia"/>
        </w:rPr>
      </w:pPr>
      <w:bookmarkStart w:id="173" w:name="_Toc221056465"/>
      <w:r>
        <w:rPr>
          <w:rFonts w:hint="eastAsia"/>
        </w:rPr>
        <w:t>9环境管理与监测计划</w:t>
      </w:r>
      <w:bookmarkEnd w:id="173"/>
    </w:p>
    <w:p w14:paraId="34A14482">
      <w:pPr>
        <w:pStyle w:val="3"/>
        <w:spacing w:before="326"/>
        <w:rPr>
          <w:rFonts w:hint="eastAsia"/>
        </w:rPr>
      </w:pPr>
      <w:bookmarkStart w:id="174" w:name="_Toc195625046"/>
      <w:bookmarkStart w:id="175" w:name="_Toc221056466"/>
      <w:r>
        <w:rPr>
          <w:rFonts w:hint="eastAsia"/>
        </w:rPr>
        <w:t>9.1环境管理要求</w:t>
      </w:r>
      <w:bookmarkEnd w:id="174"/>
      <w:bookmarkEnd w:id="175"/>
    </w:p>
    <w:p w14:paraId="29CE0DDD">
      <w:pPr>
        <w:pStyle w:val="4"/>
        <w:rPr>
          <w:rFonts w:hint="eastAsia"/>
        </w:rPr>
      </w:pPr>
      <w:bookmarkStart w:id="176" w:name="_Toc221056467"/>
      <w:bookmarkStart w:id="177" w:name="_Toc195625047"/>
      <w:r>
        <w:rPr>
          <w:rFonts w:hint="eastAsia"/>
        </w:rPr>
        <w:t>9.1.1</w:t>
      </w:r>
      <w:r>
        <w:t>环境管理组织机构</w:t>
      </w:r>
      <w:bookmarkEnd w:id="176"/>
      <w:bookmarkEnd w:id="177"/>
    </w:p>
    <w:p w14:paraId="60F69A92">
      <w:pPr>
        <w:ind w:firstLine="480" w:firstLineChars="200"/>
      </w:pPr>
      <w:r>
        <w:t>项目建成后，在试运行阶段及正常生产过程中必须设立环境管理机构，配备专业环保管理人员，负责环境监督管理工作，同时要加强对管理人员的环保培训。</w:t>
      </w:r>
    </w:p>
    <w:p w14:paraId="6F94B139">
      <w:pPr>
        <w:pStyle w:val="4"/>
        <w:rPr>
          <w:rFonts w:hint="eastAsia"/>
        </w:rPr>
      </w:pPr>
      <w:bookmarkStart w:id="178" w:name="_Toc195625048"/>
      <w:bookmarkStart w:id="179" w:name="_Toc221056468"/>
      <w:r>
        <w:rPr>
          <w:rFonts w:hint="eastAsia"/>
        </w:rPr>
        <w:t>9</w:t>
      </w:r>
      <w:r>
        <w:t>.1.2施工期环境管理</w:t>
      </w:r>
      <w:bookmarkEnd w:id="178"/>
      <w:bookmarkEnd w:id="179"/>
    </w:p>
    <w:p w14:paraId="365FBDE9">
      <w:pPr>
        <w:ind w:firstLine="480" w:firstLineChars="200"/>
      </w:pPr>
      <w:r>
        <w:t>本项目施工期应做好以下环境管理：</w:t>
      </w:r>
    </w:p>
    <w:p w14:paraId="12056432">
      <w:pPr>
        <w:ind w:firstLine="480" w:firstLineChars="200"/>
      </w:pPr>
      <w:r>
        <w:t>(1)工程项目的施工承包合同中，应包括环境保护的条款。其中应包括施工中在环境污染预防和治理方面对承包的具体要求，如施工噪声污染，废水、扬尘和废气等排放治理，施工垃圾处理处置等内容。</w:t>
      </w:r>
    </w:p>
    <w:p w14:paraId="73E18FC1">
      <w:pPr>
        <w:ind w:firstLine="480" w:firstLineChars="200"/>
      </w:pPr>
      <w:r>
        <w:t>(2)建设单位应设置兼职环保员参加施工场地的环境监测和环境管理工作。</w:t>
      </w:r>
    </w:p>
    <w:p w14:paraId="2F54C4CB">
      <w:pPr>
        <w:ind w:firstLine="480" w:firstLineChars="200"/>
      </w:pPr>
      <w:r>
        <w:t>(3)加强对施工人员的环境保护宣传教育，增强施工人员环境保护和劳动安全意识，杜绝人为引发环境污染事件的发生。</w:t>
      </w:r>
    </w:p>
    <w:p w14:paraId="620E65F4">
      <w:pPr>
        <w:pStyle w:val="4"/>
        <w:rPr>
          <w:rFonts w:hint="eastAsia"/>
        </w:rPr>
      </w:pPr>
      <w:bookmarkStart w:id="180" w:name="_Toc195625049"/>
      <w:bookmarkStart w:id="181" w:name="_Toc221056469"/>
      <w:r>
        <w:rPr>
          <w:rFonts w:hint="eastAsia"/>
        </w:rPr>
        <w:t>9</w:t>
      </w:r>
      <w:r>
        <w:t>.1.3运营期环境管理</w:t>
      </w:r>
      <w:bookmarkEnd w:id="180"/>
      <w:bookmarkEnd w:id="181"/>
    </w:p>
    <w:p w14:paraId="5D6A230C">
      <w:pPr>
        <w:ind w:firstLine="480" w:firstLineChars="200"/>
      </w:pPr>
      <w:r>
        <w:t>企业应建立健全环境管理制度体系，将环保纳入考核体系，确保在日常运行中将环保目标落实到实处。</w:t>
      </w:r>
    </w:p>
    <w:p w14:paraId="4BCF624B">
      <w:pPr>
        <w:ind w:firstLine="480" w:firstLineChars="200"/>
      </w:pPr>
      <w:r>
        <w:t>(1)“三同时”制度</w:t>
      </w:r>
    </w:p>
    <w:p w14:paraId="6DFAB667">
      <w:pPr>
        <w:ind w:firstLine="480" w:firstLineChars="200"/>
      </w:pPr>
      <w:r>
        <w:t>根据《建设项目环境保护管理条例》，建设项目需要配套建设的环境保护设施，必须与主体工程同时设计、同时施工、同时投产使用。项目竣工后，建设单位应当按照国务院环境保护行政主管部门规定的标准和程序，对配套建设的环境保护设施进行验收，编制验收报告。建设单位在环境保护设施验收过程中，应当如实查验、监测、记载建设项目环境保护设施的建设和调试情况，不得弄虚作假，验收报告应依法向社会公开。本项目配套建设的环境保护设施经验收合格，方可投入生产或者使用。</w:t>
      </w:r>
    </w:p>
    <w:p w14:paraId="4634817B">
      <w:pPr>
        <w:ind w:firstLine="480" w:firstLineChars="200"/>
      </w:pPr>
      <w:r>
        <w:t>(2)排污许可证制度</w:t>
      </w:r>
    </w:p>
    <w:p w14:paraId="67583375">
      <w:pPr>
        <w:ind w:firstLine="480" w:firstLineChars="200"/>
      </w:pPr>
      <w:r>
        <w:t>建设单位应当在项目投入生产或使用并产生实际排污行为之前申请领取排污许可证。依法按照排污许可证申请与核发技术规范提交排污许可申请，申报排放污染物种类、排放浓度等，测算并申报污染物排放量。建设单位应当严格执行排污许可证的规定，禁止无证排污或不按证排污。</w:t>
      </w:r>
    </w:p>
    <w:p w14:paraId="3DBAFF4C">
      <w:pPr>
        <w:ind w:firstLine="480" w:firstLineChars="200"/>
      </w:pPr>
      <w:r>
        <w:t>(3)环保台账制度</w:t>
      </w:r>
    </w:p>
    <w:p w14:paraId="49E0E0BF">
      <w:pPr>
        <w:ind w:firstLine="480" w:firstLineChars="200"/>
      </w:pPr>
      <w:r>
        <w:t>厂内需完善记录制度和档案保存制度，有利于环境管理质量的追踪和持续改进；记录和台帐包括设施运行和维护记录、危险废物进出台帐、废水、废气污染物监测台帐、突发性事件的处理、调查记录等，妥善保存所有记录、台帐及污染物排放监测资料、环境管理档案资料等。</w:t>
      </w:r>
    </w:p>
    <w:p w14:paraId="531AECEE">
      <w:pPr>
        <w:ind w:firstLine="480" w:firstLineChars="200"/>
      </w:pPr>
      <w:r>
        <w:t>(4)污染治理设施管理制度</w:t>
      </w:r>
    </w:p>
    <w:p w14:paraId="4B0055BB">
      <w:pPr>
        <w:ind w:firstLine="480" w:firstLineChars="200"/>
      </w:pPr>
      <w:r>
        <w:t>项目建成后，必须确保污染处理设施长期、稳定、有效地运行，不得擅自拆除或者闲置污染处理设施，不得故意不正常使用污染处理设施。污染处理设施的管理必须与生产经营活动一起纳入单位日常管理工作的范畴，落实责任人、操作人员、维修人员、运行经费、设备的备品备件和其他原辅材料。同时要建立岗位责任制、制定操作规程、建立管理台帐。</w:t>
      </w:r>
    </w:p>
    <w:p w14:paraId="66E5B6A8">
      <w:pPr>
        <w:ind w:firstLine="480" w:firstLineChars="200"/>
      </w:pPr>
      <w:r>
        <w:t>(5)固体废物环境保护制度</w:t>
      </w:r>
    </w:p>
    <w:p w14:paraId="159D2F10">
      <w:pPr>
        <w:ind w:firstLine="480" w:firstLineChars="200"/>
      </w:pPr>
      <w:r>
        <w:rPr>
          <w:rFonts w:ascii="Cambria Math" w:hAnsi="Cambria Math" w:cs="Cambria Math"/>
        </w:rPr>
        <w:t>①</w:t>
      </w:r>
      <w:r>
        <w:t>建设单位应通过“安徽省危险废物动态管理信息系统”进行危险废物申报登记。将危险废物的实际产生、贮存、利用、处置等情况纳入生产记录，建立危险废物管理台账和企业内部产生和收集、贮存、转移等部门危险废物交接制度。</w:t>
      </w:r>
    </w:p>
    <w:p w14:paraId="4A233F18">
      <w:pPr>
        <w:ind w:firstLine="480" w:firstLineChars="200"/>
      </w:pPr>
      <w:r>
        <w:rPr>
          <w:rFonts w:ascii="Cambria Math" w:hAnsi="Cambria Math" w:cs="Cambria Math"/>
        </w:rPr>
        <w:t>②</w:t>
      </w:r>
      <w:r>
        <w:t>明确建设单位为固体废物污染防治的责任主体，要求企业建立风险管理及应急救援体系，执行环境监测计划、转移联单管理制度及国家和省有关转移管理的相关规定、处置过程安全操作规程、人员培训考核制度、档案管理制度、处置全过程管理制度等。</w:t>
      </w:r>
    </w:p>
    <w:p w14:paraId="45386418">
      <w:pPr>
        <w:ind w:firstLine="480" w:firstLineChars="200"/>
      </w:pPr>
      <w:r>
        <w:rPr>
          <w:rFonts w:ascii="Cambria Math" w:hAnsi="Cambria Math" w:cs="Cambria Math"/>
        </w:rPr>
        <w:t>③</w:t>
      </w:r>
      <w:r>
        <w:t>规范建设危险废物贮存场所并按照要求设置警告标志，危废包装、容器和贮存场所应按照《危险废物贮存污染控制标准》(GB18597-2023)有关要求张贴标识。安装危险废物在线监控系统。</w:t>
      </w:r>
    </w:p>
    <w:p w14:paraId="1F64C789">
      <w:pPr>
        <w:ind w:firstLine="480" w:firstLineChars="200"/>
      </w:pPr>
      <w:r>
        <w:t>(6)报告制度</w:t>
      </w:r>
    </w:p>
    <w:p w14:paraId="78478BF0">
      <w:pPr>
        <w:ind w:firstLine="480" w:firstLineChars="200"/>
      </w:pPr>
      <w:r>
        <w:t>执行月报制度。月报内容主要为污染治理设施的运行情况、污染物排放情况以及污染事故或污染纠纷等。厂内环境保护相关的所有记录、台帐及污染物排放监测资料、环境管理档案资料等应妥善保存并定期上报，发现污染因子超标，要在监测数据出来后以书面形式上报公司管理层，快速果断采取应对措施。</w:t>
      </w:r>
    </w:p>
    <w:p w14:paraId="6BD066BA">
      <w:pPr>
        <w:ind w:firstLine="480" w:firstLineChars="200"/>
      </w:pPr>
      <w:r>
        <w:t>建设单位应定期向当地政府环保部门报告污染治理设施运行情况、污染物排放情况以及污染事故、污染纠纷等情况，便于环保部门和企业管理人员及时了解企业污染动态，利于采取相应的对策措施。本项目的性质、规模、地点、生产工艺和环境保护措施等发生变动的，必须向环保部门报告，并履行相关手续，如发生重大变动并且可能导致环境影响显著变化(特别是不利环境影响加重)的，应当重新报批环评。</w:t>
      </w:r>
    </w:p>
    <w:p w14:paraId="3501E72E">
      <w:pPr>
        <w:ind w:firstLine="480" w:firstLineChars="200"/>
      </w:pPr>
      <w:r>
        <w:t>(7)环保奖惩制度</w:t>
      </w:r>
    </w:p>
    <w:p w14:paraId="250EA20F">
      <w:pPr>
        <w:ind w:firstLine="480" w:firstLineChars="200"/>
      </w:pPr>
      <w:r>
        <w:t>企业应加强宣传教育，提高员工的污染隐患意识和环境风险意识:制定员工参与环保技术培训的计划，提高员工技术素质水平；设立岗位实责制，制定严格的奖、罚制度。建议企业设置环境保护奖励条例，纳入人员考核体系。对爱护环保设施、节能降耗、改善环境者实行奖励；对环保观念淡薄、不按环保管理要求，造成环保设施损坏、环境污染及资源和能源浪费者一律处以重罚。</w:t>
      </w:r>
    </w:p>
    <w:p w14:paraId="3D6BE4D4">
      <w:pPr>
        <w:ind w:firstLine="480" w:firstLineChars="200"/>
      </w:pPr>
      <w:r>
        <w:t>(8)信息公开制度</w:t>
      </w:r>
    </w:p>
    <w:p w14:paraId="6F366883">
      <w:pPr>
        <w:ind w:firstLine="480" w:firstLineChars="200"/>
      </w:pPr>
      <w:r>
        <w:t>建设单位在环评编制、审批、排污许可证申请、竣工环保验收、正常运行等各阶段均应按照有关要求，通过网站或者其他便于公众知悉的方式，依法向社会公开本项目污染物排放清单，明确污染物排放的管理要求。包括工程组成及原辅材料组分要求，建设项目拟采取的环境保护措施及主要运行参数，排放的污染物种类、排放浓度和总量指标，排污口信息，执行的环境标准，环境风险防范措施以及环境监测等相关内容。</w:t>
      </w:r>
    </w:p>
    <w:p w14:paraId="15545F15">
      <w:pPr>
        <w:ind w:firstLine="480" w:firstLineChars="200"/>
      </w:pPr>
      <w:r>
        <w:t>(9)环境管理要求</w:t>
      </w:r>
    </w:p>
    <w:p w14:paraId="60D054E9">
      <w:pPr>
        <w:ind w:firstLine="480" w:firstLineChars="200"/>
      </w:pPr>
      <w:r>
        <w:t>运行期环境管理要求如下：</w:t>
      </w:r>
    </w:p>
    <w:p w14:paraId="335655E6">
      <w:pPr>
        <w:ind w:firstLine="480" w:firstLineChars="200"/>
      </w:pPr>
      <w:r>
        <w:rPr>
          <w:rFonts w:ascii="Cambria Math" w:hAnsi="Cambria Math" w:cs="Cambria Math"/>
        </w:rPr>
        <w:t>①</w:t>
      </w:r>
      <w:r>
        <w:t>加强固体废物在厂内堆存期间的环境管理；加强对危险固废的收集、储存、运输等措施的管理。</w:t>
      </w:r>
    </w:p>
    <w:p w14:paraId="122A1793">
      <w:pPr>
        <w:ind w:firstLine="480" w:firstLineChars="200"/>
      </w:pPr>
      <w:r>
        <w:rPr>
          <w:rFonts w:ascii="Cambria Math" w:hAnsi="Cambria Math" w:cs="Cambria Math"/>
        </w:rPr>
        <w:t>②</w:t>
      </w:r>
      <w:r>
        <w:t>项目运营期污水管网应明管，按行业要求做防腐防渗措施，自行监测及在线监测需按现行规定执行。</w:t>
      </w:r>
    </w:p>
    <w:p w14:paraId="73D70CA9">
      <w:pPr>
        <w:ind w:firstLine="480" w:firstLineChars="200"/>
      </w:pPr>
      <w:r>
        <w:rPr>
          <w:rFonts w:ascii="Cambria Math" w:hAnsi="Cambria Math" w:cs="Cambria Math"/>
        </w:rPr>
        <w:t>③</w:t>
      </w:r>
      <w:r>
        <w:t>加强管道、设备的保养和维护。安装必要的用水监测仪表，减少跑、冒、滴、漏，最大限度地减少用水量。</w:t>
      </w:r>
    </w:p>
    <w:p w14:paraId="1C0D9A52">
      <w:pPr>
        <w:ind w:firstLine="480" w:firstLineChars="200"/>
      </w:pPr>
      <w:r>
        <w:rPr>
          <w:rFonts w:ascii="Cambria Math" w:hAnsi="Cambria Math" w:cs="Cambria Math"/>
        </w:rPr>
        <w:t>④</w:t>
      </w:r>
      <w:r>
        <w:t>加强对项目的环境管理和环境监测。设专职环境管理人员，按报告书的要求认真落实环境监测计划；各排污口的设置和管理应按有关规定执行。</w:t>
      </w:r>
    </w:p>
    <w:p w14:paraId="50E5F70E">
      <w:pPr>
        <w:ind w:firstLine="480" w:firstLineChars="200"/>
      </w:pPr>
      <w:r>
        <w:rPr>
          <w:rFonts w:ascii="Cambria Math" w:hAnsi="Cambria Math" w:cs="Cambria Math"/>
        </w:rPr>
        <w:t>⑤</w:t>
      </w:r>
      <w:r>
        <w:t>加强全厂职工的安全生产和环境保护知识的教育。配备必要的环境管理专职人员落实、检查环保设施的运行状况，配合当地环保部门做好本厂的环境管理、验收、监督和检查工作。</w:t>
      </w:r>
    </w:p>
    <w:p w14:paraId="2143C7ED">
      <w:pPr>
        <w:pStyle w:val="3"/>
        <w:spacing w:before="326"/>
        <w:rPr>
          <w:rFonts w:hint="eastAsia"/>
        </w:rPr>
      </w:pPr>
      <w:bookmarkStart w:id="182" w:name="_Toc221056470"/>
      <w:r>
        <w:rPr>
          <w:rFonts w:hint="eastAsia"/>
        </w:rPr>
        <w:t>9.2污染物排放清单</w:t>
      </w:r>
      <w:bookmarkEnd w:id="182"/>
    </w:p>
    <w:p w14:paraId="4059A1E5">
      <w:pPr>
        <w:pStyle w:val="4"/>
        <w:rPr>
          <w:rFonts w:hint="eastAsia"/>
        </w:rPr>
      </w:pPr>
      <w:bookmarkStart w:id="183" w:name="_Toc221056471"/>
      <w:r>
        <w:rPr>
          <w:rFonts w:hint="eastAsia"/>
        </w:rPr>
        <w:t>9.2.1产污节点、污染物及污染治理措施</w:t>
      </w:r>
      <w:bookmarkEnd w:id="183"/>
    </w:p>
    <w:p w14:paraId="49A49D04">
      <w:pPr>
        <w:ind w:firstLine="468" w:firstLineChars="200"/>
        <w:rPr>
          <w:rFonts w:cs="Times New Roman"/>
          <w:spacing w:val="-3"/>
        </w:rPr>
      </w:pPr>
      <w:r>
        <w:rPr>
          <w:rFonts w:hint="eastAsia" w:cs="Times New Roman"/>
          <w:spacing w:val="-3"/>
        </w:rPr>
        <w:t>根据《排污许可证申请与核发技术规范 专用化学品制造工业》(HJ1103-2020)中要求，项目废气产排污节点、污染物、纳入许可管理的废气排放源及污染物项目和污染物治理设施信息见下表9.2-1。项目废水产排污节点、污染物及污染治理设施信息见表9.2-2。</w:t>
      </w:r>
    </w:p>
    <w:p w14:paraId="4B287F97">
      <w:pPr>
        <w:rPr>
          <w:rFonts w:cs="Times New Roman"/>
          <w:spacing w:val="-3"/>
        </w:rPr>
      </w:pPr>
    </w:p>
    <w:p w14:paraId="6BB3953A">
      <w:pPr>
        <w:rPr>
          <w:rFonts w:cs="Times New Roman"/>
          <w:spacing w:val="-3"/>
        </w:rPr>
      </w:pPr>
    </w:p>
    <w:p w14:paraId="6370B5F3">
      <w:pPr>
        <w:rPr>
          <w:rFonts w:cs="Times New Roman"/>
          <w:spacing w:val="-3"/>
        </w:rPr>
      </w:pPr>
    </w:p>
    <w:p w14:paraId="76010A0F">
      <w:pPr>
        <w:rPr>
          <w:rFonts w:cs="Times New Roman"/>
          <w:spacing w:val="-3"/>
        </w:rPr>
      </w:pPr>
    </w:p>
    <w:p w14:paraId="20EBD909">
      <w:pPr>
        <w:rPr>
          <w:rFonts w:cs="Times New Roman"/>
          <w:spacing w:val="-3"/>
        </w:rPr>
      </w:pPr>
    </w:p>
    <w:p w14:paraId="12F20437">
      <w:pPr>
        <w:rPr>
          <w:rFonts w:cs="Times New Roman"/>
          <w:spacing w:val="-3"/>
        </w:rPr>
        <w:sectPr>
          <w:pgSz w:w="11906" w:h="16838"/>
          <w:pgMar w:top="1418" w:right="1418" w:bottom="1418" w:left="1418" w:header="851" w:footer="992" w:gutter="0"/>
          <w:cols w:space="425" w:num="1"/>
          <w:docGrid w:type="lines" w:linePitch="326" w:charSpace="0"/>
        </w:sectPr>
      </w:pPr>
    </w:p>
    <w:p w14:paraId="69987291">
      <w:pPr>
        <w:pStyle w:val="28"/>
        <w:rPr>
          <w:rFonts w:hint="eastAsia"/>
        </w:rPr>
      </w:pPr>
      <w:r>
        <w:rPr>
          <w:rFonts w:hint="eastAsia"/>
        </w:rPr>
        <w:t>表9.2-1  废气产排污节点、污染物及污染治理设施信息</w:t>
      </w:r>
    </w:p>
    <w:tbl>
      <w:tblPr>
        <w:tblStyle w:val="3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4"/>
        <w:gridCol w:w="1085"/>
        <w:gridCol w:w="1103"/>
        <w:gridCol w:w="1103"/>
        <w:gridCol w:w="1139"/>
        <w:gridCol w:w="965"/>
        <w:gridCol w:w="1033"/>
        <w:gridCol w:w="1559"/>
        <w:gridCol w:w="1559"/>
        <w:gridCol w:w="991"/>
        <w:gridCol w:w="1704"/>
        <w:gridCol w:w="1097"/>
      </w:tblGrid>
      <w:tr w14:paraId="0DE30B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4" w:type="pct"/>
            <w:vMerge w:val="restart"/>
            <w:vAlign w:val="center"/>
          </w:tcPr>
          <w:p w14:paraId="1870148C">
            <w:pPr>
              <w:pStyle w:val="64"/>
            </w:pPr>
            <w:r>
              <w:t>序号</w:t>
            </w:r>
          </w:p>
        </w:tc>
        <w:tc>
          <w:tcPr>
            <w:tcW w:w="388" w:type="pct"/>
            <w:vMerge w:val="restart"/>
            <w:vAlign w:val="center"/>
          </w:tcPr>
          <w:p w14:paraId="1ED0F99B">
            <w:pPr>
              <w:pStyle w:val="64"/>
            </w:pPr>
            <w:r>
              <w:t>生产单元</w:t>
            </w:r>
          </w:p>
        </w:tc>
        <w:tc>
          <w:tcPr>
            <w:tcW w:w="394" w:type="pct"/>
            <w:vMerge w:val="restart"/>
            <w:vAlign w:val="center"/>
          </w:tcPr>
          <w:p w14:paraId="5204725E">
            <w:pPr>
              <w:pStyle w:val="64"/>
            </w:pPr>
            <w:r>
              <w:t>生产工艺</w:t>
            </w:r>
          </w:p>
        </w:tc>
        <w:tc>
          <w:tcPr>
            <w:tcW w:w="394" w:type="pct"/>
            <w:vMerge w:val="restart"/>
            <w:vAlign w:val="center"/>
          </w:tcPr>
          <w:p w14:paraId="0FA46FCB">
            <w:pPr>
              <w:pStyle w:val="64"/>
            </w:pPr>
            <w:r>
              <w:t>生产工序</w:t>
            </w:r>
          </w:p>
        </w:tc>
        <w:tc>
          <w:tcPr>
            <w:tcW w:w="407" w:type="pct"/>
            <w:vMerge w:val="restart"/>
            <w:vAlign w:val="center"/>
          </w:tcPr>
          <w:p w14:paraId="32618AF3">
            <w:pPr>
              <w:pStyle w:val="64"/>
            </w:pPr>
            <w:r>
              <w:t>产污环节</w:t>
            </w:r>
          </w:p>
        </w:tc>
        <w:tc>
          <w:tcPr>
            <w:tcW w:w="345" w:type="pct"/>
            <w:vMerge w:val="restart"/>
            <w:vAlign w:val="center"/>
          </w:tcPr>
          <w:p w14:paraId="631C5BB3">
            <w:pPr>
              <w:pStyle w:val="64"/>
            </w:pPr>
            <w:r>
              <w:t>排放形式</w:t>
            </w:r>
          </w:p>
        </w:tc>
        <w:tc>
          <w:tcPr>
            <w:tcW w:w="369" w:type="pct"/>
            <w:vMerge w:val="restart"/>
            <w:vAlign w:val="center"/>
          </w:tcPr>
          <w:p w14:paraId="51F6D08C">
            <w:pPr>
              <w:pStyle w:val="64"/>
            </w:pPr>
            <w:r>
              <w:t>排放口类型</w:t>
            </w:r>
          </w:p>
        </w:tc>
        <w:tc>
          <w:tcPr>
            <w:tcW w:w="557" w:type="pct"/>
            <w:vMerge w:val="restart"/>
            <w:vAlign w:val="center"/>
          </w:tcPr>
          <w:p w14:paraId="04AB61A1">
            <w:pPr>
              <w:pStyle w:val="64"/>
            </w:pPr>
            <w:r>
              <w:t>执行排放标准</w:t>
            </w:r>
          </w:p>
        </w:tc>
        <w:tc>
          <w:tcPr>
            <w:tcW w:w="557" w:type="pct"/>
            <w:vMerge w:val="restart"/>
            <w:vAlign w:val="center"/>
          </w:tcPr>
          <w:p w14:paraId="3DCD1E01">
            <w:pPr>
              <w:pStyle w:val="64"/>
            </w:pPr>
            <w:r>
              <w:t>许可排放浓度(或速率)污染物项目</w:t>
            </w:r>
          </w:p>
        </w:tc>
        <w:tc>
          <w:tcPr>
            <w:tcW w:w="354" w:type="pct"/>
            <w:vMerge w:val="restart"/>
            <w:vAlign w:val="center"/>
          </w:tcPr>
          <w:p w14:paraId="0104CEE7">
            <w:pPr>
              <w:pStyle w:val="64"/>
            </w:pPr>
            <w:r>
              <w:t>许可排放量污染物项目</w:t>
            </w:r>
          </w:p>
        </w:tc>
        <w:tc>
          <w:tcPr>
            <w:tcW w:w="1001" w:type="pct"/>
            <w:gridSpan w:val="2"/>
            <w:vAlign w:val="center"/>
          </w:tcPr>
          <w:p w14:paraId="308232C9">
            <w:pPr>
              <w:pStyle w:val="64"/>
            </w:pPr>
            <w:r>
              <w:t>污染治理设施</w:t>
            </w:r>
          </w:p>
        </w:tc>
      </w:tr>
      <w:tr w14:paraId="0620F1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4" w:type="pct"/>
            <w:vMerge w:val="continue"/>
            <w:vAlign w:val="center"/>
          </w:tcPr>
          <w:p w14:paraId="5A44F70E">
            <w:pPr>
              <w:pStyle w:val="64"/>
            </w:pPr>
          </w:p>
        </w:tc>
        <w:tc>
          <w:tcPr>
            <w:tcW w:w="388" w:type="pct"/>
            <w:vMerge w:val="continue"/>
            <w:vAlign w:val="center"/>
          </w:tcPr>
          <w:p w14:paraId="22C6C38B">
            <w:pPr>
              <w:pStyle w:val="64"/>
            </w:pPr>
          </w:p>
        </w:tc>
        <w:tc>
          <w:tcPr>
            <w:tcW w:w="394" w:type="pct"/>
            <w:vMerge w:val="continue"/>
            <w:vAlign w:val="center"/>
          </w:tcPr>
          <w:p w14:paraId="3E48796C">
            <w:pPr>
              <w:pStyle w:val="64"/>
            </w:pPr>
          </w:p>
        </w:tc>
        <w:tc>
          <w:tcPr>
            <w:tcW w:w="394" w:type="pct"/>
            <w:vMerge w:val="continue"/>
            <w:vAlign w:val="center"/>
          </w:tcPr>
          <w:p w14:paraId="7D66FA79">
            <w:pPr>
              <w:pStyle w:val="64"/>
            </w:pPr>
          </w:p>
        </w:tc>
        <w:tc>
          <w:tcPr>
            <w:tcW w:w="407" w:type="pct"/>
            <w:vMerge w:val="continue"/>
            <w:vAlign w:val="center"/>
          </w:tcPr>
          <w:p w14:paraId="72A3F6C7">
            <w:pPr>
              <w:pStyle w:val="64"/>
            </w:pPr>
          </w:p>
        </w:tc>
        <w:tc>
          <w:tcPr>
            <w:tcW w:w="345" w:type="pct"/>
            <w:vMerge w:val="continue"/>
            <w:vAlign w:val="center"/>
          </w:tcPr>
          <w:p w14:paraId="173F3631">
            <w:pPr>
              <w:pStyle w:val="64"/>
            </w:pPr>
          </w:p>
        </w:tc>
        <w:tc>
          <w:tcPr>
            <w:tcW w:w="369" w:type="pct"/>
            <w:vMerge w:val="continue"/>
            <w:vAlign w:val="center"/>
          </w:tcPr>
          <w:p w14:paraId="6F0EC00D">
            <w:pPr>
              <w:pStyle w:val="64"/>
            </w:pPr>
          </w:p>
        </w:tc>
        <w:tc>
          <w:tcPr>
            <w:tcW w:w="557" w:type="pct"/>
            <w:vMerge w:val="continue"/>
            <w:vAlign w:val="center"/>
          </w:tcPr>
          <w:p w14:paraId="23EAB327">
            <w:pPr>
              <w:pStyle w:val="64"/>
            </w:pPr>
          </w:p>
        </w:tc>
        <w:tc>
          <w:tcPr>
            <w:tcW w:w="557" w:type="pct"/>
            <w:vMerge w:val="continue"/>
            <w:vAlign w:val="center"/>
          </w:tcPr>
          <w:p w14:paraId="7DE79F87">
            <w:pPr>
              <w:pStyle w:val="64"/>
            </w:pPr>
          </w:p>
        </w:tc>
        <w:tc>
          <w:tcPr>
            <w:tcW w:w="354" w:type="pct"/>
            <w:vMerge w:val="continue"/>
            <w:vAlign w:val="center"/>
          </w:tcPr>
          <w:p w14:paraId="39DFFF5F">
            <w:pPr>
              <w:pStyle w:val="64"/>
            </w:pPr>
          </w:p>
        </w:tc>
        <w:tc>
          <w:tcPr>
            <w:tcW w:w="609" w:type="pct"/>
            <w:vAlign w:val="center"/>
          </w:tcPr>
          <w:p w14:paraId="6154A6C4">
            <w:pPr>
              <w:pStyle w:val="64"/>
            </w:pPr>
            <w:r>
              <w:t>污染治理设施名称及工艺</w:t>
            </w:r>
          </w:p>
        </w:tc>
        <w:tc>
          <w:tcPr>
            <w:tcW w:w="392" w:type="pct"/>
            <w:vAlign w:val="center"/>
          </w:tcPr>
          <w:p w14:paraId="078EA372">
            <w:pPr>
              <w:pStyle w:val="64"/>
            </w:pPr>
            <w:r>
              <w:t>是否为可行技术</w:t>
            </w:r>
          </w:p>
        </w:tc>
      </w:tr>
      <w:tr w14:paraId="57B905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4" w:type="pct"/>
            <w:vAlign w:val="center"/>
          </w:tcPr>
          <w:p w14:paraId="38E37813">
            <w:pPr>
              <w:pStyle w:val="64"/>
            </w:pPr>
            <w:r>
              <w:t>1</w:t>
            </w:r>
          </w:p>
        </w:tc>
        <w:tc>
          <w:tcPr>
            <w:tcW w:w="388" w:type="pct"/>
            <w:vAlign w:val="center"/>
          </w:tcPr>
          <w:p w14:paraId="098233AB">
            <w:pPr>
              <w:pStyle w:val="64"/>
            </w:pPr>
            <w:r>
              <w:t>生产装置</w:t>
            </w:r>
          </w:p>
        </w:tc>
        <w:tc>
          <w:tcPr>
            <w:tcW w:w="394" w:type="pct"/>
            <w:vAlign w:val="center"/>
          </w:tcPr>
          <w:p w14:paraId="6304D487">
            <w:pPr>
              <w:pStyle w:val="64"/>
            </w:pPr>
            <w:r>
              <w:t>烷基化、减压精馏</w:t>
            </w:r>
          </w:p>
        </w:tc>
        <w:tc>
          <w:tcPr>
            <w:tcW w:w="394" w:type="pct"/>
            <w:vAlign w:val="center"/>
          </w:tcPr>
          <w:p w14:paraId="4B5A1BBB">
            <w:pPr>
              <w:pStyle w:val="64"/>
            </w:pPr>
            <w:r>
              <w:t>精馏工序</w:t>
            </w:r>
          </w:p>
        </w:tc>
        <w:tc>
          <w:tcPr>
            <w:tcW w:w="407" w:type="pct"/>
            <w:vAlign w:val="center"/>
          </w:tcPr>
          <w:p w14:paraId="5AE6A2DC">
            <w:pPr>
              <w:pStyle w:val="64"/>
            </w:pPr>
            <w:r>
              <w:t>精馏塔/釜</w:t>
            </w:r>
          </w:p>
        </w:tc>
        <w:tc>
          <w:tcPr>
            <w:tcW w:w="345" w:type="pct"/>
            <w:vAlign w:val="center"/>
          </w:tcPr>
          <w:p w14:paraId="5D02A82A">
            <w:pPr>
              <w:pStyle w:val="64"/>
            </w:pPr>
            <w:r>
              <w:t>有组织</w:t>
            </w:r>
          </w:p>
        </w:tc>
        <w:tc>
          <w:tcPr>
            <w:tcW w:w="369" w:type="pct"/>
            <w:vAlign w:val="center"/>
          </w:tcPr>
          <w:p w14:paraId="49FA2FB8">
            <w:pPr>
              <w:pStyle w:val="64"/>
            </w:pPr>
            <w:r>
              <w:t>主要排放口</w:t>
            </w:r>
          </w:p>
        </w:tc>
        <w:tc>
          <w:tcPr>
            <w:tcW w:w="557" w:type="pct"/>
            <w:vMerge w:val="restart"/>
            <w:vAlign w:val="center"/>
          </w:tcPr>
          <w:p w14:paraId="1E05853B">
            <w:pPr>
              <w:pStyle w:val="64"/>
            </w:pPr>
            <w:r>
              <w:t>GB31571-2015</w:t>
            </w:r>
          </w:p>
        </w:tc>
        <w:tc>
          <w:tcPr>
            <w:tcW w:w="557" w:type="pct"/>
            <w:vAlign w:val="center"/>
          </w:tcPr>
          <w:p w14:paraId="54D4E4AD">
            <w:pPr>
              <w:pStyle w:val="64"/>
            </w:pPr>
            <w:r>
              <w:t>酚类、非甲烷总烃</w:t>
            </w:r>
          </w:p>
        </w:tc>
        <w:tc>
          <w:tcPr>
            <w:tcW w:w="354" w:type="pct"/>
            <w:vAlign w:val="center"/>
          </w:tcPr>
          <w:p w14:paraId="06559C30">
            <w:pPr>
              <w:pStyle w:val="64"/>
            </w:pPr>
            <w:r>
              <w:t>VOCs</w:t>
            </w:r>
          </w:p>
        </w:tc>
        <w:tc>
          <w:tcPr>
            <w:tcW w:w="609" w:type="pct"/>
            <w:vMerge w:val="restart"/>
            <w:vAlign w:val="center"/>
          </w:tcPr>
          <w:p w14:paraId="1D55A106">
            <w:pPr>
              <w:pStyle w:val="64"/>
            </w:pPr>
            <w:r>
              <w:rPr>
                <w:rFonts w:hint="eastAsia"/>
                <w:kern w:val="1"/>
              </w:rPr>
              <w:t>深冷+两级溶剂吸收+一级碱液吸收+深冷(以间对甲酚为溶剂)</w:t>
            </w:r>
            <w:r>
              <w:rPr>
                <w:kern w:val="1"/>
              </w:rPr>
              <w:t>+RTO装置</w:t>
            </w:r>
          </w:p>
        </w:tc>
        <w:tc>
          <w:tcPr>
            <w:tcW w:w="392" w:type="pct"/>
            <w:vMerge w:val="restart"/>
            <w:vAlign w:val="center"/>
          </w:tcPr>
          <w:p w14:paraId="790F36DF">
            <w:pPr>
              <w:pStyle w:val="64"/>
            </w:pPr>
            <w:r>
              <w:t>是</w:t>
            </w:r>
          </w:p>
        </w:tc>
      </w:tr>
      <w:tr w14:paraId="33A698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4" w:type="pct"/>
            <w:vAlign w:val="center"/>
          </w:tcPr>
          <w:p w14:paraId="70053BC3">
            <w:pPr>
              <w:pStyle w:val="64"/>
            </w:pPr>
            <w:r>
              <w:t>2</w:t>
            </w:r>
          </w:p>
        </w:tc>
        <w:tc>
          <w:tcPr>
            <w:tcW w:w="388" w:type="pct"/>
            <w:vAlign w:val="center"/>
          </w:tcPr>
          <w:p w14:paraId="13D2A413">
            <w:pPr>
              <w:pStyle w:val="64"/>
            </w:pPr>
            <w:r>
              <w:t>罐区</w:t>
            </w:r>
          </w:p>
        </w:tc>
        <w:tc>
          <w:tcPr>
            <w:tcW w:w="394" w:type="pct"/>
            <w:vAlign w:val="center"/>
          </w:tcPr>
          <w:p w14:paraId="12ED26AD">
            <w:pPr>
              <w:pStyle w:val="64"/>
            </w:pPr>
            <w:r>
              <w:rPr>
                <w:rFonts w:hint="eastAsia"/>
              </w:rPr>
              <w:t>/</w:t>
            </w:r>
          </w:p>
        </w:tc>
        <w:tc>
          <w:tcPr>
            <w:tcW w:w="394" w:type="pct"/>
            <w:vAlign w:val="center"/>
          </w:tcPr>
          <w:p w14:paraId="2EF1700C">
            <w:pPr>
              <w:pStyle w:val="64"/>
            </w:pPr>
            <w:r>
              <w:t>呼吸废气</w:t>
            </w:r>
          </w:p>
        </w:tc>
        <w:tc>
          <w:tcPr>
            <w:tcW w:w="407" w:type="pct"/>
            <w:vAlign w:val="center"/>
          </w:tcPr>
          <w:p w14:paraId="7F6454D9">
            <w:pPr>
              <w:pStyle w:val="64"/>
            </w:pPr>
            <w:r>
              <w:rPr>
                <w:rFonts w:hint="eastAsia"/>
              </w:rPr>
              <w:t>有机液体储罐</w:t>
            </w:r>
          </w:p>
        </w:tc>
        <w:tc>
          <w:tcPr>
            <w:tcW w:w="345" w:type="pct"/>
            <w:vAlign w:val="center"/>
          </w:tcPr>
          <w:p w14:paraId="4717F687">
            <w:pPr>
              <w:pStyle w:val="64"/>
            </w:pPr>
            <w:r>
              <w:t>有组织</w:t>
            </w:r>
          </w:p>
        </w:tc>
        <w:tc>
          <w:tcPr>
            <w:tcW w:w="369" w:type="pct"/>
            <w:vAlign w:val="center"/>
          </w:tcPr>
          <w:p w14:paraId="7D596FE2">
            <w:pPr>
              <w:pStyle w:val="64"/>
            </w:pPr>
            <w:r>
              <w:t>主要排放口</w:t>
            </w:r>
          </w:p>
        </w:tc>
        <w:tc>
          <w:tcPr>
            <w:tcW w:w="557" w:type="pct"/>
            <w:vMerge w:val="continue"/>
            <w:vAlign w:val="center"/>
          </w:tcPr>
          <w:p w14:paraId="6B261EF2">
            <w:pPr>
              <w:pStyle w:val="64"/>
            </w:pPr>
          </w:p>
        </w:tc>
        <w:tc>
          <w:tcPr>
            <w:tcW w:w="557" w:type="pct"/>
            <w:vAlign w:val="center"/>
          </w:tcPr>
          <w:p w14:paraId="307E0ED8">
            <w:pPr>
              <w:pStyle w:val="64"/>
            </w:pPr>
            <w:r>
              <w:t>酚类、非甲烷总烃</w:t>
            </w:r>
          </w:p>
        </w:tc>
        <w:tc>
          <w:tcPr>
            <w:tcW w:w="354" w:type="pct"/>
            <w:vAlign w:val="center"/>
          </w:tcPr>
          <w:p w14:paraId="6F0C41B8">
            <w:pPr>
              <w:pStyle w:val="64"/>
            </w:pPr>
            <w:r>
              <w:t>VOCs</w:t>
            </w:r>
          </w:p>
        </w:tc>
        <w:tc>
          <w:tcPr>
            <w:tcW w:w="609" w:type="pct"/>
            <w:vMerge w:val="continue"/>
            <w:vAlign w:val="center"/>
          </w:tcPr>
          <w:p w14:paraId="44421419">
            <w:pPr>
              <w:pStyle w:val="64"/>
            </w:pPr>
          </w:p>
        </w:tc>
        <w:tc>
          <w:tcPr>
            <w:tcW w:w="392" w:type="pct"/>
            <w:vMerge w:val="continue"/>
            <w:vAlign w:val="center"/>
          </w:tcPr>
          <w:p w14:paraId="3609DE6C">
            <w:pPr>
              <w:pStyle w:val="64"/>
            </w:pPr>
          </w:p>
        </w:tc>
      </w:tr>
      <w:tr w14:paraId="5C35E2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4" w:type="pct"/>
            <w:vAlign w:val="center"/>
          </w:tcPr>
          <w:p w14:paraId="194183FD">
            <w:pPr>
              <w:pStyle w:val="64"/>
            </w:pPr>
            <w:r>
              <w:rPr>
                <w:rFonts w:hint="eastAsia"/>
              </w:rPr>
              <w:t>3</w:t>
            </w:r>
          </w:p>
        </w:tc>
        <w:tc>
          <w:tcPr>
            <w:tcW w:w="388" w:type="pct"/>
            <w:vAlign w:val="center"/>
          </w:tcPr>
          <w:p w14:paraId="01713045">
            <w:pPr>
              <w:pStyle w:val="64"/>
            </w:pPr>
            <w:r>
              <w:t>生产装置区和罐区</w:t>
            </w:r>
          </w:p>
        </w:tc>
        <w:tc>
          <w:tcPr>
            <w:tcW w:w="394" w:type="pct"/>
            <w:vAlign w:val="center"/>
          </w:tcPr>
          <w:p w14:paraId="6E5572BF">
            <w:pPr>
              <w:pStyle w:val="64"/>
            </w:pPr>
            <w:r>
              <w:t>烷基化、减压精馏</w:t>
            </w:r>
          </w:p>
        </w:tc>
        <w:tc>
          <w:tcPr>
            <w:tcW w:w="394" w:type="pct"/>
            <w:vAlign w:val="center"/>
          </w:tcPr>
          <w:p w14:paraId="5F20059E">
            <w:pPr>
              <w:pStyle w:val="64"/>
            </w:pPr>
            <w:r>
              <w:rPr>
                <w:rFonts w:hint="eastAsia"/>
              </w:rPr>
              <w:t>精馏，物料输送</w:t>
            </w:r>
          </w:p>
        </w:tc>
        <w:tc>
          <w:tcPr>
            <w:tcW w:w="407" w:type="pct"/>
            <w:vAlign w:val="center"/>
          </w:tcPr>
          <w:p w14:paraId="6A8469EB">
            <w:pPr>
              <w:pStyle w:val="64"/>
            </w:pPr>
            <w:r>
              <w:rPr>
                <w:rFonts w:hint="eastAsia"/>
              </w:rPr>
              <w:t>精馏塔/釜，储罐</w:t>
            </w:r>
          </w:p>
        </w:tc>
        <w:tc>
          <w:tcPr>
            <w:tcW w:w="345" w:type="pct"/>
            <w:vAlign w:val="center"/>
          </w:tcPr>
          <w:p w14:paraId="74E04F4F">
            <w:pPr>
              <w:pStyle w:val="64"/>
            </w:pPr>
            <w:r>
              <w:rPr>
                <w:rFonts w:hint="eastAsia"/>
              </w:rPr>
              <w:t>无组织</w:t>
            </w:r>
          </w:p>
        </w:tc>
        <w:tc>
          <w:tcPr>
            <w:tcW w:w="369" w:type="pct"/>
            <w:vAlign w:val="center"/>
          </w:tcPr>
          <w:p w14:paraId="5C4F7BF7">
            <w:pPr>
              <w:pStyle w:val="64"/>
            </w:pPr>
            <w:r>
              <w:rPr>
                <w:rFonts w:hint="eastAsia"/>
              </w:rPr>
              <w:t>/</w:t>
            </w:r>
          </w:p>
        </w:tc>
        <w:tc>
          <w:tcPr>
            <w:tcW w:w="557" w:type="pct"/>
            <w:vAlign w:val="center"/>
          </w:tcPr>
          <w:p w14:paraId="70538CB7">
            <w:pPr>
              <w:pStyle w:val="64"/>
            </w:pPr>
            <w:r>
              <w:t>GB31571-2015</w:t>
            </w:r>
          </w:p>
          <w:p w14:paraId="504A4E74">
            <w:pPr>
              <w:pStyle w:val="64"/>
            </w:pPr>
            <w:r>
              <w:rPr>
                <w:rFonts w:hint="eastAsia"/>
              </w:rPr>
              <w:t>GB37822-2019</w:t>
            </w:r>
          </w:p>
        </w:tc>
        <w:tc>
          <w:tcPr>
            <w:tcW w:w="557" w:type="pct"/>
            <w:vAlign w:val="center"/>
          </w:tcPr>
          <w:p w14:paraId="4DB0894A">
            <w:pPr>
              <w:pStyle w:val="64"/>
            </w:pPr>
            <w:r>
              <w:t>酚类、非甲烷总烃、硫酸雾</w:t>
            </w:r>
          </w:p>
        </w:tc>
        <w:tc>
          <w:tcPr>
            <w:tcW w:w="354" w:type="pct"/>
            <w:vAlign w:val="center"/>
          </w:tcPr>
          <w:p w14:paraId="088FAADC">
            <w:pPr>
              <w:pStyle w:val="64"/>
            </w:pPr>
            <w:r>
              <w:t>VOCs</w:t>
            </w:r>
          </w:p>
        </w:tc>
        <w:tc>
          <w:tcPr>
            <w:tcW w:w="609" w:type="pct"/>
            <w:vAlign w:val="center"/>
          </w:tcPr>
          <w:p w14:paraId="0A9A7EA2">
            <w:pPr>
              <w:pStyle w:val="64"/>
            </w:pPr>
            <w:r>
              <w:t>定期检测易泄漏设备及管件，采用无泄漏泵等</w:t>
            </w:r>
          </w:p>
        </w:tc>
        <w:tc>
          <w:tcPr>
            <w:tcW w:w="392" w:type="pct"/>
            <w:vAlign w:val="center"/>
          </w:tcPr>
          <w:p w14:paraId="63F8D5FB">
            <w:pPr>
              <w:pStyle w:val="64"/>
            </w:pPr>
            <w:r>
              <w:t>是</w:t>
            </w:r>
          </w:p>
        </w:tc>
      </w:tr>
    </w:tbl>
    <w:p w14:paraId="1A4B1D3B">
      <w:pPr>
        <w:spacing w:line="360" w:lineRule="auto"/>
        <w:ind w:firstLine="426" w:firstLineChars="177"/>
        <w:jc w:val="center"/>
        <w:rPr>
          <w:b/>
          <w:szCs w:val="21"/>
        </w:rPr>
      </w:pPr>
    </w:p>
    <w:p w14:paraId="4EAD27D7">
      <w:pPr>
        <w:pStyle w:val="28"/>
        <w:rPr>
          <w:rFonts w:hint="eastAsia"/>
        </w:rPr>
      </w:pPr>
      <w:r>
        <w:t>表</w:t>
      </w:r>
      <w:r>
        <w:rPr>
          <w:rFonts w:hint="eastAsia"/>
        </w:rPr>
        <w:t>9</w:t>
      </w:r>
      <w:r>
        <w:t>.2-2  废水产排污节点、污染物及污染治理设施信息表</w:t>
      </w:r>
    </w:p>
    <w:tbl>
      <w:tblPr>
        <w:tblStyle w:val="3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5"/>
        <w:gridCol w:w="991"/>
        <w:gridCol w:w="1276"/>
        <w:gridCol w:w="851"/>
        <w:gridCol w:w="1701"/>
        <w:gridCol w:w="1841"/>
        <w:gridCol w:w="1276"/>
        <w:gridCol w:w="4254"/>
        <w:gridCol w:w="1097"/>
      </w:tblGrid>
      <w:tr w14:paraId="4998DB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2" w:type="pct"/>
            <w:vMerge w:val="restart"/>
            <w:vAlign w:val="center"/>
          </w:tcPr>
          <w:p w14:paraId="63DE40EA">
            <w:pPr>
              <w:pStyle w:val="64"/>
            </w:pPr>
            <w:r>
              <w:t>废水类别</w:t>
            </w:r>
          </w:p>
        </w:tc>
        <w:tc>
          <w:tcPr>
            <w:tcW w:w="354" w:type="pct"/>
            <w:vMerge w:val="restart"/>
            <w:vAlign w:val="center"/>
          </w:tcPr>
          <w:p w14:paraId="606D3ABB">
            <w:pPr>
              <w:pStyle w:val="64"/>
            </w:pPr>
            <w:r>
              <w:rPr>
                <w:rFonts w:hint="eastAsia"/>
              </w:rPr>
              <w:t>废水排放口</w:t>
            </w:r>
          </w:p>
        </w:tc>
        <w:tc>
          <w:tcPr>
            <w:tcW w:w="456" w:type="pct"/>
            <w:vMerge w:val="restart"/>
            <w:vAlign w:val="center"/>
          </w:tcPr>
          <w:p w14:paraId="5972FD16">
            <w:pPr>
              <w:pStyle w:val="64"/>
            </w:pPr>
            <w:r>
              <w:rPr>
                <w:rFonts w:hint="eastAsia"/>
              </w:rPr>
              <w:t>排放方式</w:t>
            </w:r>
          </w:p>
        </w:tc>
        <w:tc>
          <w:tcPr>
            <w:tcW w:w="304" w:type="pct"/>
            <w:vMerge w:val="restart"/>
            <w:vAlign w:val="center"/>
          </w:tcPr>
          <w:p w14:paraId="2B641713">
            <w:pPr>
              <w:pStyle w:val="64"/>
            </w:pPr>
            <w:r>
              <w:rPr>
                <w:rFonts w:hint="eastAsia"/>
              </w:rPr>
              <w:t>排放口类型</w:t>
            </w:r>
          </w:p>
        </w:tc>
        <w:tc>
          <w:tcPr>
            <w:tcW w:w="608" w:type="pct"/>
            <w:vMerge w:val="restart"/>
            <w:vAlign w:val="center"/>
          </w:tcPr>
          <w:p w14:paraId="39D604D3">
            <w:pPr>
              <w:pStyle w:val="64"/>
            </w:pPr>
            <w:r>
              <w:rPr>
                <w:rFonts w:hint="eastAsia"/>
              </w:rPr>
              <w:t>排放标准</w:t>
            </w:r>
          </w:p>
        </w:tc>
        <w:tc>
          <w:tcPr>
            <w:tcW w:w="658" w:type="pct"/>
            <w:vMerge w:val="restart"/>
            <w:vAlign w:val="center"/>
          </w:tcPr>
          <w:p w14:paraId="6283F315">
            <w:pPr>
              <w:pStyle w:val="64"/>
            </w:pPr>
            <w:r>
              <w:rPr>
                <w:rFonts w:hint="eastAsia"/>
              </w:rPr>
              <w:t>许可排放浓度(速率)的污染物控制项目</w:t>
            </w:r>
          </w:p>
        </w:tc>
        <w:tc>
          <w:tcPr>
            <w:tcW w:w="456" w:type="pct"/>
            <w:vMerge w:val="restart"/>
            <w:vAlign w:val="center"/>
          </w:tcPr>
          <w:p w14:paraId="7B116410">
            <w:pPr>
              <w:pStyle w:val="64"/>
            </w:pPr>
            <w:r>
              <w:rPr>
                <w:rFonts w:hint="eastAsia"/>
              </w:rPr>
              <w:t>许可排放量的污染物控制项目</w:t>
            </w:r>
          </w:p>
        </w:tc>
        <w:tc>
          <w:tcPr>
            <w:tcW w:w="1912" w:type="pct"/>
            <w:gridSpan w:val="2"/>
            <w:vAlign w:val="center"/>
          </w:tcPr>
          <w:p w14:paraId="6538A82E">
            <w:pPr>
              <w:pStyle w:val="64"/>
            </w:pPr>
            <w:r>
              <w:t>污染治理设施</w:t>
            </w:r>
          </w:p>
        </w:tc>
      </w:tr>
      <w:tr w14:paraId="471AD4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2" w:type="pct"/>
            <w:vMerge w:val="continue"/>
            <w:vAlign w:val="center"/>
          </w:tcPr>
          <w:p w14:paraId="083BFBE9">
            <w:pPr>
              <w:pStyle w:val="64"/>
            </w:pPr>
          </w:p>
        </w:tc>
        <w:tc>
          <w:tcPr>
            <w:tcW w:w="354" w:type="pct"/>
            <w:vMerge w:val="continue"/>
            <w:vAlign w:val="center"/>
          </w:tcPr>
          <w:p w14:paraId="003BD751">
            <w:pPr>
              <w:pStyle w:val="64"/>
            </w:pPr>
          </w:p>
        </w:tc>
        <w:tc>
          <w:tcPr>
            <w:tcW w:w="456" w:type="pct"/>
            <w:vMerge w:val="continue"/>
            <w:vAlign w:val="center"/>
          </w:tcPr>
          <w:p w14:paraId="12BFDE59">
            <w:pPr>
              <w:pStyle w:val="64"/>
            </w:pPr>
          </w:p>
        </w:tc>
        <w:tc>
          <w:tcPr>
            <w:tcW w:w="304" w:type="pct"/>
            <w:vMerge w:val="continue"/>
            <w:vAlign w:val="center"/>
          </w:tcPr>
          <w:p w14:paraId="65C1BE58">
            <w:pPr>
              <w:pStyle w:val="64"/>
            </w:pPr>
          </w:p>
        </w:tc>
        <w:tc>
          <w:tcPr>
            <w:tcW w:w="608" w:type="pct"/>
            <w:vMerge w:val="continue"/>
            <w:vAlign w:val="center"/>
          </w:tcPr>
          <w:p w14:paraId="54B01F26">
            <w:pPr>
              <w:pStyle w:val="64"/>
            </w:pPr>
          </w:p>
        </w:tc>
        <w:tc>
          <w:tcPr>
            <w:tcW w:w="658" w:type="pct"/>
            <w:vMerge w:val="continue"/>
            <w:vAlign w:val="center"/>
          </w:tcPr>
          <w:p w14:paraId="03A7D76A">
            <w:pPr>
              <w:pStyle w:val="64"/>
            </w:pPr>
          </w:p>
        </w:tc>
        <w:tc>
          <w:tcPr>
            <w:tcW w:w="456" w:type="pct"/>
            <w:vMerge w:val="continue"/>
            <w:vAlign w:val="center"/>
          </w:tcPr>
          <w:p w14:paraId="58FFB27B">
            <w:pPr>
              <w:pStyle w:val="64"/>
            </w:pPr>
          </w:p>
        </w:tc>
        <w:tc>
          <w:tcPr>
            <w:tcW w:w="1520" w:type="pct"/>
            <w:vAlign w:val="center"/>
          </w:tcPr>
          <w:p w14:paraId="646F02A1">
            <w:pPr>
              <w:pStyle w:val="64"/>
            </w:pPr>
            <w:r>
              <w:t>污染治理设施</w:t>
            </w:r>
            <w:r>
              <w:rPr>
                <w:rFonts w:hint="eastAsia"/>
              </w:rPr>
              <w:t>名称及工艺</w:t>
            </w:r>
          </w:p>
        </w:tc>
        <w:tc>
          <w:tcPr>
            <w:tcW w:w="392" w:type="pct"/>
            <w:vAlign w:val="center"/>
          </w:tcPr>
          <w:p w14:paraId="11C4D48D">
            <w:pPr>
              <w:pStyle w:val="64"/>
            </w:pPr>
            <w:r>
              <w:t>是否为可行技术</w:t>
            </w:r>
          </w:p>
        </w:tc>
      </w:tr>
      <w:tr w14:paraId="15CAF3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7" w:hRule="atLeast"/>
          <w:jc w:val="center"/>
        </w:trPr>
        <w:tc>
          <w:tcPr>
            <w:tcW w:w="252" w:type="pct"/>
            <w:vAlign w:val="center"/>
          </w:tcPr>
          <w:p w14:paraId="6B5A03CF">
            <w:pPr>
              <w:pStyle w:val="64"/>
            </w:pPr>
            <w:r>
              <w:rPr>
                <w:rFonts w:hint="eastAsia"/>
              </w:rPr>
              <w:t>生</w:t>
            </w:r>
            <w:r>
              <w:t>产废水</w:t>
            </w:r>
          </w:p>
        </w:tc>
        <w:tc>
          <w:tcPr>
            <w:tcW w:w="354" w:type="pct"/>
            <w:vAlign w:val="center"/>
          </w:tcPr>
          <w:p w14:paraId="7751186D">
            <w:pPr>
              <w:pStyle w:val="64"/>
            </w:pPr>
            <w:r>
              <w:rPr>
                <w:rFonts w:hint="eastAsia"/>
              </w:rPr>
              <w:t>废水总排口</w:t>
            </w:r>
          </w:p>
        </w:tc>
        <w:tc>
          <w:tcPr>
            <w:tcW w:w="456" w:type="pct"/>
            <w:vAlign w:val="center"/>
          </w:tcPr>
          <w:p w14:paraId="7D231417">
            <w:pPr>
              <w:pStyle w:val="64"/>
            </w:pPr>
            <w:r>
              <w:t>间断排放，排放期间流量稳定</w:t>
            </w:r>
          </w:p>
        </w:tc>
        <w:tc>
          <w:tcPr>
            <w:tcW w:w="304" w:type="pct"/>
            <w:vMerge w:val="restart"/>
            <w:vAlign w:val="center"/>
          </w:tcPr>
          <w:p w14:paraId="45C6B85B">
            <w:pPr>
              <w:pStyle w:val="64"/>
            </w:pPr>
            <w:r>
              <w:rPr>
                <w:rFonts w:hint="eastAsia"/>
              </w:rPr>
              <w:t>主要排放口</w:t>
            </w:r>
          </w:p>
        </w:tc>
        <w:tc>
          <w:tcPr>
            <w:tcW w:w="608" w:type="pct"/>
            <w:vAlign w:val="center"/>
          </w:tcPr>
          <w:p w14:paraId="739B5A97">
            <w:pPr>
              <w:pStyle w:val="64"/>
            </w:pPr>
            <w:r>
              <w:t>GB31571-2015</w:t>
            </w:r>
            <w:r>
              <w:rPr>
                <w:rFonts w:hint="eastAsia"/>
              </w:rPr>
              <w:t>及沫河口污水处理厂接管标准</w:t>
            </w:r>
          </w:p>
        </w:tc>
        <w:tc>
          <w:tcPr>
            <w:tcW w:w="658" w:type="pct"/>
            <w:vAlign w:val="center"/>
          </w:tcPr>
          <w:p w14:paraId="29EF4366">
            <w:pPr>
              <w:pStyle w:val="64"/>
              <w:wordWrap w:val="0"/>
            </w:pPr>
            <w:r>
              <w:rPr>
                <w:rFonts w:hint="eastAsia"/>
              </w:rPr>
              <w:t>p</w:t>
            </w:r>
            <w:r>
              <w:t>H</w:t>
            </w:r>
            <w:r>
              <w:rPr>
                <w:rFonts w:hint="eastAsia"/>
              </w:rPr>
              <w:t>、</w:t>
            </w:r>
            <w:r>
              <w:t>COD</w:t>
            </w:r>
            <w:r>
              <w:rPr>
                <w:rFonts w:hint="eastAsia"/>
              </w:rPr>
              <w:t>、B</w:t>
            </w:r>
            <w:r>
              <w:t>OD</w:t>
            </w:r>
            <w:r>
              <w:rPr>
                <w:vertAlign w:val="subscript"/>
              </w:rPr>
              <w:t>5</w:t>
            </w:r>
            <w:r>
              <w:rPr>
                <w:rFonts w:hint="eastAsia"/>
              </w:rPr>
              <w:t>、悬浮物、挥发酚、石油类等</w:t>
            </w:r>
          </w:p>
        </w:tc>
        <w:tc>
          <w:tcPr>
            <w:tcW w:w="456" w:type="pct"/>
            <w:vMerge w:val="restart"/>
            <w:vAlign w:val="center"/>
          </w:tcPr>
          <w:p w14:paraId="5AF9734C">
            <w:pPr>
              <w:pStyle w:val="64"/>
            </w:pPr>
            <w:r>
              <w:t>COD</w:t>
            </w:r>
            <w:r>
              <w:rPr>
                <w:rFonts w:hint="eastAsia"/>
              </w:rPr>
              <w:t>、氨氮</w:t>
            </w:r>
          </w:p>
        </w:tc>
        <w:tc>
          <w:tcPr>
            <w:tcW w:w="1520" w:type="pct"/>
            <w:vMerge w:val="restart"/>
            <w:vAlign w:val="center"/>
          </w:tcPr>
          <w:p w14:paraId="2EC9233F">
            <w:pPr>
              <w:pStyle w:val="64"/>
            </w:pPr>
            <w:r>
              <w:rPr>
                <w:rFonts w:hint="eastAsia"/>
                <w:kern w:val="0"/>
                <w:lang w:bidi="ar"/>
              </w:rPr>
              <w:t>高浓高盐废水经脱盐釜脱盐预处理后，经厂区污水处理站(调节(水解酸化)+絮凝沉淀+厌氧+接触氧化+二沉+氧化沉淀)+沫河口污水处理厂(</w:t>
            </w:r>
            <w:r>
              <w:rPr>
                <w:kern w:val="0"/>
                <w:lang w:bidi="ar"/>
              </w:rPr>
              <w:t>综合调节池+絮凝</w:t>
            </w:r>
            <w:r>
              <w:rPr>
                <w:rFonts w:hint="eastAsia"/>
              </w:rPr>
              <w:t>曝气沉砂+调节+水解酸池+生物反应+沉淀+臭氧接触氧化+曝气+滤布过滤+消毒)</w:t>
            </w:r>
          </w:p>
        </w:tc>
        <w:tc>
          <w:tcPr>
            <w:tcW w:w="392" w:type="pct"/>
            <w:vAlign w:val="center"/>
          </w:tcPr>
          <w:p w14:paraId="7559EC4B">
            <w:pPr>
              <w:pStyle w:val="64"/>
            </w:pPr>
            <w:r>
              <w:t>是</w:t>
            </w:r>
          </w:p>
        </w:tc>
      </w:tr>
      <w:tr w14:paraId="134DE8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1" w:hRule="atLeast"/>
          <w:jc w:val="center"/>
        </w:trPr>
        <w:tc>
          <w:tcPr>
            <w:tcW w:w="252" w:type="pct"/>
            <w:vAlign w:val="center"/>
          </w:tcPr>
          <w:p w14:paraId="25E1ED2F">
            <w:pPr>
              <w:pStyle w:val="64"/>
            </w:pPr>
            <w:r>
              <w:rPr>
                <w:rFonts w:hint="eastAsia"/>
              </w:rPr>
              <w:t>生活污水</w:t>
            </w:r>
          </w:p>
        </w:tc>
        <w:tc>
          <w:tcPr>
            <w:tcW w:w="354" w:type="pct"/>
            <w:vAlign w:val="center"/>
          </w:tcPr>
          <w:p w14:paraId="6754FA3D">
            <w:pPr>
              <w:pStyle w:val="64"/>
            </w:pPr>
            <w:r>
              <w:rPr>
                <w:rFonts w:hint="eastAsia"/>
              </w:rPr>
              <w:t>废水总排口</w:t>
            </w:r>
          </w:p>
        </w:tc>
        <w:tc>
          <w:tcPr>
            <w:tcW w:w="456" w:type="pct"/>
            <w:vAlign w:val="center"/>
          </w:tcPr>
          <w:p w14:paraId="4210F204">
            <w:pPr>
              <w:pStyle w:val="64"/>
            </w:pPr>
            <w:r>
              <w:rPr>
                <w:rFonts w:hint="eastAsia"/>
              </w:rPr>
              <w:t>连续排放</w:t>
            </w:r>
          </w:p>
        </w:tc>
        <w:tc>
          <w:tcPr>
            <w:tcW w:w="304" w:type="pct"/>
            <w:vMerge w:val="continue"/>
            <w:vAlign w:val="center"/>
          </w:tcPr>
          <w:p w14:paraId="1F2166F6">
            <w:pPr>
              <w:pStyle w:val="64"/>
            </w:pPr>
          </w:p>
        </w:tc>
        <w:tc>
          <w:tcPr>
            <w:tcW w:w="608" w:type="pct"/>
            <w:vAlign w:val="center"/>
          </w:tcPr>
          <w:p w14:paraId="5F77A73C">
            <w:pPr>
              <w:pStyle w:val="64"/>
              <w:rPr>
                <w:spacing w:val="2"/>
              </w:rPr>
            </w:pPr>
            <w:r>
              <w:rPr>
                <w:rFonts w:hint="eastAsia"/>
              </w:rPr>
              <w:t>沫河口污水处理厂接管标准</w:t>
            </w:r>
          </w:p>
        </w:tc>
        <w:tc>
          <w:tcPr>
            <w:tcW w:w="658" w:type="pct"/>
            <w:vAlign w:val="center"/>
          </w:tcPr>
          <w:p w14:paraId="0C5787A9">
            <w:pPr>
              <w:pStyle w:val="64"/>
              <w:wordWrap w:val="0"/>
            </w:pPr>
            <w:r>
              <w:rPr>
                <w:rFonts w:hint="eastAsia"/>
              </w:rPr>
              <w:t>p</w:t>
            </w:r>
            <w:r>
              <w:t>H</w:t>
            </w:r>
            <w:r>
              <w:rPr>
                <w:rFonts w:hint="eastAsia"/>
              </w:rPr>
              <w:t>、</w:t>
            </w:r>
            <w:r>
              <w:t>COD</w:t>
            </w:r>
            <w:r>
              <w:rPr>
                <w:rFonts w:hint="eastAsia"/>
              </w:rPr>
              <w:t>、B</w:t>
            </w:r>
            <w:r>
              <w:t>OD</w:t>
            </w:r>
            <w:r>
              <w:rPr>
                <w:vertAlign w:val="subscript"/>
              </w:rPr>
              <w:t>5</w:t>
            </w:r>
            <w:r>
              <w:rPr>
                <w:rFonts w:hint="eastAsia"/>
              </w:rPr>
              <w:t>、氨氮、悬浮物等</w:t>
            </w:r>
          </w:p>
        </w:tc>
        <w:tc>
          <w:tcPr>
            <w:tcW w:w="456" w:type="pct"/>
            <w:vMerge w:val="continue"/>
            <w:vAlign w:val="center"/>
          </w:tcPr>
          <w:p w14:paraId="14FC103A">
            <w:pPr>
              <w:pStyle w:val="64"/>
            </w:pPr>
          </w:p>
        </w:tc>
        <w:tc>
          <w:tcPr>
            <w:tcW w:w="1520" w:type="pct"/>
            <w:vMerge w:val="continue"/>
            <w:vAlign w:val="center"/>
          </w:tcPr>
          <w:p w14:paraId="25072C88">
            <w:pPr>
              <w:pStyle w:val="64"/>
            </w:pPr>
          </w:p>
        </w:tc>
        <w:tc>
          <w:tcPr>
            <w:tcW w:w="392" w:type="pct"/>
            <w:vAlign w:val="center"/>
          </w:tcPr>
          <w:p w14:paraId="1F441E5F">
            <w:pPr>
              <w:pStyle w:val="64"/>
            </w:pPr>
            <w:r>
              <w:t>是</w:t>
            </w:r>
          </w:p>
        </w:tc>
      </w:tr>
    </w:tbl>
    <w:p w14:paraId="2EDD1CA4">
      <w:pPr>
        <w:rPr>
          <w:rFonts w:cs="Times New Roman"/>
          <w:spacing w:val="-3"/>
        </w:rPr>
        <w:sectPr>
          <w:pgSz w:w="16838" w:h="11906" w:orient="landscape"/>
          <w:pgMar w:top="1418" w:right="1418" w:bottom="1418" w:left="1418" w:header="851" w:footer="992" w:gutter="0"/>
          <w:cols w:space="425" w:num="1"/>
          <w:docGrid w:type="lines" w:linePitch="326" w:charSpace="0"/>
        </w:sectPr>
      </w:pPr>
    </w:p>
    <w:p w14:paraId="73A08482">
      <w:pPr>
        <w:pStyle w:val="4"/>
        <w:rPr>
          <w:rFonts w:hint="eastAsia"/>
        </w:rPr>
      </w:pPr>
      <w:bookmarkStart w:id="184" w:name="_Toc221056472"/>
      <w:r>
        <w:rPr>
          <w:rFonts w:hint="eastAsia"/>
        </w:rPr>
        <w:t>9.2.2信息公开</w:t>
      </w:r>
      <w:bookmarkEnd w:id="184"/>
    </w:p>
    <w:p w14:paraId="7008739F">
      <w:pPr>
        <w:pStyle w:val="16"/>
        <w:ind w:firstLine="480"/>
      </w:pPr>
      <w:r>
        <w:t>根据《企业事业单位环境信息公开办法》(环境保护部令 第31号)，安徽海华科技集团有限公司需向社会公开以下信息：</w:t>
      </w:r>
    </w:p>
    <w:p w14:paraId="0F489978">
      <w:pPr>
        <w:pStyle w:val="16"/>
        <w:ind w:firstLine="480"/>
      </w:pPr>
      <w:r>
        <w:t>1.基础信息，包括单位名称、组织机构代码、法定代表人、生产地址、联系方式，以及生产经营和管理服务的主要内容、产品及规模。</w:t>
      </w:r>
    </w:p>
    <w:p w14:paraId="6F344A10">
      <w:pPr>
        <w:pStyle w:val="16"/>
        <w:ind w:firstLine="480"/>
      </w:pPr>
      <w:r>
        <w:t>2.排污信息，包括主要污染物及特征污染物的名称、排放方式、排放口数量和分布情况、排放浓度和总量、超标情况，以及执行的污染物排放标准、核定的排放总量。</w:t>
      </w:r>
    </w:p>
    <w:p w14:paraId="440A2DDD">
      <w:pPr>
        <w:pStyle w:val="16"/>
        <w:ind w:firstLine="480"/>
      </w:pPr>
      <w:r>
        <w:t>3.防治污染设施的建设和运行情况。</w:t>
      </w:r>
    </w:p>
    <w:p w14:paraId="558E6069">
      <w:pPr>
        <w:pStyle w:val="16"/>
        <w:ind w:firstLine="480"/>
      </w:pPr>
      <w:r>
        <w:t>4.建设项目环境影响评价及其他环境保护行政许可情况。</w:t>
      </w:r>
    </w:p>
    <w:p w14:paraId="52156FEA">
      <w:pPr>
        <w:pStyle w:val="16"/>
        <w:ind w:firstLine="480"/>
      </w:pPr>
      <w:r>
        <w:t>5.突发环境事件应急预案。</w:t>
      </w:r>
    </w:p>
    <w:p w14:paraId="1B7340B2">
      <w:pPr>
        <w:pStyle w:val="16"/>
        <w:ind w:firstLine="480"/>
      </w:pPr>
      <w:r>
        <w:t>6.其他应当公开的环境信息</w:t>
      </w:r>
      <w:r>
        <w:rPr>
          <w:rFonts w:hint="eastAsia"/>
        </w:rPr>
        <w:t>。</w:t>
      </w:r>
    </w:p>
    <w:p w14:paraId="2F85BA97">
      <w:pPr>
        <w:pStyle w:val="3"/>
        <w:spacing w:before="326"/>
        <w:rPr>
          <w:rFonts w:hint="eastAsia"/>
        </w:rPr>
      </w:pPr>
      <w:bookmarkStart w:id="185" w:name="_Toc221056473"/>
      <w:r>
        <w:rPr>
          <w:rFonts w:hint="eastAsia"/>
        </w:rPr>
        <w:t>9.3环境监测计划</w:t>
      </w:r>
      <w:bookmarkEnd w:id="185"/>
    </w:p>
    <w:p w14:paraId="38540919">
      <w:pPr>
        <w:ind w:firstLine="480" w:firstLineChars="200"/>
      </w:pPr>
      <w:r>
        <w:t>根据《排污单位自行监测技术指南 总则》(HJ819-2017)</w:t>
      </w:r>
      <w:r>
        <w:rPr>
          <w:rFonts w:hint="eastAsia"/>
        </w:rPr>
        <w:t>、《排污单位自行监测技术指南 石油化学工业》(HJ947-2018)</w:t>
      </w:r>
      <w:r>
        <w:t>，建设单位应查清所有污染源，确定主要污染源及主要监测指标，编制监测方案。监测方案内容主要包括：单位基本情况、监测点位及示意图、监测指标、执行标准及其限值、监测频次、采样和样品保存方法、监测分析方法和仪器、质量保证与质量控制等。建设单位应当在投入生产并产生实际排污行为之前完成自行监测方案的编制。</w:t>
      </w:r>
    </w:p>
    <w:p w14:paraId="0AEDE08C">
      <w:pPr>
        <w:pStyle w:val="4"/>
        <w:rPr>
          <w:rFonts w:hint="eastAsia"/>
        </w:rPr>
      </w:pPr>
      <w:bookmarkStart w:id="186" w:name="_Toc221056474"/>
      <w:r>
        <w:rPr>
          <w:rFonts w:hint="eastAsia"/>
        </w:rPr>
        <w:t>9.3.1废气监测计划</w:t>
      </w:r>
      <w:bookmarkEnd w:id="186"/>
    </w:p>
    <w:p w14:paraId="62CC13E1">
      <w:pPr>
        <w:pStyle w:val="16"/>
        <w:ind w:firstLine="480"/>
      </w:pPr>
      <w:r>
        <w:rPr>
          <w:rFonts w:hint="eastAsia"/>
        </w:rPr>
        <w:t>结合现有工程的监测项目及周期，确定本项目废气监测内容如下表9.3-1。</w:t>
      </w:r>
    </w:p>
    <w:p w14:paraId="4A238158">
      <w:pPr>
        <w:pStyle w:val="28"/>
        <w:rPr>
          <w:rFonts w:hint="eastAsia"/>
        </w:rPr>
      </w:pPr>
      <w:r>
        <w:rPr>
          <w:rFonts w:hint="eastAsia"/>
        </w:rPr>
        <w:t>表9.3-1  项目废气监测内容一览表</w:t>
      </w:r>
    </w:p>
    <w:tbl>
      <w:tblPr>
        <w:tblStyle w:val="3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97"/>
        <w:gridCol w:w="1183"/>
        <w:gridCol w:w="3260"/>
        <w:gridCol w:w="1843"/>
        <w:gridCol w:w="1977"/>
      </w:tblGrid>
      <w:tr w14:paraId="7EE84A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40" w:type="pct"/>
            <w:vAlign w:val="center"/>
          </w:tcPr>
          <w:p w14:paraId="4F25E84E">
            <w:pPr>
              <w:pStyle w:val="64"/>
            </w:pPr>
            <w:bookmarkStart w:id="187" w:name="_Hlk53691119"/>
            <w:r>
              <w:t>类别</w:t>
            </w:r>
          </w:p>
        </w:tc>
        <w:tc>
          <w:tcPr>
            <w:tcW w:w="653" w:type="pct"/>
            <w:vAlign w:val="center"/>
          </w:tcPr>
          <w:p w14:paraId="7C4DE248">
            <w:pPr>
              <w:pStyle w:val="64"/>
            </w:pPr>
            <w:r>
              <w:t>监测点位</w:t>
            </w:r>
          </w:p>
        </w:tc>
        <w:tc>
          <w:tcPr>
            <w:tcW w:w="1799" w:type="pct"/>
            <w:vAlign w:val="center"/>
          </w:tcPr>
          <w:p w14:paraId="52EEDE37">
            <w:pPr>
              <w:pStyle w:val="64"/>
            </w:pPr>
            <w:r>
              <w:t>监测指标</w:t>
            </w:r>
          </w:p>
        </w:tc>
        <w:tc>
          <w:tcPr>
            <w:tcW w:w="1017" w:type="pct"/>
            <w:vAlign w:val="center"/>
          </w:tcPr>
          <w:p w14:paraId="30CFB9C6">
            <w:pPr>
              <w:pStyle w:val="64"/>
            </w:pPr>
            <w:r>
              <w:t>监测频次</w:t>
            </w:r>
          </w:p>
        </w:tc>
        <w:tc>
          <w:tcPr>
            <w:tcW w:w="1091" w:type="pct"/>
            <w:vAlign w:val="center"/>
          </w:tcPr>
          <w:p w14:paraId="2C16B9F2">
            <w:pPr>
              <w:pStyle w:val="64"/>
            </w:pPr>
            <w:r>
              <w:t>执行标准</w:t>
            </w:r>
          </w:p>
        </w:tc>
      </w:tr>
      <w:tr w14:paraId="1B125E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40" w:type="pct"/>
            <w:vMerge w:val="restart"/>
            <w:vAlign w:val="center"/>
          </w:tcPr>
          <w:p w14:paraId="308515C1">
            <w:pPr>
              <w:pStyle w:val="64"/>
            </w:pPr>
            <w:r>
              <w:t>有组织废气</w:t>
            </w:r>
          </w:p>
        </w:tc>
        <w:tc>
          <w:tcPr>
            <w:tcW w:w="653" w:type="pct"/>
            <w:vMerge w:val="restart"/>
            <w:vAlign w:val="center"/>
          </w:tcPr>
          <w:p w14:paraId="7CA0575D">
            <w:pPr>
              <w:pStyle w:val="64"/>
            </w:pPr>
            <w:r>
              <w:rPr>
                <w:rFonts w:hint="eastAsia"/>
              </w:rPr>
              <w:t>东厂区R</w:t>
            </w:r>
            <w:r>
              <w:t>TO</w:t>
            </w:r>
            <w:r>
              <w:rPr>
                <w:rFonts w:hint="eastAsia"/>
              </w:rPr>
              <w:t>排气筒</w:t>
            </w:r>
          </w:p>
        </w:tc>
        <w:tc>
          <w:tcPr>
            <w:tcW w:w="1799" w:type="pct"/>
            <w:vAlign w:val="center"/>
          </w:tcPr>
          <w:p w14:paraId="2E448B37">
            <w:pPr>
              <w:pStyle w:val="64"/>
            </w:pPr>
            <w:r>
              <w:rPr>
                <w:rFonts w:hint="eastAsia"/>
              </w:rPr>
              <w:t>非甲烷总烃</w:t>
            </w:r>
          </w:p>
        </w:tc>
        <w:tc>
          <w:tcPr>
            <w:tcW w:w="1017" w:type="pct"/>
            <w:vAlign w:val="center"/>
          </w:tcPr>
          <w:p w14:paraId="169D7D59">
            <w:pPr>
              <w:pStyle w:val="64"/>
            </w:pPr>
            <w:r>
              <w:rPr>
                <w:rFonts w:hint="eastAsia"/>
              </w:rPr>
              <w:t>每月监测1次</w:t>
            </w:r>
          </w:p>
        </w:tc>
        <w:tc>
          <w:tcPr>
            <w:tcW w:w="1091" w:type="pct"/>
            <w:vAlign w:val="center"/>
          </w:tcPr>
          <w:p w14:paraId="32DE73EF">
            <w:pPr>
              <w:pStyle w:val="64"/>
            </w:pPr>
            <w:r>
              <w:rPr>
                <w:rFonts w:hint="eastAsia"/>
              </w:rPr>
              <w:t>GB31571-2015</w:t>
            </w:r>
          </w:p>
        </w:tc>
      </w:tr>
      <w:tr w14:paraId="20089B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40" w:type="pct"/>
            <w:vMerge w:val="continue"/>
            <w:vAlign w:val="center"/>
          </w:tcPr>
          <w:p w14:paraId="2AD0B8C3">
            <w:pPr>
              <w:pStyle w:val="64"/>
            </w:pPr>
          </w:p>
        </w:tc>
        <w:tc>
          <w:tcPr>
            <w:tcW w:w="653" w:type="pct"/>
            <w:vMerge w:val="continue"/>
            <w:vAlign w:val="center"/>
          </w:tcPr>
          <w:p w14:paraId="244CE4B0">
            <w:pPr>
              <w:pStyle w:val="64"/>
            </w:pPr>
          </w:p>
        </w:tc>
        <w:tc>
          <w:tcPr>
            <w:tcW w:w="1799" w:type="pct"/>
            <w:vAlign w:val="center"/>
          </w:tcPr>
          <w:p w14:paraId="34EDF13B">
            <w:pPr>
              <w:pStyle w:val="64"/>
            </w:pPr>
            <w:r>
              <w:rPr>
                <w:rFonts w:hint="eastAsia"/>
              </w:rPr>
              <w:t>酚类</w:t>
            </w:r>
          </w:p>
        </w:tc>
        <w:tc>
          <w:tcPr>
            <w:tcW w:w="1017" w:type="pct"/>
            <w:vAlign w:val="center"/>
          </w:tcPr>
          <w:p w14:paraId="274C2E3D">
            <w:pPr>
              <w:pStyle w:val="64"/>
            </w:pPr>
            <w:r>
              <w:rPr>
                <w:rFonts w:hint="eastAsia"/>
              </w:rPr>
              <w:t>每半年监测</w:t>
            </w:r>
            <w:r>
              <w:t>1</w:t>
            </w:r>
            <w:r>
              <w:rPr>
                <w:rFonts w:hint="eastAsia"/>
              </w:rPr>
              <w:t>次</w:t>
            </w:r>
          </w:p>
        </w:tc>
        <w:tc>
          <w:tcPr>
            <w:tcW w:w="1091" w:type="pct"/>
            <w:vAlign w:val="center"/>
          </w:tcPr>
          <w:p w14:paraId="3096B0C7">
            <w:pPr>
              <w:pStyle w:val="64"/>
            </w:pPr>
            <w:r>
              <w:rPr>
                <w:rFonts w:hint="eastAsia"/>
              </w:rPr>
              <w:t>GB31571-2015</w:t>
            </w:r>
          </w:p>
        </w:tc>
      </w:tr>
      <w:tr w14:paraId="3C36E5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40" w:type="pct"/>
            <w:vMerge w:val="continue"/>
            <w:vAlign w:val="center"/>
          </w:tcPr>
          <w:p w14:paraId="05381794">
            <w:pPr>
              <w:pStyle w:val="64"/>
            </w:pPr>
          </w:p>
        </w:tc>
        <w:tc>
          <w:tcPr>
            <w:tcW w:w="653" w:type="pct"/>
            <w:vMerge w:val="continue"/>
            <w:vAlign w:val="center"/>
          </w:tcPr>
          <w:p w14:paraId="53ED46E1">
            <w:pPr>
              <w:pStyle w:val="64"/>
            </w:pPr>
          </w:p>
        </w:tc>
        <w:tc>
          <w:tcPr>
            <w:tcW w:w="1799" w:type="pct"/>
            <w:vAlign w:val="center"/>
          </w:tcPr>
          <w:p w14:paraId="50C515D5">
            <w:pPr>
              <w:pStyle w:val="64"/>
            </w:pPr>
            <w:r>
              <w:rPr>
                <w:rFonts w:hint="eastAsia"/>
              </w:rPr>
              <w:t>颗粒物</w:t>
            </w:r>
          </w:p>
        </w:tc>
        <w:tc>
          <w:tcPr>
            <w:tcW w:w="1017" w:type="pct"/>
            <w:vAlign w:val="center"/>
          </w:tcPr>
          <w:p w14:paraId="33E35C07">
            <w:pPr>
              <w:pStyle w:val="64"/>
            </w:pPr>
            <w:r>
              <w:rPr>
                <w:rFonts w:hint="eastAsia"/>
              </w:rPr>
              <w:t>每半年监测</w:t>
            </w:r>
            <w:r>
              <w:t>1</w:t>
            </w:r>
            <w:r>
              <w:rPr>
                <w:rFonts w:hint="eastAsia"/>
              </w:rPr>
              <w:t>次</w:t>
            </w:r>
          </w:p>
        </w:tc>
        <w:tc>
          <w:tcPr>
            <w:tcW w:w="1091" w:type="pct"/>
            <w:vAlign w:val="center"/>
          </w:tcPr>
          <w:p w14:paraId="344E559B">
            <w:pPr>
              <w:pStyle w:val="64"/>
              <w:rPr>
                <w:szCs w:val="21"/>
              </w:rPr>
            </w:pPr>
            <w:r>
              <w:t>GB31571-2015</w:t>
            </w:r>
          </w:p>
        </w:tc>
      </w:tr>
      <w:tr w14:paraId="4E6B39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40" w:type="pct"/>
            <w:vMerge w:val="continue"/>
            <w:vAlign w:val="center"/>
          </w:tcPr>
          <w:p w14:paraId="21175F1F">
            <w:pPr>
              <w:pStyle w:val="64"/>
            </w:pPr>
          </w:p>
        </w:tc>
        <w:tc>
          <w:tcPr>
            <w:tcW w:w="653" w:type="pct"/>
            <w:vMerge w:val="continue"/>
            <w:vAlign w:val="center"/>
          </w:tcPr>
          <w:p w14:paraId="18A8E03C">
            <w:pPr>
              <w:pStyle w:val="64"/>
            </w:pPr>
          </w:p>
        </w:tc>
        <w:tc>
          <w:tcPr>
            <w:tcW w:w="1799" w:type="pct"/>
            <w:vAlign w:val="center"/>
          </w:tcPr>
          <w:p w14:paraId="21AF2B93">
            <w:pPr>
              <w:pStyle w:val="64"/>
            </w:pPr>
            <w:r>
              <w:rPr>
                <w:rFonts w:hint="eastAsia"/>
              </w:rPr>
              <w:t>二氧化硫</w:t>
            </w:r>
          </w:p>
        </w:tc>
        <w:tc>
          <w:tcPr>
            <w:tcW w:w="1017" w:type="pct"/>
            <w:vAlign w:val="center"/>
          </w:tcPr>
          <w:p w14:paraId="58276EB5">
            <w:pPr>
              <w:pStyle w:val="64"/>
            </w:pPr>
            <w:r>
              <w:rPr>
                <w:rFonts w:hint="eastAsia"/>
              </w:rPr>
              <w:t>每半年监测</w:t>
            </w:r>
            <w:r>
              <w:t>1</w:t>
            </w:r>
            <w:r>
              <w:rPr>
                <w:rFonts w:hint="eastAsia"/>
              </w:rPr>
              <w:t>次</w:t>
            </w:r>
          </w:p>
        </w:tc>
        <w:tc>
          <w:tcPr>
            <w:tcW w:w="1091" w:type="pct"/>
            <w:vAlign w:val="center"/>
          </w:tcPr>
          <w:p w14:paraId="7BCEFA74">
            <w:pPr>
              <w:pStyle w:val="64"/>
              <w:rPr>
                <w:szCs w:val="21"/>
              </w:rPr>
            </w:pPr>
            <w:r>
              <w:t>GB31571-2015</w:t>
            </w:r>
          </w:p>
        </w:tc>
      </w:tr>
      <w:tr w14:paraId="0C91EE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40" w:type="pct"/>
            <w:vMerge w:val="continue"/>
            <w:vAlign w:val="center"/>
          </w:tcPr>
          <w:p w14:paraId="027BDD71">
            <w:pPr>
              <w:pStyle w:val="64"/>
            </w:pPr>
          </w:p>
        </w:tc>
        <w:tc>
          <w:tcPr>
            <w:tcW w:w="653" w:type="pct"/>
            <w:vMerge w:val="continue"/>
            <w:vAlign w:val="center"/>
          </w:tcPr>
          <w:p w14:paraId="64EAF6D7">
            <w:pPr>
              <w:pStyle w:val="64"/>
            </w:pPr>
          </w:p>
        </w:tc>
        <w:tc>
          <w:tcPr>
            <w:tcW w:w="1799" w:type="pct"/>
            <w:vAlign w:val="center"/>
          </w:tcPr>
          <w:p w14:paraId="250C7831">
            <w:pPr>
              <w:pStyle w:val="64"/>
            </w:pPr>
            <w:r>
              <w:rPr>
                <w:rFonts w:hint="eastAsia"/>
              </w:rPr>
              <w:t>氮氧化物</w:t>
            </w:r>
          </w:p>
        </w:tc>
        <w:tc>
          <w:tcPr>
            <w:tcW w:w="1017" w:type="pct"/>
            <w:vAlign w:val="center"/>
          </w:tcPr>
          <w:p w14:paraId="6A6BB15C">
            <w:pPr>
              <w:pStyle w:val="64"/>
            </w:pPr>
            <w:r>
              <w:rPr>
                <w:rFonts w:hint="eastAsia"/>
              </w:rPr>
              <w:t>每半年监测</w:t>
            </w:r>
            <w:r>
              <w:t>1</w:t>
            </w:r>
            <w:r>
              <w:rPr>
                <w:rFonts w:hint="eastAsia"/>
              </w:rPr>
              <w:t>次</w:t>
            </w:r>
          </w:p>
        </w:tc>
        <w:tc>
          <w:tcPr>
            <w:tcW w:w="1091" w:type="pct"/>
            <w:vAlign w:val="center"/>
          </w:tcPr>
          <w:p w14:paraId="40801427">
            <w:pPr>
              <w:pStyle w:val="64"/>
            </w:pPr>
            <w:r>
              <w:t>GB31571-2015</w:t>
            </w:r>
          </w:p>
        </w:tc>
      </w:tr>
      <w:tr w14:paraId="6E681E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3" w:hRule="atLeast"/>
          <w:jc w:val="center"/>
        </w:trPr>
        <w:tc>
          <w:tcPr>
            <w:tcW w:w="440" w:type="pct"/>
            <w:vMerge w:val="restart"/>
            <w:vAlign w:val="center"/>
          </w:tcPr>
          <w:p w14:paraId="5566CA1B">
            <w:pPr>
              <w:pStyle w:val="64"/>
            </w:pPr>
            <w:r>
              <w:t>无组织废气</w:t>
            </w:r>
          </w:p>
        </w:tc>
        <w:tc>
          <w:tcPr>
            <w:tcW w:w="653" w:type="pct"/>
            <w:vMerge w:val="restart"/>
            <w:vAlign w:val="center"/>
          </w:tcPr>
          <w:p w14:paraId="63645608">
            <w:pPr>
              <w:pStyle w:val="64"/>
            </w:pPr>
            <w:r>
              <w:t>厂界</w:t>
            </w:r>
          </w:p>
        </w:tc>
        <w:tc>
          <w:tcPr>
            <w:tcW w:w="1799" w:type="pct"/>
            <w:vAlign w:val="center"/>
          </w:tcPr>
          <w:p w14:paraId="1B456426">
            <w:pPr>
              <w:pStyle w:val="64"/>
            </w:pPr>
            <w:r>
              <w:rPr>
                <w:rFonts w:hint="eastAsia"/>
                <w:kern w:val="0"/>
                <w:lang w:bidi="ar"/>
              </w:rPr>
              <w:t>酚类</w:t>
            </w:r>
          </w:p>
        </w:tc>
        <w:tc>
          <w:tcPr>
            <w:tcW w:w="1017" w:type="pct"/>
            <w:vAlign w:val="center"/>
          </w:tcPr>
          <w:p w14:paraId="501FC737">
            <w:pPr>
              <w:pStyle w:val="64"/>
            </w:pPr>
            <w:r>
              <w:rPr>
                <w:rFonts w:hint="eastAsia"/>
              </w:rPr>
              <w:t>每季度监测1次</w:t>
            </w:r>
          </w:p>
        </w:tc>
        <w:tc>
          <w:tcPr>
            <w:tcW w:w="1091" w:type="pct"/>
            <w:vAlign w:val="center"/>
          </w:tcPr>
          <w:p w14:paraId="6E2A78C5">
            <w:pPr>
              <w:pStyle w:val="64"/>
            </w:pPr>
            <w:r>
              <w:t>DB34/4812.3-2024</w:t>
            </w:r>
          </w:p>
        </w:tc>
      </w:tr>
      <w:tr w14:paraId="3AE11B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3" w:hRule="atLeast"/>
          <w:jc w:val="center"/>
        </w:trPr>
        <w:tc>
          <w:tcPr>
            <w:tcW w:w="440" w:type="pct"/>
            <w:vMerge w:val="continue"/>
            <w:vAlign w:val="center"/>
          </w:tcPr>
          <w:p w14:paraId="2B565FCC">
            <w:pPr>
              <w:pStyle w:val="64"/>
            </w:pPr>
          </w:p>
        </w:tc>
        <w:tc>
          <w:tcPr>
            <w:tcW w:w="653" w:type="pct"/>
            <w:vMerge w:val="continue"/>
            <w:vAlign w:val="center"/>
          </w:tcPr>
          <w:p w14:paraId="2BA5E50F">
            <w:pPr>
              <w:pStyle w:val="64"/>
            </w:pPr>
          </w:p>
        </w:tc>
        <w:tc>
          <w:tcPr>
            <w:tcW w:w="1799" w:type="pct"/>
            <w:vAlign w:val="center"/>
          </w:tcPr>
          <w:p w14:paraId="16514306">
            <w:pPr>
              <w:pStyle w:val="64"/>
              <w:rPr>
                <w:kern w:val="0"/>
                <w:lang w:bidi="ar"/>
              </w:rPr>
            </w:pPr>
            <w:r>
              <w:rPr>
                <w:rFonts w:hint="eastAsia"/>
              </w:rPr>
              <w:t>非甲烷总烃</w:t>
            </w:r>
          </w:p>
        </w:tc>
        <w:tc>
          <w:tcPr>
            <w:tcW w:w="1017" w:type="pct"/>
            <w:vAlign w:val="center"/>
          </w:tcPr>
          <w:p w14:paraId="4684F719">
            <w:pPr>
              <w:pStyle w:val="64"/>
            </w:pPr>
            <w:r>
              <w:rPr>
                <w:rFonts w:hint="eastAsia"/>
              </w:rPr>
              <w:t>每季度监测1次</w:t>
            </w:r>
          </w:p>
        </w:tc>
        <w:tc>
          <w:tcPr>
            <w:tcW w:w="1091" w:type="pct"/>
            <w:vAlign w:val="center"/>
          </w:tcPr>
          <w:p w14:paraId="76086394">
            <w:pPr>
              <w:pStyle w:val="64"/>
              <w:rPr>
                <w:kern w:val="0"/>
              </w:rPr>
            </w:pPr>
            <w:r>
              <w:t>DB34/4812.3-2024</w:t>
            </w:r>
          </w:p>
        </w:tc>
      </w:tr>
      <w:tr w14:paraId="6CB753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3" w:hRule="atLeast"/>
          <w:jc w:val="center"/>
        </w:trPr>
        <w:tc>
          <w:tcPr>
            <w:tcW w:w="440" w:type="pct"/>
            <w:vMerge w:val="continue"/>
            <w:vAlign w:val="center"/>
          </w:tcPr>
          <w:p w14:paraId="68E42064">
            <w:pPr>
              <w:pStyle w:val="64"/>
            </w:pPr>
          </w:p>
        </w:tc>
        <w:tc>
          <w:tcPr>
            <w:tcW w:w="653" w:type="pct"/>
            <w:vMerge w:val="continue"/>
            <w:vAlign w:val="center"/>
          </w:tcPr>
          <w:p w14:paraId="12BB9976">
            <w:pPr>
              <w:pStyle w:val="64"/>
            </w:pPr>
          </w:p>
        </w:tc>
        <w:tc>
          <w:tcPr>
            <w:tcW w:w="1799" w:type="pct"/>
            <w:vAlign w:val="center"/>
          </w:tcPr>
          <w:p w14:paraId="41FB0461">
            <w:pPr>
              <w:pStyle w:val="64"/>
              <w:rPr>
                <w:kern w:val="0"/>
                <w:lang w:bidi="ar"/>
              </w:rPr>
            </w:pPr>
            <w:r>
              <w:rPr>
                <w:rFonts w:hint="eastAsia"/>
                <w:kern w:val="0"/>
                <w:lang w:bidi="ar"/>
              </w:rPr>
              <w:t>硫酸雾</w:t>
            </w:r>
          </w:p>
        </w:tc>
        <w:tc>
          <w:tcPr>
            <w:tcW w:w="1017" w:type="pct"/>
            <w:vAlign w:val="center"/>
          </w:tcPr>
          <w:p w14:paraId="55E3E623">
            <w:pPr>
              <w:pStyle w:val="64"/>
            </w:pPr>
            <w:r>
              <w:rPr>
                <w:rFonts w:hint="eastAsia"/>
              </w:rPr>
              <w:t>每季度监测1次</w:t>
            </w:r>
          </w:p>
        </w:tc>
        <w:tc>
          <w:tcPr>
            <w:tcW w:w="1091" w:type="pct"/>
            <w:vAlign w:val="center"/>
          </w:tcPr>
          <w:p w14:paraId="2300B1F2">
            <w:pPr>
              <w:pStyle w:val="64"/>
              <w:rPr>
                <w:kern w:val="0"/>
              </w:rPr>
            </w:pPr>
            <w:r>
              <w:rPr>
                <w:rFonts w:hint="eastAsia"/>
              </w:rPr>
              <w:t>G</w:t>
            </w:r>
            <w:r>
              <w:t>B</w:t>
            </w:r>
            <w:r>
              <w:rPr>
                <w:rFonts w:hint="eastAsia"/>
              </w:rPr>
              <w:t>16297-1996</w:t>
            </w:r>
          </w:p>
        </w:tc>
      </w:tr>
      <w:tr w14:paraId="56EDC7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7" w:hRule="atLeast"/>
          <w:jc w:val="center"/>
        </w:trPr>
        <w:tc>
          <w:tcPr>
            <w:tcW w:w="440" w:type="pct"/>
            <w:vMerge w:val="continue"/>
            <w:vAlign w:val="center"/>
          </w:tcPr>
          <w:p w14:paraId="500F07BF">
            <w:pPr>
              <w:pStyle w:val="64"/>
            </w:pPr>
          </w:p>
        </w:tc>
        <w:tc>
          <w:tcPr>
            <w:tcW w:w="653" w:type="pct"/>
            <w:vMerge w:val="continue"/>
            <w:vAlign w:val="center"/>
          </w:tcPr>
          <w:p w14:paraId="6BA90B44">
            <w:pPr>
              <w:pStyle w:val="64"/>
            </w:pPr>
          </w:p>
        </w:tc>
        <w:tc>
          <w:tcPr>
            <w:tcW w:w="1799" w:type="pct"/>
            <w:vAlign w:val="center"/>
          </w:tcPr>
          <w:p w14:paraId="4F222A96">
            <w:pPr>
              <w:pStyle w:val="64"/>
              <w:rPr>
                <w:kern w:val="0"/>
                <w:lang w:bidi="ar"/>
              </w:rPr>
            </w:pPr>
            <w:r>
              <w:rPr>
                <w:rFonts w:hint="eastAsia"/>
                <w:kern w:val="0"/>
                <w:lang w:bidi="ar"/>
              </w:rPr>
              <w:t>颗粒物、氨、硫化氢、臭气浓度</w:t>
            </w:r>
          </w:p>
        </w:tc>
        <w:tc>
          <w:tcPr>
            <w:tcW w:w="1017" w:type="pct"/>
            <w:vAlign w:val="center"/>
          </w:tcPr>
          <w:p w14:paraId="6CC89222">
            <w:pPr>
              <w:pStyle w:val="64"/>
            </w:pPr>
            <w:r>
              <w:rPr>
                <w:rFonts w:hint="eastAsia"/>
              </w:rPr>
              <w:t>每季度监测1次</w:t>
            </w:r>
          </w:p>
        </w:tc>
        <w:tc>
          <w:tcPr>
            <w:tcW w:w="1091" w:type="pct"/>
            <w:vAlign w:val="center"/>
          </w:tcPr>
          <w:p w14:paraId="659B13CB">
            <w:pPr>
              <w:pStyle w:val="64"/>
            </w:pPr>
            <w:r>
              <w:rPr>
                <w:rFonts w:hint="eastAsia"/>
              </w:rPr>
              <w:t>G</w:t>
            </w:r>
            <w:r>
              <w:t>B</w:t>
            </w:r>
            <w:r>
              <w:rPr>
                <w:rFonts w:hint="eastAsia"/>
              </w:rPr>
              <w:t>16297-1996</w:t>
            </w:r>
          </w:p>
          <w:p w14:paraId="09532CE3">
            <w:pPr>
              <w:pStyle w:val="64"/>
              <w:rPr>
                <w:szCs w:val="21"/>
              </w:rPr>
            </w:pPr>
            <w:r>
              <w:rPr>
                <w:szCs w:val="21"/>
              </w:rPr>
              <w:t>GB 14554-93</w:t>
            </w:r>
          </w:p>
        </w:tc>
      </w:tr>
      <w:tr w14:paraId="45C3D3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40" w:type="pct"/>
            <w:vMerge w:val="continue"/>
            <w:vAlign w:val="center"/>
          </w:tcPr>
          <w:p w14:paraId="7B10F435">
            <w:pPr>
              <w:pStyle w:val="64"/>
            </w:pPr>
          </w:p>
        </w:tc>
        <w:tc>
          <w:tcPr>
            <w:tcW w:w="653" w:type="pct"/>
            <w:vMerge w:val="restart"/>
            <w:vAlign w:val="center"/>
          </w:tcPr>
          <w:p w14:paraId="54758B57">
            <w:pPr>
              <w:pStyle w:val="64"/>
            </w:pPr>
            <w:r>
              <w:rPr>
                <w:rFonts w:hint="eastAsia"/>
              </w:rPr>
              <w:t>装置区四周</w:t>
            </w:r>
          </w:p>
        </w:tc>
        <w:tc>
          <w:tcPr>
            <w:tcW w:w="1799" w:type="pct"/>
            <w:vAlign w:val="center"/>
          </w:tcPr>
          <w:p w14:paraId="3C6F6CA3">
            <w:pPr>
              <w:pStyle w:val="64"/>
              <w:rPr>
                <w:kern w:val="0"/>
                <w:lang w:bidi="ar"/>
              </w:rPr>
            </w:pPr>
            <w:r>
              <w:rPr>
                <w:rFonts w:hint="eastAsia"/>
              </w:rPr>
              <w:t>非甲烷总烃</w:t>
            </w:r>
          </w:p>
        </w:tc>
        <w:tc>
          <w:tcPr>
            <w:tcW w:w="1017" w:type="pct"/>
            <w:vAlign w:val="center"/>
          </w:tcPr>
          <w:p w14:paraId="19A76F80">
            <w:pPr>
              <w:pStyle w:val="64"/>
            </w:pPr>
            <w:r>
              <w:rPr>
                <w:rFonts w:hint="eastAsia"/>
              </w:rPr>
              <w:t>每季度监测1次</w:t>
            </w:r>
          </w:p>
        </w:tc>
        <w:tc>
          <w:tcPr>
            <w:tcW w:w="1091" w:type="pct"/>
            <w:vAlign w:val="center"/>
          </w:tcPr>
          <w:p w14:paraId="476D4383">
            <w:pPr>
              <w:pStyle w:val="64"/>
            </w:pPr>
            <w:r>
              <w:t>DB34/4812.3-2024</w:t>
            </w:r>
          </w:p>
        </w:tc>
      </w:tr>
      <w:tr w14:paraId="406900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40" w:type="pct"/>
            <w:vMerge w:val="continue"/>
            <w:vAlign w:val="center"/>
          </w:tcPr>
          <w:p w14:paraId="0491F5F5">
            <w:pPr>
              <w:pStyle w:val="64"/>
            </w:pPr>
          </w:p>
        </w:tc>
        <w:tc>
          <w:tcPr>
            <w:tcW w:w="653" w:type="pct"/>
            <w:vMerge w:val="continue"/>
            <w:vAlign w:val="center"/>
          </w:tcPr>
          <w:p w14:paraId="6E955BD1">
            <w:pPr>
              <w:pStyle w:val="64"/>
            </w:pPr>
          </w:p>
        </w:tc>
        <w:tc>
          <w:tcPr>
            <w:tcW w:w="1799" w:type="pct"/>
            <w:vAlign w:val="center"/>
          </w:tcPr>
          <w:p w14:paraId="72F05A62">
            <w:pPr>
              <w:pStyle w:val="64"/>
            </w:pPr>
            <w:r>
              <w:rPr>
                <w:rFonts w:hint="eastAsia"/>
              </w:rPr>
              <w:t>酚类</w:t>
            </w:r>
          </w:p>
        </w:tc>
        <w:tc>
          <w:tcPr>
            <w:tcW w:w="1017" w:type="pct"/>
            <w:vAlign w:val="center"/>
          </w:tcPr>
          <w:p w14:paraId="09C84C61">
            <w:pPr>
              <w:pStyle w:val="64"/>
            </w:pPr>
            <w:r>
              <w:rPr>
                <w:rFonts w:hint="eastAsia"/>
              </w:rPr>
              <w:t>每季度监测1次</w:t>
            </w:r>
          </w:p>
        </w:tc>
        <w:tc>
          <w:tcPr>
            <w:tcW w:w="1091" w:type="pct"/>
            <w:vAlign w:val="center"/>
          </w:tcPr>
          <w:p w14:paraId="6426D291">
            <w:pPr>
              <w:pStyle w:val="64"/>
              <w:rPr>
                <w:szCs w:val="21"/>
              </w:rPr>
            </w:pPr>
            <w:r>
              <w:t>DB34/4812.3-2024</w:t>
            </w:r>
          </w:p>
        </w:tc>
      </w:tr>
      <w:bookmarkEnd w:id="187"/>
    </w:tbl>
    <w:p w14:paraId="174EE487">
      <w:pPr>
        <w:spacing w:line="360" w:lineRule="auto"/>
        <w:rPr>
          <w:kern w:val="1"/>
          <w:lang w:val="zh-CN"/>
        </w:rPr>
      </w:pPr>
    </w:p>
    <w:p w14:paraId="48A1BE8C">
      <w:pPr>
        <w:pStyle w:val="4"/>
        <w:rPr>
          <w:rFonts w:hint="eastAsia"/>
          <w:lang w:val="zh-CN"/>
        </w:rPr>
      </w:pPr>
      <w:bookmarkStart w:id="188" w:name="_Toc221056475"/>
      <w:r>
        <w:rPr>
          <w:rFonts w:hint="eastAsia"/>
          <w:lang w:val="zh-CN"/>
        </w:rPr>
        <w:t>9.3</w:t>
      </w:r>
      <w:r>
        <w:rPr>
          <w:lang w:val="zh-CN"/>
        </w:rPr>
        <w:t>.</w:t>
      </w:r>
      <w:r>
        <w:rPr>
          <w:rFonts w:hint="eastAsia"/>
          <w:lang w:val="zh-CN"/>
        </w:rPr>
        <w:t>2废水</w:t>
      </w:r>
      <w:r>
        <w:rPr>
          <w:rFonts w:hint="eastAsia"/>
        </w:rPr>
        <w:t>监测计划</w:t>
      </w:r>
      <w:bookmarkEnd w:id="188"/>
    </w:p>
    <w:p w14:paraId="0017E0D9">
      <w:pPr>
        <w:pStyle w:val="16"/>
        <w:ind w:firstLine="480"/>
      </w:pPr>
      <w:r>
        <w:rPr>
          <w:rFonts w:hint="eastAsia"/>
        </w:rPr>
        <w:t>本</w:t>
      </w:r>
      <w:r>
        <w:t>项目</w:t>
      </w:r>
      <w:r>
        <w:rPr>
          <w:rFonts w:hint="eastAsia"/>
        </w:rPr>
        <w:t>生产</w:t>
      </w:r>
      <w:r>
        <w:t>废水经</w:t>
      </w:r>
      <w:r>
        <w:rPr>
          <w:rFonts w:hint="eastAsia"/>
        </w:rPr>
        <w:t>企业预处理设施</w:t>
      </w:r>
      <w:r>
        <w:t>处理</w:t>
      </w:r>
      <w:r>
        <w:rPr>
          <w:rFonts w:hint="eastAsia"/>
        </w:rPr>
        <w:t>后</w:t>
      </w:r>
      <w:r>
        <w:t>，通过</w:t>
      </w:r>
      <w:r>
        <w:rPr>
          <w:rFonts w:hint="eastAsia"/>
        </w:rPr>
        <w:t>污水</w:t>
      </w:r>
      <w:r>
        <w:t>管道排入</w:t>
      </w:r>
      <w:r>
        <w:rPr>
          <w:rFonts w:hint="eastAsia"/>
        </w:rPr>
        <w:t>企业</w:t>
      </w:r>
      <w:r>
        <w:t>污水处理</w:t>
      </w:r>
      <w:r>
        <w:rPr>
          <w:rFonts w:hint="eastAsia"/>
        </w:rPr>
        <w:t>站</w:t>
      </w:r>
      <w:r>
        <w:t>处理</w:t>
      </w:r>
      <w:r>
        <w:rPr>
          <w:rFonts w:hint="eastAsia"/>
        </w:rPr>
        <w:t>达标后纳入</w:t>
      </w:r>
      <w:r>
        <w:t>园区污水处理厂</w:t>
      </w:r>
      <w:r>
        <w:rPr>
          <w:rFonts w:hint="eastAsia"/>
        </w:rPr>
        <w:t>三期工程集中处理</w:t>
      </w:r>
      <w:r>
        <w:t>，尾水处理达标后</w:t>
      </w:r>
      <w:r>
        <w:rPr>
          <w:rFonts w:hint="eastAsia"/>
        </w:rPr>
        <w:t>外</w:t>
      </w:r>
      <w:r>
        <w:t>排</w:t>
      </w:r>
      <w:r>
        <w:rPr>
          <w:rFonts w:hint="eastAsia"/>
        </w:rPr>
        <w:t>。</w:t>
      </w:r>
    </w:p>
    <w:p w14:paraId="2F198C19">
      <w:pPr>
        <w:pStyle w:val="16"/>
        <w:ind w:firstLine="480"/>
      </w:pPr>
      <w:r>
        <w:t>根据排污口规范化设置要求，对厂区外排的主要水污染物进行监测，在建设项目的总排放口设置采样点，在排污口附近醒目处，设置环境保护图形标志牌。设置流量计及在线监测系统</w:t>
      </w:r>
      <w:r>
        <w:rPr>
          <w:rFonts w:hint="eastAsia"/>
        </w:rPr>
        <w:t>。具体监测方案如下：</w:t>
      </w:r>
    </w:p>
    <w:p w14:paraId="02205575">
      <w:pPr>
        <w:pStyle w:val="28"/>
        <w:rPr>
          <w:rFonts w:hint="eastAsia"/>
        </w:rPr>
      </w:pPr>
      <w:r>
        <w:t>表</w:t>
      </w:r>
      <w:r>
        <w:rPr>
          <w:rFonts w:hint="eastAsia"/>
        </w:rPr>
        <w:t>9</w:t>
      </w:r>
      <w:r>
        <w:t>.3-</w:t>
      </w:r>
      <w:r>
        <w:rPr>
          <w:rFonts w:hint="eastAsia"/>
        </w:rPr>
        <w:t>2</w:t>
      </w:r>
      <w:r>
        <w:t xml:space="preserve">  </w:t>
      </w:r>
      <w:r>
        <w:rPr>
          <w:rFonts w:hint="eastAsia"/>
        </w:rPr>
        <w:t>废水</w:t>
      </w:r>
      <w:r>
        <w:t>污染源监测计划一览表</w:t>
      </w:r>
    </w:p>
    <w:tbl>
      <w:tblPr>
        <w:tblStyle w:val="3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09"/>
        <w:gridCol w:w="1187"/>
        <w:gridCol w:w="2486"/>
        <w:gridCol w:w="1343"/>
        <w:gridCol w:w="1274"/>
        <w:gridCol w:w="2261"/>
      </w:tblGrid>
      <w:tr w14:paraId="1A99C7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1" w:type="pct"/>
            <w:vAlign w:val="center"/>
          </w:tcPr>
          <w:p w14:paraId="2D7B175D">
            <w:pPr>
              <w:pStyle w:val="64"/>
            </w:pPr>
            <w:bookmarkStart w:id="189" w:name="_Hlk53691171"/>
            <w:r>
              <w:t>序号</w:t>
            </w:r>
          </w:p>
        </w:tc>
        <w:tc>
          <w:tcPr>
            <w:tcW w:w="655" w:type="pct"/>
            <w:vAlign w:val="center"/>
          </w:tcPr>
          <w:p w14:paraId="663C048E">
            <w:pPr>
              <w:pStyle w:val="64"/>
            </w:pPr>
            <w:r>
              <w:t>监测位置</w:t>
            </w:r>
          </w:p>
        </w:tc>
        <w:tc>
          <w:tcPr>
            <w:tcW w:w="1372" w:type="pct"/>
            <w:vAlign w:val="center"/>
          </w:tcPr>
          <w:p w14:paraId="2787AE27">
            <w:pPr>
              <w:pStyle w:val="64"/>
            </w:pPr>
            <w:r>
              <w:t>监测项目</w:t>
            </w:r>
          </w:p>
        </w:tc>
        <w:tc>
          <w:tcPr>
            <w:tcW w:w="741" w:type="pct"/>
            <w:vAlign w:val="center"/>
          </w:tcPr>
          <w:p w14:paraId="1B30DD98">
            <w:pPr>
              <w:pStyle w:val="64"/>
            </w:pPr>
            <w:r>
              <w:t>监测点位</w:t>
            </w:r>
          </w:p>
        </w:tc>
        <w:tc>
          <w:tcPr>
            <w:tcW w:w="703" w:type="pct"/>
            <w:vAlign w:val="center"/>
          </w:tcPr>
          <w:p w14:paraId="3CB1D860">
            <w:pPr>
              <w:pStyle w:val="64"/>
            </w:pPr>
            <w:r>
              <w:t>监测时间及频率</w:t>
            </w:r>
          </w:p>
        </w:tc>
        <w:tc>
          <w:tcPr>
            <w:tcW w:w="1248" w:type="pct"/>
            <w:vAlign w:val="center"/>
          </w:tcPr>
          <w:p w14:paraId="0DC6B1A5">
            <w:pPr>
              <w:pStyle w:val="64"/>
            </w:pPr>
            <w:r>
              <w:t>执行标准</w:t>
            </w:r>
          </w:p>
        </w:tc>
      </w:tr>
      <w:tr w14:paraId="563B05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1" w:type="pct"/>
            <w:vMerge w:val="restart"/>
            <w:vAlign w:val="center"/>
          </w:tcPr>
          <w:p w14:paraId="1885960B">
            <w:pPr>
              <w:pStyle w:val="64"/>
            </w:pPr>
            <w:r>
              <w:t>废水</w:t>
            </w:r>
          </w:p>
        </w:tc>
        <w:tc>
          <w:tcPr>
            <w:tcW w:w="655" w:type="pct"/>
            <w:vMerge w:val="restart"/>
            <w:vAlign w:val="center"/>
          </w:tcPr>
          <w:p w14:paraId="57D9E2DC">
            <w:pPr>
              <w:pStyle w:val="64"/>
            </w:pPr>
            <w:r>
              <w:t>厂区综合污水处理站</w:t>
            </w:r>
          </w:p>
        </w:tc>
        <w:tc>
          <w:tcPr>
            <w:tcW w:w="1372" w:type="pct"/>
            <w:vAlign w:val="center"/>
          </w:tcPr>
          <w:p w14:paraId="5CE0FAF8">
            <w:pPr>
              <w:pStyle w:val="64"/>
            </w:pPr>
            <w:r>
              <w:rPr>
                <w:rFonts w:hint="eastAsia"/>
              </w:rPr>
              <w:t>COD、NH</w:t>
            </w:r>
            <w:r>
              <w:rPr>
                <w:rFonts w:hint="eastAsia"/>
                <w:vertAlign w:val="subscript"/>
              </w:rPr>
              <w:t>3</w:t>
            </w:r>
            <w:r>
              <w:rPr>
                <w:rFonts w:hint="eastAsia"/>
              </w:rPr>
              <w:t>-N、流量</w:t>
            </w:r>
          </w:p>
        </w:tc>
        <w:tc>
          <w:tcPr>
            <w:tcW w:w="741" w:type="pct"/>
            <w:vMerge w:val="restart"/>
            <w:vAlign w:val="center"/>
          </w:tcPr>
          <w:p w14:paraId="3E08EF42">
            <w:pPr>
              <w:pStyle w:val="64"/>
            </w:pPr>
            <w:r>
              <w:t>总排口</w:t>
            </w:r>
          </w:p>
        </w:tc>
        <w:tc>
          <w:tcPr>
            <w:tcW w:w="703" w:type="pct"/>
            <w:vAlign w:val="center"/>
          </w:tcPr>
          <w:p w14:paraId="77CF97C8">
            <w:pPr>
              <w:pStyle w:val="64"/>
            </w:pPr>
            <w:r>
              <w:rPr>
                <w:rFonts w:hint="eastAsia"/>
              </w:rPr>
              <w:t>自动检测</w:t>
            </w:r>
          </w:p>
        </w:tc>
        <w:tc>
          <w:tcPr>
            <w:tcW w:w="1248" w:type="pct"/>
            <w:vMerge w:val="restart"/>
            <w:vAlign w:val="center"/>
          </w:tcPr>
          <w:p w14:paraId="71FEC791">
            <w:pPr>
              <w:pStyle w:val="64"/>
            </w:pPr>
            <w:r>
              <w:rPr>
                <w:rFonts w:hint="eastAsia"/>
              </w:rPr>
              <w:t>《污水综合排放标准》(GB 8978-1996)三级标准及沫河口污水处理厂接管标准</w:t>
            </w:r>
          </w:p>
        </w:tc>
      </w:tr>
      <w:tr w14:paraId="182CD8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1" w:type="pct"/>
            <w:vMerge w:val="continue"/>
            <w:vAlign w:val="center"/>
          </w:tcPr>
          <w:p w14:paraId="315D5A7C">
            <w:pPr>
              <w:pStyle w:val="64"/>
            </w:pPr>
          </w:p>
        </w:tc>
        <w:tc>
          <w:tcPr>
            <w:tcW w:w="655" w:type="pct"/>
            <w:vMerge w:val="continue"/>
            <w:vAlign w:val="center"/>
          </w:tcPr>
          <w:p w14:paraId="65652767">
            <w:pPr>
              <w:pStyle w:val="64"/>
            </w:pPr>
          </w:p>
        </w:tc>
        <w:tc>
          <w:tcPr>
            <w:tcW w:w="1372" w:type="pct"/>
            <w:vAlign w:val="center"/>
          </w:tcPr>
          <w:p w14:paraId="74A58AE2">
            <w:pPr>
              <w:pStyle w:val="64"/>
            </w:pPr>
            <w:r>
              <w:t>p</w:t>
            </w:r>
            <w:r>
              <w:rPr>
                <w:rFonts w:hint="eastAsia"/>
              </w:rPr>
              <w:t>H、SS、总氮、总磷、石油类、挥发酚</w:t>
            </w:r>
          </w:p>
        </w:tc>
        <w:tc>
          <w:tcPr>
            <w:tcW w:w="741" w:type="pct"/>
            <w:vMerge w:val="continue"/>
            <w:vAlign w:val="center"/>
          </w:tcPr>
          <w:p w14:paraId="0DCDF298">
            <w:pPr>
              <w:pStyle w:val="64"/>
            </w:pPr>
          </w:p>
        </w:tc>
        <w:tc>
          <w:tcPr>
            <w:tcW w:w="703" w:type="pct"/>
            <w:vAlign w:val="center"/>
          </w:tcPr>
          <w:p w14:paraId="30E079AD">
            <w:pPr>
              <w:pStyle w:val="64"/>
            </w:pPr>
            <w:r>
              <w:t>每月一次</w:t>
            </w:r>
          </w:p>
        </w:tc>
        <w:tc>
          <w:tcPr>
            <w:tcW w:w="1248" w:type="pct"/>
            <w:vMerge w:val="continue"/>
            <w:vAlign w:val="center"/>
          </w:tcPr>
          <w:p w14:paraId="2EA8AE20">
            <w:pPr>
              <w:pStyle w:val="64"/>
            </w:pPr>
          </w:p>
        </w:tc>
      </w:tr>
      <w:tr w14:paraId="7B06D4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1" w:type="pct"/>
            <w:vMerge w:val="continue"/>
            <w:vAlign w:val="center"/>
          </w:tcPr>
          <w:p w14:paraId="0B67FBDB">
            <w:pPr>
              <w:pStyle w:val="64"/>
            </w:pPr>
          </w:p>
        </w:tc>
        <w:tc>
          <w:tcPr>
            <w:tcW w:w="655" w:type="pct"/>
            <w:vMerge w:val="continue"/>
            <w:vAlign w:val="center"/>
          </w:tcPr>
          <w:p w14:paraId="2F35B157">
            <w:pPr>
              <w:pStyle w:val="64"/>
            </w:pPr>
          </w:p>
        </w:tc>
        <w:tc>
          <w:tcPr>
            <w:tcW w:w="1372" w:type="pct"/>
            <w:vAlign w:val="center"/>
          </w:tcPr>
          <w:p w14:paraId="39E11399">
            <w:pPr>
              <w:pStyle w:val="64"/>
            </w:pPr>
            <w:r>
              <w:rPr>
                <w:rFonts w:hint="eastAsia"/>
              </w:rPr>
              <w:t>BOD</w:t>
            </w:r>
            <w:r>
              <w:rPr>
                <w:rFonts w:hint="eastAsia"/>
                <w:vertAlign w:val="subscript"/>
              </w:rPr>
              <w:t>5</w:t>
            </w:r>
          </w:p>
        </w:tc>
        <w:tc>
          <w:tcPr>
            <w:tcW w:w="741" w:type="pct"/>
            <w:vMerge w:val="continue"/>
            <w:vAlign w:val="center"/>
          </w:tcPr>
          <w:p w14:paraId="0AB9A8E1">
            <w:pPr>
              <w:pStyle w:val="64"/>
            </w:pPr>
          </w:p>
        </w:tc>
        <w:tc>
          <w:tcPr>
            <w:tcW w:w="703" w:type="pct"/>
            <w:vAlign w:val="center"/>
          </w:tcPr>
          <w:p w14:paraId="0F90807B">
            <w:pPr>
              <w:pStyle w:val="64"/>
            </w:pPr>
            <w:r>
              <w:t>每季度一次</w:t>
            </w:r>
          </w:p>
        </w:tc>
        <w:tc>
          <w:tcPr>
            <w:tcW w:w="1248" w:type="pct"/>
            <w:vMerge w:val="continue"/>
            <w:vAlign w:val="center"/>
          </w:tcPr>
          <w:p w14:paraId="359D9FC3">
            <w:pPr>
              <w:pStyle w:val="64"/>
            </w:pPr>
          </w:p>
        </w:tc>
      </w:tr>
      <w:tr w14:paraId="3B0AE1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1" w:type="pct"/>
            <w:vMerge w:val="continue"/>
            <w:vAlign w:val="center"/>
          </w:tcPr>
          <w:p w14:paraId="501AE790">
            <w:pPr>
              <w:pStyle w:val="64"/>
            </w:pPr>
          </w:p>
        </w:tc>
        <w:tc>
          <w:tcPr>
            <w:tcW w:w="655" w:type="pct"/>
            <w:vAlign w:val="center"/>
          </w:tcPr>
          <w:p w14:paraId="333267FD">
            <w:pPr>
              <w:pStyle w:val="64"/>
            </w:pPr>
            <w:r>
              <w:t>雨水排口</w:t>
            </w:r>
          </w:p>
        </w:tc>
        <w:tc>
          <w:tcPr>
            <w:tcW w:w="1372" w:type="pct"/>
            <w:vAlign w:val="center"/>
          </w:tcPr>
          <w:p w14:paraId="2FCC253C">
            <w:pPr>
              <w:pStyle w:val="64"/>
            </w:pPr>
            <w:r>
              <w:rPr>
                <w:rFonts w:hint="eastAsia"/>
              </w:rPr>
              <w:t>pH、COD、NH</w:t>
            </w:r>
            <w:r>
              <w:rPr>
                <w:rFonts w:hint="eastAsia"/>
                <w:vertAlign w:val="subscript"/>
              </w:rPr>
              <w:t>3</w:t>
            </w:r>
            <w:r>
              <w:rPr>
                <w:rFonts w:hint="eastAsia"/>
              </w:rPr>
              <w:t>-N、SS</w:t>
            </w:r>
          </w:p>
        </w:tc>
        <w:tc>
          <w:tcPr>
            <w:tcW w:w="741" w:type="pct"/>
            <w:vAlign w:val="center"/>
          </w:tcPr>
          <w:p w14:paraId="45BD3DD9">
            <w:pPr>
              <w:pStyle w:val="64"/>
            </w:pPr>
            <w:r>
              <w:t>雨水排放口</w:t>
            </w:r>
          </w:p>
        </w:tc>
        <w:tc>
          <w:tcPr>
            <w:tcW w:w="703" w:type="pct"/>
            <w:vAlign w:val="center"/>
          </w:tcPr>
          <w:p w14:paraId="07FA7983">
            <w:pPr>
              <w:pStyle w:val="64"/>
            </w:pPr>
            <w:r>
              <w:t>排放期间按日监测</w:t>
            </w:r>
          </w:p>
        </w:tc>
        <w:tc>
          <w:tcPr>
            <w:tcW w:w="1248" w:type="pct"/>
            <w:vAlign w:val="center"/>
          </w:tcPr>
          <w:p w14:paraId="2F145B9A">
            <w:pPr>
              <w:pStyle w:val="64"/>
            </w:pPr>
            <w:r>
              <w:rPr>
                <w:rFonts w:hint="eastAsia"/>
              </w:rPr>
              <w:t>/</w:t>
            </w:r>
          </w:p>
        </w:tc>
      </w:tr>
      <w:bookmarkEnd w:id="189"/>
    </w:tbl>
    <w:p w14:paraId="2B7D0BA3">
      <w:pPr>
        <w:spacing w:line="360" w:lineRule="auto"/>
        <w:rPr>
          <w:kern w:val="1"/>
          <w:lang w:val="zh-CN"/>
        </w:rPr>
      </w:pPr>
    </w:p>
    <w:p w14:paraId="77344560">
      <w:pPr>
        <w:pStyle w:val="4"/>
        <w:rPr>
          <w:rFonts w:hint="eastAsia"/>
          <w:lang w:val="zh-CN"/>
        </w:rPr>
      </w:pPr>
      <w:bookmarkStart w:id="190" w:name="_Toc221056476"/>
      <w:r>
        <w:rPr>
          <w:rFonts w:hint="eastAsia"/>
          <w:lang w:val="zh-CN"/>
        </w:rPr>
        <w:t>9.3</w:t>
      </w:r>
      <w:r>
        <w:rPr>
          <w:lang w:val="zh-CN"/>
        </w:rPr>
        <w:t>.3</w:t>
      </w:r>
      <w:r>
        <w:rPr>
          <w:rFonts w:hint="eastAsia"/>
        </w:rPr>
        <w:t>噪声监测计划</w:t>
      </w:r>
      <w:bookmarkEnd w:id="190"/>
    </w:p>
    <w:p w14:paraId="2B5679EC">
      <w:pPr>
        <w:pStyle w:val="16"/>
        <w:ind w:firstLine="480"/>
      </w:pPr>
      <w:r>
        <w:rPr>
          <w:rFonts w:hint="eastAsia"/>
        </w:rPr>
        <w:t>根据项目周围环境现状，在厂界四周外1米处设置厂界噪声监测点位，监测厂界噪声是否达标。监测因子及监测频次见表9.3-3。</w:t>
      </w:r>
    </w:p>
    <w:p w14:paraId="2F902AED">
      <w:pPr>
        <w:pStyle w:val="28"/>
        <w:rPr>
          <w:rFonts w:hint="eastAsia"/>
        </w:rPr>
      </w:pPr>
      <w:r>
        <w:t>表</w:t>
      </w:r>
      <w:r>
        <w:rPr>
          <w:rFonts w:hint="eastAsia"/>
        </w:rPr>
        <w:t xml:space="preserve">9.3-3 </w:t>
      </w:r>
      <w:r>
        <w:t xml:space="preserve"> </w:t>
      </w:r>
      <w:r>
        <w:rPr>
          <w:rFonts w:hint="eastAsia"/>
        </w:rPr>
        <w:t>噪声</w:t>
      </w:r>
      <w:r>
        <w:t>监测</w:t>
      </w:r>
      <w:r>
        <w:rPr>
          <w:rFonts w:hint="eastAsia"/>
        </w:rPr>
        <w:t>点位、监测</w:t>
      </w:r>
      <w:r>
        <w:t>因子及</w:t>
      </w:r>
      <w:r>
        <w:rPr>
          <w:rFonts w:hint="eastAsia"/>
        </w:rPr>
        <w:t>监测</w:t>
      </w:r>
      <w:r>
        <w:t>频次</w:t>
      </w:r>
    </w:p>
    <w:tbl>
      <w:tblPr>
        <w:tblStyle w:val="3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44"/>
        <w:gridCol w:w="3227"/>
        <w:gridCol w:w="1829"/>
        <w:gridCol w:w="3185"/>
      </w:tblGrid>
      <w:tr w14:paraId="2CB16D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044" w:type="dxa"/>
            <w:vAlign w:val="center"/>
          </w:tcPr>
          <w:p w14:paraId="48CB97EB">
            <w:pPr>
              <w:pStyle w:val="64"/>
            </w:pPr>
            <w:bookmarkStart w:id="191" w:name="_Hlk53691188"/>
            <w:r>
              <w:t>序号</w:t>
            </w:r>
          </w:p>
        </w:tc>
        <w:tc>
          <w:tcPr>
            <w:tcW w:w="3227" w:type="dxa"/>
            <w:vAlign w:val="center"/>
          </w:tcPr>
          <w:p w14:paraId="458FF9B2">
            <w:pPr>
              <w:pStyle w:val="64"/>
            </w:pPr>
            <w:r>
              <w:t>监测布点</w:t>
            </w:r>
          </w:p>
        </w:tc>
        <w:tc>
          <w:tcPr>
            <w:tcW w:w="1829" w:type="dxa"/>
            <w:vAlign w:val="center"/>
          </w:tcPr>
          <w:p w14:paraId="3F6B0E03">
            <w:pPr>
              <w:pStyle w:val="64"/>
            </w:pPr>
            <w:r>
              <w:t>监测项目</w:t>
            </w:r>
          </w:p>
        </w:tc>
        <w:tc>
          <w:tcPr>
            <w:tcW w:w="3185" w:type="dxa"/>
            <w:vAlign w:val="center"/>
          </w:tcPr>
          <w:p w14:paraId="09055598">
            <w:pPr>
              <w:pStyle w:val="64"/>
            </w:pPr>
            <w:r>
              <w:t>监测</w:t>
            </w:r>
            <w:r>
              <w:rPr>
                <w:rFonts w:hint="eastAsia"/>
              </w:rPr>
              <w:t>频次</w:t>
            </w:r>
          </w:p>
        </w:tc>
      </w:tr>
      <w:tr w14:paraId="66F375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044" w:type="dxa"/>
            <w:vAlign w:val="center"/>
          </w:tcPr>
          <w:p w14:paraId="2DB54F34">
            <w:pPr>
              <w:pStyle w:val="64"/>
            </w:pPr>
            <w:r>
              <w:t>1</w:t>
            </w:r>
          </w:p>
        </w:tc>
        <w:tc>
          <w:tcPr>
            <w:tcW w:w="3227" w:type="dxa"/>
            <w:vAlign w:val="center"/>
          </w:tcPr>
          <w:p w14:paraId="1FAC5629">
            <w:pPr>
              <w:pStyle w:val="64"/>
            </w:pPr>
            <w:r>
              <w:t>东厂界</w:t>
            </w:r>
          </w:p>
        </w:tc>
        <w:tc>
          <w:tcPr>
            <w:tcW w:w="1829" w:type="dxa"/>
            <w:vMerge w:val="restart"/>
            <w:vAlign w:val="center"/>
          </w:tcPr>
          <w:p w14:paraId="31721553">
            <w:pPr>
              <w:pStyle w:val="64"/>
            </w:pPr>
            <w:r>
              <w:t>LeqdB(A)</w:t>
            </w:r>
          </w:p>
        </w:tc>
        <w:tc>
          <w:tcPr>
            <w:tcW w:w="3185" w:type="dxa"/>
            <w:vMerge w:val="restart"/>
            <w:vAlign w:val="center"/>
          </w:tcPr>
          <w:p w14:paraId="00A8CE00">
            <w:pPr>
              <w:pStyle w:val="64"/>
            </w:pPr>
            <w:r>
              <w:rPr>
                <w:rFonts w:hint="eastAsia"/>
              </w:rPr>
              <w:t>每季度监测一次</w:t>
            </w:r>
          </w:p>
        </w:tc>
      </w:tr>
      <w:tr w14:paraId="6176AE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044" w:type="dxa"/>
            <w:vAlign w:val="center"/>
          </w:tcPr>
          <w:p w14:paraId="2502809F">
            <w:pPr>
              <w:pStyle w:val="64"/>
            </w:pPr>
            <w:r>
              <w:t>2</w:t>
            </w:r>
          </w:p>
        </w:tc>
        <w:tc>
          <w:tcPr>
            <w:tcW w:w="3227" w:type="dxa"/>
            <w:vAlign w:val="center"/>
          </w:tcPr>
          <w:p w14:paraId="6C0D0F8D">
            <w:pPr>
              <w:pStyle w:val="64"/>
            </w:pPr>
            <w:r>
              <w:t>南厂界</w:t>
            </w:r>
          </w:p>
        </w:tc>
        <w:tc>
          <w:tcPr>
            <w:tcW w:w="1829" w:type="dxa"/>
            <w:vMerge w:val="continue"/>
            <w:vAlign w:val="center"/>
          </w:tcPr>
          <w:p w14:paraId="4C1A927A">
            <w:pPr>
              <w:pStyle w:val="64"/>
            </w:pPr>
          </w:p>
        </w:tc>
        <w:tc>
          <w:tcPr>
            <w:tcW w:w="3185" w:type="dxa"/>
            <w:vMerge w:val="continue"/>
            <w:vAlign w:val="center"/>
          </w:tcPr>
          <w:p w14:paraId="32722EB5">
            <w:pPr>
              <w:pStyle w:val="64"/>
            </w:pPr>
          </w:p>
        </w:tc>
      </w:tr>
      <w:tr w14:paraId="52E92D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044" w:type="dxa"/>
            <w:vAlign w:val="center"/>
          </w:tcPr>
          <w:p w14:paraId="21048E5A">
            <w:pPr>
              <w:pStyle w:val="64"/>
            </w:pPr>
            <w:r>
              <w:t>3</w:t>
            </w:r>
          </w:p>
        </w:tc>
        <w:tc>
          <w:tcPr>
            <w:tcW w:w="3227" w:type="dxa"/>
            <w:vAlign w:val="center"/>
          </w:tcPr>
          <w:p w14:paraId="46D5C74B">
            <w:pPr>
              <w:pStyle w:val="64"/>
            </w:pPr>
            <w:r>
              <w:t>西厂界</w:t>
            </w:r>
          </w:p>
        </w:tc>
        <w:tc>
          <w:tcPr>
            <w:tcW w:w="1829" w:type="dxa"/>
            <w:vMerge w:val="continue"/>
            <w:vAlign w:val="center"/>
          </w:tcPr>
          <w:p w14:paraId="124B75B8">
            <w:pPr>
              <w:pStyle w:val="64"/>
            </w:pPr>
          </w:p>
        </w:tc>
        <w:tc>
          <w:tcPr>
            <w:tcW w:w="3185" w:type="dxa"/>
            <w:vMerge w:val="continue"/>
            <w:vAlign w:val="center"/>
          </w:tcPr>
          <w:p w14:paraId="73EFD5C7">
            <w:pPr>
              <w:pStyle w:val="64"/>
            </w:pPr>
          </w:p>
        </w:tc>
      </w:tr>
      <w:tr w14:paraId="070FD4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 w:hRule="atLeast"/>
        </w:trPr>
        <w:tc>
          <w:tcPr>
            <w:tcW w:w="1044" w:type="dxa"/>
            <w:vAlign w:val="center"/>
          </w:tcPr>
          <w:p w14:paraId="56836B3A">
            <w:pPr>
              <w:pStyle w:val="64"/>
            </w:pPr>
            <w:r>
              <w:t>4</w:t>
            </w:r>
          </w:p>
        </w:tc>
        <w:tc>
          <w:tcPr>
            <w:tcW w:w="3227" w:type="dxa"/>
            <w:vAlign w:val="center"/>
          </w:tcPr>
          <w:p w14:paraId="0AB58736">
            <w:pPr>
              <w:pStyle w:val="64"/>
            </w:pPr>
            <w:r>
              <w:t>北厂界</w:t>
            </w:r>
          </w:p>
        </w:tc>
        <w:tc>
          <w:tcPr>
            <w:tcW w:w="1829" w:type="dxa"/>
            <w:vMerge w:val="continue"/>
            <w:vAlign w:val="center"/>
          </w:tcPr>
          <w:p w14:paraId="7110CEBF">
            <w:pPr>
              <w:pStyle w:val="64"/>
            </w:pPr>
          </w:p>
        </w:tc>
        <w:tc>
          <w:tcPr>
            <w:tcW w:w="3185" w:type="dxa"/>
            <w:vMerge w:val="continue"/>
            <w:vAlign w:val="center"/>
          </w:tcPr>
          <w:p w14:paraId="2CD87511">
            <w:pPr>
              <w:pStyle w:val="64"/>
            </w:pPr>
          </w:p>
        </w:tc>
      </w:tr>
      <w:bookmarkEnd w:id="191"/>
    </w:tbl>
    <w:p w14:paraId="05557634">
      <w:pPr>
        <w:rPr>
          <w:lang w:val="zh-CN"/>
        </w:rPr>
      </w:pPr>
    </w:p>
    <w:p w14:paraId="3AA44E21">
      <w:pPr>
        <w:pStyle w:val="4"/>
        <w:rPr>
          <w:rFonts w:hint="eastAsia"/>
          <w:lang w:val="zh-CN"/>
        </w:rPr>
      </w:pPr>
      <w:bookmarkStart w:id="192" w:name="_Toc221056477"/>
      <w:r>
        <w:rPr>
          <w:rFonts w:hint="eastAsia"/>
          <w:lang w:val="zh-CN"/>
        </w:rPr>
        <w:t>9.3</w:t>
      </w:r>
      <w:r>
        <w:rPr>
          <w:lang w:val="zh-CN"/>
        </w:rPr>
        <w:t>.</w:t>
      </w:r>
      <w:r>
        <w:rPr>
          <w:rFonts w:hint="eastAsia"/>
          <w:lang w:val="zh-CN"/>
        </w:rPr>
        <w:t>4</w:t>
      </w:r>
      <w:r>
        <w:rPr>
          <w:rFonts w:hint="eastAsia"/>
        </w:rPr>
        <w:t>固废污染源</w:t>
      </w:r>
      <w:bookmarkEnd w:id="192"/>
    </w:p>
    <w:p w14:paraId="4C562C64">
      <w:pPr>
        <w:pStyle w:val="16"/>
        <w:ind w:firstLine="480"/>
      </w:pPr>
      <w:r>
        <w:rPr>
          <w:rFonts w:hint="eastAsia"/>
        </w:rPr>
        <w:t>项目固废污染源主要为危险废物的暂存及处置，监测考察项目危险废物暂存是否参照执行了</w:t>
      </w:r>
      <w:r>
        <w:t>《危险废物贮存污染控制标准》</w:t>
      </w:r>
      <w:r>
        <w:rPr>
          <w:rFonts w:hint="eastAsia"/>
        </w:rPr>
        <w:t>(</w:t>
      </w:r>
      <w:r>
        <w:t>GB18597-20</w:t>
      </w:r>
      <w:r>
        <w:rPr>
          <w:rFonts w:hint="eastAsia"/>
        </w:rPr>
        <w:t>23)中相关要求，</w:t>
      </w:r>
      <w:r>
        <w:t>危险废物的转移和处置按照《危险废物污染防治技术政策》(环发[2001]199号)的规定进行</w:t>
      </w:r>
      <w:r>
        <w:rPr>
          <w:rFonts w:hint="eastAsia"/>
        </w:rPr>
        <w:t>。按日记录一般工业固体废物的产生量、综合利用量、处置量和贮存量等信息；按日记录危险废物的产生量、综合利用量、处置量、贮存量及其具体去向，做好危险废物处理处置台账。</w:t>
      </w:r>
    </w:p>
    <w:p w14:paraId="20F1E174">
      <w:pPr>
        <w:pStyle w:val="4"/>
        <w:rPr>
          <w:rFonts w:hint="eastAsia"/>
          <w:lang w:val="zh-CN"/>
        </w:rPr>
      </w:pPr>
      <w:bookmarkStart w:id="193" w:name="_Toc221056478"/>
      <w:r>
        <w:rPr>
          <w:rFonts w:hint="eastAsia"/>
          <w:lang w:val="zh-CN"/>
        </w:rPr>
        <w:t>9.3</w:t>
      </w:r>
      <w:r>
        <w:rPr>
          <w:lang w:val="zh-CN"/>
        </w:rPr>
        <w:t>.5</w:t>
      </w:r>
      <w:r>
        <w:rPr>
          <w:rFonts w:hint="eastAsia"/>
          <w:lang w:val="zh-CN"/>
        </w:rPr>
        <w:t>土壤和</w:t>
      </w:r>
      <w:r>
        <w:rPr>
          <w:rFonts w:hint="eastAsia"/>
        </w:rPr>
        <w:t>地下水环境监测</w:t>
      </w:r>
      <w:bookmarkEnd w:id="193"/>
    </w:p>
    <w:p w14:paraId="7A62F2E8">
      <w:pPr>
        <w:spacing w:line="360" w:lineRule="auto"/>
        <w:ind w:firstLine="424" w:firstLineChars="177"/>
      </w:pPr>
      <w:r>
        <w:rPr>
          <w:rFonts w:hint="eastAsia"/>
        </w:rPr>
        <w:t>(</w:t>
      </w:r>
      <w:r>
        <w:t>1</w:t>
      </w:r>
      <w:r>
        <w:rPr>
          <w:rFonts w:hint="eastAsia"/>
        </w:rPr>
        <w:t>)地下水监测计划</w:t>
      </w:r>
    </w:p>
    <w:p w14:paraId="410DB155">
      <w:pPr>
        <w:spacing w:line="360" w:lineRule="auto"/>
        <w:ind w:firstLine="424" w:firstLineChars="177"/>
      </w:pPr>
      <w:bookmarkStart w:id="194" w:name="_Hlk53691242"/>
      <w:r>
        <w:rPr>
          <w:rFonts w:hint="eastAsia"/>
        </w:rPr>
        <w:t>根据项目特点，考虑现有厂区地下水监测井布设情况，项目地下水监测计划如下：</w:t>
      </w:r>
      <w:bookmarkEnd w:id="194"/>
    </w:p>
    <w:p w14:paraId="4558D7E1">
      <w:pPr>
        <w:pStyle w:val="28"/>
        <w:rPr>
          <w:rFonts w:hint="eastAsia"/>
        </w:rPr>
      </w:pPr>
      <w:r>
        <w:t>表</w:t>
      </w:r>
      <w:r>
        <w:rPr>
          <w:rFonts w:hint="eastAsia"/>
        </w:rPr>
        <w:t>9.3</w:t>
      </w:r>
      <w:r>
        <w:t>-</w:t>
      </w:r>
      <w:r>
        <w:rPr>
          <w:rFonts w:hint="eastAsia"/>
        </w:rPr>
        <w:t>4</w:t>
      </w:r>
      <w:r>
        <w:t xml:space="preserve">  </w:t>
      </w:r>
      <w:r>
        <w:rPr>
          <w:rFonts w:hint="eastAsia"/>
        </w:rPr>
        <w:t>本</w:t>
      </w:r>
      <w:r>
        <w:t>项目地下水监控井设置方案一览表</w:t>
      </w:r>
    </w:p>
    <w:tbl>
      <w:tblPr>
        <w:tblStyle w:val="3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6"/>
        <w:gridCol w:w="1633"/>
        <w:gridCol w:w="2560"/>
        <w:gridCol w:w="2372"/>
        <w:gridCol w:w="779"/>
        <w:gridCol w:w="1060"/>
      </w:tblGrid>
      <w:tr w14:paraId="7F77A0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2" w:type="pct"/>
            <w:vAlign w:val="center"/>
          </w:tcPr>
          <w:p w14:paraId="7C5EAFF2">
            <w:pPr>
              <w:pStyle w:val="64"/>
            </w:pPr>
            <w:bookmarkStart w:id="195" w:name="_Hlk53691255"/>
            <w:r>
              <w:t>监测点</w:t>
            </w:r>
          </w:p>
        </w:tc>
        <w:tc>
          <w:tcPr>
            <w:tcW w:w="901" w:type="pct"/>
            <w:vAlign w:val="center"/>
          </w:tcPr>
          <w:p w14:paraId="5790D59E">
            <w:pPr>
              <w:pStyle w:val="64"/>
            </w:pPr>
            <w:r>
              <w:t>监测点位置</w:t>
            </w:r>
          </w:p>
        </w:tc>
        <w:tc>
          <w:tcPr>
            <w:tcW w:w="1413" w:type="pct"/>
            <w:vAlign w:val="center"/>
          </w:tcPr>
          <w:p w14:paraId="6A5FEE3B">
            <w:pPr>
              <w:pStyle w:val="64"/>
            </w:pPr>
            <w:r>
              <w:t>监测目的</w:t>
            </w:r>
          </w:p>
        </w:tc>
        <w:tc>
          <w:tcPr>
            <w:tcW w:w="1309" w:type="pct"/>
            <w:vAlign w:val="center"/>
          </w:tcPr>
          <w:p w14:paraId="7D43337C">
            <w:pPr>
              <w:pStyle w:val="64"/>
            </w:pPr>
            <w:r>
              <w:t>监测因子</w:t>
            </w:r>
          </w:p>
        </w:tc>
        <w:tc>
          <w:tcPr>
            <w:tcW w:w="430" w:type="pct"/>
            <w:vAlign w:val="center"/>
          </w:tcPr>
          <w:p w14:paraId="161B0506">
            <w:pPr>
              <w:pStyle w:val="64"/>
            </w:pPr>
            <w:r>
              <w:t>监测频率</w:t>
            </w:r>
          </w:p>
        </w:tc>
        <w:tc>
          <w:tcPr>
            <w:tcW w:w="585" w:type="pct"/>
            <w:vAlign w:val="center"/>
          </w:tcPr>
          <w:p w14:paraId="259C7D17">
            <w:pPr>
              <w:pStyle w:val="64"/>
            </w:pPr>
            <w:r>
              <w:t>备注</w:t>
            </w:r>
          </w:p>
        </w:tc>
      </w:tr>
      <w:tr w14:paraId="2D7AAD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2" w:type="pct"/>
            <w:vAlign w:val="center"/>
          </w:tcPr>
          <w:p w14:paraId="2B6413E3">
            <w:pPr>
              <w:pStyle w:val="64"/>
            </w:pPr>
            <w:r>
              <w:rPr>
                <w:rFonts w:hint="eastAsia"/>
              </w:rPr>
              <w:t>D</w:t>
            </w:r>
            <w:r>
              <w:t>1</w:t>
            </w:r>
          </w:p>
        </w:tc>
        <w:tc>
          <w:tcPr>
            <w:tcW w:w="901" w:type="pct"/>
            <w:vAlign w:val="center"/>
          </w:tcPr>
          <w:p w14:paraId="395BA2D6">
            <w:pPr>
              <w:pStyle w:val="64"/>
            </w:pPr>
            <w:r>
              <w:t>厂区</w:t>
            </w:r>
            <w:r>
              <w:rPr>
                <w:rFonts w:hint="eastAsia"/>
              </w:rPr>
              <w:t>西北侧</w:t>
            </w:r>
          </w:p>
        </w:tc>
        <w:tc>
          <w:tcPr>
            <w:tcW w:w="1413" w:type="pct"/>
            <w:vAlign w:val="center"/>
          </w:tcPr>
          <w:p w14:paraId="0B82CE80">
            <w:pPr>
              <w:pStyle w:val="64"/>
            </w:pPr>
            <w:r>
              <w:t>监测可能来自项目外污染源的影响以及厂区地下水本底值</w:t>
            </w:r>
          </w:p>
        </w:tc>
        <w:tc>
          <w:tcPr>
            <w:tcW w:w="1309" w:type="pct"/>
            <w:vMerge w:val="restart"/>
            <w:vAlign w:val="center"/>
          </w:tcPr>
          <w:p w14:paraId="3438C769">
            <w:pPr>
              <w:pStyle w:val="64"/>
            </w:pPr>
            <w:r>
              <w:t>pH、总硬度、溶解性总固体、氨氮、高锰酸盐指数、硝酸盐、亚硝酸盐、硫酸盐、氟化物、氯化物、氰化物、砷、Hg、Cr</w:t>
            </w:r>
            <w:r>
              <w:rPr>
                <w:vertAlign w:val="superscript"/>
              </w:rPr>
              <w:t>6+</w:t>
            </w:r>
            <w:r>
              <w:t>、铅、镉、铁、锰、挥发酚等</w:t>
            </w:r>
          </w:p>
        </w:tc>
        <w:tc>
          <w:tcPr>
            <w:tcW w:w="430" w:type="pct"/>
            <w:vMerge w:val="restart"/>
            <w:vAlign w:val="center"/>
          </w:tcPr>
          <w:p w14:paraId="0146E8DB">
            <w:pPr>
              <w:pStyle w:val="64"/>
            </w:pPr>
            <w:r>
              <w:rPr>
                <w:rFonts w:hint="eastAsia"/>
              </w:rPr>
              <w:t>每年</w:t>
            </w:r>
            <w:r>
              <w:t>监测一次</w:t>
            </w:r>
          </w:p>
        </w:tc>
        <w:tc>
          <w:tcPr>
            <w:tcW w:w="585" w:type="pct"/>
            <w:vAlign w:val="center"/>
          </w:tcPr>
          <w:p w14:paraId="185FC7A4">
            <w:pPr>
              <w:pStyle w:val="64"/>
            </w:pPr>
            <w:r>
              <w:t>依托</w:t>
            </w:r>
            <w:r>
              <w:rPr>
                <w:rFonts w:hint="eastAsia"/>
              </w:rPr>
              <w:t>现有</w:t>
            </w:r>
            <w:r>
              <w:t>地下水井</w:t>
            </w:r>
          </w:p>
        </w:tc>
      </w:tr>
      <w:tr w14:paraId="65EB79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2" w:type="pct"/>
            <w:vAlign w:val="center"/>
          </w:tcPr>
          <w:p w14:paraId="56557150">
            <w:pPr>
              <w:pStyle w:val="64"/>
            </w:pPr>
            <w:r>
              <w:rPr>
                <w:rFonts w:hint="eastAsia"/>
              </w:rPr>
              <w:t>D</w:t>
            </w:r>
            <w:r>
              <w:t>2</w:t>
            </w:r>
          </w:p>
        </w:tc>
        <w:tc>
          <w:tcPr>
            <w:tcW w:w="901" w:type="pct"/>
            <w:vAlign w:val="center"/>
          </w:tcPr>
          <w:p w14:paraId="26E8F254">
            <w:pPr>
              <w:pStyle w:val="64"/>
            </w:pPr>
            <w:r>
              <w:rPr>
                <w:rFonts w:hint="eastAsia"/>
              </w:rPr>
              <w:t>项目车间装置附近</w:t>
            </w:r>
          </w:p>
        </w:tc>
        <w:tc>
          <w:tcPr>
            <w:tcW w:w="1413" w:type="pct"/>
            <w:vAlign w:val="center"/>
          </w:tcPr>
          <w:p w14:paraId="51A53DA8">
            <w:pPr>
              <w:pStyle w:val="64"/>
            </w:pPr>
            <w:r>
              <w:t>监测</w:t>
            </w:r>
            <w:r>
              <w:rPr>
                <w:rFonts w:hint="eastAsia"/>
              </w:rPr>
              <w:t>本项目</w:t>
            </w:r>
            <w:r>
              <w:t>可能存在的泄漏</w:t>
            </w:r>
          </w:p>
        </w:tc>
        <w:tc>
          <w:tcPr>
            <w:tcW w:w="1309" w:type="pct"/>
            <w:vMerge w:val="continue"/>
            <w:vAlign w:val="center"/>
          </w:tcPr>
          <w:p w14:paraId="4B3B3843">
            <w:pPr>
              <w:pStyle w:val="64"/>
            </w:pPr>
          </w:p>
        </w:tc>
        <w:tc>
          <w:tcPr>
            <w:tcW w:w="430" w:type="pct"/>
            <w:vMerge w:val="continue"/>
            <w:vAlign w:val="center"/>
          </w:tcPr>
          <w:p w14:paraId="39EA4133">
            <w:pPr>
              <w:pStyle w:val="64"/>
            </w:pPr>
          </w:p>
        </w:tc>
        <w:tc>
          <w:tcPr>
            <w:tcW w:w="585" w:type="pct"/>
            <w:vAlign w:val="center"/>
          </w:tcPr>
          <w:p w14:paraId="6AD419B7">
            <w:pPr>
              <w:pStyle w:val="64"/>
            </w:pPr>
            <w:r>
              <w:rPr>
                <w:rFonts w:hint="eastAsia"/>
              </w:rPr>
              <w:t>依托现有</w:t>
            </w:r>
            <w:r>
              <w:t>地下水井</w:t>
            </w:r>
          </w:p>
        </w:tc>
      </w:tr>
      <w:tr w14:paraId="62398B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2" w:type="pct"/>
            <w:vAlign w:val="center"/>
          </w:tcPr>
          <w:p w14:paraId="15A75616">
            <w:pPr>
              <w:pStyle w:val="64"/>
            </w:pPr>
            <w:r>
              <w:rPr>
                <w:rFonts w:hint="eastAsia"/>
              </w:rPr>
              <w:t>D</w:t>
            </w:r>
            <w:r>
              <w:t>3</w:t>
            </w:r>
          </w:p>
        </w:tc>
        <w:tc>
          <w:tcPr>
            <w:tcW w:w="901" w:type="pct"/>
            <w:vAlign w:val="center"/>
          </w:tcPr>
          <w:p w14:paraId="4F9E4FF9">
            <w:pPr>
              <w:pStyle w:val="64"/>
            </w:pPr>
            <w:r>
              <w:rPr>
                <w:rFonts w:hint="eastAsia"/>
              </w:rPr>
              <w:t>厂区东南侧</w:t>
            </w:r>
          </w:p>
        </w:tc>
        <w:tc>
          <w:tcPr>
            <w:tcW w:w="1413" w:type="pct"/>
            <w:vAlign w:val="center"/>
          </w:tcPr>
          <w:p w14:paraId="076EF653">
            <w:pPr>
              <w:pStyle w:val="64"/>
            </w:pPr>
            <w:r>
              <w:t>总体监测项目厂区可能对地下水造成的环境影响</w:t>
            </w:r>
          </w:p>
        </w:tc>
        <w:tc>
          <w:tcPr>
            <w:tcW w:w="1309" w:type="pct"/>
            <w:vMerge w:val="continue"/>
            <w:vAlign w:val="center"/>
          </w:tcPr>
          <w:p w14:paraId="46EC9316">
            <w:pPr>
              <w:pStyle w:val="64"/>
            </w:pPr>
          </w:p>
        </w:tc>
        <w:tc>
          <w:tcPr>
            <w:tcW w:w="430" w:type="pct"/>
            <w:vMerge w:val="continue"/>
            <w:vAlign w:val="center"/>
          </w:tcPr>
          <w:p w14:paraId="7CD39106">
            <w:pPr>
              <w:pStyle w:val="64"/>
            </w:pPr>
          </w:p>
        </w:tc>
        <w:tc>
          <w:tcPr>
            <w:tcW w:w="585" w:type="pct"/>
            <w:vAlign w:val="center"/>
          </w:tcPr>
          <w:p w14:paraId="5B6F91CF">
            <w:pPr>
              <w:pStyle w:val="64"/>
            </w:pPr>
            <w:r>
              <w:t>依托</w:t>
            </w:r>
            <w:r>
              <w:rPr>
                <w:rFonts w:hint="eastAsia"/>
              </w:rPr>
              <w:t>现有</w:t>
            </w:r>
            <w:r>
              <w:t>地下水井</w:t>
            </w:r>
          </w:p>
        </w:tc>
      </w:tr>
      <w:bookmarkEnd w:id="195"/>
    </w:tbl>
    <w:p w14:paraId="549BAEDB">
      <w:pPr>
        <w:spacing w:line="360" w:lineRule="auto"/>
        <w:ind w:firstLine="424" w:firstLineChars="177"/>
      </w:pPr>
    </w:p>
    <w:p w14:paraId="738FEC09">
      <w:pPr>
        <w:spacing w:line="360" w:lineRule="auto"/>
        <w:ind w:firstLine="424" w:firstLineChars="177"/>
      </w:pPr>
      <w:r>
        <w:rPr>
          <w:rFonts w:hint="eastAsia"/>
        </w:rPr>
        <w:t>(</w:t>
      </w:r>
      <w:r>
        <w:t>2</w:t>
      </w:r>
      <w:r>
        <w:rPr>
          <w:rFonts w:hint="eastAsia"/>
        </w:rPr>
        <w:t>)土壤监测计划</w:t>
      </w:r>
    </w:p>
    <w:p w14:paraId="735F055C">
      <w:pPr>
        <w:spacing w:line="360" w:lineRule="auto"/>
        <w:ind w:firstLine="424" w:firstLineChars="177"/>
      </w:pPr>
      <w:bookmarkStart w:id="196" w:name="_Hlk53691291"/>
      <w:r>
        <w:t>为监测项目营运期是否对土壤造成影响，</w:t>
      </w:r>
      <w:r>
        <w:rPr>
          <w:rFonts w:hint="eastAsia"/>
        </w:rPr>
        <w:t>本</w:t>
      </w:r>
      <w:r>
        <w:t>项目占地范围内</w:t>
      </w:r>
      <w:r>
        <w:rPr>
          <w:rFonts w:hint="eastAsia"/>
        </w:rPr>
        <w:t>(不得破坏现有防渗措施)</w:t>
      </w:r>
      <w:r>
        <w:t>和厂区占地范围外</w:t>
      </w:r>
      <w:r>
        <w:rPr>
          <w:rFonts w:hint="eastAsia"/>
        </w:rPr>
        <w:t>北</w:t>
      </w:r>
      <w:r>
        <w:t>侧</w:t>
      </w:r>
      <w:r>
        <w:rPr>
          <w:rFonts w:hint="eastAsia"/>
        </w:rPr>
        <w:t>空地</w:t>
      </w:r>
      <w:r>
        <w:t>布置跟踪监测点位，监测项目为挥发性有机物、半挥发性有机物共38项指标，要求每5年监测一次。同时记录生产设备、管线或管廊、贮存与运输装置、污染物贮存与处理装置、事故应急装置等设施的运行状况，跑冒滴漏记录，维护记录。</w:t>
      </w:r>
      <w:bookmarkEnd w:id="196"/>
    </w:p>
    <w:p w14:paraId="1F5D9070">
      <w:pPr>
        <w:pStyle w:val="28"/>
        <w:rPr>
          <w:rFonts w:hint="eastAsia"/>
        </w:rPr>
      </w:pPr>
      <w:r>
        <w:rPr>
          <w:rFonts w:hint="eastAsia"/>
        </w:rPr>
        <w:t>表9</w:t>
      </w:r>
      <w:r>
        <w:t>.3-</w:t>
      </w:r>
      <w:r>
        <w:rPr>
          <w:rFonts w:hint="eastAsia"/>
        </w:rPr>
        <w:t>5</w:t>
      </w:r>
      <w:r>
        <w:t xml:space="preserve">  </w:t>
      </w:r>
      <w:r>
        <w:rPr>
          <w:rFonts w:hint="eastAsia"/>
        </w:rPr>
        <w:t>土壤环境监测计划一览表</w:t>
      </w:r>
    </w:p>
    <w:tbl>
      <w:tblPr>
        <w:tblStyle w:val="3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47"/>
        <w:gridCol w:w="1846"/>
        <w:gridCol w:w="2533"/>
        <w:gridCol w:w="1714"/>
        <w:gridCol w:w="1134"/>
        <w:gridCol w:w="986"/>
      </w:tblGrid>
      <w:tr w14:paraId="5D626F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67" w:type="pct"/>
            <w:vAlign w:val="center"/>
          </w:tcPr>
          <w:p w14:paraId="637ACF75">
            <w:pPr>
              <w:pStyle w:val="64"/>
            </w:pPr>
            <w:bookmarkStart w:id="197" w:name="_Hlk53691276"/>
            <w:r>
              <w:t>监测点</w:t>
            </w:r>
          </w:p>
        </w:tc>
        <w:tc>
          <w:tcPr>
            <w:tcW w:w="1019" w:type="pct"/>
            <w:vAlign w:val="center"/>
          </w:tcPr>
          <w:p w14:paraId="7975B33C">
            <w:pPr>
              <w:pStyle w:val="64"/>
            </w:pPr>
            <w:r>
              <w:t>监测点位置</w:t>
            </w:r>
          </w:p>
        </w:tc>
        <w:tc>
          <w:tcPr>
            <w:tcW w:w="1398" w:type="pct"/>
            <w:vAlign w:val="center"/>
          </w:tcPr>
          <w:p w14:paraId="336A0F0A">
            <w:pPr>
              <w:pStyle w:val="64"/>
            </w:pPr>
            <w:r>
              <w:t>监测目的</w:t>
            </w:r>
          </w:p>
        </w:tc>
        <w:tc>
          <w:tcPr>
            <w:tcW w:w="946" w:type="pct"/>
            <w:vAlign w:val="center"/>
          </w:tcPr>
          <w:p w14:paraId="06CFD16C">
            <w:pPr>
              <w:pStyle w:val="64"/>
            </w:pPr>
            <w:r>
              <w:t>监测因子</w:t>
            </w:r>
          </w:p>
        </w:tc>
        <w:tc>
          <w:tcPr>
            <w:tcW w:w="626" w:type="pct"/>
            <w:vAlign w:val="center"/>
          </w:tcPr>
          <w:p w14:paraId="6DA1C717">
            <w:pPr>
              <w:pStyle w:val="64"/>
            </w:pPr>
            <w:r>
              <w:t>监测频率</w:t>
            </w:r>
          </w:p>
        </w:tc>
        <w:tc>
          <w:tcPr>
            <w:tcW w:w="544" w:type="pct"/>
            <w:vAlign w:val="center"/>
          </w:tcPr>
          <w:p w14:paraId="725FB9A9">
            <w:pPr>
              <w:pStyle w:val="64"/>
            </w:pPr>
            <w:r>
              <w:t>备注</w:t>
            </w:r>
          </w:p>
        </w:tc>
      </w:tr>
      <w:tr w14:paraId="313A43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67" w:type="pct"/>
            <w:vAlign w:val="center"/>
          </w:tcPr>
          <w:p w14:paraId="245952C9">
            <w:pPr>
              <w:pStyle w:val="64"/>
            </w:pPr>
            <w:r>
              <w:rPr>
                <w:rFonts w:hint="eastAsia"/>
              </w:rPr>
              <w:t>T</w:t>
            </w:r>
            <w:r>
              <w:t>1</w:t>
            </w:r>
          </w:p>
        </w:tc>
        <w:tc>
          <w:tcPr>
            <w:tcW w:w="1019" w:type="pct"/>
            <w:vAlign w:val="center"/>
          </w:tcPr>
          <w:p w14:paraId="11C9A69D">
            <w:pPr>
              <w:pStyle w:val="64"/>
            </w:pPr>
            <w:r>
              <w:rPr>
                <w:rFonts w:hint="eastAsia"/>
              </w:rPr>
              <w:t>项目车间装置附近</w:t>
            </w:r>
          </w:p>
        </w:tc>
        <w:tc>
          <w:tcPr>
            <w:tcW w:w="1398" w:type="pct"/>
            <w:vAlign w:val="center"/>
          </w:tcPr>
          <w:p w14:paraId="0009945B">
            <w:pPr>
              <w:pStyle w:val="64"/>
            </w:pPr>
            <w:r>
              <w:t>监测厂区重点影响区土壤污染</w:t>
            </w:r>
          </w:p>
        </w:tc>
        <w:tc>
          <w:tcPr>
            <w:tcW w:w="946" w:type="pct"/>
            <w:vMerge w:val="restart"/>
            <w:vAlign w:val="center"/>
          </w:tcPr>
          <w:p w14:paraId="0A8D06D5">
            <w:pPr>
              <w:pStyle w:val="64"/>
            </w:pPr>
            <w:r>
              <w:t>挥发性有机物、半挥发性有机物共38项指标</w:t>
            </w:r>
          </w:p>
        </w:tc>
        <w:tc>
          <w:tcPr>
            <w:tcW w:w="626" w:type="pct"/>
            <w:vMerge w:val="restart"/>
            <w:vAlign w:val="center"/>
          </w:tcPr>
          <w:p w14:paraId="5F4BCD74">
            <w:pPr>
              <w:pStyle w:val="64"/>
            </w:pPr>
            <w:r>
              <w:t>每</w:t>
            </w:r>
            <w:r>
              <w:rPr>
                <w:rFonts w:hint="eastAsia"/>
              </w:rPr>
              <w:t>3</w:t>
            </w:r>
            <w:r>
              <w:t>年监测一次</w:t>
            </w:r>
          </w:p>
        </w:tc>
        <w:tc>
          <w:tcPr>
            <w:tcW w:w="544" w:type="pct"/>
            <w:vAlign w:val="center"/>
          </w:tcPr>
          <w:p w14:paraId="7A15CBD9">
            <w:pPr>
              <w:pStyle w:val="64"/>
            </w:pPr>
            <w:r>
              <w:t>不得破坏防渗措施</w:t>
            </w:r>
          </w:p>
        </w:tc>
      </w:tr>
      <w:tr w14:paraId="26D5D5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67" w:type="pct"/>
            <w:vAlign w:val="center"/>
          </w:tcPr>
          <w:p w14:paraId="23370042">
            <w:pPr>
              <w:pStyle w:val="64"/>
            </w:pPr>
            <w:r>
              <w:rPr>
                <w:rFonts w:hint="eastAsia"/>
              </w:rPr>
              <w:t>T2</w:t>
            </w:r>
          </w:p>
        </w:tc>
        <w:tc>
          <w:tcPr>
            <w:tcW w:w="1019" w:type="pct"/>
            <w:vAlign w:val="center"/>
          </w:tcPr>
          <w:p w14:paraId="1011A3AB">
            <w:pPr>
              <w:pStyle w:val="64"/>
            </w:pPr>
            <w:r>
              <w:t>厂区占地范围外</w:t>
            </w:r>
          </w:p>
        </w:tc>
        <w:tc>
          <w:tcPr>
            <w:tcW w:w="1398" w:type="pct"/>
            <w:vAlign w:val="center"/>
          </w:tcPr>
          <w:p w14:paraId="0FC099BC">
            <w:pPr>
              <w:pStyle w:val="64"/>
            </w:pPr>
            <w:r>
              <w:t>监测</w:t>
            </w:r>
            <w:r>
              <w:rPr>
                <w:rFonts w:hint="eastAsia"/>
              </w:rPr>
              <w:t>项目周围的土壤污染情况</w:t>
            </w:r>
          </w:p>
        </w:tc>
        <w:tc>
          <w:tcPr>
            <w:tcW w:w="946" w:type="pct"/>
            <w:vMerge w:val="continue"/>
            <w:vAlign w:val="center"/>
          </w:tcPr>
          <w:p w14:paraId="6AD68721">
            <w:pPr>
              <w:pStyle w:val="64"/>
            </w:pPr>
          </w:p>
        </w:tc>
        <w:tc>
          <w:tcPr>
            <w:tcW w:w="626" w:type="pct"/>
            <w:vMerge w:val="continue"/>
            <w:vAlign w:val="center"/>
          </w:tcPr>
          <w:p w14:paraId="430AE1EB">
            <w:pPr>
              <w:pStyle w:val="64"/>
            </w:pPr>
          </w:p>
        </w:tc>
        <w:tc>
          <w:tcPr>
            <w:tcW w:w="544" w:type="pct"/>
            <w:vAlign w:val="center"/>
          </w:tcPr>
          <w:p w14:paraId="1389C1A0">
            <w:pPr>
              <w:pStyle w:val="64"/>
            </w:pPr>
            <w:r>
              <w:rPr>
                <w:rFonts w:hint="eastAsia"/>
              </w:rPr>
              <w:t>/</w:t>
            </w:r>
          </w:p>
        </w:tc>
      </w:tr>
      <w:bookmarkEnd w:id="197"/>
    </w:tbl>
    <w:p w14:paraId="7459D5A3">
      <w:pPr>
        <w:rPr>
          <w:lang w:val="zh-CN"/>
        </w:rPr>
      </w:pPr>
    </w:p>
    <w:p w14:paraId="3565D097">
      <w:pPr>
        <w:pStyle w:val="4"/>
        <w:rPr>
          <w:rFonts w:ascii="Times New Roman" w:hAnsi="Times New Roman"/>
          <w:szCs w:val="24"/>
          <w:lang w:val="zh-CN"/>
        </w:rPr>
      </w:pPr>
      <w:bookmarkStart w:id="198" w:name="_Toc221056479"/>
      <w:r>
        <w:rPr>
          <w:rFonts w:hint="eastAsia"/>
          <w:lang w:val="zh-CN"/>
        </w:rPr>
        <w:t>9.3</w:t>
      </w:r>
      <w:r>
        <w:rPr>
          <w:rFonts w:ascii="Times New Roman" w:hAnsi="Times New Roman"/>
          <w:szCs w:val="24"/>
          <w:lang w:val="zh-CN"/>
        </w:rPr>
        <w:t>.</w:t>
      </w:r>
      <w:r>
        <w:rPr>
          <w:rFonts w:hint="eastAsia"/>
          <w:lang w:val="zh-CN"/>
        </w:rPr>
        <w:t>6</w:t>
      </w:r>
      <w:r>
        <w:rPr>
          <w:rFonts w:hint="eastAsia" w:ascii="Times New Roman" w:hAnsi="Times New Roman"/>
          <w:szCs w:val="24"/>
        </w:rPr>
        <w:t>监测记录要求</w:t>
      </w:r>
      <w:bookmarkEnd w:id="198"/>
    </w:p>
    <w:p w14:paraId="1E000CCB">
      <w:pPr>
        <w:pStyle w:val="16"/>
        <w:ind w:firstLine="480"/>
      </w:pPr>
      <w:r>
        <w:rPr>
          <w:rFonts w:hint="eastAsia"/>
        </w:rPr>
        <w:t>(1)监测记录信息</w:t>
      </w:r>
    </w:p>
    <w:p w14:paraId="02F79CB8">
      <w:pPr>
        <w:pStyle w:val="16"/>
        <w:ind w:firstLine="480"/>
      </w:pPr>
      <w:r>
        <w:rPr>
          <w:rFonts w:hint="eastAsia"/>
        </w:rPr>
        <w:t>有组织废气和废水监测记录信息包括监测时间、排放口编码、污染因子、监测设施、许可排放浓度限值、浓度监测结果、是否超标、数据来源等内容。</w:t>
      </w:r>
    </w:p>
    <w:p w14:paraId="7043F191">
      <w:pPr>
        <w:pStyle w:val="16"/>
        <w:ind w:firstLine="480"/>
      </w:pPr>
      <w:r>
        <w:rPr>
          <w:rFonts w:hint="eastAsia"/>
        </w:rPr>
        <w:t>无组织废气监测记录信息包括监测时间、监测点位及设施、污染因子、许可排放浓度限值、浓度监测结果、是否超标、数据来源等内容。</w:t>
      </w:r>
    </w:p>
    <w:p w14:paraId="799746C1">
      <w:pPr>
        <w:pStyle w:val="16"/>
        <w:ind w:firstLine="480"/>
      </w:pPr>
      <w:r>
        <w:rPr>
          <w:rFonts w:hint="eastAsia"/>
        </w:rPr>
        <w:t>(2)其他环节管理信息</w:t>
      </w:r>
    </w:p>
    <w:p w14:paraId="3B824D6E">
      <w:pPr>
        <w:pStyle w:val="16"/>
        <w:ind w:firstLine="480"/>
      </w:pPr>
      <w:r>
        <w:rPr>
          <w:rFonts w:hint="eastAsia"/>
        </w:rPr>
        <w:t>排污单位应记录重污染天气应对期间等特殊时段管理要求，执行情况(包括特殊时段生产和污染治理设施运行管理信息)等，重污染天气应对期间等特殊时段的台账记录要求与正常生产记录频次要求一致，地方环境保护主管部门有特殊要求的，要从其规定。</w:t>
      </w:r>
    </w:p>
    <w:p w14:paraId="10E13D6B">
      <w:pPr>
        <w:pStyle w:val="16"/>
        <w:ind w:firstLine="480"/>
      </w:pPr>
      <w:r>
        <w:rPr>
          <w:rFonts w:hint="eastAsia"/>
        </w:rPr>
        <w:t>项目建设单位还应根据环境管理要求和自行监测记录内容需求，进行增补记录。</w:t>
      </w:r>
    </w:p>
    <w:p w14:paraId="2BFDFE26">
      <w:pPr>
        <w:pStyle w:val="16"/>
        <w:ind w:firstLine="480"/>
      </w:pPr>
      <w:r>
        <w:rPr>
          <w:rFonts w:hint="eastAsia"/>
        </w:rPr>
        <w:t>(3)记录形式及保存</w:t>
      </w:r>
    </w:p>
    <w:p w14:paraId="4A0BCE32">
      <w:pPr>
        <w:pStyle w:val="16"/>
        <w:ind w:firstLine="480"/>
      </w:pPr>
      <w:r>
        <w:rPr>
          <w:rFonts w:hint="eastAsia"/>
        </w:rPr>
        <w:t>台账应当按照电子化储存和纸质储存两种形式同步管理。</w:t>
      </w:r>
    </w:p>
    <w:p w14:paraId="41F23E90">
      <w:pPr>
        <w:pStyle w:val="16"/>
        <w:ind w:firstLine="480"/>
      </w:pPr>
      <w:r>
        <w:rPr>
          <w:rFonts w:hint="eastAsia"/>
        </w:rPr>
        <w:t>纸质存储：台账应当存放于保护袋，卷夹或保护盒中，专人保存于专门的档案保存地方并由相关人员签字。档案保存应采取防光、防热、防潮、防细菌及防污染等措施。纸制类档案破损应随时修补。档案保存时间不低于3年。</w:t>
      </w:r>
    </w:p>
    <w:p w14:paraId="0556F175">
      <w:pPr>
        <w:pStyle w:val="16"/>
        <w:ind w:firstLine="480"/>
      </w:pPr>
      <w:r>
        <w:rPr>
          <w:rFonts w:hint="eastAsia"/>
        </w:rPr>
        <w:t>电子存储：电子台账保存于专门的存储设备中，并保留数据备份，设备由专人管理并进行维护，根据地方环保局管理要求定期上传，纸版排污单位留存备案。档案保存时间不低于3年</w:t>
      </w:r>
      <w:r>
        <w:rPr>
          <w:rFonts w:hint="eastAsia"/>
          <w:kern w:val="1"/>
        </w:rPr>
        <w:t>。</w:t>
      </w:r>
    </w:p>
    <w:p w14:paraId="7379D27E">
      <w:pPr>
        <w:pStyle w:val="3"/>
        <w:spacing w:before="326"/>
        <w:rPr>
          <w:rFonts w:hint="eastAsia"/>
        </w:rPr>
      </w:pPr>
      <w:bookmarkStart w:id="199" w:name="_Toc221056480"/>
      <w:bookmarkStart w:id="200" w:name="_Toc195625052"/>
      <w:r>
        <w:rPr>
          <w:rFonts w:hint="eastAsia"/>
        </w:rPr>
        <w:t>9.4排污口规范化</w:t>
      </w:r>
      <w:bookmarkEnd w:id="199"/>
      <w:bookmarkEnd w:id="200"/>
    </w:p>
    <w:p w14:paraId="238D266F">
      <w:pPr>
        <w:ind w:firstLine="480" w:firstLineChars="200"/>
      </w:pPr>
      <w:r>
        <w:t>按照《安徽省污染源排放口规范化整治管理办法》(环法函(2005)114号)、《安徽省挥发性有机物污染整治工作方案》，排污口规范化整治应遵循便于采集样品，便于计量监测，便于日常现场监督检查的原则，建设项目按有关规定对排污口施行规划化管理，在各排污口和污染物排放点源竖立标志牌，建立管理档案。</w:t>
      </w:r>
    </w:p>
    <w:p w14:paraId="79083122">
      <w:pPr>
        <w:ind w:firstLine="480" w:firstLineChars="200"/>
      </w:pPr>
      <w:r>
        <w:t>(1)废气排放口必须符合规定的高度和按照《污染源监测技术规范》便于采样监测的要求，设置直径不大于75mm的采样口。如无法满足要求的，其采样口与环境部门共同确认。</w:t>
      </w:r>
    </w:p>
    <w:p w14:paraId="4A51EA20">
      <w:pPr>
        <w:ind w:firstLine="480" w:firstLineChars="200"/>
      </w:pPr>
      <w:r>
        <w:t>(2)对于一般固体废物应设置专用的贮存、堆放场地。对于危险废物应设置专用储存容器，并须有防挥发、防流失、防漏防渗等措施。各类固体废物贮存场所均应设置醒目的标志牌。</w:t>
      </w:r>
    </w:p>
    <w:p w14:paraId="438FA25E">
      <w:pPr>
        <w:ind w:firstLine="480" w:firstLineChars="200"/>
      </w:pPr>
      <w:r>
        <w:t>(3)环境保护图形标志</w:t>
      </w:r>
    </w:p>
    <w:p w14:paraId="7854DAB1">
      <w:pPr>
        <w:ind w:firstLine="480" w:firstLineChars="200"/>
      </w:pPr>
      <w:r>
        <w:t>在厂区的废水排放口、废气排放源、固体废物贮存处置场应设置环境保护图形标志，图形符号分为提示图形和警告图形符号两种，分别按照《环境保护图形标志--排放口(源)》(GB15562.1-1995)、《环境保护图形标志 固体废物贮存(处置)场》(GB15562.2-1995)执行。</w:t>
      </w:r>
    </w:p>
    <w:p w14:paraId="6A56C3BD">
      <w:pPr>
        <w:ind w:firstLine="480" w:firstLineChars="200"/>
      </w:pPr>
      <w:r>
        <w:t>环境保护图形符号见表</w:t>
      </w:r>
      <w:r>
        <w:rPr>
          <w:rFonts w:hint="eastAsia"/>
        </w:rPr>
        <w:t>9</w:t>
      </w:r>
      <w:r>
        <w:t>.</w:t>
      </w:r>
      <w:r>
        <w:rPr>
          <w:rFonts w:hint="eastAsia"/>
        </w:rPr>
        <w:t>4</w:t>
      </w:r>
      <w:r>
        <w:t>-1。</w:t>
      </w:r>
    </w:p>
    <w:p w14:paraId="1DA02B37">
      <w:pPr>
        <w:jc w:val="center"/>
        <w:rPr>
          <w:rFonts w:eastAsia="黑体" w:cs="Times New Roman"/>
        </w:rPr>
      </w:pPr>
      <w:r>
        <w:rPr>
          <w:rFonts w:eastAsia="黑体" w:cs="Times New Roman"/>
        </w:rPr>
        <w:t>表</w:t>
      </w:r>
      <w:r>
        <w:rPr>
          <w:rFonts w:hint="eastAsia" w:eastAsia="黑体" w:cs="Times New Roman"/>
        </w:rPr>
        <w:t>9</w:t>
      </w:r>
      <w:r>
        <w:rPr>
          <w:rFonts w:eastAsia="黑体" w:cs="Times New Roman"/>
        </w:rPr>
        <w:t>.</w:t>
      </w:r>
      <w:r>
        <w:rPr>
          <w:rFonts w:hint="eastAsia" w:eastAsia="黑体" w:cs="Times New Roman"/>
        </w:rPr>
        <w:t>4</w:t>
      </w:r>
      <w:r>
        <w:rPr>
          <w:rFonts w:eastAsia="黑体" w:cs="Times New Roman"/>
        </w:rPr>
        <w:t>-1  环境保护图形标志</w:t>
      </w:r>
    </w:p>
    <w:tbl>
      <w:tblPr>
        <w:tblStyle w:val="3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52"/>
        <w:gridCol w:w="1745"/>
        <w:gridCol w:w="1863"/>
        <w:gridCol w:w="1484"/>
        <w:gridCol w:w="3216"/>
      </w:tblGrid>
      <w:tr w14:paraId="35C131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5" w:hRule="atLeast"/>
          <w:jc w:val="center"/>
        </w:trPr>
        <w:tc>
          <w:tcPr>
            <w:tcW w:w="415" w:type="pct"/>
            <w:tcBorders>
              <w:top w:val="single" w:color="auto" w:sz="4" w:space="0"/>
              <w:left w:val="single" w:color="auto" w:sz="4" w:space="0"/>
              <w:bottom w:val="single" w:color="auto" w:sz="4" w:space="0"/>
              <w:right w:val="single" w:color="auto" w:sz="4" w:space="0"/>
            </w:tcBorders>
            <w:vAlign w:val="center"/>
          </w:tcPr>
          <w:p w14:paraId="24A692A2">
            <w:pPr>
              <w:spacing w:line="240" w:lineRule="auto"/>
              <w:jc w:val="center"/>
              <w:rPr>
                <w:rFonts w:cs="Times New Roman"/>
                <w:bCs/>
                <w:sz w:val="21"/>
                <w:szCs w:val="21"/>
              </w:rPr>
            </w:pPr>
            <w:r>
              <w:rPr>
                <w:rFonts w:cs="Times New Roman"/>
                <w:bCs/>
                <w:sz w:val="21"/>
                <w:szCs w:val="21"/>
              </w:rPr>
              <w:t>序号</w:t>
            </w:r>
          </w:p>
        </w:tc>
        <w:tc>
          <w:tcPr>
            <w:tcW w:w="963" w:type="pct"/>
            <w:tcBorders>
              <w:top w:val="single" w:color="auto" w:sz="4" w:space="0"/>
              <w:left w:val="single" w:color="auto" w:sz="4" w:space="0"/>
              <w:bottom w:val="single" w:color="auto" w:sz="4" w:space="0"/>
              <w:right w:val="single" w:color="auto" w:sz="4" w:space="0"/>
            </w:tcBorders>
            <w:vAlign w:val="center"/>
          </w:tcPr>
          <w:p w14:paraId="2554066D">
            <w:pPr>
              <w:spacing w:line="240" w:lineRule="auto"/>
              <w:jc w:val="center"/>
              <w:rPr>
                <w:rFonts w:cs="Times New Roman"/>
                <w:bCs/>
                <w:sz w:val="21"/>
                <w:szCs w:val="21"/>
              </w:rPr>
            </w:pPr>
            <w:r>
              <w:rPr>
                <w:rFonts w:cs="Times New Roman"/>
                <w:bCs/>
                <w:sz w:val="21"/>
                <w:szCs w:val="21"/>
              </w:rPr>
              <w:t>提示图形符号</w:t>
            </w:r>
          </w:p>
        </w:tc>
        <w:tc>
          <w:tcPr>
            <w:tcW w:w="1028" w:type="pct"/>
            <w:tcBorders>
              <w:top w:val="single" w:color="auto" w:sz="4" w:space="0"/>
              <w:left w:val="single" w:color="auto" w:sz="4" w:space="0"/>
              <w:bottom w:val="single" w:color="auto" w:sz="4" w:space="0"/>
              <w:right w:val="single" w:color="auto" w:sz="4" w:space="0"/>
            </w:tcBorders>
            <w:vAlign w:val="center"/>
          </w:tcPr>
          <w:p w14:paraId="23875892">
            <w:pPr>
              <w:spacing w:line="240" w:lineRule="auto"/>
              <w:jc w:val="center"/>
              <w:rPr>
                <w:rFonts w:cs="Times New Roman"/>
                <w:bCs/>
                <w:sz w:val="21"/>
                <w:szCs w:val="21"/>
              </w:rPr>
            </w:pPr>
            <w:r>
              <w:rPr>
                <w:rFonts w:cs="Times New Roman"/>
                <w:bCs/>
                <w:sz w:val="21"/>
                <w:szCs w:val="21"/>
              </w:rPr>
              <w:t>警告图形符号</w:t>
            </w:r>
          </w:p>
        </w:tc>
        <w:tc>
          <w:tcPr>
            <w:tcW w:w="819" w:type="pct"/>
            <w:tcBorders>
              <w:top w:val="single" w:color="auto" w:sz="4" w:space="0"/>
              <w:left w:val="single" w:color="auto" w:sz="4" w:space="0"/>
              <w:bottom w:val="single" w:color="auto" w:sz="4" w:space="0"/>
              <w:right w:val="single" w:color="auto" w:sz="4" w:space="0"/>
            </w:tcBorders>
            <w:vAlign w:val="center"/>
          </w:tcPr>
          <w:p w14:paraId="1A5D8BC5">
            <w:pPr>
              <w:spacing w:line="240" w:lineRule="auto"/>
              <w:jc w:val="center"/>
              <w:rPr>
                <w:rFonts w:cs="Times New Roman"/>
                <w:bCs/>
                <w:sz w:val="21"/>
                <w:szCs w:val="21"/>
              </w:rPr>
            </w:pPr>
            <w:r>
              <w:rPr>
                <w:rFonts w:cs="Times New Roman"/>
                <w:bCs/>
                <w:sz w:val="21"/>
                <w:szCs w:val="21"/>
              </w:rPr>
              <w:t>名称</w:t>
            </w:r>
          </w:p>
        </w:tc>
        <w:tc>
          <w:tcPr>
            <w:tcW w:w="1775" w:type="pct"/>
            <w:tcBorders>
              <w:top w:val="single" w:color="auto" w:sz="4" w:space="0"/>
              <w:left w:val="single" w:color="auto" w:sz="4" w:space="0"/>
              <w:bottom w:val="single" w:color="auto" w:sz="4" w:space="0"/>
              <w:right w:val="single" w:color="auto" w:sz="4" w:space="0"/>
            </w:tcBorders>
            <w:vAlign w:val="center"/>
          </w:tcPr>
          <w:p w14:paraId="11C7B6EC">
            <w:pPr>
              <w:spacing w:line="240" w:lineRule="auto"/>
              <w:jc w:val="center"/>
              <w:rPr>
                <w:rFonts w:cs="Times New Roman"/>
                <w:bCs/>
                <w:sz w:val="21"/>
                <w:szCs w:val="21"/>
              </w:rPr>
            </w:pPr>
            <w:r>
              <w:rPr>
                <w:rFonts w:cs="Times New Roman"/>
                <w:bCs/>
                <w:sz w:val="21"/>
                <w:szCs w:val="21"/>
              </w:rPr>
              <w:t>功能</w:t>
            </w:r>
          </w:p>
        </w:tc>
      </w:tr>
      <w:tr w14:paraId="53B289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5" w:type="pct"/>
            <w:tcBorders>
              <w:top w:val="single" w:color="auto" w:sz="4" w:space="0"/>
              <w:left w:val="single" w:color="auto" w:sz="4" w:space="0"/>
              <w:bottom w:val="single" w:color="auto" w:sz="4" w:space="0"/>
              <w:right w:val="single" w:color="auto" w:sz="4" w:space="0"/>
            </w:tcBorders>
            <w:vAlign w:val="center"/>
          </w:tcPr>
          <w:p w14:paraId="4F98F826">
            <w:pPr>
              <w:spacing w:line="240" w:lineRule="auto"/>
              <w:jc w:val="center"/>
              <w:rPr>
                <w:rFonts w:cs="Times New Roman"/>
                <w:sz w:val="21"/>
                <w:szCs w:val="21"/>
              </w:rPr>
            </w:pPr>
            <w:r>
              <w:rPr>
                <w:rFonts w:cs="Times New Roman"/>
                <w:sz w:val="21"/>
                <w:szCs w:val="21"/>
              </w:rPr>
              <w:t>1</w:t>
            </w:r>
          </w:p>
        </w:tc>
        <w:tc>
          <w:tcPr>
            <w:tcW w:w="963" w:type="pct"/>
            <w:tcBorders>
              <w:top w:val="single" w:color="auto" w:sz="4" w:space="0"/>
              <w:left w:val="single" w:color="auto" w:sz="4" w:space="0"/>
              <w:bottom w:val="single" w:color="auto" w:sz="4" w:space="0"/>
              <w:right w:val="single" w:color="auto" w:sz="4" w:space="0"/>
            </w:tcBorders>
            <w:vAlign w:val="center"/>
          </w:tcPr>
          <w:p w14:paraId="3A74B8C6">
            <w:pPr>
              <w:spacing w:line="240" w:lineRule="auto"/>
              <w:jc w:val="center"/>
              <w:rPr>
                <w:rFonts w:cs="Times New Roman"/>
                <w:sz w:val="21"/>
                <w:szCs w:val="21"/>
              </w:rPr>
            </w:pPr>
            <w:r>
              <w:rPr>
                <w:rFonts w:cs="Times New Roman"/>
                <w:sz w:val="21"/>
                <w:szCs w:val="21"/>
              </w:rPr>
              <w:drawing>
                <wp:inline distT="0" distB="0" distL="0" distR="0">
                  <wp:extent cx="742950" cy="752475"/>
                  <wp:effectExtent l="0" t="0" r="0" b="9525"/>
                  <wp:docPr id="1167445717"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445717" name="图片 1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a:xfrm>
                            <a:off x="0" y="0"/>
                            <a:ext cx="742950" cy="752475"/>
                          </a:xfrm>
                          <a:prstGeom prst="rect">
                            <a:avLst/>
                          </a:prstGeom>
                          <a:noFill/>
                          <a:ln>
                            <a:noFill/>
                          </a:ln>
                        </pic:spPr>
                      </pic:pic>
                    </a:graphicData>
                  </a:graphic>
                </wp:inline>
              </w:drawing>
            </w:r>
          </w:p>
        </w:tc>
        <w:tc>
          <w:tcPr>
            <w:tcW w:w="1028" w:type="pct"/>
            <w:tcBorders>
              <w:top w:val="single" w:color="auto" w:sz="4" w:space="0"/>
              <w:left w:val="single" w:color="auto" w:sz="4" w:space="0"/>
              <w:bottom w:val="single" w:color="auto" w:sz="4" w:space="0"/>
              <w:right w:val="single" w:color="auto" w:sz="4" w:space="0"/>
            </w:tcBorders>
            <w:vAlign w:val="center"/>
          </w:tcPr>
          <w:p w14:paraId="2AE15E25">
            <w:pPr>
              <w:spacing w:line="240" w:lineRule="auto"/>
              <w:jc w:val="center"/>
              <w:rPr>
                <w:rFonts w:cs="Times New Roman"/>
                <w:sz w:val="21"/>
                <w:szCs w:val="21"/>
              </w:rPr>
            </w:pPr>
            <w:r>
              <w:rPr>
                <w:rFonts w:cs="Times New Roman"/>
                <w:sz w:val="21"/>
                <w:szCs w:val="21"/>
              </w:rPr>
              <w:drawing>
                <wp:inline distT="0" distB="0" distL="0" distR="0">
                  <wp:extent cx="790575" cy="800100"/>
                  <wp:effectExtent l="0" t="0" r="9525" b="0"/>
                  <wp:docPr id="732667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6677" name="图片 1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a:xfrm>
                            <a:off x="0" y="0"/>
                            <a:ext cx="790575" cy="800100"/>
                          </a:xfrm>
                          <a:prstGeom prst="rect">
                            <a:avLst/>
                          </a:prstGeom>
                          <a:noFill/>
                          <a:ln>
                            <a:noFill/>
                          </a:ln>
                        </pic:spPr>
                      </pic:pic>
                    </a:graphicData>
                  </a:graphic>
                </wp:inline>
              </w:drawing>
            </w:r>
          </w:p>
        </w:tc>
        <w:tc>
          <w:tcPr>
            <w:tcW w:w="819" w:type="pct"/>
            <w:tcBorders>
              <w:top w:val="single" w:color="auto" w:sz="4" w:space="0"/>
              <w:left w:val="single" w:color="auto" w:sz="4" w:space="0"/>
              <w:bottom w:val="single" w:color="auto" w:sz="4" w:space="0"/>
              <w:right w:val="single" w:color="auto" w:sz="4" w:space="0"/>
            </w:tcBorders>
            <w:vAlign w:val="center"/>
          </w:tcPr>
          <w:p w14:paraId="22E57F98">
            <w:pPr>
              <w:spacing w:line="240" w:lineRule="auto"/>
              <w:jc w:val="center"/>
              <w:rPr>
                <w:rFonts w:cs="Times New Roman"/>
                <w:sz w:val="21"/>
                <w:szCs w:val="21"/>
              </w:rPr>
            </w:pPr>
            <w:r>
              <w:rPr>
                <w:rFonts w:cs="Times New Roman"/>
                <w:sz w:val="21"/>
                <w:szCs w:val="21"/>
              </w:rPr>
              <w:t>废水排放口</w:t>
            </w:r>
          </w:p>
        </w:tc>
        <w:tc>
          <w:tcPr>
            <w:tcW w:w="1775" w:type="pct"/>
            <w:tcBorders>
              <w:top w:val="single" w:color="auto" w:sz="4" w:space="0"/>
              <w:left w:val="single" w:color="auto" w:sz="4" w:space="0"/>
              <w:bottom w:val="single" w:color="auto" w:sz="4" w:space="0"/>
              <w:right w:val="single" w:color="auto" w:sz="4" w:space="0"/>
            </w:tcBorders>
            <w:vAlign w:val="center"/>
          </w:tcPr>
          <w:p w14:paraId="595CAF00">
            <w:pPr>
              <w:spacing w:line="240" w:lineRule="auto"/>
              <w:jc w:val="center"/>
              <w:rPr>
                <w:rFonts w:cs="Times New Roman"/>
                <w:sz w:val="21"/>
                <w:szCs w:val="21"/>
              </w:rPr>
            </w:pPr>
            <w:r>
              <w:rPr>
                <w:rFonts w:cs="Times New Roman"/>
                <w:sz w:val="21"/>
                <w:szCs w:val="21"/>
              </w:rPr>
              <w:t>表示废水排放</w:t>
            </w:r>
          </w:p>
        </w:tc>
      </w:tr>
      <w:tr w14:paraId="17C910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5" w:type="pct"/>
            <w:tcBorders>
              <w:top w:val="single" w:color="auto" w:sz="4" w:space="0"/>
              <w:left w:val="single" w:color="auto" w:sz="4" w:space="0"/>
              <w:bottom w:val="single" w:color="auto" w:sz="4" w:space="0"/>
              <w:right w:val="single" w:color="auto" w:sz="4" w:space="0"/>
            </w:tcBorders>
            <w:vAlign w:val="center"/>
          </w:tcPr>
          <w:p w14:paraId="03505461">
            <w:pPr>
              <w:spacing w:line="240" w:lineRule="auto"/>
              <w:jc w:val="center"/>
              <w:rPr>
                <w:rFonts w:cs="Times New Roman"/>
                <w:sz w:val="21"/>
                <w:szCs w:val="21"/>
              </w:rPr>
            </w:pPr>
            <w:r>
              <w:rPr>
                <w:rFonts w:cs="Times New Roman"/>
                <w:sz w:val="21"/>
                <w:szCs w:val="21"/>
              </w:rPr>
              <w:t>2</w:t>
            </w:r>
          </w:p>
        </w:tc>
        <w:tc>
          <w:tcPr>
            <w:tcW w:w="963" w:type="pct"/>
            <w:tcBorders>
              <w:top w:val="single" w:color="auto" w:sz="4" w:space="0"/>
              <w:left w:val="single" w:color="auto" w:sz="4" w:space="0"/>
              <w:bottom w:val="single" w:color="auto" w:sz="4" w:space="0"/>
              <w:right w:val="single" w:color="auto" w:sz="4" w:space="0"/>
            </w:tcBorders>
            <w:vAlign w:val="center"/>
          </w:tcPr>
          <w:p w14:paraId="3BC1BEEB">
            <w:pPr>
              <w:spacing w:line="240" w:lineRule="auto"/>
              <w:jc w:val="center"/>
              <w:rPr>
                <w:rFonts w:cs="Times New Roman"/>
                <w:sz w:val="21"/>
                <w:szCs w:val="21"/>
              </w:rPr>
            </w:pPr>
            <w:r>
              <w:rPr>
                <w:rFonts w:cs="Times New Roman"/>
                <w:sz w:val="21"/>
                <w:szCs w:val="21"/>
              </w:rPr>
              <w:drawing>
                <wp:inline distT="0" distB="0" distL="0" distR="0">
                  <wp:extent cx="742950" cy="752475"/>
                  <wp:effectExtent l="0" t="0" r="0" b="9525"/>
                  <wp:docPr id="511253873"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253873" name="图片 1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a:xfrm>
                            <a:off x="0" y="0"/>
                            <a:ext cx="742950" cy="752475"/>
                          </a:xfrm>
                          <a:prstGeom prst="rect">
                            <a:avLst/>
                          </a:prstGeom>
                          <a:noFill/>
                          <a:ln>
                            <a:noFill/>
                          </a:ln>
                        </pic:spPr>
                      </pic:pic>
                    </a:graphicData>
                  </a:graphic>
                </wp:inline>
              </w:drawing>
            </w:r>
          </w:p>
        </w:tc>
        <w:tc>
          <w:tcPr>
            <w:tcW w:w="1028" w:type="pct"/>
            <w:tcBorders>
              <w:top w:val="single" w:color="auto" w:sz="4" w:space="0"/>
              <w:left w:val="single" w:color="auto" w:sz="4" w:space="0"/>
              <w:bottom w:val="single" w:color="auto" w:sz="4" w:space="0"/>
              <w:right w:val="single" w:color="auto" w:sz="4" w:space="0"/>
            </w:tcBorders>
            <w:vAlign w:val="center"/>
          </w:tcPr>
          <w:p w14:paraId="12C60143">
            <w:pPr>
              <w:spacing w:line="240" w:lineRule="auto"/>
              <w:jc w:val="center"/>
              <w:rPr>
                <w:rFonts w:cs="Times New Roman"/>
                <w:sz w:val="21"/>
                <w:szCs w:val="21"/>
              </w:rPr>
            </w:pPr>
            <w:r>
              <w:rPr>
                <w:rFonts w:cs="Times New Roman"/>
                <w:sz w:val="21"/>
                <w:szCs w:val="21"/>
              </w:rPr>
              <w:drawing>
                <wp:inline distT="0" distB="0" distL="0" distR="0">
                  <wp:extent cx="781050" cy="781050"/>
                  <wp:effectExtent l="0" t="0" r="0" b="0"/>
                  <wp:docPr id="54150308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503089" name="图片 1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a:xfrm>
                            <a:off x="0" y="0"/>
                            <a:ext cx="781050" cy="781050"/>
                          </a:xfrm>
                          <a:prstGeom prst="rect">
                            <a:avLst/>
                          </a:prstGeom>
                          <a:noFill/>
                          <a:ln>
                            <a:noFill/>
                          </a:ln>
                        </pic:spPr>
                      </pic:pic>
                    </a:graphicData>
                  </a:graphic>
                </wp:inline>
              </w:drawing>
            </w:r>
          </w:p>
        </w:tc>
        <w:tc>
          <w:tcPr>
            <w:tcW w:w="819" w:type="pct"/>
            <w:tcBorders>
              <w:top w:val="single" w:color="auto" w:sz="4" w:space="0"/>
              <w:left w:val="single" w:color="auto" w:sz="4" w:space="0"/>
              <w:bottom w:val="single" w:color="auto" w:sz="4" w:space="0"/>
              <w:right w:val="single" w:color="auto" w:sz="4" w:space="0"/>
            </w:tcBorders>
            <w:vAlign w:val="center"/>
          </w:tcPr>
          <w:p w14:paraId="512B212F">
            <w:pPr>
              <w:spacing w:line="240" w:lineRule="auto"/>
              <w:jc w:val="center"/>
              <w:rPr>
                <w:rFonts w:cs="Times New Roman"/>
                <w:sz w:val="21"/>
                <w:szCs w:val="21"/>
              </w:rPr>
            </w:pPr>
            <w:r>
              <w:rPr>
                <w:rFonts w:cs="Times New Roman"/>
                <w:sz w:val="21"/>
                <w:szCs w:val="21"/>
              </w:rPr>
              <w:t>废气排放口</w:t>
            </w:r>
          </w:p>
        </w:tc>
        <w:tc>
          <w:tcPr>
            <w:tcW w:w="1775" w:type="pct"/>
            <w:tcBorders>
              <w:top w:val="single" w:color="auto" w:sz="4" w:space="0"/>
              <w:left w:val="single" w:color="auto" w:sz="4" w:space="0"/>
              <w:bottom w:val="single" w:color="auto" w:sz="4" w:space="0"/>
              <w:right w:val="single" w:color="auto" w:sz="4" w:space="0"/>
            </w:tcBorders>
            <w:vAlign w:val="center"/>
          </w:tcPr>
          <w:p w14:paraId="7EA4EA9A">
            <w:pPr>
              <w:spacing w:line="240" w:lineRule="auto"/>
              <w:jc w:val="center"/>
              <w:rPr>
                <w:rFonts w:cs="Times New Roman"/>
                <w:sz w:val="21"/>
                <w:szCs w:val="21"/>
              </w:rPr>
            </w:pPr>
            <w:r>
              <w:rPr>
                <w:rFonts w:cs="Times New Roman"/>
                <w:sz w:val="21"/>
                <w:szCs w:val="21"/>
              </w:rPr>
              <w:t>表示废气向大气环境排放</w:t>
            </w:r>
          </w:p>
        </w:tc>
      </w:tr>
      <w:tr w14:paraId="2214CC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5" w:type="pct"/>
            <w:tcBorders>
              <w:top w:val="single" w:color="auto" w:sz="4" w:space="0"/>
              <w:left w:val="single" w:color="auto" w:sz="4" w:space="0"/>
              <w:bottom w:val="single" w:color="auto" w:sz="4" w:space="0"/>
              <w:right w:val="single" w:color="auto" w:sz="4" w:space="0"/>
            </w:tcBorders>
            <w:vAlign w:val="center"/>
          </w:tcPr>
          <w:p w14:paraId="1791AB12">
            <w:pPr>
              <w:spacing w:line="240" w:lineRule="auto"/>
              <w:jc w:val="center"/>
              <w:rPr>
                <w:rFonts w:cs="Times New Roman"/>
                <w:sz w:val="21"/>
                <w:szCs w:val="21"/>
              </w:rPr>
            </w:pPr>
            <w:r>
              <w:rPr>
                <w:rFonts w:cs="Times New Roman"/>
                <w:sz w:val="21"/>
                <w:szCs w:val="21"/>
              </w:rPr>
              <w:t>3</w:t>
            </w:r>
          </w:p>
        </w:tc>
        <w:tc>
          <w:tcPr>
            <w:tcW w:w="963" w:type="pct"/>
            <w:tcBorders>
              <w:top w:val="single" w:color="auto" w:sz="4" w:space="0"/>
              <w:left w:val="single" w:color="auto" w:sz="4" w:space="0"/>
              <w:bottom w:val="single" w:color="auto" w:sz="4" w:space="0"/>
              <w:right w:val="single" w:color="auto" w:sz="4" w:space="0"/>
            </w:tcBorders>
            <w:vAlign w:val="center"/>
          </w:tcPr>
          <w:p w14:paraId="4A5C8C6F">
            <w:pPr>
              <w:spacing w:line="240" w:lineRule="auto"/>
              <w:jc w:val="center"/>
              <w:rPr>
                <w:rFonts w:cs="Times New Roman"/>
                <w:sz w:val="21"/>
                <w:szCs w:val="21"/>
              </w:rPr>
            </w:pPr>
            <w:r>
              <w:rPr>
                <w:rFonts w:cs="Times New Roman"/>
                <w:sz w:val="21"/>
                <w:szCs w:val="21"/>
              </w:rPr>
              <w:drawing>
                <wp:inline distT="0" distB="0" distL="0" distR="0">
                  <wp:extent cx="781050" cy="790575"/>
                  <wp:effectExtent l="0" t="0" r="0" b="9525"/>
                  <wp:docPr id="127176620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766204" name="图片 1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a:xfrm>
                            <a:off x="0" y="0"/>
                            <a:ext cx="781050" cy="790575"/>
                          </a:xfrm>
                          <a:prstGeom prst="rect">
                            <a:avLst/>
                          </a:prstGeom>
                          <a:noFill/>
                          <a:ln>
                            <a:noFill/>
                          </a:ln>
                        </pic:spPr>
                      </pic:pic>
                    </a:graphicData>
                  </a:graphic>
                </wp:inline>
              </w:drawing>
            </w:r>
          </w:p>
        </w:tc>
        <w:tc>
          <w:tcPr>
            <w:tcW w:w="1028" w:type="pct"/>
            <w:tcBorders>
              <w:top w:val="single" w:color="auto" w:sz="4" w:space="0"/>
              <w:left w:val="single" w:color="auto" w:sz="4" w:space="0"/>
              <w:bottom w:val="single" w:color="auto" w:sz="4" w:space="0"/>
              <w:right w:val="single" w:color="auto" w:sz="4" w:space="0"/>
            </w:tcBorders>
            <w:vAlign w:val="center"/>
          </w:tcPr>
          <w:p w14:paraId="5B844F52">
            <w:pPr>
              <w:spacing w:line="240" w:lineRule="auto"/>
              <w:jc w:val="center"/>
              <w:rPr>
                <w:rFonts w:cs="Times New Roman"/>
                <w:sz w:val="21"/>
                <w:szCs w:val="21"/>
              </w:rPr>
            </w:pPr>
            <w:r>
              <w:rPr>
                <w:rFonts w:cs="Times New Roman"/>
                <w:sz w:val="21"/>
                <w:szCs w:val="21"/>
              </w:rPr>
              <w:drawing>
                <wp:inline distT="0" distB="0" distL="0" distR="0">
                  <wp:extent cx="771525" cy="723900"/>
                  <wp:effectExtent l="0" t="0" r="9525" b="0"/>
                  <wp:docPr id="145571275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712756" name="图片 1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a:xfrm>
                            <a:off x="0" y="0"/>
                            <a:ext cx="771525" cy="723900"/>
                          </a:xfrm>
                          <a:prstGeom prst="rect">
                            <a:avLst/>
                          </a:prstGeom>
                          <a:noFill/>
                          <a:ln>
                            <a:noFill/>
                          </a:ln>
                        </pic:spPr>
                      </pic:pic>
                    </a:graphicData>
                  </a:graphic>
                </wp:inline>
              </w:drawing>
            </w:r>
          </w:p>
        </w:tc>
        <w:tc>
          <w:tcPr>
            <w:tcW w:w="819" w:type="pct"/>
            <w:tcBorders>
              <w:top w:val="single" w:color="auto" w:sz="4" w:space="0"/>
              <w:left w:val="single" w:color="auto" w:sz="4" w:space="0"/>
              <w:bottom w:val="single" w:color="auto" w:sz="4" w:space="0"/>
              <w:right w:val="single" w:color="auto" w:sz="4" w:space="0"/>
            </w:tcBorders>
            <w:vAlign w:val="center"/>
          </w:tcPr>
          <w:p w14:paraId="7DE3E430">
            <w:pPr>
              <w:spacing w:line="240" w:lineRule="auto"/>
              <w:jc w:val="center"/>
              <w:rPr>
                <w:rFonts w:cs="Times New Roman"/>
                <w:sz w:val="21"/>
                <w:szCs w:val="21"/>
              </w:rPr>
            </w:pPr>
            <w:r>
              <w:rPr>
                <w:rFonts w:cs="Times New Roman"/>
                <w:sz w:val="21"/>
                <w:szCs w:val="21"/>
              </w:rPr>
              <w:t>一般固体废物</w:t>
            </w:r>
          </w:p>
        </w:tc>
        <w:tc>
          <w:tcPr>
            <w:tcW w:w="1775" w:type="pct"/>
            <w:tcBorders>
              <w:top w:val="single" w:color="auto" w:sz="4" w:space="0"/>
              <w:left w:val="single" w:color="auto" w:sz="4" w:space="0"/>
              <w:bottom w:val="single" w:color="auto" w:sz="4" w:space="0"/>
              <w:right w:val="single" w:color="auto" w:sz="4" w:space="0"/>
            </w:tcBorders>
            <w:vAlign w:val="center"/>
          </w:tcPr>
          <w:p w14:paraId="2AB5F8C1">
            <w:pPr>
              <w:spacing w:line="240" w:lineRule="auto"/>
              <w:jc w:val="center"/>
              <w:rPr>
                <w:rFonts w:cs="Times New Roman"/>
                <w:sz w:val="21"/>
                <w:szCs w:val="21"/>
              </w:rPr>
            </w:pPr>
            <w:r>
              <w:rPr>
                <w:rFonts w:cs="Times New Roman"/>
                <w:sz w:val="21"/>
                <w:szCs w:val="21"/>
              </w:rPr>
              <w:t>表示一般固体废物贮存、处置场</w:t>
            </w:r>
          </w:p>
        </w:tc>
      </w:tr>
      <w:tr w14:paraId="2928D1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5" w:type="pct"/>
            <w:tcBorders>
              <w:top w:val="single" w:color="auto" w:sz="4" w:space="0"/>
              <w:left w:val="single" w:color="auto" w:sz="4" w:space="0"/>
              <w:bottom w:val="single" w:color="auto" w:sz="4" w:space="0"/>
              <w:right w:val="single" w:color="auto" w:sz="4" w:space="0"/>
            </w:tcBorders>
            <w:vAlign w:val="center"/>
          </w:tcPr>
          <w:p w14:paraId="12F8C952">
            <w:pPr>
              <w:spacing w:line="240" w:lineRule="auto"/>
              <w:jc w:val="center"/>
              <w:rPr>
                <w:rFonts w:cs="Times New Roman"/>
                <w:sz w:val="21"/>
                <w:szCs w:val="21"/>
              </w:rPr>
            </w:pPr>
            <w:r>
              <w:rPr>
                <w:rFonts w:cs="Times New Roman"/>
                <w:sz w:val="21"/>
                <w:szCs w:val="21"/>
              </w:rPr>
              <w:t>4</w:t>
            </w:r>
          </w:p>
        </w:tc>
        <w:tc>
          <w:tcPr>
            <w:tcW w:w="963" w:type="pct"/>
            <w:tcBorders>
              <w:top w:val="single" w:color="auto" w:sz="4" w:space="0"/>
              <w:left w:val="single" w:color="auto" w:sz="4" w:space="0"/>
              <w:bottom w:val="single" w:color="auto" w:sz="4" w:space="0"/>
              <w:right w:val="single" w:color="auto" w:sz="4" w:space="0"/>
            </w:tcBorders>
            <w:vAlign w:val="center"/>
          </w:tcPr>
          <w:p w14:paraId="6D4FFED1">
            <w:pPr>
              <w:spacing w:line="240" w:lineRule="auto"/>
              <w:jc w:val="center"/>
              <w:rPr>
                <w:rFonts w:cs="Times New Roman"/>
                <w:sz w:val="21"/>
                <w:szCs w:val="21"/>
              </w:rPr>
            </w:pPr>
            <w:r>
              <w:rPr>
                <w:rFonts w:cs="Times New Roman"/>
                <w:sz w:val="21"/>
                <w:szCs w:val="21"/>
              </w:rPr>
              <w:drawing>
                <wp:inline distT="0" distB="0" distL="0" distR="0">
                  <wp:extent cx="790575" cy="790575"/>
                  <wp:effectExtent l="0" t="0" r="9525" b="9525"/>
                  <wp:docPr id="9386463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64636" name="图片 1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a:xfrm>
                            <a:off x="0" y="0"/>
                            <a:ext cx="790575" cy="790575"/>
                          </a:xfrm>
                          <a:prstGeom prst="rect">
                            <a:avLst/>
                          </a:prstGeom>
                          <a:noFill/>
                          <a:ln>
                            <a:noFill/>
                          </a:ln>
                        </pic:spPr>
                      </pic:pic>
                    </a:graphicData>
                  </a:graphic>
                </wp:inline>
              </w:drawing>
            </w:r>
          </w:p>
        </w:tc>
        <w:tc>
          <w:tcPr>
            <w:tcW w:w="1028" w:type="pct"/>
            <w:tcBorders>
              <w:top w:val="single" w:color="auto" w:sz="4" w:space="0"/>
              <w:left w:val="single" w:color="auto" w:sz="4" w:space="0"/>
              <w:bottom w:val="single" w:color="auto" w:sz="4" w:space="0"/>
              <w:right w:val="single" w:color="auto" w:sz="4" w:space="0"/>
            </w:tcBorders>
            <w:vAlign w:val="center"/>
          </w:tcPr>
          <w:p w14:paraId="30EF8253">
            <w:pPr>
              <w:spacing w:line="240" w:lineRule="auto"/>
              <w:jc w:val="center"/>
              <w:rPr>
                <w:rFonts w:cs="Times New Roman"/>
                <w:sz w:val="21"/>
                <w:szCs w:val="21"/>
              </w:rPr>
            </w:pPr>
            <w:r>
              <w:rPr>
                <w:rFonts w:cs="Times New Roman"/>
                <w:sz w:val="21"/>
                <w:szCs w:val="21"/>
              </w:rPr>
              <w:drawing>
                <wp:inline distT="0" distB="0" distL="0" distR="0">
                  <wp:extent cx="866775" cy="771525"/>
                  <wp:effectExtent l="0" t="0" r="9525" b="9525"/>
                  <wp:docPr id="27474204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742043" name="图片 1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a:xfrm>
                            <a:off x="0" y="0"/>
                            <a:ext cx="866775" cy="771525"/>
                          </a:xfrm>
                          <a:prstGeom prst="rect">
                            <a:avLst/>
                          </a:prstGeom>
                          <a:noFill/>
                          <a:ln>
                            <a:noFill/>
                          </a:ln>
                        </pic:spPr>
                      </pic:pic>
                    </a:graphicData>
                  </a:graphic>
                </wp:inline>
              </w:drawing>
            </w:r>
          </w:p>
        </w:tc>
        <w:tc>
          <w:tcPr>
            <w:tcW w:w="819" w:type="pct"/>
            <w:tcBorders>
              <w:top w:val="single" w:color="auto" w:sz="4" w:space="0"/>
              <w:left w:val="single" w:color="auto" w:sz="4" w:space="0"/>
              <w:bottom w:val="single" w:color="auto" w:sz="4" w:space="0"/>
              <w:right w:val="single" w:color="auto" w:sz="4" w:space="0"/>
            </w:tcBorders>
            <w:vAlign w:val="center"/>
          </w:tcPr>
          <w:p w14:paraId="6F67814B">
            <w:pPr>
              <w:spacing w:line="240" w:lineRule="auto"/>
              <w:jc w:val="center"/>
              <w:rPr>
                <w:rFonts w:cs="Times New Roman"/>
                <w:sz w:val="21"/>
                <w:szCs w:val="21"/>
              </w:rPr>
            </w:pPr>
            <w:r>
              <w:rPr>
                <w:rFonts w:cs="Times New Roman"/>
                <w:sz w:val="21"/>
                <w:szCs w:val="21"/>
              </w:rPr>
              <w:t>噪声排放源</w:t>
            </w:r>
          </w:p>
        </w:tc>
        <w:tc>
          <w:tcPr>
            <w:tcW w:w="1775" w:type="pct"/>
            <w:tcBorders>
              <w:top w:val="single" w:color="auto" w:sz="4" w:space="0"/>
              <w:left w:val="single" w:color="auto" w:sz="4" w:space="0"/>
              <w:bottom w:val="single" w:color="auto" w:sz="4" w:space="0"/>
              <w:right w:val="single" w:color="auto" w:sz="4" w:space="0"/>
            </w:tcBorders>
            <w:vAlign w:val="center"/>
          </w:tcPr>
          <w:p w14:paraId="70D7FD99">
            <w:pPr>
              <w:spacing w:line="240" w:lineRule="auto"/>
              <w:jc w:val="center"/>
              <w:rPr>
                <w:rFonts w:cs="Times New Roman"/>
                <w:sz w:val="21"/>
                <w:szCs w:val="21"/>
              </w:rPr>
            </w:pPr>
            <w:r>
              <w:rPr>
                <w:rFonts w:cs="Times New Roman"/>
                <w:sz w:val="21"/>
                <w:szCs w:val="21"/>
              </w:rPr>
              <w:t>表示噪声向外环境排放</w:t>
            </w:r>
          </w:p>
        </w:tc>
      </w:tr>
      <w:tr w14:paraId="3A9701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5" w:type="pct"/>
            <w:tcBorders>
              <w:top w:val="single" w:color="auto" w:sz="4" w:space="0"/>
              <w:left w:val="single" w:color="auto" w:sz="4" w:space="0"/>
              <w:bottom w:val="single" w:color="auto" w:sz="4" w:space="0"/>
              <w:right w:val="single" w:color="auto" w:sz="4" w:space="0"/>
            </w:tcBorders>
            <w:vAlign w:val="center"/>
          </w:tcPr>
          <w:p w14:paraId="1DF5B815">
            <w:pPr>
              <w:spacing w:line="240" w:lineRule="auto"/>
              <w:jc w:val="center"/>
              <w:rPr>
                <w:rFonts w:cs="Times New Roman"/>
                <w:sz w:val="21"/>
                <w:szCs w:val="21"/>
              </w:rPr>
            </w:pPr>
            <w:r>
              <w:rPr>
                <w:rFonts w:cs="Times New Roman"/>
                <w:sz w:val="21"/>
                <w:szCs w:val="21"/>
              </w:rPr>
              <w:t>5</w:t>
            </w:r>
          </w:p>
        </w:tc>
        <w:tc>
          <w:tcPr>
            <w:tcW w:w="963" w:type="pct"/>
            <w:tcBorders>
              <w:top w:val="single" w:color="auto" w:sz="4" w:space="0"/>
              <w:left w:val="single" w:color="auto" w:sz="4" w:space="0"/>
              <w:bottom w:val="single" w:color="auto" w:sz="4" w:space="0"/>
              <w:right w:val="single" w:color="auto" w:sz="4" w:space="0"/>
            </w:tcBorders>
            <w:vAlign w:val="center"/>
          </w:tcPr>
          <w:p w14:paraId="76A3AD6E">
            <w:pPr>
              <w:spacing w:line="240" w:lineRule="auto"/>
              <w:jc w:val="center"/>
              <w:rPr>
                <w:rFonts w:cs="Times New Roman"/>
                <w:sz w:val="21"/>
                <w:szCs w:val="21"/>
              </w:rPr>
            </w:pPr>
            <w:r>
              <w:rPr>
                <w:rFonts w:cs="Times New Roman"/>
                <w:sz w:val="21"/>
                <w:szCs w:val="21"/>
              </w:rPr>
              <w:t>/</w:t>
            </w:r>
          </w:p>
        </w:tc>
        <w:tc>
          <w:tcPr>
            <w:tcW w:w="1028" w:type="pct"/>
            <w:tcBorders>
              <w:top w:val="single" w:color="auto" w:sz="4" w:space="0"/>
              <w:left w:val="single" w:color="auto" w:sz="4" w:space="0"/>
              <w:bottom w:val="single" w:color="auto" w:sz="4" w:space="0"/>
              <w:right w:val="single" w:color="auto" w:sz="4" w:space="0"/>
            </w:tcBorders>
            <w:vAlign w:val="center"/>
          </w:tcPr>
          <w:p w14:paraId="004150D2">
            <w:pPr>
              <w:spacing w:line="240" w:lineRule="auto"/>
              <w:jc w:val="center"/>
              <w:rPr>
                <w:rFonts w:cs="Times New Roman"/>
                <w:sz w:val="21"/>
                <w:szCs w:val="21"/>
              </w:rPr>
            </w:pPr>
            <w:r>
              <w:rPr>
                <w:rFonts w:cs="Times New Roman"/>
                <w:sz w:val="21"/>
                <w:szCs w:val="21"/>
              </w:rPr>
              <w:drawing>
                <wp:inline distT="0" distB="0" distL="0" distR="0">
                  <wp:extent cx="895350" cy="800100"/>
                  <wp:effectExtent l="0" t="0" r="0" b="0"/>
                  <wp:docPr id="183546790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467907" name="图片 10"/>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a:xfrm>
                            <a:off x="0" y="0"/>
                            <a:ext cx="895350" cy="800100"/>
                          </a:xfrm>
                          <a:prstGeom prst="rect">
                            <a:avLst/>
                          </a:prstGeom>
                          <a:noFill/>
                          <a:ln>
                            <a:noFill/>
                          </a:ln>
                        </pic:spPr>
                      </pic:pic>
                    </a:graphicData>
                  </a:graphic>
                </wp:inline>
              </w:drawing>
            </w:r>
          </w:p>
        </w:tc>
        <w:tc>
          <w:tcPr>
            <w:tcW w:w="819" w:type="pct"/>
            <w:tcBorders>
              <w:top w:val="single" w:color="auto" w:sz="4" w:space="0"/>
              <w:left w:val="single" w:color="auto" w:sz="4" w:space="0"/>
              <w:bottom w:val="single" w:color="auto" w:sz="4" w:space="0"/>
              <w:right w:val="single" w:color="auto" w:sz="4" w:space="0"/>
            </w:tcBorders>
            <w:vAlign w:val="center"/>
          </w:tcPr>
          <w:p w14:paraId="64C64581">
            <w:pPr>
              <w:spacing w:line="240" w:lineRule="auto"/>
              <w:jc w:val="center"/>
              <w:rPr>
                <w:rFonts w:cs="Times New Roman"/>
                <w:sz w:val="21"/>
                <w:szCs w:val="21"/>
              </w:rPr>
            </w:pPr>
            <w:r>
              <w:rPr>
                <w:rFonts w:cs="Times New Roman"/>
                <w:sz w:val="21"/>
                <w:szCs w:val="21"/>
              </w:rPr>
              <w:t>危险废物</w:t>
            </w:r>
          </w:p>
        </w:tc>
        <w:tc>
          <w:tcPr>
            <w:tcW w:w="1775" w:type="pct"/>
            <w:tcBorders>
              <w:top w:val="single" w:color="auto" w:sz="4" w:space="0"/>
              <w:left w:val="single" w:color="auto" w:sz="4" w:space="0"/>
              <w:bottom w:val="single" w:color="auto" w:sz="4" w:space="0"/>
              <w:right w:val="single" w:color="auto" w:sz="4" w:space="0"/>
            </w:tcBorders>
            <w:vAlign w:val="center"/>
          </w:tcPr>
          <w:p w14:paraId="25654F11">
            <w:pPr>
              <w:spacing w:line="240" w:lineRule="auto"/>
              <w:jc w:val="center"/>
              <w:rPr>
                <w:rFonts w:cs="Times New Roman"/>
                <w:sz w:val="21"/>
                <w:szCs w:val="21"/>
              </w:rPr>
            </w:pPr>
            <w:r>
              <w:rPr>
                <w:rFonts w:cs="Times New Roman"/>
                <w:sz w:val="21"/>
                <w:szCs w:val="21"/>
              </w:rPr>
              <w:t>危险废物贮存识别标签及标志</w:t>
            </w:r>
          </w:p>
        </w:tc>
      </w:tr>
    </w:tbl>
    <w:p w14:paraId="4E3227F5">
      <w:pPr>
        <w:rPr>
          <w:rFonts w:cs="Times New Roman"/>
          <w:spacing w:val="-3"/>
        </w:rPr>
      </w:pPr>
    </w:p>
    <w:p w14:paraId="7533BEB0">
      <w:pPr>
        <w:rPr>
          <w:rFonts w:cs="Times New Roman"/>
          <w:spacing w:val="-3"/>
        </w:rPr>
        <w:sectPr>
          <w:pgSz w:w="11906" w:h="16838"/>
          <w:pgMar w:top="1418" w:right="1418" w:bottom="1418" w:left="1418" w:header="851" w:footer="992" w:gutter="0"/>
          <w:cols w:space="425" w:num="1"/>
          <w:docGrid w:type="lines" w:linePitch="326" w:charSpace="0"/>
        </w:sectPr>
      </w:pPr>
    </w:p>
    <w:p w14:paraId="5D275A3A">
      <w:pPr>
        <w:pStyle w:val="2"/>
        <w:spacing w:before="163" w:after="163"/>
        <w:rPr>
          <w:rFonts w:hint="eastAsia"/>
        </w:rPr>
      </w:pPr>
      <w:bookmarkStart w:id="201" w:name="_Toc221056481"/>
      <w:r>
        <w:rPr>
          <w:rFonts w:hint="eastAsia"/>
        </w:rPr>
        <w:t>10环境影响评价结论</w:t>
      </w:r>
      <w:bookmarkEnd w:id="201"/>
    </w:p>
    <w:p w14:paraId="49BD3950">
      <w:pPr>
        <w:pStyle w:val="3"/>
        <w:spacing w:before="326"/>
        <w:rPr>
          <w:rFonts w:hint="eastAsia"/>
        </w:rPr>
      </w:pPr>
      <w:bookmarkStart w:id="202" w:name="_Toc221056482"/>
      <w:r>
        <w:rPr>
          <w:rFonts w:hint="eastAsia"/>
        </w:rPr>
        <w:t>10.1项目概况</w:t>
      </w:r>
      <w:bookmarkEnd w:id="202"/>
    </w:p>
    <w:p w14:paraId="7B4C8E85">
      <w:pPr>
        <w:ind w:firstLine="482"/>
        <w:rPr>
          <w:rFonts w:cs="Times New Roman"/>
        </w:rPr>
      </w:pPr>
      <w:r>
        <w:rPr>
          <w:rFonts w:cs="Times New Roman"/>
        </w:rPr>
        <w:t>项目名称：10000吨间甲酚车间环保技改项目；</w:t>
      </w:r>
    </w:p>
    <w:p w14:paraId="43048A10">
      <w:pPr>
        <w:ind w:firstLine="482"/>
        <w:rPr>
          <w:rFonts w:cs="Times New Roman"/>
        </w:rPr>
      </w:pPr>
      <w:r>
        <w:rPr>
          <w:rFonts w:cs="Times New Roman"/>
        </w:rPr>
        <w:t>建设性质：技术改造；</w:t>
      </w:r>
    </w:p>
    <w:p w14:paraId="20316A7F">
      <w:pPr>
        <w:ind w:firstLine="482"/>
        <w:rPr>
          <w:rFonts w:cs="Times New Roman"/>
        </w:rPr>
      </w:pPr>
      <w:r>
        <w:rPr>
          <w:rFonts w:cs="Times New Roman"/>
        </w:rPr>
        <w:t>建设单位：安徽海华科技集团有限公司；</w:t>
      </w:r>
    </w:p>
    <w:p w14:paraId="22CF4615">
      <w:pPr>
        <w:ind w:firstLine="482"/>
        <w:rPr>
          <w:rFonts w:cs="Times New Roman"/>
        </w:rPr>
      </w:pPr>
      <w:r>
        <w:rPr>
          <w:rFonts w:cs="Times New Roman"/>
        </w:rPr>
        <w:t>行业类别：有机化学原料制造(C2614)；</w:t>
      </w:r>
    </w:p>
    <w:p w14:paraId="04C05319">
      <w:pPr>
        <w:ind w:firstLine="482"/>
        <w:rPr>
          <w:rFonts w:cs="Times New Roman"/>
        </w:rPr>
      </w:pPr>
      <w:r>
        <w:rPr>
          <w:rFonts w:cs="Times New Roman"/>
        </w:rPr>
        <w:t>项目投资：项目总投资140万元，其中环保投资30万元，占总投资额21.4%；</w:t>
      </w:r>
    </w:p>
    <w:p w14:paraId="614093C9">
      <w:pPr>
        <w:ind w:firstLine="482"/>
        <w:rPr>
          <w:rFonts w:cs="Times New Roman"/>
        </w:rPr>
      </w:pPr>
      <w:r>
        <w:rPr>
          <w:rFonts w:hint="eastAsia" w:cs="Times New Roman"/>
        </w:rPr>
        <w:t>建设地点：</w:t>
      </w:r>
      <w:r>
        <w:rPr>
          <w:rFonts w:cs="Times New Roman"/>
        </w:rPr>
        <w:t>安徽省蚌埠市淮上区沫河口工业园区开源大道36号</w:t>
      </w:r>
      <w:r>
        <w:rPr>
          <w:rFonts w:hint="eastAsia" w:cs="Times New Roman"/>
        </w:rPr>
        <w:t>(</w:t>
      </w:r>
      <w:r>
        <w:rPr>
          <w:rFonts w:cs="Times New Roman"/>
        </w:rPr>
        <w:t>经纬度：117.589424°，32.992544°</w:t>
      </w:r>
      <w:r>
        <w:rPr>
          <w:rFonts w:hint="eastAsia" w:cs="Times New Roman"/>
        </w:rPr>
        <w:t>)，安徽海华科技集团有限公司现有厂区间甲酚车间；</w:t>
      </w:r>
    </w:p>
    <w:p w14:paraId="05727E95">
      <w:pPr>
        <w:ind w:firstLine="480"/>
        <w:rPr>
          <w:rFonts w:hint="eastAsia" w:ascii="宋体" w:hAnsi="宋体" w:cs="Times New Roman"/>
        </w:rPr>
      </w:pPr>
      <w:r>
        <w:rPr>
          <w:rFonts w:hint="eastAsia" w:ascii="宋体" w:hAnsi="宋体" w:cs="Times New Roman"/>
        </w:rPr>
        <w:t>劳动定员：项目不新增工人。</w:t>
      </w:r>
    </w:p>
    <w:p w14:paraId="146ED793">
      <w:pPr>
        <w:pStyle w:val="3"/>
        <w:spacing w:before="326"/>
        <w:rPr>
          <w:rFonts w:hint="eastAsia"/>
        </w:rPr>
      </w:pPr>
      <w:bookmarkStart w:id="203" w:name="_Toc221056483"/>
      <w:r>
        <w:rPr>
          <w:rFonts w:hint="eastAsia"/>
        </w:rPr>
        <w:t>10.2区域环境质量现状</w:t>
      </w:r>
      <w:bookmarkEnd w:id="203"/>
    </w:p>
    <w:p w14:paraId="7B50D3C7">
      <w:pPr>
        <w:pStyle w:val="4"/>
        <w:rPr>
          <w:rFonts w:hint="eastAsia"/>
        </w:rPr>
      </w:pPr>
      <w:bookmarkStart w:id="204" w:name="_Toc221056484"/>
      <w:r>
        <w:rPr>
          <w:rFonts w:hint="eastAsia"/>
        </w:rPr>
        <w:t>10.2.1大气环境</w:t>
      </w:r>
      <w:bookmarkEnd w:id="204"/>
    </w:p>
    <w:p w14:paraId="66D96E07">
      <w:pPr>
        <w:ind w:firstLine="480" w:firstLineChars="200"/>
        <w:rPr>
          <w:rFonts w:cs="Times New Roman"/>
          <w:spacing w:val="-3"/>
        </w:rPr>
      </w:pPr>
      <w:r>
        <w:rPr>
          <w:rFonts w:cs="Times New Roman"/>
        </w:rPr>
        <w:t>根据《202</w:t>
      </w:r>
      <w:r>
        <w:rPr>
          <w:rFonts w:hint="eastAsia" w:cs="Times New Roman"/>
        </w:rPr>
        <w:t>4</w:t>
      </w:r>
      <w:r>
        <w:rPr>
          <w:rFonts w:cs="Times New Roman"/>
        </w:rPr>
        <w:t>年蚌埠市生态环境质量状况公报》，蚌埠市202</w:t>
      </w:r>
      <w:r>
        <w:rPr>
          <w:rFonts w:hint="eastAsia" w:cs="Times New Roman"/>
        </w:rPr>
        <w:t>4</w:t>
      </w:r>
      <w:r>
        <w:rPr>
          <w:rFonts w:cs="Times New Roman"/>
        </w:rPr>
        <w:t>年环境空气质量为不达标区，超标因子为PM</w:t>
      </w:r>
      <w:r>
        <w:rPr>
          <w:rFonts w:cs="Times New Roman"/>
          <w:vertAlign w:val="subscript"/>
        </w:rPr>
        <w:t>2.5</w:t>
      </w:r>
      <w:r>
        <w:rPr>
          <w:rFonts w:hint="eastAsia" w:cs="Times New Roman"/>
        </w:rPr>
        <w:t>、O</w:t>
      </w:r>
      <w:r>
        <w:rPr>
          <w:rFonts w:hint="eastAsia" w:cs="Times New Roman"/>
          <w:vertAlign w:val="subscript"/>
        </w:rPr>
        <w:t>3</w:t>
      </w:r>
      <w:r>
        <w:rPr>
          <w:rFonts w:cs="Times New Roman"/>
        </w:rPr>
        <w:t>。</w:t>
      </w:r>
      <w:r>
        <w:rPr>
          <w:rFonts w:hint="eastAsia" w:cs="Times New Roman"/>
        </w:rPr>
        <w:t>根据补充监测数据及引用监测数据，项目区域</w:t>
      </w:r>
      <w:r>
        <w:rPr>
          <w:rFonts w:hint="eastAsia" w:cs="Times New Roman"/>
          <w:spacing w:val="-3"/>
        </w:rPr>
        <w:t>酚类、非甲烷总烃满足《大气污染物综合排放标准详解》中规定的标准值，硫酸雾满足《环境影响评价 技术导则大气环境》(HJ2.2-2018)附录D其他污染物空气质量浓度参考限值，区域大气环境质量状况良好。</w:t>
      </w:r>
    </w:p>
    <w:p w14:paraId="3E5F02BF">
      <w:pPr>
        <w:pStyle w:val="4"/>
        <w:rPr>
          <w:rFonts w:hint="eastAsia"/>
        </w:rPr>
      </w:pPr>
      <w:bookmarkStart w:id="205" w:name="_Toc221056485"/>
      <w:r>
        <w:rPr>
          <w:rFonts w:hint="eastAsia"/>
        </w:rPr>
        <w:t>10.2.2地表水环境</w:t>
      </w:r>
      <w:bookmarkEnd w:id="205"/>
    </w:p>
    <w:p w14:paraId="5DF92B0F">
      <w:pPr>
        <w:ind w:firstLine="468" w:firstLineChars="200"/>
        <w:rPr>
          <w:rFonts w:cs="Times New Roman"/>
          <w:spacing w:val="-3"/>
        </w:rPr>
      </w:pPr>
      <w:r>
        <w:rPr>
          <w:rFonts w:hint="eastAsia" w:cs="Times New Roman"/>
          <w:spacing w:val="-3"/>
        </w:rPr>
        <w:t>根据引用区域地表水水质监测结果，沫冲引河、三铺大沟各断面水质满足《地表水环境质量标准》(GB3838-2002)IV类水质标准，淮河蚌埠段断面各监测因子监测结果满足《地表水环境质量标准》(GB3838-2002)</w:t>
      </w:r>
      <w:r>
        <w:rPr>
          <w:rFonts w:cs="Times New Roman"/>
          <w:spacing w:val="-3"/>
        </w:rPr>
        <w:t>Ⅲ</w:t>
      </w:r>
      <w:r>
        <w:rPr>
          <w:rFonts w:hint="eastAsia" w:cs="Times New Roman"/>
          <w:spacing w:val="-3"/>
        </w:rPr>
        <w:t>类标准的要求，区域地表水环境状况良好。</w:t>
      </w:r>
    </w:p>
    <w:p w14:paraId="3AF5B7D7">
      <w:pPr>
        <w:pStyle w:val="4"/>
        <w:rPr>
          <w:rFonts w:hint="eastAsia"/>
        </w:rPr>
      </w:pPr>
      <w:bookmarkStart w:id="206" w:name="_Toc221056486"/>
      <w:r>
        <w:rPr>
          <w:rFonts w:hint="eastAsia"/>
        </w:rPr>
        <w:t>10.2.3声环境</w:t>
      </w:r>
      <w:bookmarkEnd w:id="206"/>
    </w:p>
    <w:p w14:paraId="7F9A8154">
      <w:pPr>
        <w:pStyle w:val="82"/>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根据</w:t>
      </w:r>
      <w:r>
        <w:rPr>
          <w:rFonts w:hint="eastAsia" w:ascii="Times New Roman" w:hAnsi="Times New Roman" w:cs="Times New Roman"/>
          <w:color w:val="000000" w:themeColor="text1"/>
          <w14:textFill>
            <w14:solidFill>
              <w14:schemeClr w14:val="tx1"/>
            </w14:solidFill>
          </w14:textFill>
        </w:rPr>
        <w:t>引用</w:t>
      </w:r>
      <w:r>
        <w:rPr>
          <w:rFonts w:ascii="Times New Roman" w:hAnsi="Times New Roman" w:cs="Times New Roman"/>
          <w:color w:val="000000" w:themeColor="text1"/>
          <w14:textFill>
            <w14:solidFill>
              <w14:schemeClr w14:val="tx1"/>
            </w14:solidFill>
          </w14:textFill>
        </w:rPr>
        <w:t>声环境监测结果，项目</w:t>
      </w:r>
      <w:r>
        <w:rPr>
          <w:rFonts w:hint="eastAsia" w:ascii="Times New Roman" w:hAnsi="Times New Roman" w:cs="Times New Roman"/>
          <w:color w:val="000000" w:themeColor="text1"/>
          <w14:textFill>
            <w14:solidFill>
              <w14:schemeClr w14:val="tx1"/>
            </w14:solidFill>
          </w14:textFill>
        </w:rPr>
        <w:t>厂界</w:t>
      </w:r>
      <w:r>
        <w:rPr>
          <w:rFonts w:ascii="Times New Roman" w:hAnsi="Times New Roman" w:cs="Times New Roman"/>
          <w:color w:val="000000" w:themeColor="text1"/>
          <w14:textFill>
            <w14:solidFill>
              <w14:schemeClr w14:val="tx1"/>
            </w14:solidFill>
          </w14:textFill>
        </w:rPr>
        <w:t>声环境质量能够达到</w:t>
      </w:r>
      <w:r>
        <w:rPr>
          <w:rFonts w:hint="eastAsia" w:ascii="Times New Roman" w:hAnsi="Times New Roman" w:cs="Times New Roman"/>
          <w:color w:val="000000" w:themeColor="text1"/>
          <w14:textFill>
            <w14:solidFill>
              <w14:schemeClr w14:val="tx1"/>
            </w14:solidFill>
          </w14:textFill>
        </w:rPr>
        <w:t>《工业企业厂界环境噪声排放标准》(GB12348-2008)</w:t>
      </w:r>
      <w:r>
        <w:rPr>
          <w:rFonts w:ascii="Times New Roman" w:hAnsi="Times New Roman" w:cs="Times New Roman"/>
          <w:color w:val="000000" w:themeColor="text1"/>
          <w14:textFill>
            <w14:solidFill>
              <w14:schemeClr w14:val="tx1"/>
            </w14:solidFill>
          </w14:textFill>
        </w:rPr>
        <w:t>3类标准要求。</w:t>
      </w:r>
    </w:p>
    <w:p w14:paraId="656065A1">
      <w:pPr>
        <w:pStyle w:val="4"/>
        <w:rPr>
          <w:rFonts w:hint="eastAsia"/>
        </w:rPr>
      </w:pPr>
      <w:bookmarkStart w:id="207" w:name="_Toc221056487"/>
      <w:r>
        <w:rPr>
          <w:rFonts w:hint="eastAsia"/>
        </w:rPr>
        <w:t>10.2.4地下水环境</w:t>
      </w:r>
      <w:bookmarkEnd w:id="207"/>
    </w:p>
    <w:p w14:paraId="3E27C3E7">
      <w:pPr>
        <w:pStyle w:val="82"/>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根据引用监测数据</w:t>
      </w:r>
      <w:r>
        <w:rPr>
          <w:rFonts w:hint="eastAsia" w:ascii="Times New Roman" w:hAnsi="Times New Roman" w:cs="Times New Roman"/>
          <w:color w:val="000000" w:themeColor="text1"/>
          <w14:textFill>
            <w14:solidFill>
              <w14:schemeClr w14:val="tx1"/>
            </w14:solidFill>
          </w14:textFill>
        </w:rPr>
        <w:t>，评价结果表明区域地下水满足《地下水质量标准》(GB/T14848-2017)中</w:t>
      </w:r>
      <w:r>
        <w:rPr>
          <w:rFonts w:ascii="Times New Roman" w:hAnsi="Times New Roman" w:cs="Times New Roman"/>
          <w:color w:val="000000" w:themeColor="text1"/>
          <w14:textFill>
            <w14:solidFill>
              <w14:schemeClr w14:val="tx1"/>
            </w14:solidFill>
          </w14:textFill>
        </w:rPr>
        <w:t>Ⅲ类</w:t>
      </w:r>
      <w:r>
        <w:rPr>
          <w:rFonts w:hint="eastAsia" w:ascii="Times New Roman" w:hAnsi="Times New Roman" w:cs="Times New Roman"/>
          <w:color w:val="000000" w:themeColor="text1"/>
          <w14:textFill>
            <w14:solidFill>
              <w14:schemeClr w14:val="tx1"/>
            </w14:solidFill>
          </w14:textFill>
        </w:rPr>
        <w:t>标准要求</w:t>
      </w:r>
      <w:r>
        <w:rPr>
          <w:rFonts w:ascii="Times New Roman" w:hAnsi="Times New Roman" w:cs="Times New Roman"/>
          <w:color w:val="000000" w:themeColor="text1"/>
          <w14:textFill>
            <w14:solidFill>
              <w14:schemeClr w14:val="tx1"/>
            </w14:solidFill>
          </w14:textFill>
        </w:rPr>
        <w:t>。</w:t>
      </w:r>
    </w:p>
    <w:p w14:paraId="16935CC5">
      <w:pPr>
        <w:pStyle w:val="4"/>
        <w:rPr>
          <w:rFonts w:hint="eastAsia"/>
        </w:rPr>
      </w:pPr>
      <w:bookmarkStart w:id="208" w:name="_Toc221056488"/>
      <w:r>
        <w:rPr>
          <w:rFonts w:hint="eastAsia"/>
        </w:rPr>
        <w:t>10.2.5土壤环境</w:t>
      </w:r>
      <w:bookmarkEnd w:id="208"/>
    </w:p>
    <w:p w14:paraId="2E5AC1F7">
      <w:pPr>
        <w:pStyle w:val="82"/>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根据现状监测数据，</w:t>
      </w:r>
      <w:r>
        <w:rPr>
          <w:rFonts w:hint="eastAsia" w:ascii="Times New Roman" w:hAnsi="Times New Roman" w:cs="Times New Roman"/>
          <w:color w:val="000000" w:themeColor="text1"/>
          <w14:textFill>
            <w14:solidFill>
              <w14:schemeClr w14:val="tx1"/>
            </w14:solidFill>
          </w14:textFill>
        </w:rPr>
        <w:t>项目所在地及周边工业用地监测点指标满足《土壤环境质量 建设用地土壤污染风险管控标准》(试行)(GB36600-2018)中第二类用地风险筛选值标准限值要求，周边农用地监测值满足《土壤环境质量农用地土壤污染风险管控标准(试行)》(GB15618-2018)中筛选值标准，区域土壤环境质量现状总体良好</w:t>
      </w:r>
      <w:r>
        <w:rPr>
          <w:rFonts w:ascii="Times New Roman" w:hAnsi="Times New Roman" w:cs="Times New Roman"/>
          <w:color w:val="000000" w:themeColor="text1"/>
          <w14:textFill>
            <w14:solidFill>
              <w14:schemeClr w14:val="tx1"/>
            </w14:solidFill>
          </w14:textFill>
        </w:rPr>
        <w:t>。</w:t>
      </w:r>
    </w:p>
    <w:p w14:paraId="6ACFF6BF">
      <w:pPr>
        <w:pStyle w:val="3"/>
        <w:spacing w:before="326"/>
        <w:rPr>
          <w:rFonts w:hint="eastAsia"/>
        </w:rPr>
      </w:pPr>
      <w:bookmarkStart w:id="209" w:name="_Toc195625056"/>
      <w:bookmarkStart w:id="210" w:name="_Toc210925823"/>
      <w:bookmarkStart w:id="211" w:name="_Toc221056489"/>
      <w:r>
        <w:rPr>
          <w:rFonts w:hint="eastAsia"/>
        </w:rPr>
        <w:t>10.3</w:t>
      </w:r>
      <w:bookmarkEnd w:id="209"/>
      <w:bookmarkEnd w:id="210"/>
      <w:r>
        <w:rPr>
          <w:rFonts w:hint="eastAsia"/>
        </w:rPr>
        <w:t>污染物排放情况</w:t>
      </w:r>
      <w:bookmarkEnd w:id="211"/>
    </w:p>
    <w:p w14:paraId="4739EB4E">
      <w:pPr>
        <w:pStyle w:val="82"/>
        <w:ind w:firstLine="480"/>
        <w:jc w:val="both"/>
        <w:rPr>
          <w:rFonts w:ascii="Times New Roman" w:hAnsi="Times New Roman" w:cs="Times New Roman"/>
          <w:color w:val="000000" w:themeColor="text1"/>
          <w14:textFill>
            <w14:solidFill>
              <w14:schemeClr w14:val="tx1"/>
            </w14:solidFill>
          </w14:textFill>
        </w:rPr>
      </w:pPr>
      <w:r>
        <w:rPr>
          <w:color w:val="000000" w:themeColor="text1"/>
          <w14:textFill>
            <w14:solidFill>
              <w14:schemeClr w14:val="tx1"/>
            </w14:solidFill>
          </w14:textFill>
        </w:rPr>
        <w:t>本项目运营期污染</w:t>
      </w:r>
      <w:r>
        <w:rPr>
          <w:rFonts w:ascii="Times New Roman" w:hAnsi="Times New Roman" w:cs="Times New Roman"/>
          <w:color w:val="000000" w:themeColor="text1"/>
          <w14:textFill>
            <w14:solidFill>
              <w14:schemeClr w14:val="tx1"/>
            </w14:solidFill>
          </w14:textFill>
        </w:rPr>
        <w:t>物产生量、削减量、排放量</w:t>
      </w:r>
      <w:r>
        <w:rPr>
          <w:rFonts w:hint="eastAsia" w:ascii="Times New Roman" w:hAnsi="Times New Roman" w:cs="Times New Roman"/>
          <w:color w:val="000000" w:themeColor="text1"/>
          <w14:textFill>
            <w14:solidFill>
              <w14:schemeClr w14:val="tx1"/>
            </w14:solidFill>
          </w14:textFill>
        </w:rPr>
        <w:t>及技改前后变化量</w:t>
      </w:r>
      <w:r>
        <w:rPr>
          <w:rFonts w:ascii="Times New Roman" w:hAnsi="Times New Roman" w:cs="Times New Roman"/>
          <w:color w:val="000000" w:themeColor="text1"/>
          <w14:textFill>
            <w14:solidFill>
              <w14:schemeClr w14:val="tx1"/>
            </w14:solidFill>
          </w14:textFill>
        </w:rPr>
        <w:t>情况见表10.3-1。</w:t>
      </w:r>
    </w:p>
    <w:p w14:paraId="1404FB29">
      <w:pPr>
        <w:jc w:val="center"/>
        <w:rPr>
          <w:rFonts w:hint="eastAsia" w:ascii="黑体" w:hAnsi="黑体" w:eastAsia="黑体" w:cs="Times New Roman"/>
        </w:rPr>
      </w:pPr>
      <w:r>
        <w:rPr>
          <w:rFonts w:hint="eastAsia" w:ascii="黑体" w:hAnsi="黑体" w:eastAsia="黑体" w:cs="Times New Roman"/>
        </w:rPr>
        <w:t>表10.3-1  间甲酚车间技改前后</w:t>
      </w:r>
      <w:r>
        <w:rPr>
          <w:rFonts w:ascii="黑体" w:hAnsi="黑体" w:eastAsia="黑体" w:cs="Times New Roman"/>
        </w:rPr>
        <w:t>产排污汇总</w:t>
      </w:r>
      <w:r>
        <w:rPr>
          <w:rFonts w:hint="eastAsia" w:ascii="黑体" w:hAnsi="黑体" w:eastAsia="黑体" w:cs="Times New Roman"/>
        </w:rPr>
        <w:t>一览表</w:t>
      </w:r>
    </w:p>
    <w:tbl>
      <w:tblPr>
        <w:tblStyle w:val="3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67"/>
        <w:gridCol w:w="1493"/>
        <w:gridCol w:w="1100"/>
        <w:gridCol w:w="1100"/>
        <w:gridCol w:w="1100"/>
        <w:gridCol w:w="1100"/>
        <w:gridCol w:w="1100"/>
        <w:gridCol w:w="1100"/>
      </w:tblGrid>
      <w:tr w14:paraId="4A9999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358" w:type="pct"/>
            <w:gridSpan w:val="2"/>
            <w:vMerge w:val="restart"/>
            <w:vAlign w:val="center"/>
          </w:tcPr>
          <w:p w14:paraId="1E2415FC">
            <w:pPr>
              <w:pStyle w:val="64"/>
            </w:pPr>
            <w:r>
              <w:rPr>
                <w:rFonts w:hint="eastAsia"/>
              </w:rPr>
              <w:t>污染物类别</w:t>
            </w:r>
          </w:p>
        </w:tc>
        <w:tc>
          <w:tcPr>
            <w:tcW w:w="1214" w:type="pct"/>
            <w:gridSpan w:val="2"/>
            <w:vAlign w:val="center"/>
          </w:tcPr>
          <w:p w14:paraId="696C1FF6">
            <w:pPr>
              <w:pStyle w:val="64"/>
            </w:pPr>
            <w:r>
              <w:rPr>
                <w:rFonts w:hint="eastAsia"/>
              </w:rPr>
              <w:t>技改前</w:t>
            </w:r>
          </w:p>
        </w:tc>
        <w:tc>
          <w:tcPr>
            <w:tcW w:w="1214" w:type="pct"/>
            <w:gridSpan w:val="2"/>
            <w:vAlign w:val="center"/>
          </w:tcPr>
          <w:p w14:paraId="74132224">
            <w:pPr>
              <w:pStyle w:val="64"/>
            </w:pPr>
            <w:r>
              <w:rPr>
                <w:rFonts w:hint="eastAsia"/>
              </w:rPr>
              <w:t>技改后</w:t>
            </w:r>
          </w:p>
        </w:tc>
        <w:tc>
          <w:tcPr>
            <w:tcW w:w="1214" w:type="pct"/>
            <w:gridSpan w:val="2"/>
            <w:vAlign w:val="center"/>
          </w:tcPr>
          <w:p w14:paraId="1D11AFFF">
            <w:pPr>
              <w:pStyle w:val="64"/>
            </w:pPr>
            <w:r>
              <w:rPr>
                <w:rFonts w:hint="eastAsia"/>
              </w:rPr>
              <w:t>变化量</w:t>
            </w:r>
          </w:p>
        </w:tc>
      </w:tr>
      <w:tr w14:paraId="553DC7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358" w:type="pct"/>
            <w:gridSpan w:val="2"/>
            <w:vMerge w:val="continue"/>
            <w:vAlign w:val="center"/>
          </w:tcPr>
          <w:p w14:paraId="019A6296">
            <w:pPr>
              <w:pStyle w:val="64"/>
            </w:pPr>
          </w:p>
        </w:tc>
        <w:tc>
          <w:tcPr>
            <w:tcW w:w="607" w:type="pct"/>
            <w:vAlign w:val="center"/>
          </w:tcPr>
          <w:p w14:paraId="1AC4B889">
            <w:pPr>
              <w:pStyle w:val="64"/>
            </w:pPr>
            <w:r>
              <w:rPr>
                <w:rFonts w:hint="eastAsia"/>
              </w:rPr>
              <w:t>产生量</w:t>
            </w:r>
          </w:p>
        </w:tc>
        <w:tc>
          <w:tcPr>
            <w:tcW w:w="607" w:type="pct"/>
            <w:vAlign w:val="center"/>
          </w:tcPr>
          <w:p w14:paraId="07E82169">
            <w:pPr>
              <w:pStyle w:val="64"/>
            </w:pPr>
            <w:r>
              <w:rPr>
                <w:rFonts w:hint="eastAsia"/>
              </w:rPr>
              <w:t>排放量</w:t>
            </w:r>
          </w:p>
        </w:tc>
        <w:tc>
          <w:tcPr>
            <w:tcW w:w="607" w:type="pct"/>
            <w:vAlign w:val="center"/>
          </w:tcPr>
          <w:p w14:paraId="6F567C9D">
            <w:pPr>
              <w:pStyle w:val="64"/>
            </w:pPr>
            <w:r>
              <w:rPr>
                <w:rFonts w:hint="eastAsia"/>
              </w:rPr>
              <w:t>产生量</w:t>
            </w:r>
          </w:p>
        </w:tc>
        <w:tc>
          <w:tcPr>
            <w:tcW w:w="607" w:type="pct"/>
            <w:vAlign w:val="center"/>
          </w:tcPr>
          <w:p w14:paraId="63F795D2">
            <w:pPr>
              <w:pStyle w:val="64"/>
            </w:pPr>
            <w:r>
              <w:rPr>
                <w:rFonts w:hint="eastAsia"/>
              </w:rPr>
              <w:t>排放量</w:t>
            </w:r>
          </w:p>
        </w:tc>
        <w:tc>
          <w:tcPr>
            <w:tcW w:w="607" w:type="pct"/>
            <w:vAlign w:val="center"/>
          </w:tcPr>
          <w:p w14:paraId="2C3B8869">
            <w:pPr>
              <w:pStyle w:val="64"/>
            </w:pPr>
            <w:r>
              <w:rPr>
                <w:rFonts w:hint="eastAsia"/>
              </w:rPr>
              <w:t>产生量</w:t>
            </w:r>
          </w:p>
        </w:tc>
        <w:tc>
          <w:tcPr>
            <w:tcW w:w="607" w:type="pct"/>
            <w:vAlign w:val="center"/>
          </w:tcPr>
          <w:p w14:paraId="02ECE5F0">
            <w:pPr>
              <w:pStyle w:val="64"/>
            </w:pPr>
            <w:r>
              <w:rPr>
                <w:rFonts w:hint="eastAsia"/>
              </w:rPr>
              <w:t>排放量</w:t>
            </w:r>
          </w:p>
        </w:tc>
      </w:tr>
      <w:tr w14:paraId="52F76F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34" w:type="pct"/>
            <w:vMerge w:val="restart"/>
            <w:vAlign w:val="center"/>
          </w:tcPr>
          <w:p w14:paraId="3E243CD5">
            <w:pPr>
              <w:pStyle w:val="64"/>
            </w:pPr>
            <w:r>
              <w:rPr>
                <w:rFonts w:hint="eastAsia"/>
              </w:rPr>
              <w:t>大气污染物</w:t>
            </w:r>
          </w:p>
        </w:tc>
        <w:tc>
          <w:tcPr>
            <w:tcW w:w="824" w:type="pct"/>
            <w:vAlign w:val="center"/>
          </w:tcPr>
          <w:p w14:paraId="0F3E9771">
            <w:pPr>
              <w:pStyle w:val="64"/>
            </w:pPr>
            <w:r>
              <w:rPr>
                <w:rFonts w:hint="eastAsia"/>
              </w:rPr>
              <w:t>非甲烷总烃</w:t>
            </w:r>
          </w:p>
        </w:tc>
        <w:tc>
          <w:tcPr>
            <w:tcW w:w="607" w:type="pct"/>
            <w:vAlign w:val="center"/>
          </w:tcPr>
          <w:p w14:paraId="6F447847">
            <w:pPr>
              <w:pStyle w:val="64"/>
            </w:pPr>
            <w:r>
              <w:rPr>
                <w:rFonts w:hint="eastAsia"/>
              </w:rPr>
              <w:t>1</w:t>
            </w:r>
            <w:r>
              <w:t>2.99</w:t>
            </w:r>
          </w:p>
        </w:tc>
        <w:tc>
          <w:tcPr>
            <w:tcW w:w="607" w:type="pct"/>
            <w:vAlign w:val="center"/>
          </w:tcPr>
          <w:p w14:paraId="30C73EC5">
            <w:pPr>
              <w:pStyle w:val="64"/>
            </w:pPr>
            <w:r>
              <w:rPr>
                <w:rFonts w:hint="eastAsia"/>
              </w:rPr>
              <w:t>0</w:t>
            </w:r>
            <w:r>
              <w:t>.26</w:t>
            </w:r>
          </w:p>
        </w:tc>
        <w:tc>
          <w:tcPr>
            <w:tcW w:w="607" w:type="pct"/>
            <w:vAlign w:val="center"/>
          </w:tcPr>
          <w:p w14:paraId="66BFD285">
            <w:pPr>
              <w:pStyle w:val="64"/>
            </w:pPr>
            <w:r>
              <w:rPr>
                <w:rFonts w:hint="eastAsia"/>
              </w:rPr>
              <w:t>6</w:t>
            </w:r>
            <w:r>
              <w:t>.86</w:t>
            </w:r>
          </w:p>
        </w:tc>
        <w:tc>
          <w:tcPr>
            <w:tcW w:w="607" w:type="pct"/>
            <w:vAlign w:val="center"/>
          </w:tcPr>
          <w:p w14:paraId="67FC390B">
            <w:pPr>
              <w:pStyle w:val="64"/>
            </w:pPr>
            <w:r>
              <w:rPr>
                <w:rFonts w:hint="eastAsia"/>
              </w:rPr>
              <w:t>0</w:t>
            </w:r>
            <w:r>
              <w:t>.137</w:t>
            </w:r>
          </w:p>
        </w:tc>
        <w:tc>
          <w:tcPr>
            <w:tcW w:w="607" w:type="pct"/>
            <w:vAlign w:val="center"/>
          </w:tcPr>
          <w:p w14:paraId="52253715">
            <w:pPr>
              <w:pStyle w:val="64"/>
            </w:pPr>
            <w:r>
              <w:rPr>
                <w:rFonts w:hint="eastAsia"/>
              </w:rPr>
              <w:t>-</w:t>
            </w:r>
            <w:r>
              <w:t>6.13</w:t>
            </w:r>
          </w:p>
        </w:tc>
        <w:tc>
          <w:tcPr>
            <w:tcW w:w="607" w:type="pct"/>
            <w:vAlign w:val="center"/>
          </w:tcPr>
          <w:p w14:paraId="78BF0388">
            <w:pPr>
              <w:pStyle w:val="64"/>
            </w:pPr>
            <w:r>
              <w:rPr>
                <w:rFonts w:hint="eastAsia"/>
              </w:rPr>
              <w:t>-</w:t>
            </w:r>
            <w:r>
              <w:t>0.123</w:t>
            </w:r>
          </w:p>
        </w:tc>
      </w:tr>
      <w:tr w14:paraId="3FC645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34" w:type="pct"/>
            <w:vMerge w:val="continue"/>
            <w:vAlign w:val="center"/>
          </w:tcPr>
          <w:p w14:paraId="7981D9EF">
            <w:pPr>
              <w:pStyle w:val="64"/>
            </w:pPr>
          </w:p>
        </w:tc>
        <w:tc>
          <w:tcPr>
            <w:tcW w:w="824" w:type="pct"/>
            <w:vAlign w:val="center"/>
          </w:tcPr>
          <w:p w14:paraId="0592A85A">
            <w:pPr>
              <w:pStyle w:val="64"/>
            </w:pPr>
            <w:r>
              <w:rPr>
                <w:rFonts w:hint="eastAsia"/>
              </w:rPr>
              <w:t>酚类</w:t>
            </w:r>
          </w:p>
        </w:tc>
        <w:tc>
          <w:tcPr>
            <w:tcW w:w="607" w:type="pct"/>
            <w:vAlign w:val="center"/>
          </w:tcPr>
          <w:p w14:paraId="6651485B">
            <w:pPr>
              <w:pStyle w:val="64"/>
            </w:pPr>
            <w:r>
              <w:rPr>
                <w:rFonts w:hint="eastAsia"/>
              </w:rPr>
              <w:t>1</w:t>
            </w:r>
            <w:r>
              <w:t>1.99</w:t>
            </w:r>
          </w:p>
        </w:tc>
        <w:tc>
          <w:tcPr>
            <w:tcW w:w="607" w:type="pct"/>
            <w:vAlign w:val="center"/>
          </w:tcPr>
          <w:p w14:paraId="5751A5B9">
            <w:pPr>
              <w:pStyle w:val="64"/>
            </w:pPr>
            <w:r>
              <w:rPr>
                <w:rFonts w:hint="eastAsia"/>
              </w:rPr>
              <w:t>0</w:t>
            </w:r>
            <w:r>
              <w:t>.239</w:t>
            </w:r>
          </w:p>
        </w:tc>
        <w:tc>
          <w:tcPr>
            <w:tcW w:w="607" w:type="pct"/>
            <w:vAlign w:val="center"/>
          </w:tcPr>
          <w:p w14:paraId="724F7BCD">
            <w:pPr>
              <w:pStyle w:val="64"/>
            </w:pPr>
            <w:r>
              <w:rPr>
                <w:rFonts w:hint="eastAsia"/>
              </w:rPr>
              <w:t>5</w:t>
            </w:r>
            <w:r>
              <w:t>.86</w:t>
            </w:r>
          </w:p>
        </w:tc>
        <w:tc>
          <w:tcPr>
            <w:tcW w:w="607" w:type="pct"/>
            <w:vAlign w:val="center"/>
          </w:tcPr>
          <w:p w14:paraId="6E4D6041">
            <w:pPr>
              <w:pStyle w:val="64"/>
            </w:pPr>
            <w:r>
              <w:rPr>
                <w:rFonts w:hint="eastAsia"/>
              </w:rPr>
              <w:t>0</w:t>
            </w:r>
            <w:r>
              <w:t>.117</w:t>
            </w:r>
          </w:p>
        </w:tc>
        <w:tc>
          <w:tcPr>
            <w:tcW w:w="607" w:type="pct"/>
            <w:vAlign w:val="center"/>
          </w:tcPr>
          <w:p w14:paraId="29729653">
            <w:pPr>
              <w:pStyle w:val="64"/>
            </w:pPr>
            <w:r>
              <w:rPr>
                <w:rFonts w:hint="eastAsia"/>
              </w:rPr>
              <w:t>-</w:t>
            </w:r>
            <w:r>
              <w:t>6.13</w:t>
            </w:r>
          </w:p>
        </w:tc>
        <w:tc>
          <w:tcPr>
            <w:tcW w:w="607" w:type="pct"/>
            <w:vAlign w:val="center"/>
          </w:tcPr>
          <w:p w14:paraId="2BFDB99B">
            <w:pPr>
              <w:pStyle w:val="64"/>
            </w:pPr>
            <w:r>
              <w:rPr>
                <w:rFonts w:hint="eastAsia"/>
              </w:rPr>
              <w:t>-</w:t>
            </w:r>
            <w:r>
              <w:t>0.122</w:t>
            </w:r>
          </w:p>
        </w:tc>
      </w:tr>
      <w:tr w14:paraId="441F59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34" w:type="pct"/>
            <w:vMerge w:val="restart"/>
            <w:vAlign w:val="center"/>
          </w:tcPr>
          <w:p w14:paraId="346FAE4C">
            <w:pPr>
              <w:pStyle w:val="64"/>
            </w:pPr>
            <w:r>
              <w:rPr>
                <w:rFonts w:hint="eastAsia"/>
              </w:rPr>
              <w:t>废水污染物</w:t>
            </w:r>
          </w:p>
        </w:tc>
        <w:tc>
          <w:tcPr>
            <w:tcW w:w="824" w:type="pct"/>
            <w:vAlign w:val="center"/>
          </w:tcPr>
          <w:p w14:paraId="3B7E6CA1">
            <w:pPr>
              <w:pStyle w:val="64"/>
            </w:pPr>
            <w:r>
              <w:rPr>
                <w:rFonts w:hint="eastAsia"/>
              </w:rPr>
              <w:t>废水量(m</w:t>
            </w:r>
            <w:r>
              <w:rPr>
                <w:vertAlign w:val="superscript"/>
              </w:rPr>
              <w:t>3</w:t>
            </w:r>
            <w:r>
              <w:t>/a)</w:t>
            </w:r>
          </w:p>
        </w:tc>
        <w:tc>
          <w:tcPr>
            <w:tcW w:w="607" w:type="pct"/>
            <w:vAlign w:val="center"/>
          </w:tcPr>
          <w:p w14:paraId="7C1A4037">
            <w:pPr>
              <w:pStyle w:val="64"/>
            </w:pPr>
            <w:r>
              <w:rPr>
                <w:rFonts w:hint="eastAsia"/>
              </w:rPr>
              <w:t>2</w:t>
            </w:r>
            <w:r>
              <w:t>6739</w:t>
            </w:r>
          </w:p>
        </w:tc>
        <w:tc>
          <w:tcPr>
            <w:tcW w:w="607" w:type="pct"/>
            <w:vAlign w:val="center"/>
          </w:tcPr>
          <w:p w14:paraId="161E751F">
            <w:pPr>
              <w:pStyle w:val="64"/>
            </w:pPr>
            <w:r>
              <w:t>26427</w:t>
            </w:r>
          </w:p>
        </w:tc>
        <w:tc>
          <w:tcPr>
            <w:tcW w:w="607" w:type="pct"/>
            <w:vAlign w:val="center"/>
          </w:tcPr>
          <w:p w14:paraId="297FD28C">
            <w:pPr>
              <w:pStyle w:val="64"/>
            </w:pPr>
            <w:r>
              <w:rPr>
                <w:rFonts w:hint="eastAsia"/>
              </w:rPr>
              <w:t>2</w:t>
            </w:r>
            <w:r>
              <w:t>646</w:t>
            </w:r>
            <w:r>
              <w:rPr>
                <w:rFonts w:hint="eastAsia"/>
              </w:rPr>
              <w:t>7</w:t>
            </w:r>
          </w:p>
        </w:tc>
        <w:tc>
          <w:tcPr>
            <w:tcW w:w="607" w:type="pct"/>
            <w:vAlign w:val="center"/>
          </w:tcPr>
          <w:p w14:paraId="27BD05C0">
            <w:pPr>
              <w:pStyle w:val="64"/>
            </w:pPr>
            <w:r>
              <w:rPr>
                <w:rFonts w:hint="eastAsia"/>
              </w:rPr>
              <w:t>2</w:t>
            </w:r>
            <w:r>
              <w:t>6202</w:t>
            </w:r>
          </w:p>
        </w:tc>
        <w:tc>
          <w:tcPr>
            <w:tcW w:w="607" w:type="pct"/>
            <w:vAlign w:val="center"/>
          </w:tcPr>
          <w:p w14:paraId="199255C4">
            <w:pPr>
              <w:pStyle w:val="64"/>
            </w:pPr>
            <w:r>
              <w:rPr>
                <w:rFonts w:hint="eastAsia"/>
              </w:rPr>
              <w:t>-</w:t>
            </w:r>
            <w:r>
              <w:t>270</w:t>
            </w:r>
          </w:p>
        </w:tc>
        <w:tc>
          <w:tcPr>
            <w:tcW w:w="607" w:type="pct"/>
            <w:vAlign w:val="center"/>
          </w:tcPr>
          <w:p w14:paraId="1DF110D4">
            <w:pPr>
              <w:pStyle w:val="64"/>
            </w:pPr>
            <w:r>
              <w:rPr>
                <w:rFonts w:hint="eastAsia"/>
              </w:rPr>
              <w:t>-</w:t>
            </w:r>
            <w:r>
              <w:t>225</w:t>
            </w:r>
          </w:p>
        </w:tc>
      </w:tr>
      <w:tr w14:paraId="50BDE2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34" w:type="pct"/>
            <w:vMerge w:val="continue"/>
            <w:vAlign w:val="center"/>
          </w:tcPr>
          <w:p w14:paraId="01BC3DF7">
            <w:pPr>
              <w:pStyle w:val="64"/>
            </w:pPr>
          </w:p>
        </w:tc>
        <w:tc>
          <w:tcPr>
            <w:tcW w:w="824" w:type="pct"/>
            <w:vAlign w:val="center"/>
          </w:tcPr>
          <w:p w14:paraId="2DA1CCE0">
            <w:pPr>
              <w:pStyle w:val="64"/>
            </w:pPr>
            <w:r>
              <w:rPr>
                <w:rFonts w:hint="eastAsia"/>
              </w:rPr>
              <w:t>COD</w:t>
            </w:r>
          </w:p>
        </w:tc>
        <w:tc>
          <w:tcPr>
            <w:tcW w:w="607" w:type="pct"/>
            <w:vAlign w:val="center"/>
          </w:tcPr>
          <w:p w14:paraId="333D844C">
            <w:pPr>
              <w:pStyle w:val="64"/>
            </w:pPr>
            <w:r>
              <w:rPr>
                <w:rFonts w:hint="eastAsia"/>
              </w:rPr>
              <w:t>6</w:t>
            </w:r>
            <w:r>
              <w:t>5.72</w:t>
            </w:r>
          </w:p>
        </w:tc>
        <w:tc>
          <w:tcPr>
            <w:tcW w:w="607" w:type="pct"/>
            <w:vAlign w:val="center"/>
          </w:tcPr>
          <w:p w14:paraId="5A0916B3">
            <w:pPr>
              <w:pStyle w:val="64"/>
            </w:pPr>
            <w:r>
              <w:rPr>
                <w:rFonts w:hint="eastAsia"/>
              </w:rPr>
              <w:t>1</w:t>
            </w:r>
            <w:r>
              <w:t>.34</w:t>
            </w:r>
          </w:p>
        </w:tc>
        <w:tc>
          <w:tcPr>
            <w:tcW w:w="607" w:type="pct"/>
            <w:vAlign w:val="center"/>
          </w:tcPr>
          <w:p w14:paraId="29B8A89F">
            <w:pPr>
              <w:pStyle w:val="64"/>
            </w:pPr>
            <w:r>
              <w:rPr>
                <w:rFonts w:hint="eastAsia"/>
              </w:rPr>
              <w:t>6</w:t>
            </w:r>
            <w:r>
              <w:t>4.43</w:t>
            </w:r>
          </w:p>
        </w:tc>
        <w:tc>
          <w:tcPr>
            <w:tcW w:w="607" w:type="pct"/>
            <w:vAlign w:val="center"/>
          </w:tcPr>
          <w:p w14:paraId="2C299C34">
            <w:pPr>
              <w:pStyle w:val="64"/>
            </w:pPr>
            <w:r>
              <w:rPr>
                <w:rFonts w:hint="eastAsia"/>
              </w:rPr>
              <w:t>1</w:t>
            </w:r>
            <w:r>
              <w:t>.31</w:t>
            </w:r>
          </w:p>
        </w:tc>
        <w:tc>
          <w:tcPr>
            <w:tcW w:w="607" w:type="pct"/>
            <w:vAlign w:val="center"/>
          </w:tcPr>
          <w:p w14:paraId="535A3275">
            <w:pPr>
              <w:pStyle w:val="64"/>
            </w:pPr>
            <w:r>
              <w:rPr>
                <w:rFonts w:hint="eastAsia"/>
              </w:rPr>
              <w:t>-</w:t>
            </w:r>
            <w:r>
              <w:t>1.29</w:t>
            </w:r>
          </w:p>
        </w:tc>
        <w:tc>
          <w:tcPr>
            <w:tcW w:w="607" w:type="pct"/>
            <w:vAlign w:val="center"/>
          </w:tcPr>
          <w:p w14:paraId="464E9BDA">
            <w:pPr>
              <w:pStyle w:val="64"/>
            </w:pPr>
            <w:r>
              <w:rPr>
                <w:rFonts w:hint="eastAsia"/>
              </w:rPr>
              <w:t>-</w:t>
            </w:r>
            <w:r>
              <w:t>0.03</w:t>
            </w:r>
          </w:p>
        </w:tc>
      </w:tr>
      <w:tr w14:paraId="377832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34" w:type="pct"/>
            <w:vMerge w:val="continue"/>
            <w:vAlign w:val="center"/>
          </w:tcPr>
          <w:p w14:paraId="1FB55556">
            <w:pPr>
              <w:pStyle w:val="64"/>
            </w:pPr>
          </w:p>
        </w:tc>
        <w:tc>
          <w:tcPr>
            <w:tcW w:w="824" w:type="pct"/>
            <w:vAlign w:val="center"/>
          </w:tcPr>
          <w:p w14:paraId="0A97934C">
            <w:pPr>
              <w:pStyle w:val="64"/>
            </w:pPr>
            <w:r>
              <w:rPr>
                <w:rFonts w:hint="eastAsia"/>
              </w:rPr>
              <w:t>NH</w:t>
            </w:r>
            <w:r>
              <w:rPr>
                <w:rFonts w:hint="eastAsia"/>
                <w:vertAlign w:val="subscript"/>
              </w:rPr>
              <w:t>3</w:t>
            </w:r>
            <w:r>
              <w:rPr>
                <w:rFonts w:hint="eastAsia"/>
              </w:rPr>
              <w:t>-N</w:t>
            </w:r>
          </w:p>
        </w:tc>
        <w:tc>
          <w:tcPr>
            <w:tcW w:w="607" w:type="pct"/>
            <w:vAlign w:val="center"/>
          </w:tcPr>
          <w:p w14:paraId="73FA6FEC">
            <w:pPr>
              <w:pStyle w:val="64"/>
            </w:pPr>
            <w:r>
              <w:rPr>
                <w:rFonts w:hint="eastAsia"/>
              </w:rPr>
              <w:t>1</w:t>
            </w:r>
            <w:r>
              <w:t>.77</w:t>
            </w:r>
          </w:p>
        </w:tc>
        <w:tc>
          <w:tcPr>
            <w:tcW w:w="607" w:type="pct"/>
            <w:vAlign w:val="center"/>
          </w:tcPr>
          <w:p w14:paraId="69A49C1B">
            <w:pPr>
              <w:pStyle w:val="64"/>
            </w:pPr>
            <w:r>
              <w:rPr>
                <w:rFonts w:hint="eastAsia"/>
              </w:rPr>
              <w:t>0</w:t>
            </w:r>
            <w:r>
              <w:t>.134</w:t>
            </w:r>
          </w:p>
        </w:tc>
        <w:tc>
          <w:tcPr>
            <w:tcW w:w="607" w:type="pct"/>
            <w:vAlign w:val="center"/>
          </w:tcPr>
          <w:p w14:paraId="6B059CE2">
            <w:pPr>
              <w:pStyle w:val="64"/>
            </w:pPr>
            <w:r>
              <w:rPr>
                <w:rFonts w:hint="eastAsia"/>
              </w:rPr>
              <w:t>1</w:t>
            </w:r>
            <w:r>
              <w:t>.74</w:t>
            </w:r>
          </w:p>
        </w:tc>
        <w:tc>
          <w:tcPr>
            <w:tcW w:w="607" w:type="pct"/>
            <w:vAlign w:val="center"/>
          </w:tcPr>
          <w:p w14:paraId="51608B94">
            <w:pPr>
              <w:pStyle w:val="64"/>
            </w:pPr>
            <w:r>
              <w:rPr>
                <w:rFonts w:hint="eastAsia"/>
              </w:rPr>
              <w:t>0</w:t>
            </w:r>
            <w:r>
              <w:t>.131</w:t>
            </w:r>
          </w:p>
        </w:tc>
        <w:tc>
          <w:tcPr>
            <w:tcW w:w="607" w:type="pct"/>
            <w:vAlign w:val="center"/>
          </w:tcPr>
          <w:p w14:paraId="7FD781CE">
            <w:pPr>
              <w:pStyle w:val="64"/>
            </w:pPr>
            <w:r>
              <w:rPr>
                <w:rFonts w:hint="eastAsia"/>
              </w:rPr>
              <w:t>-</w:t>
            </w:r>
            <w:r>
              <w:t>0.03</w:t>
            </w:r>
          </w:p>
        </w:tc>
        <w:tc>
          <w:tcPr>
            <w:tcW w:w="607" w:type="pct"/>
            <w:vAlign w:val="center"/>
          </w:tcPr>
          <w:p w14:paraId="099BC243">
            <w:pPr>
              <w:pStyle w:val="64"/>
            </w:pPr>
            <w:r>
              <w:rPr>
                <w:rFonts w:hint="eastAsia"/>
              </w:rPr>
              <w:t>-</w:t>
            </w:r>
            <w:r>
              <w:t>0.003</w:t>
            </w:r>
          </w:p>
        </w:tc>
      </w:tr>
      <w:tr w14:paraId="70E6FD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34" w:type="pct"/>
            <w:vMerge w:val="continue"/>
            <w:tcBorders>
              <w:bottom w:val="single" w:color="auto" w:sz="4" w:space="0"/>
            </w:tcBorders>
            <w:vAlign w:val="center"/>
          </w:tcPr>
          <w:p w14:paraId="193EA765">
            <w:pPr>
              <w:pStyle w:val="64"/>
            </w:pPr>
          </w:p>
        </w:tc>
        <w:tc>
          <w:tcPr>
            <w:tcW w:w="824" w:type="pct"/>
            <w:tcBorders>
              <w:bottom w:val="single" w:color="auto" w:sz="4" w:space="0"/>
            </w:tcBorders>
            <w:vAlign w:val="center"/>
          </w:tcPr>
          <w:p w14:paraId="13A88C69">
            <w:pPr>
              <w:pStyle w:val="64"/>
            </w:pPr>
            <w:r>
              <w:rPr>
                <w:rFonts w:hint="eastAsia"/>
              </w:rPr>
              <w:t>挥发酚</w:t>
            </w:r>
          </w:p>
        </w:tc>
        <w:tc>
          <w:tcPr>
            <w:tcW w:w="607" w:type="pct"/>
            <w:tcBorders>
              <w:bottom w:val="single" w:color="auto" w:sz="4" w:space="0"/>
            </w:tcBorders>
            <w:vAlign w:val="center"/>
          </w:tcPr>
          <w:p w14:paraId="441F4CE5">
            <w:pPr>
              <w:pStyle w:val="64"/>
            </w:pPr>
            <w:r>
              <w:rPr>
                <w:rFonts w:hint="eastAsia"/>
              </w:rPr>
              <w:t>1</w:t>
            </w:r>
            <w:r>
              <w:t>.32</w:t>
            </w:r>
          </w:p>
        </w:tc>
        <w:tc>
          <w:tcPr>
            <w:tcW w:w="607" w:type="pct"/>
            <w:tcBorders>
              <w:bottom w:val="single" w:color="auto" w:sz="4" w:space="0"/>
            </w:tcBorders>
            <w:vAlign w:val="center"/>
          </w:tcPr>
          <w:p w14:paraId="7FD5C23B">
            <w:pPr>
              <w:pStyle w:val="64"/>
            </w:pPr>
            <w:r>
              <w:rPr>
                <w:rFonts w:hint="eastAsia"/>
              </w:rPr>
              <w:t>0</w:t>
            </w:r>
            <w:r>
              <w:t>.0133</w:t>
            </w:r>
          </w:p>
        </w:tc>
        <w:tc>
          <w:tcPr>
            <w:tcW w:w="607" w:type="pct"/>
            <w:tcBorders>
              <w:bottom w:val="single" w:color="auto" w:sz="4" w:space="0"/>
            </w:tcBorders>
            <w:vAlign w:val="center"/>
          </w:tcPr>
          <w:p w14:paraId="468957DB">
            <w:pPr>
              <w:pStyle w:val="64"/>
            </w:pPr>
            <w:r>
              <w:rPr>
                <w:rFonts w:hint="eastAsia"/>
              </w:rPr>
              <w:t>1</w:t>
            </w:r>
            <w:r>
              <w:t>.29</w:t>
            </w:r>
          </w:p>
        </w:tc>
        <w:tc>
          <w:tcPr>
            <w:tcW w:w="607" w:type="pct"/>
            <w:tcBorders>
              <w:bottom w:val="single" w:color="auto" w:sz="4" w:space="0"/>
            </w:tcBorders>
            <w:vAlign w:val="center"/>
          </w:tcPr>
          <w:p w14:paraId="1DFC414E">
            <w:pPr>
              <w:pStyle w:val="64"/>
            </w:pPr>
            <w:r>
              <w:rPr>
                <w:rFonts w:hint="eastAsia"/>
              </w:rPr>
              <w:t>0</w:t>
            </w:r>
            <w:r>
              <w:t>.013</w:t>
            </w:r>
          </w:p>
        </w:tc>
        <w:tc>
          <w:tcPr>
            <w:tcW w:w="607" w:type="pct"/>
            <w:tcBorders>
              <w:bottom w:val="single" w:color="auto" w:sz="4" w:space="0"/>
            </w:tcBorders>
            <w:vAlign w:val="center"/>
          </w:tcPr>
          <w:p w14:paraId="71621185">
            <w:pPr>
              <w:pStyle w:val="64"/>
            </w:pPr>
            <w:r>
              <w:rPr>
                <w:rFonts w:hint="eastAsia"/>
              </w:rPr>
              <w:t>-</w:t>
            </w:r>
            <w:r>
              <w:t>0.03</w:t>
            </w:r>
          </w:p>
        </w:tc>
        <w:tc>
          <w:tcPr>
            <w:tcW w:w="607" w:type="pct"/>
            <w:tcBorders>
              <w:bottom w:val="single" w:color="auto" w:sz="4" w:space="0"/>
            </w:tcBorders>
            <w:vAlign w:val="center"/>
          </w:tcPr>
          <w:p w14:paraId="5A470065">
            <w:pPr>
              <w:pStyle w:val="64"/>
            </w:pPr>
            <w:r>
              <w:rPr>
                <w:rFonts w:hint="eastAsia"/>
              </w:rPr>
              <w:t>-</w:t>
            </w:r>
            <w:r>
              <w:t>0.002</w:t>
            </w:r>
          </w:p>
        </w:tc>
      </w:tr>
      <w:tr w14:paraId="577238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34" w:type="pct"/>
            <w:vMerge w:val="restart"/>
            <w:tcBorders>
              <w:top w:val="single" w:color="auto" w:sz="4" w:space="0"/>
              <w:left w:val="single" w:color="auto" w:sz="4" w:space="0"/>
              <w:bottom w:val="single" w:color="auto" w:sz="4" w:space="0"/>
              <w:right w:val="single" w:color="auto" w:sz="4" w:space="0"/>
            </w:tcBorders>
            <w:vAlign w:val="center"/>
          </w:tcPr>
          <w:p w14:paraId="68A67CC0">
            <w:pPr>
              <w:pStyle w:val="64"/>
            </w:pPr>
            <w:r>
              <w:rPr>
                <w:rFonts w:hint="eastAsia"/>
              </w:rPr>
              <w:t>固体</w:t>
            </w:r>
          </w:p>
          <w:p w14:paraId="560CADB0">
            <w:pPr>
              <w:pStyle w:val="64"/>
            </w:pPr>
            <w:r>
              <w:rPr>
                <w:rFonts w:hint="eastAsia"/>
              </w:rPr>
              <w:t>废物</w:t>
            </w:r>
          </w:p>
        </w:tc>
        <w:tc>
          <w:tcPr>
            <w:tcW w:w="824" w:type="pct"/>
            <w:tcBorders>
              <w:top w:val="single" w:color="auto" w:sz="4" w:space="0"/>
              <w:left w:val="single" w:color="auto" w:sz="4" w:space="0"/>
              <w:bottom w:val="single" w:color="auto" w:sz="4" w:space="0"/>
              <w:right w:val="single" w:color="auto" w:sz="4" w:space="0"/>
            </w:tcBorders>
            <w:vAlign w:val="center"/>
          </w:tcPr>
          <w:p w14:paraId="3F700DE8">
            <w:pPr>
              <w:pStyle w:val="64"/>
            </w:pPr>
            <w:r>
              <w:rPr>
                <w:rFonts w:hint="eastAsia"/>
              </w:rPr>
              <w:t>危险废物</w:t>
            </w:r>
          </w:p>
        </w:tc>
        <w:tc>
          <w:tcPr>
            <w:tcW w:w="607" w:type="pct"/>
            <w:tcBorders>
              <w:top w:val="single" w:color="auto" w:sz="4" w:space="0"/>
              <w:left w:val="single" w:color="auto" w:sz="4" w:space="0"/>
              <w:bottom w:val="single" w:color="auto" w:sz="4" w:space="0"/>
              <w:right w:val="single" w:color="auto" w:sz="4" w:space="0"/>
            </w:tcBorders>
            <w:vAlign w:val="center"/>
          </w:tcPr>
          <w:p w14:paraId="48D2565F">
            <w:pPr>
              <w:pStyle w:val="64"/>
            </w:pPr>
            <w:r>
              <w:rPr>
                <w:rFonts w:hint="eastAsia"/>
              </w:rPr>
              <w:t>9</w:t>
            </w:r>
            <w:r>
              <w:t>77.1</w:t>
            </w:r>
          </w:p>
        </w:tc>
        <w:tc>
          <w:tcPr>
            <w:tcW w:w="607" w:type="pct"/>
            <w:tcBorders>
              <w:top w:val="single" w:color="auto" w:sz="4" w:space="0"/>
              <w:left w:val="single" w:color="auto" w:sz="4" w:space="0"/>
              <w:bottom w:val="single" w:color="auto" w:sz="4" w:space="0"/>
              <w:right w:val="single" w:color="auto" w:sz="4" w:space="0"/>
            </w:tcBorders>
            <w:vAlign w:val="center"/>
          </w:tcPr>
          <w:p w14:paraId="4848533A">
            <w:pPr>
              <w:pStyle w:val="64"/>
            </w:pPr>
            <w:r>
              <w:rPr>
                <w:rFonts w:hint="eastAsia"/>
              </w:rPr>
              <w:t>0</w:t>
            </w:r>
          </w:p>
        </w:tc>
        <w:tc>
          <w:tcPr>
            <w:tcW w:w="607" w:type="pct"/>
            <w:tcBorders>
              <w:top w:val="single" w:color="auto" w:sz="4" w:space="0"/>
              <w:left w:val="single" w:color="auto" w:sz="4" w:space="0"/>
              <w:bottom w:val="single" w:color="auto" w:sz="4" w:space="0"/>
              <w:right w:val="single" w:color="auto" w:sz="4" w:space="0"/>
            </w:tcBorders>
            <w:vAlign w:val="center"/>
          </w:tcPr>
          <w:p w14:paraId="19ADB44F">
            <w:pPr>
              <w:pStyle w:val="64"/>
            </w:pPr>
            <w:r>
              <w:rPr>
                <w:rFonts w:hint="eastAsia"/>
              </w:rPr>
              <w:t>1</w:t>
            </w:r>
            <w:r>
              <w:t>017.1</w:t>
            </w:r>
          </w:p>
        </w:tc>
        <w:tc>
          <w:tcPr>
            <w:tcW w:w="607" w:type="pct"/>
            <w:tcBorders>
              <w:top w:val="single" w:color="auto" w:sz="4" w:space="0"/>
              <w:left w:val="single" w:color="auto" w:sz="4" w:space="0"/>
              <w:bottom w:val="single" w:color="auto" w:sz="4" w:space="0"/>
              <w:right w:val="single" w:color="auto" w:sz="4" w:space="0"/>
            </w:tcBorders>
            <w:vAlign w:val="center"/>
          </w:tcPr>
          <w:p w14:paraId="37EB052E">
            <w:pPr>
              <w:pStyle w:val="64"/>
            </w:pPr>
            <w:r>
              <w:rPr>
                <w:rFonts w:hint="eastAsia"/>
              </w:rPr>
              <w:t>0</w:t>
            </w:r>
          </w:p>
        </w:tc>
        <w:tc>
          <w:tcPr>
            <w:tcW w:w="607" w:type="pct"/>
            <w:tcBorders>
              <w:top w:val="single" w:color="auto" w:sz="4" w:space="0"/>
              <w:left w:val="single" w:color="auto" w:sz="4" w:space="0"/>
              <w:bottom w:val="single" w:color="auto" w:sz="4" w:space="0"/>
              <w:right w:val="single" w:color="auto" w:sz="4" w:space="0"/>
            </w:tcBorders>
            <w:vAlign w:val="center"/>
          </w:tcPr>
          <w:p w14:paraId="4E327E51">
            <w:pPr>
              <w:pStyle w:val="64"/>
            </w:pPr>
            <w:r>
              <w:rPr>
                <w:rFonts w:hint="eastAsia"/>
              </w:rPr>
              <w:t>+</w:t>
            </w:r>
            <w:r>
              <w:t>40</w:t>
            </w:r>
          </w:p>
        </w:tc>
        <w:tc>
          <w:tcPr>
            <w:tcW w:w="607" w:type="pct"/>
            <w:tcBorders>
              <w:top w:val="single" w:color="auto" w:sz="4" w:space="0"/>
              <w:left w:val="single" w:color="auto" w:sz="4" w:space="0"/>
              <w:bottom w:val="single" w:color="auto" w:sz="4" w:space="0"/>
              <w:right w:val="single" w:color="auto" w:sz="4" w:space="0"/>
            </w:tcBorders>
            <w:vAlign w:val="center"/>
          </w:tcPr>
          <w:p w14:paraId="0224C3A5">
            <w:pPr>
              <w:pStyle w:val="64"/>
            </w:pPr>
            <w:r>
              <w:rPr>
                <w:rFonts w:hint="eastAsia"/>
              </w:rPr>
              <w:t>0</w:t>
            </w:r>
          </w:p>
        </w:tc>
      </w:tr>
      <w:tr w14:paraId="7A8A5A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34" w:type="pct"/>
            <w:vMerge w:val="continue"/>
            <w:tcBorders>
              <w:top w:val="single" w:color="auto" w:sz="4" w:space="0"/>
              <w:left w:val="single" w:color="auto" w:sz="4" w:space="0"/>
              <w:bottom w:val="single" w:color="auto" w:sz="4" w:space="0"/>
              <w:right w:val="single" w:color="auto" w:sz="4" w:space="0"/>
            </w:tcBorders>
            <w:vAlign w:val="center"/>
          </w:tcPr>
          <w:p w14:paraId="53F722B8">
            <w:pPr>
              <w:pStyle w:val="64"/>
            </w:pPr>
          </w:p>
        </w:tc>
        <w:tc>
          <w:tcPr>
            <w:tcW w:w="824" w:type="pct"/>
            <w:tcBorders>
              <w:top w:val="single" w:color="auto" w:sz="4" w:space="0"/>
              <w:left w:val="single" w:color="auto" w:sz="4" w:space="0"/>
              <w:bottom w:val="single" w:color="auto" w:sz="4" w:space="0"/>
              <w:right w:val="single" w:color="auto" w:sz="4" w:space="0"/>
            </w:tcBorders>
            <w:vAlign w:val="center"/>
          </w:tcPr>
          <w:p w14:paraId="4AFBD3F2">
            <w:pPr>
              <w:pStyle w:val="64"/>
            </w:pPr>
            <w:r>
              <w:rPr>
                <w:rFonts w:hint="eastAsia"/>
              </w:rPr>
              <w:t>生活垃圾</w:t>
            </w:r>
          </w:p>
        </w:tc>
        <w:tc>
          <w:tcPr>
            <w:tcW w:w="607" w:type="pct"/>
            <w:tcBorders>
              <w:top w:val="single" w:color="auto" w:sz="4" w:space="0"/>
              <w:left w:val="single" w:color="auto" w:sz="4" w:space="0"/>
              <w:bottom w:val="single" w:color="auto" w:sz="4" w:space="0"/>
              <w:right w:val="single" w:color="auto" w:sz="4" w:space="0"/>
            </w:tcBorders>
            <w:vAlign w:val="center"/>
          </w:tcPr>
          <w:p w14:paraId="39FEC25B">
            <w:pPr>
              <w:pStyle w:val="64"/>
            </w:pPr>
            <w:r>
              <w:rPr>
                <w:rFonts w:hint="eastAsia"/>
              </w:rPr>
              <w:t>5</w:t>
            </w:r>
            <w:r>
              <w:t>.4</w:t>
            </w:r>
          </w:p>
        </w:tc>
        <w:tc>
          <w:tcPr>
            <w:tcW w:w="607" w:type="pct"/>
            <w:tcBorders>
              <w:top w:val="single" w:color="auto" w:sz="4" w:space="0"/>
              <w:left w:val="single" w:color="auto" w:sz="4" w:space="0"/>
              <w:bottom w:val="single" w:color="auto" w:sz="4" w:space="0"/>
              <w:right w:val="single" w:color="auto" w:sz="4" w:space="0"/>
            </w:tcBorders>
            <w:vAlign w:val="center"/>
          </w:tcPr>
          <w:p w14:paraId="7D72F5EC">
            <w:pPr>
              <w:pStyle w:val="64"/>
            </w:pPr>
            <w:r>
              <w:rPr>
                <w:rFonts w:hint="eastAsia"/>
              </w:rPr>
              <w:t>0</w:t>
            </w:r>
          </w:p>
        </w:tc>
        <w:tc>
          <w:tcPr>
            <w:tcW w:w="607" w:type="pct"/>
            <w:tcBorders>
              <w:top w:val="single" w:color="auto" w:sz="4" w:space="0"/>
              <w:left w:val="single" w:color="auto" w:sz="4" w:space="0"/>
              <w:bottom w:val="single" w:color="auto" w:sz="4" w:space="0"/>
              <w:right w:val="single" w:color="auto" w:sz="4" w:space="0"/>
            </w:tcBorders>
            <w:vAlign w:val="center"/>
          </w:tcPr>
          <w:p w14:paraId="3E5148E8">
            <w:pPr>
              <w:pStyle w:val="64"/>
            </w:pPr>
            <w:r>
              <w:rPr>
                <w:rFonts w:hint="eastAsia"/>
              </w:rPr>
              <w:t>5</w:t>
            </w:r>
            <w:r>
              <w:t>.4</w:t>
            </w:r>
          </w:p>
        </w:tc>
        <w:tc>
          <w:tcPr>
            <w:tcW w:w="607" w:type="pct"/>
            <w:tcBorders>
              <w:top w:val="single" w:color="auto" w:sz="4" w:space="0"/>
              <w:left w:val="single" w:color="auto" w:sz="4" w:space="0"/>
              <w:bottom w:val="single" w:color="auto" w:sz="4" w:space="0"/>
              <w:right w:val="single" w:color="auto" w:sz="4" w:space="0"/>
            </w:tcBorders>
            <w:vAlign w:val="center"/>
          </w:tcPr>
          <w:p w14:paraId="4F66D4F5">
            <w:pPr>
              <w:pStyle w:val="64"/>
            </w:pPr>
            <w:r>
              <w:rPr>
                <w:rFonts w:hint="eastAsia"/>
              </w:rPr>
              <w:t>0</w:t>
            </w:r>
          </w:p>
        </w:tc>
        <w:tc>
          <w:tcPr>
            <w:tcW w:w="607" w:type="pct"/>
            <w:tcBorders>
              <w:top w:val="single" w:color="auto" w:sz="4" w:space="0"/>
              <w:left w:val="single" w:color="auto" w:sz="4" w:space="0"/>
              <w:bottom w:val="single" w:color="auto" w:sz="4" w:space="0"/>
              <w:right w:val="single" w:color="auto" w:sz="4" w:space="0"/>
            </w:tcBorders>
            <w:vAlign w:val="center"/>
          </w:tcPr>
          <w:p w14:paraId="37048B54">
            <w:pPr>
              <w:pStyle w:val="64"/>
            </w:pPr>
            <w:r>
              <w:rPr>
                <w:rFonts w:hint="eastAsia"/>
              </w:rPr>
              <w:t>0</w:t>
            </w:r>
          </w:p>
        </w:tc>
        <w:tc>
          <w:tcPr>
            <w:tcW w:w="607" w:type="pct"/>
            <w:tcBorders>
              <w:top w:val="single" w:color="auto" w:sz="4" w:space="0"/>
              <w:left w:val="single" w:color="auto" w:sz="4" w:space="0"/>
              <w:bottom w:val="single" w:color="auto" w:sz="4" w:space="0"/>
              <w:right w:val="single" w:color="auto" w:sz="4" w:space="0"/>
            </w:tcBorders>
            <w:vAlign w:val="center"/>
          </w:tcPr>
          <w:p w14:paraId="4461E491">
            <w:pPr>
              <w:pStyle w:val="64"/>
            </w:pPr>
            <w:r>
              <w:rPr>
                <w:rFonts w:hint="eastAsia"/>
              </w:rPr>
              <w:t>0</w:t>
            </w:r>
          </w:p>
        </w:tc>
      </w:tr>
    </w:tbl>
    <w:p w14:paraId="28B91A12">
      <w:pPr>
        <w:pStyle w:val="3"/>
        <w:spacing w:before="326"/>
        <w:rPr>
          <w:rFonts w:hint="eastAsia"/>
        </w:rPr>
      </w:pPr>
      <w:bookmarkStart w:id="212" w:name="_Toc221056490"/>
      <w:r>
        <w:rPr>
          <w:rFonts w:hint="eastAsia"/>
        </w:rPr>
        <w:t>10.4主要环境影响</w:t>
      </w:r>
      <w:bookmarkEnd w:id="212"/>
    </w:p>
    <w:p w14:paraId="6029E341">
      <w:pPr>
        <w:pStyle w:val="4"/>
        <w:rPr>
          <w:rFonts w:hint="eastAsia"/>
        </w:rPr>
      </w:pPr>
      <w:bookmarkStart w:id="213" w:name="_Toc221056491"/>
      <w:r>
        <w:rPr>
          <w:rFonts w:hint="eastAsia"/>
        </w:rPr>
        <w:t>10.4.1大气环境影响</w:t>
      </w:r>
      <w:bookmarkEnd w:id="213"/>
    </w:p>
    <w:p w14:paraId="42000FBA">
      <w:pPr>
        <w:ind w:firstLine="480" w:firstLineChars="200"/>
      </w:pPr>
      <w:r>
        <w:rPr>
          <w:rFonts w:hint="eastAsia"/>
        </w:rPr>
        <w:t>本项目主要大气污染物为生产过程产生的有组织非甲烷总烃、酚类和储罐区产生的无组织非甲烷总烃、酚类和硫酸雾，经处理后均可达标排放。根据大气预测结果，本项目排放的大气污染物在各保护目标小时、日均预测值贡献值较低，对环境的不利影响较小</w:t>
      </w:r>
      <w:r>
        <w:rPr>
          <w:rFonts w:cs="Times New Roman"/>
        </w:rPr>
        <w:t>，</w:t>
      </w:r>
      <w:r>
        <w:rPr>
          <w:rFonts w:hint="eastAsia" w:cs="Times New Roman"/>
        </w:rPr>
        <w:t>叠加现状排气筒源强后短期平均质量浓度仍可满足相关标准要求，</w:t>
      </w:r>
      <w:r>
        <w:rPr>
          <w:rFonts w:cs="Times New Roman"/>
        </w:rPr>
        <w:t>不会改变区域原有大气环境质量级别</w:t>
      </w:r>
      <w:r>
        <w:rPr>
          <w:rFonts w:hint="eastAsia"/>
        </w:rPr>
        <w:t>。</w:t>
      </w:r>
    </w:p>
    <w:p w14:paraId="1768279E">
      <w:pPr>
        <w:pStyle w:val="4"/>
        <w:rPr>
          <w:rFonts w:hint="eastAsia"/>
        </w:rPr>
      </w:pPr>
      <w:bookmarkStart w:id="214" w:name="_Toc215670267"/>
      <w:bookmarkStart w:id="215" w:name="_Toc221056492"/>
      <w:r>
        <w:t>10.4.</w:t>
      </w:r>
      <w:r>
        <w:rPr>
          <w:rFonts w:hint="eastAsia"/>
        </w:rPr>
        <w:t>2地表水</w:t>
      </w:r>
      <w:r>
        <w:t>环境影响</w:t>
      </w:r>
      <w:bookmarkEnd w:id="214"/>
      <w:bookmarkEnd w:id="215"/>
    </w:p>
    <w:p w14:paraId="11C49219">
      <w:pPr>
        <w:ind w:firstLine="480" w:firstLineChars="200"/>
      </w:pPr>
      <w:r>
        <w:rPr>
          <w:rFonts w:hint="eastAsia"/>
        </w:rPr>
        <w:t>评价认为项目分层罐排放废水、干燥塔排放废水经脱盐预处理后与地坪冲洗废水、循环冷却塔排污水、生活污水、初期雨水等一并进入厂区综合污水处理站预处理后排至沫河口园区污水处理厂处理可行，外排废水达到《城镇污水处理厂污染物排放标准》（GB 18918-2002）一级A排放标准，项目建设对区域地表水环境造成的不利影响较小。</w:t>
      </w:r>
    </w:p>
    <w:p w14:paraId="3D257750">
      <w:pPr>
        <w:pStyle w:val="4"/>
        <w:rPr>
          <w:rFonts w:hint="eastAsia"/>
        </w:rPr>
      </w:pPr>
      <w:bookmarkStart w:id="216" w:name="_Toc221056493"/>
      <w:bookmarkStart w:id="217" w:name="_Toc215670268"/>
      <w:r>
        <w:rPr>
          <w:rFonts w:hint="eastAsia"/>
        </w:rPr>
        <w:t>10.4.3声环境影响</w:t>
      </w:r>
      <w:bookmarkEnd w:id="216"/>
      <w:bookmarkEnd w:id="217"/>
    </w:p>
    <w:p w14:paraId="615F14AC">
      <w:pPr>
        <w:ind w:firstLine="480" w:firstLineChars="200"/>
      </w:pPr>
      <w:r>
        <w:rPr>
          <w:rFonts w:hint="eastAsia"/>
        </w:rPr>
        <w:t>项目运营后，经减震、厂房隔声、距离衰减等处理措施处理后，厂界噪声均能满足《工业企业厂界环境噪声排放标准》(GB12348-2008)中3类标准限值要求。本项目运营后，不改变评价区域声环境质量现状功能级别。</w:t>
      </w:r>
    </w:p>
    <w:p w14:paraId="17A8F7CF">
      <w:pPr>
        <w:pStyle w:val="4"/>
        <w:rPr>
          <w:rFonts w:hint="eastAsia"/>
        </w:rPr>
      </w:pPr>
      <w:bookmarkStart w:id="218" w:name="_Toc221056494"/>
      <w:bookmarkStart w:id="219" w:name="_Toc215670269"/>
      <w:r>
        <w:rPr>
          <w:rFonts w:hint="eastAsia"/>
        </w:rPr>
        <w:t>10.4.4地下水和土壤影响</w:t>
      </w:r>
      <w:bookmarkEnd w:id="218"/>
      <w:bookmarkEnd w:id="219"/>
    </w:p>
    <w:p w14:paraId="48377433">
      <w:pPr>
        <w:ind w:firstLine="480" w:firstLineChars="200"/>
      </w:pPr>
      <w:r>
        <w:rPr>
          <w:rFonts w:hint="eastAsia"/>
        </w:rPr>
        <w:t>本项目地下水和土壤污染防治坚持源头控制的原则，依托厂区已进行的防渗措施，。防止污染物跑、冒、滴、漏，将污染物泄漏的环境风险事故降到最低程度。全厂范围内生产和生活均不使用地下水，在做好上述防渗措施后，项目的建设对地下水和土壤环境影响较小。在非正常状态下，根据地下水及土壤预测结果，本项目对地下水和土壤环境的影响较小，环境影响可以接受。</w:t>
      </w:r>
    </w:p>
    <w:p w14:paraId="1271A49E">
      <w:pPr>
        <w:pStyle w:val="4"/>
        <w:rPr>
          <w:rFonts w:hint="eastAsia"/>
        </w:rPr>
      </w:pPr>
      <w:bookmarkStart w:id="220" w:name="_Toc221056495"/>
      <w:bookmarkStart w:id="221" w:name="_Toc215670270"/>
      <w:r>
        <w:rPr>
          <w:rFonts w:hint="eastAsia"/>
        </w:rPr>
        <w:t>10.4.5环境风险影响</w:t>
      </w:r>
      <w:bookmarkEnd w:id="220"/>
      <w:bookmarkEnd w:id="221"/>
    </w:p>
    <w:p w14:paraId="2CC4FDF1">
      <w:pPr>
        <w:ind w:firstLine="480" w:firstLineChars="200"/>
      </w:pPr>
      <w:r>
        <w:rPr>
          <w:rFonts w:hint="eastAsia"/>
        </w:rPr>
        <w:t>根据对本项目生产、运输、贮存及污染治理设施等过程涉及的化学物质的分析，及根据对本项目功能单元的划分，判定本项目环境风险评价等级为一级。评价要求建设单位根据事故当天风向，确定可能受影响的环境敏感点，一旦发生事故应及时通知影响范围内保护对象，确保1h内将受影响对象疏散撤离至上风向安全区域。修编突发环境事件应急预案，并与园区及区域应急预案联动，事故状态启动应急监测等工作。本项目做好厂区防渗，可阻断污染土壤及地下水环境。</w:t>
      </w:r>
    </w:p>
    <w:p w14:paraId="1C4ED767">
      <w:pPr>
        <w:ind w:firstLine="480" w:firstLineChars="200"/>
      </w:pPr>
      <w:r>
        <w:rPr>
          <w:rFonts w:hint="eastAsia"/>
        </w:rPr>
        <w:t>综上所述，在加强监控、建立前述风险防范措施，并制定切实可行的应急预案的情况下，本项目的环境风险是可以接受的。</w:t>
      </w:r>
    </w:p>
    <w:p w14:paraId="17AA3D86">
      <w:pPr>
        <w:pStyle w:val="3"/>
        <w:spacing w:before="326"/>
        <w:rPr>
          <w:rFonts w:hint="eastAsia"/>
        </w:rPr>
      </w:pPr>
      <w:bookmarkStart w:id="222" w:name="_Toc215670271"/>
      <w:bookmarkStart w:id="223" w:name="_Toc221056496"/>
      <w:r>
        <w:rPr>
          <w:rFonts w:hint="eastAsia"/>
        </w:rPr>
        <w:t>10.5公众意见采纳情况</w:t>
      </w:r>
      <w:bookmarkEnd w:id="222"/>
      <w:bookmarkEnd w:id="223"/>
    </w:p>
    <w:p w14:paraId="7906EC82">
      <w:pPr>
        <w:ind w:firstLine="480" w:firstLineChars="200"/>
      </w:pPr>
      <w:r>
        <w:rPr>
          <w:rFonts w:hint="eastAsia"/>
        </w:rPr>
        <w:t>建设单位在公示期间，未收到任何公众意见与反馈。项目建成后要建立严格的规章制度，保证废水、废气和噪声达标排放，同时要防止事故发生，确保环保设备正常完好、安全生产，按照生态环境部门要求，严格执行环保“三同时”制度。</w:t>
      </w:r>
    </w:p>
    <w:p w14:paraId="19AC2539">
      <w:pPr>
        <w:pStyle w:val="3"/>
        <w:spacing w:before="326"/>
        <w:rPr>
          <w:rFonts w:hint="eastAsia"/>
        </w:rPr>
      </w:pPr>
      <w:bookmarkStart w:id="224" w:name="_Toc215670272"/>
      <w:bookmarkStart w:id="225" w:name="_Toc221056497"/>
      <w:r>
        <w:rPr>
          <w:rFonts w:hint="eastAsia"/>
        </w:rPr>
        <w:t>10.6总量控制</w:t>
      </w:r>
      <w:bookmarkEnd w:id="224"/>
      <w:bookmarkEnd w:id="225"/>
    </w:p>
    <w:p w14:paraId="7C1CC80E">
      <w:pPr>
        <w:ind w:firstLine="480" w:firstLineChars="200"/>
        <w:rPr>
          <w:kern w:val="0"/>
        </w:rPr>
      </w:pPr>
      <w:r>
        <w:rPr>
          <w:rFonts w:hint="eastAsia"/>
        </w:rPr>
        <w:t>2</w:t>
      </w:r>
      <w:r>
        <w:t>020</w:t>
      </w:r>
      <w:r>
        <w:rPr>
          <w:rFonts w:hint="eastAsia"/>
        </w:rPr>
        <w:t>年1</w:t>
      </w:r>
      <w:r>
        <w:t>0</w:t>
      </w:r>
      <w:r>
        <w:rPr>
          <w:rFonts w:hint="eastAsia"/>
        </w:rPr>
        <w:t>月2</w:t>
      </w:r>
      <w:r>
        <w:t>1</w:t>
      </w:r>
      <w:r>
        <w:rPr>
          <w:rFonts w:hint="eastAsia"/>
        </w:rPr>
        <w:t>日，蚌埠市生态环境局下发了本项目污染物总量指标，编号为：3403112020053</w:t>
      </w:r>
      <w:r>
        <w:t>Q</w:t>
      </w:r>
      <w:r>
        <w:rPr>
          <w:rFonts w:hint="eastAsia"/>
        </w:rPr>
        <w:t>。项目废水污染物总量控制指标</w:t>
      </w:r>
      <w:r>
        <w:t>COD</w:t>
      </w:r>
      <w:r>
        <w:rPr>
          <w:vertAlign w:val="subscript"/>
        </w:rPr>
        <w:t>cr</w:t>
      </w:r>
      <w:r>
        <w:rPr>
          <w:rFonts w:hint="eastAsia"/>
        </w:rPr>
        <w:t>：</w:t>
      </w:r>
      <w:r>
        <w:rPr>
          <w:kern w:val="0"/>
        </w:rPr>
        <w:t>1.3</w:t>
      </w:r>
      <w:r>
        <w:rPr>
          <w:rFonts w:hint="eastAsia"/>
          <w:kern w:val="0"/>
        </w:rPr>
        <w:t>21t/a</w:t>
      </w:r>
      <w:r>
        <w:rPr>
          <w:rFonts w:hint="eastAsia"/>
        </w:rPr>
        <w:t>、氨氮：</w:t>
      </w:r>
      <w:r>
        <w:rPr>
          <w:rFonts w:hint="eastAsia"/>
          <w:kern w:val="0"/>
        </w:rPr>
        <w:t>0.</w:t>
      </w:r>
      <w:r>
        <w:rPr>
          <w:kern w:val="0"/>
        </w:rPr>
        <w:t>0</w:t>
      </w:r>
      <w:r>
        <w:rPr>
          <w:rFonts w:hint="eastAsia"/>
          <w:kern w:val="0"/>
        </w:rPr>
        <w:t>8t/a</w:t>
      </w:r>
      <w:r>
        <w:rPr>
          <w:rFonts w:hint="eastAsia"/>
        </w:rPr>
        <w:t>；废气总量控制指标</w:t>
      </w:r>
      <w:r>
        <w:t>VOCs</w:t>
      </w:r>
      <w:r>
        <w:rPr>
          <w:rFonts w:hint="eastAsia"/>
        </w:rPr>
        <w:t>：</w:t>
      </w:r>
      <w:r>
        <w:rPr>
          <w:rFonts w:hint="eastAsia"/>
          <w:kern w:val="0"/>
        </w:rPr>
        <w:t>0.714t/a、氮氧化物</w:t>
      </w:r>
      <w:r>
        <w:rPr>
          <w:rFonts w:hint="eastAsia"/>
        </w:rPr>
        <w:t>：2.794</w:t>
      </w:r>
      <w:r>
        <w:rPr>
          <w:rFonts w:hint="eastAsia"/>
          <w:kern w:val="0"/>
        </w:rPr>
        <w:t>t/a。</w:t>
      </w:r>
    </w:p>
    <w:p w14:paraId="7733C4CF">
      <w:pPr>
        <w:ind w:firstLine="480" w:firstLineChars="200"/>
        <w:rPr>
          <w:rFonts w:cs="Times New Roman"/>
          <w14:ligatures w14:val="none"/>
        </w:rPr>
      </w:pPr>
      <w:r>
        <w:rPr>
          <w:rFonts w:cs="Times New Roman"/>
          <w14:ligatures w14:val="none"/>
        </w:rPr>
        <w:t>本项目</w:t>
      </w:r>
      <w:r>
        <w:rPr>
          <w:rFonts w:hint="eastAsia" w:cs="Times New Roman"/>
          <w14:ligatures w14:val="none"/>
        </w:rPr>
        <w:t>废气</w:t>
      </w:r>
      <w:r>
        <w:rPr>
          <w:rFonts w:cs="Times New Roman"/>
          <w14:ligatures w14:val="none"/>
        </w:rPr>
        <w:t>总量指标为</w:t>
      </w:r>
      <w:r>
        <w:rPr>
          <w:rFonts w:hint="eastAsia" w:cs="Times New Roman"/>
          <w14:ligatures w14:val="none"/>
        </w:rPr>
        <w:t>VOCs：0.</w:t>
      </w:r>
      <w:r>
        <w:rPr>
          <w:rFonts w:cs="Times New Roman"/>
          <w14:ligatures w14:val="none"/>
        </w:rPr>
        <w:t>137t/a</w:t>
      </w:r>
      <w:r>
        <w:rPr>
          <w:rFonts w:hint="eastAsia" w:cs="Times New Roman"/>
          <w14:ligatures w14:val="none"/>
        </w:rPr>
        <w:t>，废水总量指标为COD：1.31t/a，氨氮：0.131t/a，未超出现有工程已核定总量指标，本项目无需申请总量。</w:t>
      </w:r>
    </w:p>
    <w:p w14:paraId="18121FA1">
      <w:pPr>
        <w:pStyle w:val="3"/>
        <w:spacing w:before="326"/>
        <w:rPr>
          <w:rFonts w:hint="eastAsia"/>
        </w:rPr>
      </w:pPr>
      <w:bookmarkStart w:id="226" w:name="_Toc210925824"/>
      <w:bookmarkStart w:id="227" w:name="_Toc221056498"/>
      <w:bookmarkStart w:id="228" w:name="_Toc195625057"/>
      <w:r>
        <w:rPr>
          <w:rFonts w:hint="eastAsia"/>
        </w:rPr>
        <w:t>10.</w:t>
      </w:r>
      <w:r>
        <w:t>7</w:t>
      </w:r>
      <w:r>
        <w:rPr>
          <w:rFonts w:hint="eastAsia"/>
        </w:rPr>
        <w:t>评价总结论</w:t>
      </w:r>
      <w:bookmarkEnd w:id="226"/>
      <w:bookmarkEnd w:id="227"/>
      <w:bookmarkEnd w:id="228"/>
    </w:p>
    <w:p w14:paraId="0A5422A8">
      <w:pPr>
        <w:ind w:firstLine="480" w:firstLineChars="200"/>
      </w:pPr>
      <w:r>
        <w:t>综上所述，本项目符合国家及地方产业政策要求，选址位于蚌埠市</w:t>
      </w:r>
      <w:r>
        <w:rPr>
          <w:rFonts w:hint="eastAsia"/>
        </w:rPr>
        <w:t>沫河口工业园</w:t>
      </w:r>
      <w:r>
        <w:t>内，选址符合区域总体发展规划；项目符合《安徽省淮河流域水污染防治条例》等相关政策要求，项目建设符合“三线一单”要求；项目生产过程中遵循清洁生产要求；项目实施后，通过采取相应的污染防治措施，各类废气、噪声可以做到稳定达标排放，废水、固体废物得到合理处置，不会降低评价区域大气、地表水和声环境质量原有功能级别；通过采取有针对性的风险防范措施并落实应急预案，项目的环境风险可防控。</w:t>
      </w:r>
    </w:p>
    <w:p w14:paraId="58C23F3A">
      <w:pPr>
        <w:ind w:firstLine="480" w:firstLineChars="200"/>
      </w:pPr>
      <w:r>
        <w:t>评价认为，本项目在建设和生产运行过程中，切实落实报告书提出的各项污染防治措施及“三同时”制度的前提下，从环境影响角度而言，项目建设是可行的。</w:t>
      </w:r>
    </w:p>
    <w:p w14:paraId="2F0076C1">
      <w:pPr>
        <w:rPr>
          <w:rFonts w:cs="Times New Roman"/>
          <w:spacing w:val="-3"/>
        </w:rPr>
      </w:pPr>
    </w:p>
    <w:p w14:paraId="3FD8860E">
      <w:pPr>
        <w:rPr>
          <w:rFonts w:cs="Times New Roman"/>
          <w:spacing w:val="-3"/>
        </w:rPr>
      </w:pPr>
    </w:p>
    <w:p w14:paraId="709BACE9">
      <w:pPr>
        <w:rPr>
          <w:rFonts w:cs="Times New Roman"/>
          <w:spacing w:val="-3"/>
        </w:rPr>
      </w:pPr>
    </w:p>
    <w:p w14:paraId="1F456114">
      <w:pPr>
        <w:rPr>
          <w:rFonts w:cs="Times New Roman"/>
          <w:spacing w:val="-3"/>
        </w:rPr>
      </w:pPr>
    </w:p>
    <w:p w14:paraId="43AA0E9D">
      <w:pPr>
        <w:rPr>
          <w:rFonts w:cs="Times New Roman"/>
          <w:spacing w:val="-3"/>
        </w:rPr>
      </w:pPr>
    </w:p>
    <w:p w14:paraId="6DFF6869">
      <w:pPr>
        <w:rPr>
          <w:rFonts w:cs="Times New Roman"/>
          <w:spacing w:val="-3"/>
        </w:rPr>
      </w:pPr>
    </w:p>
    <w:sectPr>
      <w:pgSz w:w="11906" w:h="16838"/>
      <w:pgMar w:top="1418" w:right="1418" w:bottom="1418" w:left="1418" w:header="851" w:footer="992" w:gutter="0"/>
      <w:cols w:space="425" w:num="1"/>
      <w:docGrid w:type="lines" w:linePitch="326"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88"/>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等线">
    <w:panose1 w:val="02010600030101010101"/>
    <w:charset w:val="86"/>
    <w:family w:val="auto"/>
    <w:pitch w:val="default"/>
    <w:sig w:usb0="A00002BF" w:usb1="38CF7CFA" w:usb2="00000016" w:usb3="00000000" w:csb0="0004000F" w:csb1="00000000"/>
  </w:font>
  <w:font w:name="等线 Light">
    <w:panose1 w:val="02010600030101010101"/>
    <w:charset w:val="86"/>
    <w:family w:val="auto"/>
    <w:pitch w:val="default"/>
    <w:sig w:usb0="A00002BF" w:usb1="38CF7CFA" w:usb2="00000016" w:usb3="00000000" w:csb0="0004000F" w:csb1="00000000"/>
  </w:font>
  <w:font w:name="Courier New">
    <w:panose1 w:val="02070309020205020404"/>
    <w:charset w:val="00"/>
    <w:family w:val="modern"/>
    <w:pitch w:val="default"/>
    <w:sig w:usb0="E0002EFF" w:usb1="C0007843" w:usb2="00000009" w:usb3="00000000" w:csb0="400001FF" w:csb1="FFFF0000"/>
  </w:font>
  <w:font w:name="Sim Sun+ 2">
    <w:altName w:val="宋体"/>
    <w:panose1 w:val="00000000000000000000"/>
    <w:charset w:val="86"/>
    <w:family w:val="auto"/>
    <w:pitch w:val="default"/>
    <w:sig w:usb0="00000000" w:usb1="00000000" w:usb2="00000010" w:usb3="00000000" w:csb0="00040000" w:csb1="00000000"/>
  </w:font>
  <w:font w:name="Arial">
    <w:panose1 w:val="020B0604020202020204"/>
    <w:charset w:val="00"/>
    <w:family w:val="swiss"/>
    <w:pitch w:val="default"/>
    <w:sig w:usb0="E0002EFF" w:usb1="C000785B" w:usb2="00000009" w:usb3="00000000" w:csb0="400001FF" w:csb1="FFFF0000"/>
  </w:font>
  <w:font w:name="Segoe UI Symbol">
    <w:panose1 w:val="020B0502040204020203"/>
    <w:charset w:val="00"/>
    <w:family w:val="swiss"/>
    <w:pitch w:val="default"/>
    <w:sig w:usb0="800001E3" w:usb1="1200FFEF" w:usb2="00040000" w:usb3="04000000" w:csb0="00000001" w:csb1="40000000"/>
  </w:font>
  <w:font w:name="MS Mincho">
    <w:altName w:val="Yu Gothic UI"/>
    <w:panose1 w:val="02020609040205080304"/>
    <w:charset w:val="80"/>
    <w:family w:val="modern"/>
    <w:pitch w:val="default"/>
    <w:sig w:usb0="00000000" w:usb1="00000000" w:usb2="08000012" w:usb3="00000000" w:csb0="0002009F" w:csb1="00000000"/>
  </w:font>
  <w:font w:name="ＭＳ 明朝">
    <w:altName w:val="AMGDT"/>
    <w:panose1 w:val="00000000000000000000"/>
    <w:charset w:val="00"/>
    <w:family w:val="auto"/>
    <w:pitch w:val="default"/>
    <w:sig w:usb0="00000000" w:usb1="00000000" w:usb2="00000000" w:usb3="00000000" w:csb0="00000000" w:csb1="00000000"/>
  </w:font>
  <w:font w:name="Cambria Math">
    <w:panose1 w:val="02040503050406030204"/>
    <w:charset w:val="00"/>
    <w:family w:val="roman"/>
    <w:pitch w:val="default"/>
    <w:sig w:usb0="E00006FF" w:usb1="420024FF" w:usb2="02000000" w:usb3="00000000" w:csb0="2000019F" w:csb1="00000000"/>
  </w:font>
  <w:font w:name="Wingdings 2">
    <w:panose1 w:val="05020102010507070707"/>
    <w:charset w:val="02"/>
    <w:family w:val="roman"/>
    <w:pitch w:val="default"/>
    <w:sig w:usb0="00000000" w:usb1="00000000" w:usb2="00000000" w:usb3="00000000" w:csb0="80000000" w:csb1="00000000"/>
  </w:font>
  <w:font w:name="TimesNewRomanPSMT">
    <w:altName w:val="Yu Gothic"/>
    <w:panose1 w:val="00000000000000000000"/>
    <w:charset w:val="80"/>
    <w:family w:val="auto"/>
    <w:pitch w:val="default"/>
    <w:sig w:usb0="00000000" w:usb1="00000000" w:usb2="00000000" w:usb3="00000000" w:csb0="00020000" w:csb1="00000000"/>
  </w:font>
  <w:font w:name="Yu Gothic">
    <w:panose1 w:val="020B0400000000000000"/>
    <w:charset w:val="80"/>
    <w:family w:val="auto"/>
    <w:pitch w:val="default"/>
    <w:sig w:usb0="E00002FF" w:usb1="2AC7FDFF" w:usb2="00000016" w:usb3="00000000" w:csb0="2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49692064"/>
      <w:docPartObj>
        <w:docPartGallery w:val="autotext"/>
      </w:docPartObj>
    </w:sdtPr>
    <w:sdtContent>
      <w:p w14:paraId="6A5B6C68">
        <w:pPr>
          <w:pStyle w:val="24"/>
          <w:jc w:val="center"/>
        </w:pPr>
        <w:r>
          <w:fldChar w:fldCharType="begin"/>
        </w:r>
        <w:r>
          <w:instrText xml:space="preserve">PAGE   \* MERGEFORMAT</w:instrText>
        </w:r>
        <w:r>
          <w:fldChar w:fldCharType="separate"/>
        </w:r>
        <w:r>
          <w:rPr>
            <w:lang w:val="zh-CN"/>
          </w:rPr>
          <w:t>2</w:t>
        </w:r>
        <w: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62217181"/>
      <w:docPartObj>
        <w:docPartGallery w:val="autotext"/>
      </w:docPartObj>
    </w:sdtPr>
    <w:sdtContent>
      <w:p w14:paraId="74E4E13E">
        <w:pPr>
          <w:pStyle w:val="24"/>
          <w:jc w:val="center"/>
        </w:pPr>
        <w:r>
          <w:fldChar w:fldCharType="begin"/>
        </w:r>
        <w:r>
          <w:instrText xml:space="preserve">PAGE   \* MERGEFORMAT</w:instrText>
        </w:r>
        <w:r>
          <w:fldChar w:fldCharType="separate"/>
        </w:r>
        <w:r>
          <w:rPr>
            <w:lang w:val="zh-CN"/>
          </w:rPr>
          <w:t>2</w:t>
        </w:r>
        <w: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pPr>
      <w:r>
        <w:separator/>
      </w:r>
    </w:p>
  </w:footnote>
  <w:footnote w:type="continuationSeparator" w:id="1">
    <w:p>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6170F27">
    <w:pPr>
      <w:pStyle w:val="25"/>
      <w:pBdr>
        <w:bottom w:val="single" w:color="auto" w:sz="4" w:space="1"/>
      </w:pBdr>
    </w:pPr>
    <w:bookmarkStart w:id="229" w:name="_Hlk218519539"/>
    <w:r>
      <w:rPr>
        <w:rFonts w:hint="eastAsia"/>
      </w:rPr>
      <w:t>安徽海华科技集团有</w:t>
    </w:r>
    <w:r>
      <w:rPr>
        <w:rFonts w:cs="Times New Roman"/>
      </w:rPr>
      <w:t>限公司10000吨间甲酚车间环</w:t>
    </w:r>
    <w:r>
      <w:rPr>
        <w:rFonts w:hint="eastAsia"/>
      </w:rPr>
      <w:t>保技改项目</w:t>
    </w:r>
    <w:bookmarkEnd w:id="229"/>
    <w:r>
      <w:rPr>
        <w:rFonts w:hint="eastAsia"/>
      </w:rPr>
      <w:t>环境影响报告书</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187A2FEB"/>
    <w:multiLevelType w:val="multilevel"/>
    <w:tmpl w:val="187A2FEB"/>
    <w:lvl w:ilvl="0" w:tentative="0">
      <w:start w:val="1"/>
      <w:numFmt w:val="decimal"/>
      <w:pStyle w:val="75"/>
      <w:lvlText w:val="表2-%1"/>
      <w:lvlJc w:val="left"/>
      <w:pPr>
        <w:tabs>
          <w:tab w:val="left" w:pos="567"/>
        </w:tabs>
        <w:ind w:left="567"/>
      </w:pPr>
      <w:rPr>
        <w:rFonts w:hint="eastAsia" w:cs="Times New Roman"/>
        <w:b w:val="0"/>
      </w:rPr>
    </w:lvl>
    <w:lvl w:ilvl="1" w:tentative="0">
      <w:start w:val="1"/>
      <w:numFmt w:val="decimal"/>
      <w:lvlText w:val="%1.%2"/>
      <w:lvlJc w:val="left"/>
      <w:pPr>
        <w:tabs>
          <w:tab w:val="left" w:pos="992"/>
        </w:tabs>
        <w:ind w:left="992" w:hanging="567"/>
      </w:pPr>
      <w:rPr>
        <w:rFonts w:hint="eastAsia" w:cs="Times New Roman"/>
      </w:rPr>
    </w:lvl>
    <w:lvl w:ilvl="2" w:tentative="0">
      <w:start w:val="1"/>
      <w:numFmt w:val="decimal"/>
      <w:lvlText w:val="%1.%2.%3"/>
      <w:lvlJc w:val="left"/>
      <w:pPr>
        <w:tabs>
          <w:tab w:val="left" w:pos="1418"/>
        </w:tabs>
        <w:ind w:left="1418" w:hanging="567"/>
      </w:pPr>
      <w:rPr>
        <w:rFonts w:hint="eastAsia" w:cs="Times New Roman"/>
      </w:rPr>
    </w:lvl>
    <w:lvl w:ilvl="3" w:tentative="0">
      <w:start w:val="1"/>
      <w:numFmt w:val="decimal"/>
      <w:lvlText w:val="%1.%2.%3.%4"/>
      <w:lvlJc w:val="left"/>
      <w:pPr>
        <w:tabs>
          <w:tab w:val="left" w:pos="1984"/>
        </w:tabs>
        <w:ind w:left="1984" w:hanging="708"/>
      </w:pPr>
      <w:rPr>
        <w:rFonts w:hint="eastAsia" w:cs="Times New Roman"/>
      </w:rPr>
    </w:lvl>
    <w:lvl w:ilvl="4" w:tentative="0">
      <w:start w:val="1"/>
      <w:numFmt w:val="decimal"/>
      <w:lvlText w:val="%1.%2.%3.%4.%5"/>
      <w:lvlJc w:val="left"/>
      <w:pPr>
        <w:tabs>
          <w:tab w:val="left" w:pos="2551"/>
        </w:tabs>
        <w:ind w:left="2551" w:hanging="850"/>
      </w:pPr>
      <w:rPr>
        <w:rFonts w:hint="eastAsia" w:cs="Times New Roman"/>
      </w:rPr>
    </w:lvl>
    <w:lvl w:ilvl="5" w:tentative="0">
      <w:start w:val="1"/>
      <w:numFmt w:val="decimal"/>
      <w:lvlText w:val="%1.%2.%3.%4.%5.%6"/>
      <w:lvlJc w:val="left"/>
      <w:pPr>
        <w:tabs>
          <w:tab w:val="left" w:pos="3260"/>
        </w:tabs>
        <w:ind w:left="3260" w:hanging="1134"/>
      </w:pPr>
      <w:rPr>
        <w:rFonts w:hint="eastAsia" w:cs="Times New Roman"/>
      </w:rPr>
    </w:lvl>
    <w:lvl w:ilvl="6" w:tentative="0">
      <w:start w:val="1"/>
      <w:numFmt w:val="decimal"/>
      <w:lvlText w:val="%1.%2.%3.%4.%5.%6.%7"/>
      <w:lvlJc w:val="left"/>
      <w:pPr>
        <w:tabs>
          <w:tab w:val="left" w:pos="3827"/>
        </w:tabs>
        <w:ind w:left="3827" w:hanging="1276"/>
      </w:pPr>
      <w:rPr>
        <w:rFonts w:hint="eastAsia" w:cs="Times New Roman"/>
      </w:rPr>
    </w:lvl>
    <w:lvl w:ilvl="7" w:tentative="0">
      <w:start w:val="1"/>
      <w:numFmt w:val="decimal"/>
      <w:lvlText w:val="%1.%2.%3.%4.%5.%6.%7.%8"/>
      <w:lvlJc w:val="left"/>
      <w:pPr>
        <w:tabs>
          <w:tab w:val="left" w:pos="4394"/>
        </w:tabs>
        <w:ind w:left="4394" w:hanging="1418"/>
      </w:pPr>
      <w:rPr>
        <w:rFonts w:hint="eastAsia" w:cs="Times New Roman"/>
      </w:rPr>
    </w:lvl>
    <w:lvl w:ilvl="8" w:tentative="0">
      <w:start w:val="1"/>
      <w:numFmt w:val="decimal"/>
      <w:lvlText w:val="%1.%2.%3.%4.%5.%6.%7.%8.%9"/>
      <w:lvlJc w:val="left"/>
      <w:pPr>
        <w:tabs>
          <w:tab w:val="left" w:pos="5102"/>
        </w:tabs>
        <w:ind w:left="5102" w:hanging="1700"/>
      </w:pPr>
      <w:rPr>
        <w:rFonts w:hint="eastAsia" w:cs="Times New Roman"/>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1"/>
  <w:bordersDoNotSurroundFooter w:val="1"/>
  <w:documentProtection w:enforcement="0"/>
  <w:defaultTabStop w:val="420"/>
  <w:drawingGridHorizontalSpacing w:val="120"/>
  <w:drawingGridVerticalSpacing w:val="163"/>
  <w:displayHorizontalDrawingGridEvery w:val="0"/>
  <w:displayVerticalDrawingGridEvery w:val="2"/>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446D8"/>
    <w:rsid w:val="0000006D"/>
    <w:rsid w:val="00000226"/>
    <w:rsid w:val="000004B6"/>
    <w:rsid w:val="00000F6E"/>
    <w:rsid w:val="000034F1"/>
    <w:rsid w:val="00003B22"/>
    <w:rsid w:val="00004B46"/>
    <w:rsid w:val="00004BAB"/>
    <w:rsid w:val="00005197"/>
    <w:rsid w:val="00006A67"/>
    <w:rsid w:val="00007F4F"/>
    <w:rsid w:val="00013838"/>
    <w:rsid w:val="00013A90"/>
    <w:rsid w:val="00015436"/>
    <w:rsid w:val="0001602C"/>
    <w:rsid w:val="00022483"/>
    <w:rsid w:val="00022612"/>
    <w:rsid w:val="00022AC6"/>
    <w:rsid w:val="00027468"/>
    <w:rsid w:val="00030E51"/>
    <w:rsid w:val="000317D7"/>
    <w:rsid w:val="00031E83"/>
    <w:rsid w:val="000341B0"/>
    <w:rsid w:val="0003432B"/>
    <w:rsid w:val="00034621"/>
    <w:rsid w:val="00034682"/>
    <w:rsid w:val="00036A5F"/>
    <w:rsid w:val="000374B4"/>
    <w:rsid w:val="00037997"/>
    <w:rsid w:val="000400C7"/>
    <w:rsid w:val="000401B6"/>
    <w:rsid w:val="000401C4"/>
    <w:rsid w:val="00043A93"/>
    <w:rsid w:val="00044D96"/>
    <w:rsid w:val="0004665D"/>
    <w:rsid w:val="00046667"/>
    <w:rsid w:val="00047E64"/>
    <w:rsid w:val="000503D7"/>
    <w:rsid w:val="000505E0"/>
    <w:rsid w:val="00050AA6"/>
    <w:rsid w:val="00050E7C"/>
    <w:rsid w:val="00050EF7"/>
    <w:rsid w:val="00051CD1"/>
    <w:rsid w:val="000529C6"/>
    <w:rsid w:val="00052AD0"/>
    <w:rsid w:val="00052F94"/>
    <w:rsid w:val="00053228"/>
    <w:rsid w:val="0005331E"/>
    <w:rsid w:val="00056E4A"/>
    <w:rsid w:val="00056E62"/>
    <w:rsid w:val="00060789"/>
    <w:rsid w:val="00060F30"/>
    <w:rsid w:val="00063D82"/>
    <w:rsid w:val="0006402F"/>
    <w:rsid w:val="0006445B"/>
    <w:rsid w:val="00064D13"/>
    <w:rsid w:val="000654B2"/>
    <w:rsid w:val="00065B89"/>
    <w:rsid w:val="00066F17"/>
    <w:rsid w:val="0007115D"/>
    <w:rsid w:val="000711D1"/>
    <w:rsid w:val="0007138E"/>
    <w:rsid w:val="00071428"/>
    <w:rsid w:val="00072896"/>
    <w:rsid w:val="00072CE2"/>
    <w:rsid w:val="00075310"/>
    <w:rsid w:val="0007538E"/>
    <w:rsid w:val="0007676B"/>
    <w:rsid w:val="00077648"/>
    <w:rsid w:val="000813DB"/>
    <w:rsid w:val="00081E2D"/>
    <w:rsid w:val="00082FE4"/>
    <w:rsid w:val="00083DCF"/>
    <w:rsid w:val="000841D4"/>
    <w:rsid w:val="00084E94"/>
    <w:rsid w:val="0008630C"/>
    <w:rsid w:val="00086C81"/>
    <w:rsid w:val="00087C2F"/>
    <w:rsid w:val="00087D81"/>
    <w:rsid w:val="00090578"/>
    <w:rsid w:val="00091C61"/>
    <w:rsid w:val="00091CEA"/>
    <w:rsid w:val="00093CF1"/>
    <w:rsid w:val="00094241"/>
    <w:rsid w:val="00094261"/>
    <w:rsid w:val="000967CC"/>
    <w:rsid w:val="00096C33"/>
    <w:rsid w:val="000A1BE6"/>
    <w:rsid w:val="000A3490"/>
    <w:rsid w:val="000A3E0F"/>
    <w:rsid w:val="000A552E"/>
    <w:rsid w:val="000A5561"/>
    <w:rsid w:val="000A5773"/>
    <w:rsid w:val="000A6170"/>
    <w:rsid w:val="000B0A44"/>
    <w:rsid w:val="000B0C03"/>
    <w:rsid w:val="000B1EBD"/>
    <w:rsid w:val="000B21BD"/>
    <w:rsid w:val="000B31CA"/>
    <w:rsid w:val="000B59DD"/>
    <w:rsid w:val="000B5FFE"/>
    <w:rsid w:val="000B64C1"/>
    <w:rsid w:val="000B67FE"/>
    <w:rsid w:val="000B6EA0"/>
    <w:rsid w:val="000C216B"/>
    <w:rsid w:val="000C31D1"/>
    <w:rsid w:val="000C327A"/>
    <w:rsid w:val="000C381F"/>
    <w:rsid w:val="000C3865"/>
    <w:rsid w:val="000C3B17"/>
    <w:rsid w:val="000C3F70"/>
    <w:rsid w:val="000C47DA"/>
    <w:rsid w:val="000C4E69"/>
    <w:rsid w:val="000C58B9"/>
    <w:rsid w:val="000C6356"/>
    <w:rsid w:val="000D0625"/>
    <w:rsid w:val="000D1D1F"/>
    <w:rsid w:val="000D23CA"/>
    <w:rsid w:val="000D2DED"/>
    <w:rsid w:val="000D51EB"/>
    <w:rsid w:val="000D6929"/>
    <w:rsid w:val="000D7E63"/>
    <w:rsid w:val="000E06D9"/>
    <w:rsid w:val="000E197B"/>
    <w:rsid w:val="000E1AB0"/>
    <w:rsid w:val="000E1F19"/>
    <w:rsid w:val="000E2021"/>
    <w:rsid w:val="000E2831"/>
    <w:rsid w:val="000E4645"/>
    <w:rsid w:val="000E60E8"/>
    <w:rsid w:val="000E76BE"/>
    <w:rsid w:val="000F0F9C"/>
    <w:rsid w:val="000F2405"/>
    <w:rsid w:val="000F45E7"/>
    <w:rsid w:val="000F4EE3"/>
    <w:rsid w:val="000F51ED"/>
    <w:rsid w:val="000F5B1A"/>
    <w:rsid w:val="000F6093"/>
    <w:rsid w:val="000F7388"/>
    <w:rsid w:val="000F775B"/>
    <w:rsid w:val="00101B76"/>
    <w:rsid w:val="001022A9"/>
    <w:rsid w:val="00103811"/>
    <w:rsid w:val="00104562"/>
    <w:rsid w:val="001051EC"/>
    <w:rsid w:val="00105CC8"/>
    <w:rsid w:val="00106C91"/>
    <w:rsid w:val="00106E36"/>
    <w:rsid w:val="00107899"/>
    <w:rsid w:val="001111A4"/>
    <w:rsid w:val="00111A60"/>
    <w:rsid w:val="00111DD0"/>
    <w:rsid w:val="00112790"/>
    <w:rsid w:val="00112BFE"/>
    <w:rsid w:val="00113856"/>
    <w:rsid w:val="001142A8"/>
    <w:rsid w:val="00114B6B"/>
    <w:rsid w:val="001155D6"/>
    <w:rsid w:val="0011619C"/>
    <w:rsid w:val="00120699"/>
    <w:rsid w:val="00120D29"/>
    <w:rsid w:val="00122033"/>
    <w:rsid w:val="00123F24"/>
    <w:rsid w:val="00124AE0"/>
    <w:rsid w:val="00124DB6"/>
    <w:rsid w:val="00125A49"/>
    <w:rsid w:val="00125B0E"/>
    <w:rsid w:val="00125B3A"/>
    <w:rsid w:val="00127BF0"/>
    <w:rsid w:val="00130C99"/>
    <w:rsid w:val="001311DB"/>
    <w:rsid w:val="00133C22"/>
    <w:rsid w:val="00135007"/>
    <w:rsid w:val="0013585C"/>
    <w:rsid w:val="00136A9E"/>
    <w:rsid w:val="00136E5C"/>
    <w:rsid w:val="00142143"/>
    <w:rsid w:val="001431B4"/>
    <w:rsid w:val="00143521"/>
    <w:rsid w:val="001447A2"/>
    <w:rsid w:val="00145DAA"/>
    <w:rsid w:val="00145F5C"/>
    <w:rsid w:val="00147273"/>
    <w:rsid w:val="00147813"/>
    <w:rsid w:val="0015010F"/>
    <w:rsid w:val="001504F5"/>
    <w:rsid w:val="00150A23"/>
    <w:rsid w:val="001517B1"/>
    <w:rsid w:val="00152BEF"/>
    <w:rsid w:val="001537B2"/>
    <w:rsid w:val="001549FC"/>
    <w:rsid w:val="0015543D"/>
    <w:rsid w:val="001558B5"/>
    <w:rsid w:val="00156D46"/>
    <w:rsid w:val="001570BE"/>
    <w:rsid w:val="001573A9"/>
    <w:rsid w:val="0015751F"/>
    <w:rsid w:val="001617CC"/>
    <w:rsid w:val="00164767"/>
    <w:rsid w:val="00165FA0"/>
    <w:rsid w:val="00166719"/>
    <w:rsid w:val="00167A43"/>
    <w:rsid w:val="00167CF6"/>
    <w:rsid w:val="00167E49"/>
    <w:rsid w:val="001704ED"/>
    <w:rsid w:val="00170A70"/>
    <w:rsid w:val="00171BF5"/>
    <w:rsid w:val="0017222E"/>
    <w:rsid w:val="001725FD"/>
    <w:rsid w:val="001742F8"/>
    <w:rsid w:val="00174359"/>
    <w:rsid w:val="00175468"/>
    <w:rsid w:val="001765CE"/>
    <w:rsid w:val="001779F0"/>
    <w:rsid w:val="00177B2E"/>
    <w:rsid w:val="00177FD2"/>
    <w:rsid w:val="0018072A"/>
    <w:rsid w:val="001807C4"/>
    <w:rsid w:val="0018212B"/>
    <w:rsid w:val="001831A3"/>
    <w:rsid w:val="00184BA0"/>
    <w:rsid w:val="00185E1A"/>
    <w:rsid w:val="00186140"/>
    <w:rsid w:val="0018770F"/>
    <w:rsid w:val="001908B8"/>
    <w:rsid w:val="001913B0"/>
    <w:rsid w:val="00191ECD"/>
    <w:rsid w:val="001925A1"/>
    <w:rsid w:val="00192C00"/>
    <w:rsid w:val="00194BF3"/>
    <w:rsid w:val="00194C9B"/>
    <w:rsid w:val="0019581C"/>
    <w:rsid w:val="00195AE9"/>
    <w:rsid w:val="00196456"/>
    <w:rsid w:val="001972FB"/>
    <w:rsid w:val="00197B85"/>
    <w:rsid w:val="001A0007"/>
    <w:rsid w:val="001A0FEE"/>
    <w:rsid w:val="001A1AD8"/>
    <w:rsid w:val="001A1F8D"/>
    <w:rsid w:val="001A2906"/>
    <w:rsid w:val="001A2CEA"/>
    <w:rsid w:val="001A3211"/>
    <w:rsid w:val="001A334F"/>
    <w:rsid w:val="001A53A3"/>
    <w:rsid w:val="001A589B"/>
    <w:rsid w:val="001A58CA"/>
    <w:rsid w:val="001A76C8"/>
    <w:rsid w:val="001B0A1E"/>
    <w:rsid w:val="001B25E5"/>
    <w:rsid w:val="001B55FE"/>
    <w:rsid w:val="001B6D45"/>
    <w:rsid w:val="001B795A"/>
    <w:rsid w:val="001B7C85"/>
    <w:rsid w:val="001B7E5D"/>
    <w:rsid w:val="001C02FF"/>
    <w:rsid w:val="001C0B6A"/>
    <w:rsid w:val="001C184B"/>
    <w:rsid w:val="001C18D6"/>
    <w:rsid w:val="001C1A0E"/>
    <w:rsid w:val="001C30ED"/>
    <w:rsid w:val="001C442D"/>
    <w:rsid w:val="001C4451"/>
    <w:rsid w:val="001C4E71"/>
    <w:rsid w:val="001C5582"/>
    <w:rsid w:val="001C6EE4"/>
    <w:rsid w:val="001C7D7F"/>
    <w:rsid w:val="001C7E8B"/>
    <w:rsid w:val="001C7F39"/>
    <w:rsid w:val="001D0108"/>
    <w:rsid w:val="001D0FFF"/>
    <w:rsid w:val="001D1B21"/>
    <w:rsid w:val="001D1E20"/>
    <w:rsid w:val="001D3892"/>
    <w:rsid w:val="001D4547"/>
    <w:rsid w:val="001D51F9"/>
    <w:rsid w:val="001D57F6"/>
    <w:rsid w:val="001D5F81"/>
    <w:rsid w:val="001D6232"/>
    <w:rsid w:val="001D6A9B"/>
    <w:rsid w:val="001E0552"/>
    <w:rsid w:val="001E1969"/>
    <w:rsid w:val="001E2C38"/>
    <w:rsid w:val="001E33EF"/>
    <w:rsid w:val="001E3D9C"/>
    <w:rsid w:val="001E414D"/>
    <w:rsid w:val="001E44D5"/>
    <w:rsid w:val="001E476C"/>
    <w:rsid w:val="001E4B62"/>
    <w:rsid w:val="001E545A"/>
    <w:rsid w:val="001E585B"/>
    <w:rsid w:val="001E70EF"/>
    <w:rsid w:val="001E7205"/>
    <w:rsid w:val="001F03A3"/>
    <w:rsid w:val="001F0706"/>
    <w:rsid w:val="001F0F30"/>
    <w:rsid w:val="001F13AF"/>
    <w:rsid w:val="001F24B3"/>
    <w:rsid w:val="001F2AE9"/>
    <w:rsid w:val="001F4266"/>
    <w:rsid w:val="001F494C"/>
    <w:rsid w:val="001F5708"/>
    <w:rsid w:val="001F760C"/>
    <w:rsid w:val="00200213"/>
    <w:rsid w:val="002002B4"/>
    <w:rsid w:val="00200564"/>
    <w:rsid w:val="002006C9"/>
    <w:rsid w:val="00201506"/>
    <w:rsid w:val="00201F48"/>
    <w:rsid w:val="00202546"/>
    <w:rsid w:val="00202E13"/>
    <w:rsid w:val="00204DB1"/>
    <w:rsid w:val="002052D5"/>
    <w:rsid w:val="00205A3E"/>
    <w:rsid w:val="00205F5F"/>
    <w:rsid w:val="002070BF"/>
    <w:rsid w:val="00207EFA"/>
    <w:rsid w:val="00210AEF"/>
    <w:rsid w:val="00211255"/>
    <w:rsid w:val="002133BF"/>
    <w:rsid w:val="002139D4"/>
    <w:rsid w:val="0021484D"/>
    <w:rsid w:val="00214B0E"/>
    <w:rsid w:val="00214E0F"/>
    <w:rsid w:val="00214FF0"/>
    <w:rsid w:val="00215AEE"/>
    <w:rsid w:val="00215CBA"/>
    <w:rsid w:val="00221340"/>
    <w:rsid w:val="00223551"/>
    <w:rsid w:val="00223DB5"/>
    <w:rsid w:val="00223E5B"/>
    <w:rsid w:val="0022470D"/>
    <w:rsid w:val="002252A6"/>
    <w:rsid w:val="00225C57"/>
    <w:rsid w:val="0022672D"/>
    <w:rsid w:val="00227EE5"/>
    <w:rsid w:val="00231152"/>
    <w:rsid w:val="00231340"/>
    <w:rsid w:val="002316E3"/>
    <w:rsid w:val="00233232"/>
    <w:rsid w:val="0023488D"/>
    <w:rsid w:val="002367D7"/>
    <w:rsid w:val="002371AE"/>
    <w:rsid w:val="00241F00"/>
    <w:rsid w:val="00242D13"/>
    <w:rsid w:val="002446D8"/>
    <w:rsid w:val="00244B81"/>
    <w:rsid w:val="0024622B"/>
    <w:rsid w:val="00251A72"/>
    <w:rsid w:val="00252693"/>
    <w:rsid w:val="002532F4"/>
    <w:rsid w:val="002556AD"/>
    <w:rsid w:val="00255713"/>
    <w:rsid w:val="00256976"/>
    <w:rsid w:val="002573B9"/>
    <w:rsid w:val="0026062C"/>
    <w:rsid w:val="00261B73"/>
    <w:rsid w:val="00261B7F"/>
    <w:rsid w:val="00262BDE"/>
    <w:rsid w:val="002637AC"/>
    <w:rsid w:val="0026390F"/>
    <w:rsid w:val="002640DC"/>
    <w:rsid w:val="002647B9"/>
    <w:rsid w:val="00264EA9"/>
    <w:rsid w:val="00266302"/>
    <w:rsid w:val="0026796C"/>
    <w:rsid w:val="00267F2B"/>
    <w:rsid w:val="002714B1"/>
    <w:rsid w:val="00274120"/>
    <w:rsid w:val="0027427C"/>
    <w:rsid w:val="00276379"/>
    <w:rsid w:val="0027694D"/>
    <w:rsid w:val="00276C11"/>
    <w:rsid w:val="00277276"/>
    <w:rsid w:val="002777E1"/>
    <w:rsid w:val="00277A3B"/>
    <w:rsid w:val="00282706"/>
    <w:rsid w:val="00283591"/>
    <w:rsid w:val="00283629"/>
    <w:rsid w:val="002853B9"/>
    <w:rsid w:val="002872C6"/>
    <w:rsid w:val="00291753"/>
    <w:rsid w:val="00291937"/>
    <w:rsid w:val="00291C75"/>
    <w:rsid w:val="0029266A"/>
    <w:rsid w:val="00293AA6"/>
    <w:rsid w:val="00294A2C"/>
    <w:rsid w:val="00295E43"/>
    <w:rsid w:val="002969CA"/>
    <w:rsid w:val="002A0AE0"/>
    <w:rsid w:val="002A123A"/>
    <w:rsid w:val="002A3144"/>
    <w:rsid w:val="002A33E1"/>
    <w:rsid w:val="002A3D14"/>
    <w:rsid w:val="002A3F6C"/>
    <w:rsid w:val="002A4788"/>
    <w:rsid w:val="002A5331"/>
    <w:rsid w:val="002A5611"/>
    <w:rsid w:val="002B211B"/>
    <w:rsid w:val="002B2242"/>
    <w:rsid w:val="002B2313"/>
    <w:rsid w:val="002B426E"/>
    <w:rsid w:val="002B4EEE"/>
    <w:rsid w:val="002B581D"/>
    <w:rsid w:val="002B6541"/>
    <w:rsid w:val="002B6A00"/>
    <w:rsid w:val="002B71E2"/>
    <w:rsid w:val="002C0071"/>
    <w:rsid w:val="002C03AD"/>
    <w:rsid w:val="002C14F9"/>
    <w:rsid w:val="002C20C0"/>
    <w:rsid w:val="002C2D1C"/>
    <w:rsid w:val="002C2E92"/>
    <w:rsid w:val="002C5308"/>
    <w:rsid w:val="002C631A"/>
    <w:rsid w:val="002C6DE2"/>
    <w:rsid w:val="002C702F"/>
    <w:rsid w:val="002D0248"/>
    <w:rsid w:val="002D0D09"/>
    <w:rsid w:val="002D2C72"/>
    <w:rsid w:val="002D3D83"/>
    <w:rsid w:val="002D4EB1"/>
    <w:rsid w:val="002D64B8"/>
    <w:rsid w:val="002E01F3"/>
    <w:rsid w:val="002E06C1"/>
    <w:rsid w:val="002E0DE1"/>
    <w:rsid w:val="002E1347"/>
    <w:rsid w:val="002E1911"/>
    <w:rsid w:val="002E2D1A"/>
    <w:rsid w:val="002E33BB"/>
    <w:rsid w:val="002E362D"/>
    <w:rsid w:val="002E419B"/>
    <w:rsid w:val="002E4A89"/>
    <w:rsid w:val="002E5293"/>
    <w:rsid w:val="002E540F"/>
    <w:rsid w:val="002E5ED2"/>
    <w:rsid w:val="002E6110"/>
    <w:rsid w:val="002E629A"/>
    <w:rsid w:val="002E6883"/>
    <w:rsid w:val="002E69D3"/>
    <w:rsid w:val="002E721C"/>
    <w:rsid w:val="002E7F27"/>
    <w:rsid w:val="002F04DC"/>
    <w:rsid w:val="002F087D"/>
    <w:rsid w:val="002F1AE1"/>
    <w:rsid w:val="002F2655"/>
    <w:rsid w:val="002F2834"/>
    <w:rsid w:val="002F3646"/>
    <w:rsid w:val="002F506D"/>
    <w:rsid w:val="002F551E"/>
    <w:rsid w:val="002F587E"/>
    <w:rsid w:val="002F660C"/>
    <w:rsid w:val="00300456"/>
    <w:rsid w:val="00300995"/>
    <w:rsid w:val="00300AF3"/>
    <w:rsid w:val="00300D05"/>
    <w:rsid w:val="00301D01"/>
    <w:rsid w:val="00301E4D"/>
    <w:rsid w:val="00302C2A"/>
    <w:rsid w:val="00303AD2"/>
    <w:rsid w:val="0030411E"/>
    <w:rsid w:val="00307D6F"/>
    <w:rsid w:val="003100D4"/>
    <w:rsid w:val="003129E8"/>
    <w:rsid w:val="0031311B"/>
    <w:rsid w:val="00313137"/>
    <w:rsid w:val="003136E2"/>
    <w:rsid w:val="003150B9"/>
    <w:rsid w:val="00315117"/>
    <w:rsid w:val="003152F1"/>
    <w:rsid w:val="00315FF8"/>
    <w:rsid w:val="003175F3"/>
    <w:rsid w:val="003207B7"/>
    <w:rsid w:val="00320ACA"/>
    <w:rsid w:val="00321B7C"/>
    <w:rsid w:val="00322B13"/>
    <w:rsid w:val="00323BCD"/>
    <w:rsid w:val="00324EFC"/>
    <w:rsid w:val="00324FDC"/>
    <w:rsid w:val="003262F4"/>
    <w:rsid w:val="003265A7"/>
    <w:rsid w:val="00326F8D"/>
    <w:rsid w:val="00330EDA"/>
    <w:rsid w:val="0033388D"/>
    <w:rsid w:val="003346DE"/>
    <w:rsid w:val="00334FF0"/>
    <w:rsid w:val="00336E78"/>
    <w:rsid w:val="003412E0"/>
    <w:rsid w:val="00341966"/>
    <w:rsid w:val="0034223F"/>
    <w:rsid w:val="00342C61"/>
    <w:rsid w:val="00343233"/>
    <w:rsid w:val="00343237"/>
    <w:rsid w:val="0034378A"/>
    <w:rsid w:val="003457F7"/>
    <w:rsid w:val="003460AF"/>
    <w:rsid w:val="0034772D"/>
    <w:rsid w:val="003501AD"/>
    <w:rsid w:val="003520DC"/>
    <w:rsid w:val="00352807"/>
    <w:rsid w:val="00353CE6"/>
    <w:rsid w:val="00354CA9"/>
    <w:rsid w:val="00356F50"/>
    <w:rsid w:val="003570C5"/>
    <w:rsid w:val="00357952"/>
    <w:rsid w:val="00357A29"/>
    <w:rsid w:val="00363733"/>
    <w:rsid w:val="003639D7"/>
    <w:rsid w:val="00364139"/>
    <w:rsid w:val="0036451D"/>
    <w:rsid w:val="00364B39"/>
    <w:rsid w:val="00364C41"/>
    <w:rsid w:val="00364F82"/>
    <w:rsid w:val="00365C21"/>
    <w:rsid w:val="00366B01"/>
    <w:rsid w:val="00367EAE"/>
    <w:rsid w:val="0037388A"/>
    <w:rsid w:val="00373DC9"/>
    <w:rsid w:val="00374D0D"/>
    <w:rsid w:val="003758C9"/>
    <w:rsid w:val="003778AE"/>
    <w:rsid w:val="00377BAB"/>
    <w:rsid w:val="00380D36"/>
    <w:rsid w:val="00381151"/>
    <w:rsid w:val="00381E9E"/>
    <w:rsid w:val="0038441A"/>
    <w:rsid w:val="00384913"/>
    <w:rsid w:val="00384DAC"/>
    <w:rsid w:val="00390642"/>
    <w:rsid w:val="00391588"/>
    <w:rsid w:val="00393451"/>
    <w:rsid w:val="00393C83"/>
    <w:rsid w:val="0039406E"/>
    <w:rsid w:val="00395098"/>
    <w:rsid w:val="003958E7"/>
    <w:rsid w:val="00395D1D"/>
    <w:rsid w:val="0039766F"/>
    <w:rsid w:val="00397DE2"/>
    <w:rsid w:val="003A09C3"/>
    <w:rsid w:val="003A1A58"/>
    <w:rsid w:val="003A1CC9"/>
    <w:rsid w:val="003A1F63"/>
    <w:rsid w:val="003A3991"/>
    <w:rsid w:val="003A416D"/>
    <w:rsid w:val="003A453A"/>
    <w:rsid w:val="003A53D9"/>
    <w:rsid w:val="003A5F00"/>
    <w:rsid w:val="003A6549"/>
    <w:rsid w:val="003B09EB"/>
    <w:rsid w:val="003B1112"/>
    <w:rsid w:val="003B165A"/>
    <w:rsid w:val="003B1B59"/>
    <w:rsid w:val="003B1C99"/>
    <w:rsid w:val="003B25E4"/>
    <w:rsid w:val="003B4876"/>
    <w:rsid w:val="003B56D0"/>
    <w:rsid w:val="003B6464"/>
    <w:rsid w:val="003B7014"/>
    <w:rsid w:val="003B77A6"/>
    <w:rsid w:val="003C1425"/>
    <w:rsid w:val="003C20AF"/>
    <w:rsid w:val="003C284C"/>
    <w:rsid w:val="003C2878"/>
    <w:rsid w:val="003C33B0"/>
    <w:rsid w:val="003C426D"/>
    <w:rsid w:val="003C5899"/>
    <w:rsid w:val="003C5C60"/>
    <w:rsid w:val="003C5EF2"/>
    <w:rsid w:val="003C6600"/>
    <w:rsid w:val="003D04AA"/>
    <w:rsid w:val="003D23E1"/>
    <w:rsid w:val="003D325F"/>
    <w:rsid w:val="003D4D68"/>
    <w:rsid w:val="003D6148"/>
    <w:rsid w:val="003D7385"/>
    <w:rsid w:val="003E1A3B"/>
    <w:rsid w:val="003E3298"/>
    <w:rsid w:val="003E666C"/>
    <w:rsid w:val="003F1831"/>
    <w:rsid w:val="003F24F6"/>
    <w:rsid w:val="003F2E06"/>
    <w:rsid w:val="003F36B8"/>
    <w:rsid w:val="003F5598"/>
    <w:rsid w:val="003F6A6D"/>
    <w:rsid w:val="003F73EC"/>
    <w:rsid w:val="003F7687"/>
    <w:rsid w:val="003F7C44"/>
    <w:rsid w:val="00400B23"/>
    <w:rsid w:val="004014CA"/>
    <w:rsid w:val="00402C17"/>
    <w:rsid w:val="0040498E"/>
    <w:rsid w:val="004055C1"/>
    <w:rsid w:val="00406C4D"/>
    <w:rsid w:val="00406F32"/>
    <w:rsid w:val="00410F20"/>
    <w:rsid w:val="00412B27"/>
    <w:rsid w:val="00413679"/>
    <w:rsid w:val="004137DC"/>
    <w:rsid w:val="0041698B"/>
    <w:rsid w:val="00417CDF"/>
    <w:rsid w:val="004204D3"/>
    <w:rsid w:val="00420BA3"/>
    <w:rsid w:val="00421550"/>
    <w:rsid w:val="00421A25"/>
    <w:rsid w:val="00422487"/>
    <w:rsid w:val="0042249F"/>
    <w:rsid w:val="004224EF"/>
    <w:rsid w:val="0042279A"/>
    <w:rsid w:val="00423B3E"/>
    <w:rsid w:val="00423F62"/>
    <w:rsid w:val="00425948"/>
    <w:rsid w:val="00425C82"/>
    <w:rsid w:val="00425DD9"/>
    <w:rsid w:val="0042759E"/>
    <w:rsid w:val="0043188A"/>
    <w:rsid w:val="00433044"/>
    <w:rsid w:val="00433F88"/>
    <w:rsid w:val="00434CE4"/>
    <w:rsid w:val="004365AC"/>
    <w:rsid w:val="00436B84"/>
    <w:rsid w:val="004404A1"/>
    <w:rsid w:val="004408F6"/>
    <w:rsid w:val="004414FF"/>
    <w:rsid w:val="0044203F"/>
    <w:rsid w:val="00442AF8"/>
    <w:rsid w:val="004448D3"/>
    <w:rsid w:val="00444E3B"/>
    <w:rsid w:val="0044526C"/>
    <w:rsid w:val="004457B0"/>
    <w:rsid w:val="00445DC0"/>
    <w:rsid w:val="0044627F"/>
    <w:rsid w:val="00447407"/>
    <w:rsid w:val="00451C88"/>
    <w:rsid w:val="00453543"/>
    <w:rsid w:val="00454547"/>
    <w:rsid w:val="00454A0B"/>
    <w:rsid w:val="004604AA"/>
    <w:rsid w:val="00460CE1"/>
    <w:rsid w:val="004611A2"/>
    <w:rsid w:val="00461C04"/>
    <w:rsid w:val="00462939"/>
    <w:rsid w:val="00463E4B"/>
    <w:rsid w:val="00465BD8"/>
    <w:rsid w:val="00466C29"/>
    <w:rsid w:val="004674E5"/>
    <w:rsid w:val="00467CB3"/>
    <w:rsid w:val="004703FA"/>
    <w:rsid w:val="00470446"/>
    <w:rsid w:val="004704AE"/>
    <w:rsid w:val="0047071D"/>
    <w:rsid w:val="0047304D"/>
    <w:rsid w:val="00473458"/>
    <w:rsid w:val="00473AD0"/>
    <w:rsid w:val="00474D7A"/>
    <w:rsid w:val="004750B5"/>
    <w:rsid w:val="0048078C"/>
    <w:rsid w:val="004809F7"/>
    <w:rsid w:val="004833F3"/>
    <w:rsid w:val="00483686"/>
    <w:rsid w:val="004848AB"/>
    <w:rsid w:val="00484FC7"/>
    <w:rsid w:val="004869C2"/>
    <w:rsid w:val="00487831"/>
    <w:rsid w:val="00487A17"/>
    <w:rsid w:val="00487FF7"/>
    <w:rsid w:val="00491B57"/>
    <w:rsid w:val="004930B0"/>
    <w:rsid w:val="004937A7"/>
    <w:rsid w:val="00493E2A"/>
    <w:rsid w:val="004948AC"/>
    <w:rsid w:val="004958DB"/>
    <w:rsid w:val="00495DEF"/>
    <w:rsid w:val="00497939"/>
    <w:rsid w:val="00497B3D"/>
    <w:rsid w:val="004A190F"/>
    <w:rsid w:val="004A2600"/>
    <w:rsid w:val="004A268C"/>
    <w:rsid w:val="004A2AB6"/>
    <w:rsid w:val="004A2ACD"/>
    <w:rsid w:val="004A2B7B"/>
    <w:rsid w:val="004A32D1"/>
    <w:rsid w:val="004A479F"/>
    <w:rsid w:val="004A63D5"/>
    <w:rsid w:val="004A693B"/>
    <w:rsid w:val="004A6F59"/>
    <w:rsid w:val="004B12C6"/>
    <w:rsid w:val="004B1645"/>
    <w:rsid w:val="004B20E1"/>
    <w:rsid w:val="004B2997"/>
    <w:rsid w:val="004B327D"/>
    <w:rsid w:val="004B3657"/>
    <w:rsid w:val="004B36CD"/>
    <w:rsid w:val="004B43EF"/>
    <w:rsid w:val="004B44D1"/>
    <w:rsid w:val="004B597A"/>
    <w:rsid w:val="004B5BC1"/>
    <w:rsid w:val="004B7920"/>
    <w:rsid w:val="004B7F22"/>
    <w:rsid w:val="004C0105"/>
    <w:rsid w:val="004C1651"/>
    <w:rsid w:val="004C1EBC"/>
    <w:rsid w:val="004C2B79"/>
    <w:rsid w:val="004C3DB7"/>
    <w:rsid w:val="004C45C8"/>
    <w:rsid w:val="004C57FA"/>
    <w:rsid w:val="004C7551"/>
    <w:rsid w:val="004D02A1"/>
    <w:rsid w:val="004D05BC"/>
    <w:rsid w:val="004D16AD"/>
    <w:rsid w:val="004D1E62"/>
    <w:rsid w:val="004D22BF"/>
    <w:rsid w:val="004D35BF"/>
    <w:rsid w:val="004D4898"/>
    <w:rsid w:val="004D5CEE"/>
    <w:rsid w:val="004D6EAE"/>
    <w:rsid w:val="004D6F77"/>
    <w:rsid w:val="004D7A88"/>
    <w:rsid w:val="004D7E75"/>
    <w:rsid w:val="004E00B2"/>
    <w:rsid w:val="004E1A31"/>
    <w:rsid w:val="004E28EA"/>
    <w:rsid w:val="004E4806"/>
    <w:rsid w:val="004E7C0E"/>
    <w:rsid w:val="004F08DA"/>
    <w:rsid w:val="004F1DE0"/>
    <w:rsid w:val="004F2967"/>
    <w:rsid w:val="004F3FC6"/>
    <w:rsid w:val="004F4022"/>
    <w:rsid w:val="004F4420"/>
    <w:rsid w:val="004F64E7"/>
    <w:rsid w:val="004F6AB9"/>
    <w:rsid w:val="004F7627"/>
    <w:rsid w:val="004F7C9C"/>
    <w:rsid w:val="00500664"/>
    <w:rsid w:val="00502713"/>
    <w:rsid w:val="0050547F"/>
    <w:rsid w:val="00506F43"/>
    <w:rsid w:val="00510922"/>
    <w:rsid w:val="0051213E"/>
    <w:rsid w:val="00513DD0"/>
    <w:rsid w:val="005141C3"/>
    <w:rsid w:val="00514F49"/>
    <w:rsid w:val="005156E0"/>
    <w:rsid w:val="00515F84"/>
    <w:rsid w:val="00516EF2"/>
    <w:rsid w:val="005171F7"/>
    <w:rsid w:val="00517B76"/>
    <w:rsid w:val="005212D3"/>
    <w:rsid w:val="00522A2F"/>
    <w:rsid w:val="00522CB0"/>
    <w:rsid w:val="005234AF"/>
    <w:rsid w:val="00523987"/>
    <w:rsid w:val="00524169"/>
    <w:rsid w:val="00524562"/>
    <w:rsid w:val="00525017"/>
    <w:rsid w:val="00525977"/>
    <w:rsid w:val="00526A4B"/>
    <w:rsid w:val="00527B52"/>
    <w:rsid w:val="0053114E"/>
    <w:rsid w:val="00531280"/>
    <w:rsid w:val="005342E5"/>
    <w:rsid w:val="00534994"/>
    <w:rsid w:val="005352EE"/>
    <w:rsid w:val="00537584"/>
    <w:rsid w:val="00540199"/>
    <w:rsid w:val="00540836"/>
    <w:rsid w:val="00541193"/>
    <w:rsid w:val="005418EF"/>
    <w:rsid w:val="0054295D"/>
    <w:rsid w:val="00542C7F"/>
    <w:rsid w:val="00542F96"/>
    <w:rsid w:val="00544C68"/>
    <w:rsid w:val="0054513D"/>
    <w:rsid w:val="0054534B"/>
    <w:rsid w:val="0054571C"/>
    <w:rsid w:val="00545D2A"/>
    <w:rsid w:val="00546348"/>
    <w:rsid w:val="00552B44"/>
    <w:rsid w:val="00554E66"/>
    <w:rsid w:val="00556800"/>
    <w:rsid w:val="00556D67"/>
    <w:rsid w:val="00557057"/>
    <w:rsid w:val="00561CD9"/>
    <w:rsid w:val="005624B5"/>
    <w:rsid w:val="0056369B"/>
    <w:rsid w:val="00563C4B"/>
    <w:rsid w:val="005645D2"/>
    <w:rsid w:val="00564A0F"/>
    <w:rsid w:val="0056780A"/>
    <w:rsid w:val="005719E7"/>
    <w:rsid w:val="00573910"/>
    <w:rsid w:val="005753B8"/>
    <w:rsid w:val="00575761"/>
    <w:rsid w:val="00580AE5"/>
    <w:rsid w:val="0058137A"/>
    <w:rsid w:val="005817C5"/>
    <w:rsid w:val="0058264F"/>
    <w:rsid w:val="00582BA8"/>
    <w:rsid w:val="00583240"/>
    <w:rsid w:val="00583A97"/>
    <w:rsid w:val="00585C20"/>
    <w:rsid w:val="00585DB7"/>
    <w:rsid w:val="005878B4"/>
    <w:rsid w:val="00587A1C"/>
    <w:rsid w:val="005925F0"/>
    <w:rsid w:val="005939F7"/>
    <w:rsid w:val="00594B10"/>
    <w:rsid w:val="005965FA"/>
    <w:rsid w:val="0059678D"/>
    <w:rsid w:val="005975B9"/>
    <w:rsid w:val="0059783D"/>
    <w:rsid w:val="00597863"/>
    <w:rsid w:val="005A1641"/>
    <w:rsid w:val="005A29CB"/>
    <w:rsid w:val="005A2E8B"/>
    <w:rsid w:val="005A3765"/>
    <w:rsid w:val="005A3D0D"/>
    <w:rsid w:val="005A7E5D"/>
    <w:rsid w:val="005B0C33"/>
    <w:rsid w:val="005B1A58"/>
    <w:rsid w:val="005B270E"/>
    <w:rsid w:val="005B273F"/>
    <w:rsid w:val="005B3A8F"/>
    <w:rsid w:val="005B3B0E"/>
    <w:rsid w:val="005B5B55"/>
    <w:rsid w:val="005C09F1"/>
    <w:rsid w:val="005C2CCD"/>
    <w:rsid w:val="005C3D7C"/>
    <w:rsid w:val="005C42AE"/>
    <w:rsid w:val="005C4CD6"/>
    <w:rsid w:val="005C5515"/>
    <w:rsid w:val="005C5B86"/>
    <w:rsid w:val="005C7D18"/>
    <w:rsid w:val="005D2616"/>
    <w:rsid w:val="005D2A98"/>
    <w:rsid w:val="005D36DE"/>
    <w:rsid w:val="005D3A4F"/>
    <w:rsid w:val="005E0C28"/>
    <w:rsid w:val="005E0FE6"/>
    <w:rsid w:val="005E1250"/>
    <w:rsid w:val="005E1C36"/>
    <w:rsid w:val="005E2194"/>
    <w:rsid w:val="005E285E"/>
    <w:rsid w:val="005E4056"/>
    <w:rsid w:val="005E4A97"/>
    <w:rsid w:val="005E5D10"/>
    <w:rsid w:val="005E6C87"/>
    <w:rsid w:val="005E7747"/>
    <w:rsid w:val="005F0D84"/>
    <w:rsid w:val="005F1CA3"/>
    <w:rsid w:val="005F6A09"/>
    <w:rsid w:val="005F7AEB"/>
    <w:rsid w:val="005F7D01"/>
    <w:rsid w:val="00601F7C"/>
    <w:rsid w:val="00602BAF"/>
    <w:rsid w:val="006030D2"/>
    <w:rsid w:val="00603146"/>
    <w:rsid w:val="00603470"/>
    <w:rsid w:val="0060388B"/>
    <w:rsid w:val="006043C3"/>
    <w:rsid w:val="00604ADE"/>
    <w:rsid w:val="00606E35"/>
    <w:rsid w:val="00607091"/>
    <w:rsid w:val="0060753D"/>
    <w:rsid w:val="00610885"/>
    <w:rsid w:val="006121A6"/>
    <w:rsid w:val="0061259F"/>
    <w:rsid w:val="0061417D"/>
    <w:rsid w:val="006148DF"/>
    <w:rsid w:val="006149A5"/>
    <w:rsid w:val="00614E16"/>
    <w:rsid w:val="006156E0"/>
    <w:rsid w:val="00616F8B"/>
    <w:rsid w:val="00620A97"/>
    <w:rsid w:val="0062148B"/>
    <w:rsid w:val="00622CF4"/>
    <w:rsid w:val="0062544A"/>
    <w:rsid w:val="006255E4"/>
    <w:rsid w:val="00626FA9"/>
    <w:rsid w:val="00627A52"/>
    <w:rsid w:val="00627DE1"/>
    <w:rsid w:val="00630A4F"/>
    <w:rsid w:val="00630D5D"/>
    <w:rsid w:val="006323D0"/>
    <w:rsid w:val="00633101"/>
    <w:rsid w:val="00634099"/>
    <w:rsid w:val="0063445C"/>
    <w:rsid w:val="00635175"/>
    <w:rsid w:val="00636890"/>
    <w:rsid w:val="00637506"/>
    <w:rsid w:val="0064036E"/>
    <w:rsid w:val="00640DC8"/>
    <w:rsid w:val="00641831"/>
    <w:rsid w:val="00643216"/>
    <w:rsid w:val="006464A9"/>
    <w:rsid w:val="00647BE1"/>
    <w:rsid w:val="00652A29"/>
    <w:rsid w:val="00652D20"/>
    <w:rsid w:val="00652FC1"/>
    <w:rsid w:val="006546F5"/>
    <w:rsid w:val="0065534F"/>
    <w:rsid w:val="00656088"/>
    <w:rsid w:val="006606A8"/>
    <w:rsid w:val="0066080C"/>
    <w:rsid w:val="006608D4"/>
    <w:rsid w:val="00660E5F"/>
    <w:rsid w:val="00662258"/>
    <w:rsid w:val="0066262D"/>
    <w:rsid w:val="00664462"/>
    <w:rsid w:val="00665ED3"/>
    <w:rsid w:val="00666185"/>
    <w:rsid w:val="006664FA"/>
    <w:rsid w:val="00670D08"/>
    <w:rsid w:val="006712AE"/>
    <w:rsid w:val="006717A2"/>
    <w:rsid w:val="00672937"/>
    <w:rsid w:val="00673CAF"/>
    <w:rsid w:val="00674364"/>
    <w:rsid w:val="0067481F"/>
    <w:rsid w:val="00674A05"/>
    <w:rsid w:val="00675930"/>
    <w:rsid w:val="00675F04"/>
    <w:rsid w:val="00675F2E"/>
    <w:rsid w:val="006766DF"/>
    <w:rsid w:val="00676EC7"/>
    <w:rsid w:val="006779FE"/>
    <w:rsid w:val="006818BB"/>
    <w:rsid w:val="00681C0D"/>
    <w:rsid w:val="00681C49"/>
    <w:rsid w:val="006827CF"/>
    <w:rsid w:val="0068297E"/>
    <w:rsid w:val="00685822"/>
    <w:rsid w:val="00685ADF"/>
    <w:rsid w:val="006878AF"/>
    <w:rsid w:val="00687A56"/>
    <w:rsid w:val="00690064"/>
    <w:rsid w:val="006900C1"/>
    <w:rsid w:val="006903FE"/>
    <w:rsid w:val="00690AC3"/>
    <w:rsid w:val="00690F96"/>
    <w:rsid w:val="0069137A"/>
    <w:rsid w:val="006919B0"/>
    <w:rsid w:val="00693672"/>
    <w:rsid w:val="00693A8C"/>
    <w:rsid w:val="006950DC"/>
    <w:rsid w:val="00695885"/>
    <w:rsid w:val="00695D5F"/>
    <w:rsid w:val="006975DB"/>
    <w:rsid w:val="006A0166"/>
    <w:rsid w:val="006A267F"/>
    <w:rsid w:val="006A60FF"/>
    <w:rsid w:val="006A6869"/>
    <w:rsid w:val="006A7C60"/>
    <w:rsid w:val="006B0A1E"/>
    <w:rsid w:val="006B0C74"/>
    <w:rsid w:val="006B12C4"/>
    <w:rsid w:val="006B1658"/>
    <w:rsid w:val="006B356C"/>
    <w:rsid w:val="006B4539"/>
    <w:rsid w:val="006B5351"/>
    <w:rsid w:val="006B5AFD"/>
    <w:rsid w:val="006B5FBE"/>
    <w:rsid w:val="006B6637"/>
    <w:rsid w:val="006B69A6"/>
    <w:rsid w:val="006B6C72"/>
    <w:rsid w:val="006C2D67"/>
    <w:rsid w:val="006C349B"/>
    <w:rsid w:val="006C35BA"/>
    <w:rsid w:val="006C367E"/>
    <w:rsid w:val="006C5AEF"/>
    <w:rsid w:val="006C704A"/>
    <w:rsid w:val="006D0C5D"/>
    <w:rsid w:val="006D1535"/>
    <w:rsid w:val="006D6833"/>
    <w:rsid w:val="006D78D9"/>
    <w:rsid w:val="006E1DFD"/>
    <w:rsid w:val="006E2350"/>
    <w:rsid w:val="006E28BA"/>
    <w:rsid w:val="006E56D2"/>
    <w:rsid w:val="006E685D"/>
    <w:rsid w:val="006E74CC"/>
    <w:rsid w:val="006E784A"/>
    <w:rsid w:val="006E7A6C"/>
    <w:rsid w:val="006E7C10"/>
    <w:rsid w:val="006F2412"/>
    <w:rsid w:val="006F2680"/>
    <w:rsid w:val="006F3690"/>
    <w:rsid w:val="006F36CA"/>
    <w:rsid w:val="006F3875"/>
    <w:rsid w:val="006F6371"/>
    <w:rsid w:val="006F6E54"/>
    <w:rsid w:val="006F71D7"/>
    <w:rsid w:val="00701726"/>
    <w:rsid w:val="00701E7E"/>
    <w:rsid w:val="00704F7F"/>
    <w:rsid w:val="0070513A"/>
    <w:rsid w:val="00706BF5"/>
    <w:rsid w:val="0070738A"/>
    <w:rsid w:val="0070792D"/>
    <w:rsid w:val="00707F74"/>
    <w:rsid w:val="00710242"/>
    <w:rsid w:val="00710489"/>
    <w:rsid w:val="007109AC"/>
    <w:rsid w:val="00710C6E"/>
    <w:rsid w:val="00711089"/>
    <w:rsid w:val="0071194A"/>
    <w:rsid w:val="00712174"/>
    <w:rsid w:val="00712494"/>
    <w:rsid w:val="00715775"/>
    <w:rsid w:val="00715CF7"/>
    <w:rsid w:val="00720732"/>
    <w:rsid w:val="00720E4E"/>
    <w:rsid w:val="00721683"/>
    <w:rsid w:val="00722AA3"/>
    <w:rsid w:val="00722C26"/>
    <w:rsid w:val="007248A2"/>
    <w:rsid w:val="0072537F"/>
    <w:rsid w:val="00726DA1"/>
    <w:rsid w:val="00727249"/>
    <w:rsid w:val="00727292"/>
    <w:rsid w:val="00730E1C"/>
    <w:rsid w:val="0073297E"/>
    <w:rsid w:val="00732EE5"/>
    <w:rsid w:val="00733906"/>
    <w:rsid w:val="00733AA8"/>
    <w:rsid w:val="007346B4"/>
    <w:rsid w:val="0073488C"/>
    <w:rsid w:val="00734A82"/>
    <w:rsid w:val="0073508E"/>
    <w:rsid w:val="007362ED"/>
    <w:rsid w:val="00736350"/>
    <w:rsid w:val="0073695F"/>
    <w:rsid w:val="00737397"/>
    <w:rsid w:val="00740D06"/>
    <w:rsid w:val="00741106"/>
    <w:rsid w:val="00741A2E"/>
    <w:rsid w:val="00743336"/>
    <w:rsid w:val="007434B9"/>
    <w:rsid w:val="00743671"/>
    <w:rsid w:val="0074424F"/>
    <w:rsid w:val="00744A98"/>
    <w:rsid w:val="00745E45"/>
    <w:rsid w:val="00747124"/>
    <w:rsid w:val="00747619"/>
    <w:rsid w:val="00747A49"/>
    <w:rsid w:val="00750020"/>
    <w:rsid w:val="00750A44"/>
    <w:rsid w:val="00751A49"/>
    <w:rsid w:val="0075398B"/>
    <w:rsid w:val="0075428D"/>
    <w:rsid w:val="00755082"/>
    <w:rsid w:val="00755861"/>
    <w:rsid w:val="00761546"/>
    <w:rsid w:val="0076207C"/>
    <w:rsid w:val="00762500"/>
    <w:rsid w:val="00762B1B"/>
    <w:rsid w:val="0076427A"/>
    <w:rsid w:val="00764837"/>
    <w:rsid w:val="00764A5D"/>
    <w:rsid w:val="00766437"/>
    <w:rsid w:val="00766C82"/>
    <w:rsid w:val="00771162"/>
    <w:rsid w:val="00771866"/>
    <w:rsid w:val="00771D53"/>
    <w:rsid w:val="007733B2"/>
    <w:rsid w:val="007736E0"/>
    <w:rsid w:val="0077486A"/>
    <w:rsid w:val="0077496D"/>
    <w:rsid w:val="00777D3B"/>
    <w:rsid w:val="00777E79"/>
    <w:rsid w:val="00780764"/>
    <w:rsid w:val="00781296"/>
    <w:rsid w:val="00781C41"/>
    <w:rsid w:val="00783EDA"/>
    <w:rsid w:val="00784969"/>
    <w:rsid w:val="00785A36"/>
    <w:rsid w:val="0078770B"/>
    <w:rsid w:val="00790CCC"/>
    <w:rsid w:val="00793583"/>
    <w:rsid w:val="00793C9E"/>
    <w:rsid w:val="00797641"/>
    <w:rsid w:val="007A0692"/>
    <w:rsid w:val="007A07A7"/>
    <w:rsid w:val="007A2464"/>
    <w:rsid w:val="007A38AF"/>
    <w:rsid w:val="007A438D"/>
    <w:rsid w:val="007A4EFF"/>
    <w:rsid w:val="007A61F3"/>
    <w:rsid w:val="007A7D86"/>
    <w:rsid w:val="007B1FAB"/>
    <w:rsid w:val="007B3614"/>
    <w:rsid w:val="007B3BC1"/>
    <w:rsid w:val="007B3CD4"/>
    <w:rsid w:val="007B4474"/>
    <w:rsid w:val="007B5800"/>
    <w:rsid w:val="007B5A02"/>
    <w:rsid w:val="007B5F6C"/>
    <w:rsid w:val="007B6A52"/>
    <w:rsid w:val="007B783F"/>
    <w:rsid w:val="007C0887"/>
    <w:rsid w:val="007C2A82"/>
    <w:rsid w:val="007C2B0B"/>
    <w:rsid w:val="007C3ADB"/>
    <w:rsid w:val="007C402C"/>
    <w:rsid w:val="007C4228"/>
    <w:rsid w:val="007C43AF"/>
    <w:rsid w:val="007C4618"/>
    <w:rsid w:val="007C4B53"/>
    <w:rsid w:val="007C53DB"/>
    <w:rsid w:val="007C56E0"/>
    <w:rsid w:val="007C7DF4"/>
    <w:rsid w:val="007D0102"/>
    <w:rsid w:val="007D0341"/>
    <w:rsid w:val="007D25C7"/>
    <w:rsid w:val="007D289E"/>
    <w:rsid w:val="007D2A96"/>
    <w:rsid w:val="007D3019"/>
    <w:rsid w:val="007D3962"/>
    <w:rsid w:val="007D3B51"/>
    <w:rsid w:val="007D4472"/>
    <w:rsid w:val="007D46DC"/>
    <w:rsid w:val="007D49AC"/>
    <w:rsid w:val="007D509C"/>
    <w:rsid w:val="007D6431"/>
    <w:rsid w:val="007D65E1"/>
    <w:rsid w:val="007D69DE"/>
    <w:rsid w:val="007D6D0F"/>
    <w:rsid w:val="007E0865"/>
    <w:rsid w:val="007E27E3"/>
    <w:rsid w:val="007E3530"/>
    <w:rsid w:val="007E5446"/>
    <w:rsid w:val="007E562E"/>
    <w:rsid w:val="007F1612"/>
    <w:rsid w:val="007F1A41"/>
    <w:rsid w:val="007F1F3F"/>
    <w:rsid w:val="007F7480"/>
    <w:rsid w:val="008001BF"/>
    <w:rsid w:val="00800B51"/>
    <w:rsid w:val="00801264"/>
    <w:rsid w:val="0080182B"/>
    <w:rsid w:val="0080527C"/>
    <w:rsid w:val="008052C3"/>
    <w:rsid w:val="00806256"/>
    <w:rsid w:val="00806400"/>
    <w:rsid w:val="008067CC"/>
    <w:rsid w:val="00807FF6"/>
    <w:rsid w:val="00811631"/>
    <w:rsid w:val="00811EBD"/>
    <w:rsid w:val="008123E0"/>
    <w:rsid w:val="008133DE"/>
    <w:rsid w:val="00814CF2"/>
    <w:rsid w:val="00815009"/>
    <w:rsid w:val="0081603E"/>
    <w:rsid w:val="008175EF"/>
    <w:rsid w:val="008176AC"/>
    <w:rsid w:val="00820149"/>
    <w:rsid w:val="008219DB"/>
    <w:rsid w:val="00823478"/>
    <w:rsid w:val="00826546"/>
    <w:rsid w:val="008265E8"/>
    <w:rsid w:val="008276A6"/>
    <w:rsid w:val="00827DDF"/>
    <w:rsid w:val="00830095"/>
    <w:rsid w:val="008301D6"/>
    <w:rsid w:val="00830900"/>
    <w:rsid w:val="00830B9F"/>
    <w:rsid w:val="00830E86"/>
    <w:rsid w:val="008315E5"/>
    <w:rsid w:val="00833586"/>
    <w:rsid w:val="008339EC"/>
    <w:rsid w:val="008343FE"/>
    <w:rsid w:val="00834C26"/>
    <w:rsid w:val="008364C1"/>
    <w:rsid w:val="008365C0"/>
    <w:rsid w:val="008377A9"/>
    <w:rsid w:val="0084173E"/>
    <w:rsid w:val="0084179D"/>
    <w:rsid w:val="00841FF3"/>
    <w:rsid w:val="00842350"/>
    <w:rsid w:val="008426CA"/>
    <w:rsid w:val="00843EE6"/>
    <w:rsid w:val="00844C3C"/>
    <w:rsid w:val="00844EE3"/>
    <w:rsid w:val="00845FB7"/>
    <w:rsid w:val="008475DB"/>
    <w:rsid w:val="008476AA"/>
    <w:rsid w:val="008479F7"/>
    <w:rsid w:val="00847BE7"/>
    <w:rsid w:val="00851BC9"/>
    <w:rsid w:val="008523CD"/>
    <w:rsid w:val="008533A8"/>
    <w:rsid w:val="008558C8"/>
    <w:rsid w:val="00855A4E"/>
    <w:rsid w:val="0085691C"/>
    <w:rsid w:val="00856AC5"/>
    <w:rsid w:val="008578D5"/>
    <w:rsid w:val="00857A16"/>
    <w:rsid w:val="00857FE7"/>
    <w:rsid w:val="0086058E"/>
    <w:rsid w:val="00860F0B"/>
    <w:rsid w:val="0086127A"/>
    <w:rsid w:val="00861DAB"/>
    <w:rsid w:val="00862195"/>
    <w:rsid w:val="00862A02"/>
    <w:rsid w:val="008646E3"/>
    <w:rsid w:val="00864707"/>
    <w:rsid w:val="008658EB"/>
    <w:rsid w:val="00865F27"/>
    <w:rsid w:val="008712DA"/>
    <w:rsid w:val="00871D2B"/>
    <w:rsid w:val="00872106"/>
    <w:rsid w:val="00872B15"/>
    <w:rsid w:val="008733B5"/>
    <w:rsid w:val="00873FF5"/>
    <w:rsid w:val="00874204"/>
    <w:rsid w:val="00874CC7"/>
    <w:rsid w:val="00876658"/>
    <w:rsid w:val="00876726"/>
    <w:rsid w:val="00876F6E"/>
    <w:rsid w:val="0088070E"/>
    <w:rsid w:val="0088079D"/>
    <w:rsid w:val="00880AEB"/>
    <w:rsid w:val="00881A2A"/>
    <w:rsid w:val="00881FED"/>
    <w:rsid w:val="0088208F"/>
    <w:rsid w:val="00885399"/>
    <w:rsid w:val="0088577D"/>
    <w:rsid w:val="00885AD3"/>
    <w:rsid w:val="00885B1D"/>
    <w:rsid w:val="0088676C"/>
    <w:rsid w:val="008915F5"/>
    <w:rsid w:val="0089180A"/>
    <w:rsid w:val="00891938"/>
    <w:rsid w:val="00893A82"/>
    <w:rsid w:val="00893E3C"/>
    <w:rsid w:val="00893F00"/>
    <w:rsid w:val="00895639"/>
    <w:rsid w:val="00895A28"/>
    <w:rsid w:val="00896E39"/>
    <w:rsid w:val="008971EB"/>
    <w:rsid w:val="00897729"/>
    <w:rsid w:val="008A0E27"/>
    <w:rsid w:val="008A13B6"/>
    <w:rsid w:val="008A2A22"/>
    <w:rsid w:val="008A3895"/>
    <w:rsid w:val="008A554F"/>
    <w:rsid w:val="008A6B4A"/>
    <w:rsid w:val="008A6BEC"/>
    <w:rsid w:val="008A6D3E"/>
    <w:rsid w:val="008A6F98"/>
    <w:rsid w:val="008A707C"/>
    <w:rsid w:val="008A7105"/>
    <w:rsid w:val="008B0241"/>
    <w:rsid w:val="008B0732"/>
    <w:rsid w:val="008B201D"/>
    <w:rsid w:val="008B2049"/>
    <w:rsid w:val="008B2A5A"/>
    <w:rsid w:val="008B3AE9"/>
    <w:rsid w:val="008B3C03"/>
    <w:rsid w:val="008B3F7F"/>
    <w:rsid w:val="008B4DF2"/>
    <w:rsid w:val="008B578C"/>
    <w:rsid w:val="008B6037"/>
    <w:rsid w:val="008B60E4"/>
    <w:rsid w:val="008C4CED"/>
    <w:rsid w:val="008C52B9"/>
    <w:rsid w:val="008C56E5"/>
    <w:rsid w:val="008C597D"/>
    <w:rsid w:val="008C65FE"/>
    <w:rsid w:val="008C792A"/>
    <w:rsid w:val="008C7949"/>
    <w:rsid w:val="008D04A3"/>
    <w:rsid w:val="008D141D"/>
    <w:rsid w:val="008D1AA1"/>
    <w:rsid w:val="008D2690"/>
    <w:rsid w:val="008D3FCB"/>
    <w:rsid w:val="008D47C4"/>
    <w:rsid w:val="008D55A9"/>
    <w:rsid w:val="008D5993"/>
    <w:rsid w:val="008D5E45"/>
    <w:rsid w:val="008D6B67"/>
    <w:rsid w:val="008D6F78"/>
    <w:rsid w:val="008E019B"/>
    <w:rsid w:val="008E07C5"/>
    <w:rsid w:val="008E131C"/>
    <w:rsid w:val="008E15A3"/>
    <w:rsid w:val="008E17B4"/>
    <w:rsid w:val="008E2240"/>
    <w:rsid w:val="008E2507"/>
    <w:rsid w:val="008E291C"/>
    <w:rsid w:val="008E30CB"/>
    <w:rsid w:val="008E42DD"/>
    <w:rsid w:val="008E6B8D"/>
    <w:rsid w:val="008E6C5C"/>
    <w:rsid w:val="008E7D22"/>
    <w:rsid w:val="008F0251"/>
    <w:rsid w:val="008F1222"/>
    <w:rsid w:val="008F200F"/>
    <w:rsid w:val="008F26C9"/>
    <w:rsid w:val="008F2826"/>
    <w:rsid w:val="008F2D38"/>
    <w:rsid w:val="008F2E0C"/>
    <w:rsid w:val="008F3EEC"/>
    <w:rsid w:val="008F7470"/>
    <w:rsid w:val="008F7833"/>
    <w:rsid w:val="009018CF"/>
    <w:rsid w:val="00901E2E"/>
    <w:rsid w:val="009029D1"/>
    <w:rsid w:val="009032AE"/>
    <w:rsid w:val="00903D82"/>
    <w:rsid w:val="0090402E"/>
    <w:rsid w:val="00904240"/>
    <w:rsid w:val="0090440A"/>
    <w:rsid w:val="0091050C"/>
    <w:rsid w:val="00910B33"/>
    <w:rsid w:val="00912469"/>
    <w:rsid w:val="00913542"/>
    <w:rsid w:val="0091445E"/>
    <w:rsid w:val="00914954"/>
    <w:rsid w:val="00915E60"/>
    <w:rsid w:val="00920132"/>
    <w:rsid w:val="00920D1B"/>
    <w:rsid w:val="00921220"/>
    <w:rsid w:val="009213A9"/>
    <w:rsid w:val="00922AB8"/>
    <w:rsid w:val="00923708"/>
    <w:rsid w:val="00924B85"/>
    <w:rsid w:val="009256F1"/>
    <w:rsid w:val="00925771"/>
    <w:rsid w:val="009305BF"/>
    <w:rsid w:val="00932E26"/>
    <w:rsid w:val="0093397A"/>
    <w:rsid w:val="0093501E"/>
    <w:rsid w:val="00935775"/>
    <w:rsid w:val="009365FD"/>
    <w:rsid w:val="00936E00"/>
    <w:rsid w:val="009409A1"/>
    <w:rsid w:val="00941584"/>
    <w:rsid w:val="00941AA4"/>
    <w:rsid w:val="0094275D"/>
    <w:rsid w:val="00942FEB"/>
    <w:rsid w:val="00944279"/>
    <w:rsid w:val="00944764"/>
    <w:rsid w:val="00944A81"/>
    <w:rsid w:val="00947D05"/>
    <w:rsid w:val="00950558"/>
    <w:rsid w:val="009506C2"/>
    <w:rsid w:val="0095266A"/>
    <w:rsid w:val="00954E40"/>
    <w:rsid w:val="009555E9"/>
    <w:rsid w:val="00955D06"/>
    <w:rsid w:val="00957167"/>
    <w:rsid w:val="009577C4"/>
    <w:rsid w:val="00962FD1"/>
    <w:rsid w:val="009635B4"/>
    <w:rsid w:val="00963984"/>
    <w:rsid w:val="00963D35"/>
    <w:rsid w:val="009642B0"/>
    <w:rsid w:val="009643EA"/>
    <w:rsid w:val="00964663"/>
    <w:rsid w:val="00964922"/>
    <w:rsid w:val="00964CCB"/>
    <w:rsid w:val="009704C1"/>
    <w:rsid w:val="00970536"/>
    <w:rsid w:val="009716CF"/>
    <w:rsid w:val="00971903"/>
    <w:rsid w:val="00971F7D"/>
    <w:rsid w:val="00974CEA"/>
    <w:rsid w:val="00974D19"/>
    <w:rsid w:val="0097506E"/>
    <w:rsid w:val="00975567"/>
    <w:rsid w:val="00975D60"/>
    <w:rsid w:val="00975E4B"/>
    <w:rsid w:val="009767FA"/>
    <w:rsid w:val="00977FA5"/>
    <w:rsid w:val="00980C63"/>
    <w:rsid w:val="00981156"/>
    <w:rsid w:val="00981827"/>
    <w:rsid w:val="009822C8"/>
    <w:rsid w:val="009827B9"/>
    <w:rsid w:val="0098391E"/>
    <w:rsid w:val="00985EF4"/>
    <w:rsid w:val="00987A91"/>
    <w:rsid w:val="009902BC"/>
    <w:rsid w:val="00990D32"/>
    <w:rsid w:val="00992665"/>
    <w:rsid w:val="00994034"/>
    <w:rsid w:val="00994674"/>
    <w:rsid w:val="00995D50"/>
    <w:rsid w:val="00996042"/>
    <w:rsid w:val="00996FE2"/>
    <w:rsid w:val="00997946"/>
    <w:rsid w:val="00997FC6"/>
    <w:rsid w:val="009A0805"/>
    <w:rsid w:val="009A0C4B"/>
    <w:rsid w:val="009A38AA"/>
    <w:rsid w:val="009A38FE"/>
    <w:rsid w:val="009A48AE"/>
    <w:rsid w:val="009A5591"/>
    <w:rsid w:val="009A65D6"/>
    <w:rsid w:val="009A6A58"/>
    <w:rsid w:val="009A6E04"/>
    <w:rsid w:val="009A77CD"/>
    <w:rsid w:val="009A7C3C"/>
    <w:rsid w:val="009B0415"/>
    <w:rsid w:val="009B05E6"/>
    <w:rsid w:val="009B0B83"/>
    <w:rsid w:val="009B1FF5"/>
    <w:rsid w:val="009B22AB"/>
    <w:rsid w:val="009B31DD"/>
    <w:rsid w:val="009B3EEB"/>
    <w:rsid w:val="009B4C96"/>
    <w:rsid w:val="009B574B"/>
    <w:rsid w:val="009B68FD"/>
    <w:rsid w:val="009B692E"/>
    <w:rsid w:val="009B6DBD"/>
    <w:rsid w:val="009C0B69"/>
    <w:rsid w:val="009C0D01"/>
    <w:rsid w:val="009C122C"/>
    <w:rsid w:val="009C361C"/>
    <w:rsid w:val="009C3EF4"/>
    <w:rsid w:val="009C41C0"/>
    <w:rsid w:val="009C4505"/>
    <w:rsid w:val="009C53FF"/>
    <w:rsid w:val="009C6E03"/>
    <w:rsid w:val="009C7090"/>
    <w:rsid w:val="009C7C79"/>
    <w:rsid w:val="009D2C6B"/>
    <w:rsid w:val="009D31B7"/>
    <w:rsid w:val="009D434B"/>
    <w:rsid w:val="009D4846"/>
    <w:rsid w:val="009E01DD"/>
    <w:rsid w:val="009E0954"/>
    <w:rsid w:val="009E0B3E"/>
    <w:rsid w:val="009E24D0"/>
    <w:rsid w:val="009E2604"/>
    <w:rsid w:val="009E27A8"/>
    <w:rsid w:val="009E4314"/>
    <w:rsid w:val="009E5ABD"/>
    <w:rsid w:val="009E6285"/>
    <w:rsid w:val="009E68DB"/>
    <w:rsid w:val="009E6CBE"/>
    <w:rsid w:val="009E7E15"/>
    <w:rsid w:val="009F10E1"/>
    <w:rsid w:val="009F1EE6"/>
    <w:rsid w:val="009F423A"/>
    <w:rsid w:val="009F48D0"/>
    <w:rsid w:val="009F4E5B"/>
    <w:rsid w:val="009F50FB"/>
    <w:rsid w:val="009F5F27"/>
    <w:rsid w:val="009F6F4A"/>
    <w:rsid w:val="009F6FC9"/>
    <w:rsid w:val="009F71F4"/>
    <w:rsid w:val="009F74FF"/>
    <w:rsid w:val="00A00A5F"/>
    <w:rsid w:val="00A01064"/>
    <w:rsid w:val="00A011C1"/>
    <w:rsid w:val="00A01248"/>
    <w:rsid w:val="00A0219F"/>
    <w:rsid w:val="00A044BB"/>
    <w:rsid w:val="00A04851"/>
    <w:rsid w:val="00A04BB7"/>
    <w:rsid w:val="00A0559A"/>
    <w:rsid w:val="00A06F7A"/>
    <w:rsid w:val="00A072AA"/>
    <w:rsid w:val="00A109DF"/>
    <w:rsid w:val="00A1192D"/>
    <w:rsid w:val="00A14324"/>
    <w:rsid w:val="00A148D8"/>
    <w:rsid w:val="00A16296"/>
    <w:rsid w:val="00A16C0C"/>
    <w:rsid w:val="00A17E55"/>
    <w:rsid w:val="00A21915"/>
    <w:rsid w:val="00A22163"/>
    <w:rsid w:val="00A2291D"/>
    <w:rsid w:val="00A22DE1"/>
    <w:rsid w:val="00A23574"/>
    <w:rsid w:val="00A24214"/>
    <w:rsid w:val="00A249D0"/>
    <w:rsid w:val="00A25954"/>
    <w:rsid w:val="00A25B65"/>
    <w:rsid w:val="00A27DCC"/>
    <w:rsid w:val="00A3124D"/>
    <w:rsid w:val="00A328C3"/>
    <w:rsid w:val="00A32F17"/>
    <w:rsid w:val="00A33CC0"/>
    <w:rsid w:val="00A3402B"/>
    <w:rsid w:val="00A34366"/>
    <w:rsid w:val="00A36686"/>
    <w:rsid w:val="00A367AC"/>
    <w:rsid w:val="00A36FEE"/>
    <w:rsid w:val="00A40860"/>
    <w:rsid w:val="00A41198"/>
    <w:rsid w:val="00A419F6"/>
    <w:rsid w:val="00A41AB3"/>
    <w:rsid w:val="00A42379"/>
    <w:rsid w:val="00A42677"/>
    <w:rsid w:val="00A42E1F"/>
    <w:rsid w:val="00A438A9"/>
    <w:rsid w:val="00A45547"/>
    <w:rsid w:val="00A458F5"/>
    <w:rsid w:val="00A45B92"/>
    <w:rsid w:val="00A467BD"/>
    <w:rsid w:val="00A517D2"/>
    <w:rsid w:val="00A53CA4"/>
    <w:rsid w:val="00A5445A"/>
    <w:rsid w:val="00A55A9E"/>
    <w:rsid w:val="00A60C8C"/>
    <w:rsid w:val="00A61ECA"/>
    <w:rsid w:val="00A62CCB"/>
    <w:rsid w:val="00A673B5"/>
    <w:rsid w:val="00A67466"/>
    <w:rsid w:val="00A70F22"/>
    <w:rsid w:val="00A71686"/>
    <w:rsid w:val="00A72C58"/>
    <w:rsid w:val="00A72D66"/>
    <w:rsid w:val="00A73867"/>
    <w:rsid w:val="00A73E6D"/>
    <w:rsid w:val="00A741BF"/>
    <w:rsid w:val="00A754C3"/>
    <w:rsid w:val="00A76999"/>
    <w:rsid w:val="00A76BFA"/>
    <w:rsid w:val="00A778BE"/>
    <w:rsid w:val="00A809BF"/>
    <w:rsid w:val="00A82688"/>
    <w:rsid w:val="00A83BB7"/>
    <w:rsid w:val="00A84B06"/>
    <w:rsid w:val="00A86EF0"/>
    <w:rsid w:val="00A87373"/>
    <w:rsid w:val="00A9191E"/>
    <w:rsid w:val="00A92972"/>
    <w:rsid w:val="00A93B2B"/>
    <w:rsid w:val="00A94468"/>
    <w:rsid w:val="00A94CB1"/>
    <w:rsid w:val="00A9629F"/>
    <w:rsid w:val="00A96C68"/>
    <w:rsid w:val="00A974CE"/>
    <w:rsid w:val="00A97A25"/>
    <w:rsid w:val="00A97FD9"/>
    <w:rsid w:val="00AA3064"/>
    <w:rsid w:val="00AA3757"/>
    <w:rsid w:val="00AA4158"/>
    <w:rsid w:val="00AA4AB1"/>
    <w:rsid w:val="00AA5071"/>
    <w:rsid w:val="00AA5E9F"/>
    <w:rsid w:val="00AA6573"/>
    <w:rsid w:val="00AA66E9"/>
    <w:rsid w:val="00AA6B07"/>
    <w:rsid w:val="00AB04D8"/>
    <w:rsid w:val="00AB17D9"/>
    <w:rsid w:val="00AB2A92"/>
    <w:rsid w:val="00AB4E71"/>
    <w:rsid w:val="00AB51DA"/>
    <w:rsid w:val="00AB6DB6"/>
    <w:rsid w:val="00AB71C1"/>
    <w:rsid w:val="00AC146F"/>
    <w:rsid w:val="00AC3367"/>
    <w:rsid w:val="00AC4071"/>
    <w:rsid w:val="00AC5F5A"/>
    <w:rsid w:val="00AC6C09"/>
    <w:rsid w:val="00AC6DD1"/>
    <w:rsid w:val="00AD43E3"/>
    <w:rsid w:val="00AD51DA"/>
    <w:rsid w:val="00AD7256"/>
    <w:rsid w:val="00AD7A5C"/>
    <w:rsid w:val="00AE013A"/>
    <w:rsid w:val="00AE02D0"/>
    <w:rsid w:val="00AE0E23"/>
    <w:rsid w:val="00AE122B"/>
    <w:rsid w:val="00AE1A00"/>
    <w:rsid w:val="00AE1FFA"/>
    <w:rsid w:val="00AE223B"/>
    <w:rsid w:val="00AE48DA"/>
    <w:rsid w:val="00AE50C7"/>
    <w:rsid w:val="00AE6DB7"/>
    <w:rsid w:val="00AE7AA7"/>
    <w:rsid w:val="00AE7C51"/>
    <w:rsid w:val="00AE7D89"/>
    <w:rsid w:val="00AF0825"/>
    <w:rsid w:val="00AF0847"/>
    <w:rsid w:val="00AF1943"/>
    <w:rsid w:val="00AF1A13"/>
    <w:rsid w:val="00AF2083"/>
    <w:rsid w:val="00AF2C42"/>
    <w:rsid w:val="00AF46B1"/>
    <w:rsid w:val="00AF528B"/>
    <w:rsid w:val="00AF6092"/>
    <w:rsid w:val="00AF6C4E"/>
    <w:rsid w:val="00AF6CD5"/>
    <w:rsid w:val="00AF6F31"/>
    <w:rsid w:val="00B008D6"/>
    <w:rsid w:val="00B01068"/>
    <w:rsid w:val="00B01DFF"/>
    <w:rsid w:val="00B027AE"/>
    <w:rsid w:val="00B02945"/>
    <w:rsid w:val="00B0352E"/>
    <w:rsid w:val="00B03D5A"/>
    <w:rsid w:val="00B061F2"/>
    <w:rsid w:val="00B06796"/>
    <w:rsid w:val="00B06F77"/>
    <w:rsid w:val="00B07A6D"/>
    <w:rsid w:val="00B07B3A"/>
    <w:rsid w:val="00B1038E"/>
    <w:rsid w:val="00B12785"/>
    <w:rsid w:val="00B128EE"/>
    <w:rsid w:val="00B1485E"/>
    <w:rsid w:val="00B14A72"/>
    <w:rsid w:val="00B158AC"/>
    <w:rsid w:val="00B15C6C"/>
    <w:rsid w:val="00B15D1B"/>
    <w:rsid w:val="00B16790"/>
    <w:rsid w:val="00B16AA2"/>
    <w:rsid w:val="00B16BC4"/>
    <w:rsid w:val="00B212D9"/>
    <w:rsid w:val="00B2163A"/>
    <w:rsid w:val="00B245E9"/>
    <w:rsid w:val="00B2684E"/>
    <w:rsid w:val="00B2688C"/>
    <w:rsid w:val="00B306ED"/>
    <w:rsid w:val="00B30AEA"/>
    <w:rsid w:val="00B30E38"/>
    <w:rsid w:val="00B32833"/>
    <w:rsid w:val="00B32918"/>
    <w:rsid w:val="00B3343B"/>
    <w:rsid w:val="00B3344E"/>
    <w:rsid w:val="00B337F5"/>
    <w:rsid w:val="00B345AE"/>
    <w:rsid w:val="00B34667"/>
    <w:rsid w:val="00B34DBE"/>
    <w:rsid w:val="00B34FA1"/>
    <w:rsid w:val="00B35892"/>
    <w:rsid w:val="00B358F4"/>
    <w:rsid w:val="00B35FDE"/>
    <w:rsid w:val="00B36664"/>
    <w:rsid w:val="00B4058E"/>
    <w:rsid w:val="00B4200A"/>
    <w:rsid w:val="00B44E90"/>
    <w:rsid w:val="00B44FC1"/>
    <w:rsid w:val="00B46B02"/>
    <w:rsid w:val="00B46DA0"/>
    <w:rsid w:val="00B47C2A"/>
    <w:rsid w:val="00B51AAA"/>
    <w:rsid w:val="00B5252B"/>
    <w:rsid w:val="00B53501"/>
    <w:rsid w:val="00B552C0"/>
    <w:rsid w:val="00B55F50"/>
    <w:rsid w:val="00B5618A"/>
    <w:rsid w:val="00B57890"/>
    <w:rsid w:val="00B622C3"/>
    <w:rsid w:val="00B6293E"/>
    <w:rsid w:val="00B62C0E"/>
    <w:rsid w:val="00B63571"/>
    <w:rsid w:val="00B64205"/>
    <w:rsid w:val="00B65F7C"/>
    <w:rsid w:val="00B66501"/>
    <w:rsid w:val="00B66549"/>
    <w:rsid w:val="00B67AAC"/>
    <w:rsid w:val="00B67C5F"/>
    <w:rsid w:val="00B709FC"/>
    <w:rsid w:val="00B714A2"/>
    <w:rsid w:val="00B71834"/>
    <w:rsid w:val="00B72788"/>
    <w:rsid w:val="00B7334C"/>
    <w:rsid w:val="00B73541"/>
    <w:rsid w:val="00B73C20"/>
    <w:rsid w:val="00B75390"/>
    <w:rsid w:val="00B75E34"/>
    <w:rsid w:val="00B761B4"/>
    <w:rsid w:val="00B76637"/>
    <w:rsid w:val="00B77072"/>
    <w:rsid w:val="00B77D99"/>
    <w:rsid w:val="00B81CDC"/>
    <w:rsid w:val="00B82530"/>
    <w:rsid w:val="00B82D7B"/>
    <w:rsid w:val="00B8345D"/>
    <w:rsid w:val="00B84214"/>
    <w:rsid w:val="00B84309"/>
    <w:rsid w:val="00B84AD7"/>
    <w:rsid w:val="00B85634"/>
    <w:rsid w:val="00B86282"/>
    <w:rsid w:val="00B9290E"/>
    <w:rsid w:val="00B94B49"/>
    <w:rsid w:val="00B95390"/>
    <w:rsid w:val="00B97692"/>
    <w:rsid w:val="00BA07C3"/>
    <w:rsid w:val="00BA19D4"/>
    <w:rsid w:val="00BA2105"/>
    <w:rsid w:val="00BA40AC"/>
    <w:rsid w:val="00BA497E"/>
    <w:rsid w:val="00BA641D"/>
    <w:rsid w:val="00BA6538"/>
    <w:rsid w:val="00BA6548"/>
    <w:rsid w:val="00BB05D2"/>
    <w:rsid w:val="00BB2E1E"/>
    <w:rsid w:val="00BB6B7B"/>
    <w:rsid w:val="00BC0229"/>
    <w:rsid w:val="00BC0D6A"/>
    <w:rsid w:val="00BC334D"/>
    <w:rsid w:val="00BC41AD"/>
    <w:rsid w:val="00BC428A"/>
    <w:rsid w:val="00BC4A9B"/>
    <w:rsid w:val="00BC6746"/>
    <w:rsid w:val="00BC7FE3"/>
    <w:rsid w:val="00BD1983"/>
    <w:rsid w:val="00BD286F"/>
    <w:rsid w:val="00BD3B84"/>
    <w:rsid w:val="00BD3D47"/>
    <w:rsid w:val="00BE0058"/>
    <w:rsid w:val="00BE0269"/>
    <w:rsid w:val="00BE075A"/>
    <w:rsid w:val="00BE424E"/>
    <w:rsid w:val="00BE4B81"/>
    <w:rsid w:val="00BE6709"/>
    <w:rsid w:val="00BE6C26"/>
    <w:rsid w:val="00BE7A63"/>
    <w:rsid w:val="00BF0FFD"/>
    <w:rsid w:val="00BF137F"/>
    <w:rsid w:val="00BF172C"/>
    <w:rsid w:val="00BF3DA1"/>
    <w:rsid w:val="00BF4DB9"/>
    <w:rsid w:val="00BF5BA0"/>
    <w:rsid w:val="00BF6984"/>
    <w:rsid w:val="00BF7296"/>
    <w:rsid w:val="00BF7B3E"/>
    <w:rsid w:val="00BF7D19"/>
    <w:rsid w:val="00BF7E1F"/>
    <w:rsid w:val="00C007B3"/>
    <w:rsid w:val="00C0200D"/>
    <w:rsid w:val="00C0215D"/>
    <w:rsid w:val="00C03A5B"/>
    <w:rsid w:val="00C04471"/>
    <w:rsid w:val="00C04871"/>
    <w:rsid w:val="00C04928"/>
    <w:rsid w:val="00C051EE"/>
    <w:rsid w:val="00C05800"/>
    <w:rsid w:val="00C05C44"/>
    <w:rsid w:val="00C06665"/>
    <w:rsid w:val="00C07BD1"/>
    <w:rsid w:val="00C10687"/>
    <w:rsid w:val="00C119F1"/>
    <w:rsid w:val="00C11A12"/>
    <w:rsid w:val="00C12501"/>
    <w:rsid w:val="00C13533"/>
    <w:rsid w:val="00C13E0F"/>
    <w:rsid w:val="00C14980"/>
    <w:rsid w:val="00C14DB5"/>
    <w:rsid w:val="00C162FB"/>
    <w:rsid w:val="00C16804"/>
    <w:rsid w:val="00C16A8E"/>
    <w:rsid w:val="00C16B8C"/>
    <w:rsid w:val="00C2041A"/>
    <w:rsid w:val="00C21C8F"/>
    <w:rsid w:val="00C22117"/>
    <w:rsid w:val="00C231D4"/>
    <w:rsid w:val="00C234BC"/>
    <w:rsid w:val="00C248B9"/>
    <w:rsid w:val="00C24DB3"/>
    <w:rsid w:val="00C25AB2"/>
    <w:rsid w:val="00C25B2D"/>
    <w:rsid w:val="00C26398"/>
    <w:rsid w:val="00C26DFC"/>
    <w:rsid w:val="00C27372"/>
    <w:rsid w:val="00C302D0"/>
    <w:rsid w:val="00C30CD5"/>
    <w:rsid w:val="00C31A91"/>
    <w:rsid w:val="00C31C98"/>
    <w:rsid w:val="00C3245C"/>
    <w:rsid w:val="00C32FAC"/>
    <w:rsid w:val="00C33677"/>
    <w:rsid w:val="00C339F5"/>
    <w:rsid w:val="00C353B9"/>
    <w:rsid w:val="00C36260"/>
    <w:rsid w:val="00C36A04"/>
    <w:rsid w:val="00C372FF"/>
    <w:rsid w:val="00C40BFA"/>
    <w:rsid w:val="00C41B38"/>
    <w:rsid w:val="00C431A3"/>
    <w:rsid w:val="00C431F8"/>
    <w:rsid w:val="00C4342C"/>
    <w:rsid w:val="00C447F8"/>
    <w:rsid w:val="00C45A45"/>
    <w:rsid w:val="00C469DC"/>
    <w:rsid w:val="00C46C5A"/>
    <w:rsid w:val="00C47897"/>
    <w:rsid w:val="00C5092E"/>
    <w:rsid w:val="00C514B0"/>
    <w:rsid w:val="00C519BE"/>
    <w:rsid w:val="00C525F3"/>
    <w:rsid w:val="00C53527"/>
    <w:rsid w:val="00C53B01"/>
    <w:rsid w:val="00C54E1C"/>
    <w:rsid w:val="00C54ED2"/>
    <w:rsid w:val="00C55ABE"/>
    <w:rsid w:val="00C568BA"/>
    <w:rsid w:val="00C56991"/>
    <w:rsid w:val="00C569DD"/>
    <w:rsid w:val="00C5773D"/>
    <w:rsid w:val="00C60B8E"/>
    <w:rsid w:val="00C6159E"/>
    <w:rsid w:val="00C622F9"/>
    <w:rsid w:val="00C63911"/>
    <w:rsid w:val="00C64BAF"/>
    <w:rsid w:val="00C65687"/>
    <w:rsid w:val="00C658D7"/>
    <w:rsid w:val="00C674DB"/>
    <w:rsid w:val="00C70BE4"/>
    <w:rsid w:val="00C71E9C"/>
    <w:rsid w:val="00C724ED"/>
    <w:rsid w:val="00C725B1"/>
    <w:rsid w:val="00C725D1"/>
    <w:rsid w:val="00C72B57"/>
    <w:rsid w:val="00C73BEA"/>
    <w:rsid w:val="00C7450B"/>
    <w:rsid w:val="00C745AE"/>
    <w:rsid w:val="00C80A67"/>
    <w:rsid w:val="00C80F86"/>
    <w:rsid w:val="00C82212"/>
    <w:rsid w:val="00C82E4C"/>
    <w:rsid w:val="00C84DF9"/>
    <w:rsid w:val="00C85A65"/>
    <w:rsid w:val="00C86144"/>
    <w:rsid w:val="00C873B0"/>
    <w:rsid w:val="00C87990"/>
    <w:rsid w:val="00C9117A"/>
    <w:rsid w:val="00C91FF7"/>
    <w:rsid w:val="00C924A1"/>
    <w:rsid w:val="00C93E04"/>
    <w:rsid w:val="00C94230"/>
    <w:rsid w:val="00C94B30"/>
    <w:rsid w:val="00C96430"/>
    <w:rsid w:val="00C97740"/>
    <w:rsid w:val="00CA0A1C"/>
    <w:rsid w:val="00CA0BE7"/>
    <w:rsid w:val="00CA1571"/>
    <w:rsid w:val="00CA165B"/>
    <w:rsid w:val="00CA1A07"/>
    <w:rsid w:val="00CA3D9E"/>
    <w:rsid w:val="00CA44FC"/>
    <w:rsid w:val="00CA4766"/>
    <w:rsid w:val="00CA5772"/>
    <w:rsid w:val="00CA587D"/>
    <w:rsid w:val="00CA5AB3"/>
    <w:rsid w:val="00CA5BD4"/>
    <w:rsid w:val="00CA7381"/>
    <w:rsid w:val="00CB14F7"/>
    <w:rsid w:val="00CB16E0"/>
    <w:rsid w:val="00CB2AE6"/>
    <w:rsid w:val="00CB2FAF"/>
    <w:rsid w:val="00CB33F8"/>
    <w:rsid w:val="00CB3CA1"/>
    <w:rsid w:val="00CB4923"/>
    <w:rsid w:val="00CB4A22"/>
    <w:rsid w:val="00CB4B63"/>
    <w:rsid w:val="00CB58C5"/>
    <w:rsid w:val="00CC01F5"/>
    <w:rsid w:val="00CC02E6"/>
    <w:rsid w:val="00CC03D6"/>
    <w:rsid w:val="00CC12AC"/>
    <w:rsid w:val="00CC2341"/>
    <w:rsid w:val="00CC2D4F"/>
    <w:rsid w:val="00CC2E80"/>
    <w:rsid w:val="00CC334A"/>
    <w:rsid w:val="00CC37F5"/>
    <w:rsid w:val="00CC42AB"/>
    <w:rsid w:val="00CC4DDA"/>
    <w:rsid w:val="00CC5240"/>
    <w:rsid w:val="00CC6C52"/>
    <w:rsid w:val="00CC769D"/>
    <w:rsid w:val="00CC7E50"/>
    <w:rsid w:val="00CC7EF2"/>
    <w:rsid w:val="00CD1320"/>
    <w:rsid w:val="00CD20DE"/>
    <w:rsid w:val="00CD3921"/>
    <w:rsid w:val="00CD479E"/>
    <w:rsid w:val="00CD5032"/>
    <w:rsid w:val="00CD6261"/>
    <w:rsid w:val="00CD7B46"/>
    <w:rsid w:val="00CE1FAB"/>
    <w:rsid w:val="00CE391B"/>
    <w:rsid w:val="00CE3B6C"/>
    <w:rsid w:val="00CE424F"/>
    <w:rsid w:val="00CE4CCA"/>
    <w:rsid w:val="00CE6010"/>
    <w:rsid w:val="00CE6507"/>
    <w:rsid w:val="00CE74EE"/>
    <w:rsid w:val="00CE773C"/>
    <w:rsid w:val="00CE79AA"/>
    <w:rsid w:val="00CE7A58"/>
    <w:rsid w:val="00CF0A0B"/>
    <w:rsid w:val="00CF1231"/>
    <w:rsid w:val="00CF165D"/>
    <w:rsid w:val="00CF1B6F"/>
    <w:rsid w:val="00CF691A"/>
    <w:rsid w:val="00CF777E"/>
    <w:rsid w:val="00D007EB"/>
    <w:rsid w:val="00D024A2"/>
    <w:rsid w:val="00D037CC"/>
    <w:rsid w:val="00D03E23"/>
    <w:rsid w:val="00D03EEC"/>
    <w:rsid w:val="00D0414C"/>
    <w:rsid w:val="00D04C9F"/>
    <w:rsid w:val="00D05840"/>
    <w:rsid w:val="00D0635A"/>
    <w:rsid w:val="00D06E2E"/>
    <w:rsid w:val="00D06E3B"/>
    <w:rsid w:val="00D074F3"/>
    <w:rsid w:val="00D1008D"/>
    <w:rsid w:val="00D10195"/>
    <w:rsid w:val="00D10BC7"/>
    <w:rsid w:val="00D1164D"/>
    <w:rsid w:val="00D117C8"/>
    <w:rsid w:val="00D13CE7"/>
    <w:rsid w:val="00D14354"/>
    <w:rsid w:val="00D14513"/>
    <w:rsid w:val="00D17A29"/>
    <w:rsid w:val="00D17B7A"/>
    <w:rsid w:val="00D23B41"/>
    <w:rsid w:val="00D24147"/>
    <w:rsid w:val="00D249A7"/>
    <w:rsid w:val="00D276FE"/>
    <w:rsid w:val="00D30CEE"/>
    <w:rsid w:val="00D317C9"/>
    <w:rsid w:val="00D32C29"/>
    <w:rsid w:val="00D34CD8"/>
    <w:rsid w:val="00D34F95"/>
    <w:rsid w:val="00D359E1"/>
    <w:rsid w:val="00D35FCD"/>
    <w:rsid w:val="00D3693C"/>
    <w:rsid w:val="00D36B60"/>
    <w:rsid w:val="00D37DF4"/>
    <w:rsid w:val="00D402C8"/>
    <w:rsid w:val="00D41226"/>
    <w:rsid w:val="00D42289"/>
    <w:rsid w:val="00D439B8"/>
    <w:rsid w:val="00D43CE4"/>
    <w:rsid w:val="00D452AB"/>
    <w:rsid w:val="00D51C11"/>
    <w:rsid w:val="00D51C52"/>
    <w:rsid w:val="00D539F6"/>
    <w:rsid w:val="00D53C2C"/>
    <w:rsid w:val="00D54D6E"/>
    <w:rsid w:val="00D55077"/>
    <w:rsid w:val="00D55E14"/>
    <w:rsid w:val="00D564DA"/>
    <w:rsid w:val="00D57E23"/>
    <w:rsid w:val="00D6061C"/>
    <w:rsid w:val="00D62E2F"/>
    <w:rsid w:val="00D6667C"/>
    <w:rsid w:val="00D66916"/>
    <w:rsid w:val="00D6765D"/>
    <w:rsid w:val="00D67735"/>
    <w:rsid w:val="00D71192"/>
    <w:rsid w:val="00D71DD2"/>
    <w:rsid w:val="00D71EDA"/>
    <w:rsid w:val="00D72A5F"/>
    <w:rsid w:val="00D7423B"/>
    <w:rsid w:val="00D775B7"/>
    <w:rsid w:val="00D8176D"/>
    <w:rsid w:val="00D81B0B"/>
    <w:rsid w:val="00D81CFC"/>
    <w:rsid w:val="00D81E4C"/>
    <w:rsid w:val="00D82948"/>
    <w:rsid w:val="00D833F6"/>
    <w:rsid w:val="00D85A44"/>
    <w:rsid w:val="00D860CE"/>
    <w:rsid w:val="00D875F4"/>
    <w:rsid w:val="00D87CBD"/>
    <w:rsid w:val="00D87F5E"/>
    <w:rsid w:val="00D9288E"/>
    <w:rsid w:val="00D9637A"/>
    <w:rsid w:val="00DA1D22"/>
    <w:rsid w:val="00DA3FC1"/>
    <w:rsid w:val="00DA4066"/>
    <w:rsid w:val="00DA6BE7"/>
    <w:rsid w:val="00DA7971"/>
    <w:rsid w:val="00DB08BD"/>
    <w:rsid w:val="00DB29A0"/>
    <w:rsid w:val="00DB3D56"/>
    <w:rsid w:val="00DB446E"/>
    <w:rsid w:val="00DB7321"/>
    <w:rsid w:val="00DB7730"/>
    <w:rsid w:val="00DB7CD3"/>
    <w:rsid w:val="00DC26CE"/>
    <w:rsid w:val="00DC28E3"/>
    <w:rsid w:val="00DC40B8"/>
    <w:rsid w:val="00DC5E80"/>
    <w:rsid w:val="00DC614D"/>
    <w:rsid w:val="00DC6C34"/>
    <w:rsid w:val="00DC7341"/>
    <w:rsid w:val="00DD2213"/>
    <w:rsid w:val="00DD25AB"/>
    <w:rsid w:val="00DD3FE8"/>
    <w:rsid w:val="00DD4FE5"/>
    <w:rsid w:val="00DE079F"/>
    <w:rsid w:val="00DE1374"/>
    <w:rsid w:val="00DE18B0"/>
    <w:rsid w:val="00DE2B6B"/>
    <w:rsid w:val="00DE43FE"/>
    <w:rsid w:val="00DE44D9"/>
    <w:rsid w:val="00DE4AA1"/>
    <w:rsid w:val="00DE583E"/>
    <w:rsid w:val="00DE5DA7"/>
    <w:rsid w:val="00DE5E8A"/>
    <w:rsid w:val="00DE7AE8"/>
    <w:rsid w:val="00DF113B"/>
    <w:rsid w:val="00DF23F5"/>
    <w:rsid w:val="00DF26C9"/>
    <w:rsid w:val="00DF4041"/>
    <w:rsid w:val="00DF4BB0"/>
    <w:rsid w:val="00DF5378"/>
    <w:rsid w:val="00DF6A6D"/>
    <w:rsid w:val="00E00ACD"/>
    <w:rsid w:val="00E00DA0"/>
    <w:rsid w:val="00E00E07"/>
    <w:rsid w:val="00E012EC"/>
    <w:rsid w:val="00E01AA2"/>
    <w:rsid w:val="00E01F4F"/>
    <w:rsid w:val="00E035EB"/>
    <w:rsid w:val="00E03DB3"/>
    <w:rsid w:val="00E06271"/>
    <w:rsid w:val="00E06999"/>
    <w:rsid w:val="00E06B65"/>
    <w:rsid w:val="00E0792E"/>
    <w:rsid w:val="00E1089C"/>
    <w:rsid w:val="00E108D3"/>
    <w:rsid w:val="00E11A86"/>
    <w:rsid w:val="00E134CB"/>
    <w:rsid w:val="00E13850"/>
    <w:rsid w:val="00E151F0"/>
    <w:rsid w:val="00E159CC"/>
    <w:rsid w:val="00E165D2"/>
    <w:rsid w:val="00E17115"/>
    <w:rsid w:val="00E20516"/>
    <w:rsid w:val="00E20884"/>
    <w:rsid w:val="00E21465"/>
    <w:rsid w:val="00E22ACD"/>
    <w:rsid w:val="00E23889"/>
    <w:rsid w:val="00E238F7"/>
    <w:rsid w:val="00E24B7D"/>
    <w:rsid w:val="00E256EC"/>
    <w:rsid w:val="00E257A3"/>
    <w:rsid w:val="00E25B42"/>
    <w:rsid w:val="00E2608D"/>
    <w:rsid w:val="00E26670"/>
    <w:rsid w:val="00E26931"/>
    <w:rsid w:val="00E27518"/>
    <w:rsid w:val="00E3070A"/>
    <w:rsid w:val="00E30953"/>
    <w:rsid w:val="00E34983"/>
    <w:rsid w:val="00E34AFB"/>
    <w:rsid w:val="00E35AE5"/>
    <w:rsid w:val="00E35CE4"/>
    <w:rsid w:val="00E36A11"/>
    <w:rsid w:val="00E40160"/>
    <w:rsid w:val="00E406ED"/>
    <w:rsid w:val="00E42008"/>
    <w:rsid w:val="00E420CA"/>
    <w:rsid w:val="00E43F4D"/>
    <w:rsid w:val="00E45790"/>
    <w:rsid w:val="00E45851"/>
    <w:rsid w:val="00E46EEB"/>
    <w:rsid w:val="00E479C4"/>
    <w:rsid w:val="00E50268"/>
    <w:rsid w:val="00E505C0"/>
    <w:rsid w:val="00E50696"/>
    <w:rsid w:val="00E50BE0"/>
    <w:rsid w:val="00E52228"/>
    <w:rsid w:val="00E52EEA"/>
    <w:rsid w:val="00E53885"/>
    <w:rsid w:val="00E53926"/>
    <w:rsid w:val="00E552E8"/>
    <w:rsid w:val="00E554E3"/>
    <w:rsid w:val="00E5738C"/>
    <w:rsid w:val="00E6030F"/>
    <w:rsid w:val="00E6033D"/>
    <w:rsid w:val="00E60E3B"/>
    <w:rsid w:val="00E613BF"/>
    <w:rsid w:val="00E620B4"/>
    <w:rsid w:val="00E6227E"/>
    <w:rsid w:val="00E62975"/>
    <w:rsid w:val="00E62DC8"/>
    <w:rsid w:val="00E630BE"/>
    <w:rsid w:val="00E63363"/>
    <w:rsid w:val="00E65651"/>
    <w:rsid w:val="00E66456"/>
    <w:rsid w:val="00E67EC2"/>
    <w:rsid w:val="00E72343"/>
    <w:rsid w:val="00E72D26"/>
    <w:rsid w:val="00E744E9"/>
    <w:rsid w:val="00E75642"/>
    <w:rsid w:val="00E80BE7"/>
    <w:rsid w:val="00E80EC5"/>
    <w:rsid w:val="00E81275"/>
    <w:rsid w:val="00E81436"/>
    <w:rsid w:val="00E8222C"/>
    <w:rsid w:val="00E824C8"/>
    <w:rsid w:val="00E82A55"/>
    <w:rsid w:val="00E82B12"/>
    <w:rsid w:val="00E83BA4"/>
    <w:rsid w:val="00E84218"/>
    <w:rsid w:val="00E8594B"/>
    <w:rsid w:val="00E864DE"/>
    <w:rsid w:val="00E86CCE"/>
    <w:rsid w:val="00E92B2D"/>
    <w:rsid w:val="00E95C0E"/>
    <w:rsid w:val="00E97F46"/>
    <w:rsid w:val="00EA2FA6"/>
    <w:rsid w:val="00EA2FC5"/>
    <w:rsid w:val="00EA4051"/>
    <w:rsid w:val="00EA6CB0"/>
    <w:rsid w:val="00EA7625"/>
    <w:rsid w:val="00EA7896"/>
    <w:rsid w:val="00EB1783"/>
    <w:rsid w:val="00EB1B2B"/>
    <w:rsid w:val="00EB1FFC"/>
    <w:rsid w:val="00EB2F6B"/>
    <w:rsid w:val="00EB393E"/>
    <w:rsid w:val="00EB471A"/>
    <w:rsid w:val="00EB5C89"/>
    <w:rsid w:val="00EB63F8"/>
    <w:rsid w:val="00EB6F8E"/>
    <w:rsid w:val="00EB7145"/>
    <w:rsid w:val="00EB72CA"/>
    <w:rsid w:val="00EB7768"/>
    <w:rsid w:val="00EB7AC6"/>
    <w:rsid w:val="00EC034A"/>
    <w:rsid w:val="00EC0AA3"/>
    <w:rsid w:val="00EC1258"/>
    <w:rsid w:val="00EC2DF3"/>
    <w:rsid w:val="00EC5506"/>
    <w:rsid w:val="00EC6B0D"/>
    <w:rsid w:val="00EC71E5"/>
    <w:rsid w:val="00ED062A"/>
    <w:rsid w:val="00ED0C6B"/>
    <w:rsid w:val="00ED4318"/>
    <w:rsid w:val="00ED4EC6"/>
    <w:rsid w:val="00ED5061"/>
    <w:rsid w:val="00ED615D"/>
    <w:rsid w:val="00ED6C95"/>
    <w:rsid w:val="00ED77C2"/>
    <w:rsid w:val="00ED7AF8"/>
    <w:rsid w:val="00ED7F50"/>
    <w:rsid w:val="00EE05BD"/>
    <w:rsid w:val="00EE0EE4"/>
    <w:rsid w:val="00EE34B8"/>
    <w:rsid w:val="00EE3662"/>
    <w:rsid w:val="00EE37F7"/>
    <w:rsid w:val="00EE49F9"/>
    <w:rsid w:val="00EE4A1B"/>
    <w:rsid w:val="00EE5A33"/>
    <w:rsid w:val="00EE7044"/>
    <w:rsid w:val="00EF17F4"/>
    <w:rsid w:val="00EF1E13"/>
    <w:rsid w:val="00EF21B5"/>
    <w:rsid w:val="00EF2AA5"/>
    <w:rsid w:val="00EF3428"/>
    <w:rsid w:val="00EF413B"/>
    <w:rsid w:val="00EF417F"/>
    <w:rsid w:val="00EF5C83"/>
    <w:rsid w:val="00EF68A2"/>
    <w:rsid w:val="00EF6D74"/>
    <w:rsid w:val="00EF726B"/>
    <w:rsid w:val="00EF7940"/>
    <w:rsid w:val="00EF7F6E"/>
    <w:rsid w:val="00F032C7"/>
    <w:rsid w:val="00F03E62"/>
    <w:rsid w:val="00F03EEF"/>
    <w:rsid w:val="00F0412B"/>
    <w:rsid w:val="00F04421"/>
    <w:rsid w:val="00F046D4"/>
    <w:rsid w:val="00F0569C"/>
    <w:rsid w:val="00F05C6D"/>
    <w:rsid w:val="00F06F7E"/>
    <w:rsid w:val="00F07B96"/>
    <w:rsid w:val="00F106B7"/>
    <w:rsid w:val="00F11A2C"/>
    <w:rsid w:val="00F11BA7"/>
    <w:rsid w:val="00F1306F"/>
    <w:rsid w:val="00F131F1"/>
    <w:rsid w:val="00F15455"/>
    <w:rsid w:val="00F15CAA"/>
    <w:rsid w:val="00F16C54"/>
    <w:rsid w:val="00F17414"/>
    <w:rsid w:val="00F17E64"/>
    <w:rsid w:val="00F21866"/>
    <w:rsid w:val="00F21F08"/>
    <w:rsid w:val="00F23C0D"/>
    <w:rsid w:val="00F23DFF"/>
    <w:rsid w:val="00F2745E"/>
    <w:rsid w:val="00F274FD"/>
    <w:rsid w:val="00F277A8"/>
    <w:rsid w:val="00F27AA7"/>
    <w:rsid w:val="00F27CF9"/>
    <w:rsid w:val="00F3000F"/>
    <w:rsid w:val="00F30CC8"/>
    <w:rsid w:val="00F31334"/>
    <w:rsid w:val="00F31588"/>
    <w:rsid w:val="00F3293D"/>
    <w:rsid w:val="00F32A68"/>
    <w:rsid w:val="00F35B2F"/>
    <w:rsid w:val="00F405A2"/>
    <w:rsid w:val="00F410FE"/>
    <w:rsid w:val="00F4404B"/>
    <w:rsid w:val="00F469CB"/>
    <w:rsid w:val="00F46DBD"/>
    <w:rsid w:val="00F473E9"/>
    <w:rsid w:val="00F475B6"/>
    <w:rsid w:val="00F531AD"/>
    <w:rsid w:val="00F538FA"/>
    <w:rsid w:val="00F53CF3"/>
    <w:rsid w:val="00F550AC"/>
    <w:rsid w:val="00F6008F"/>
    <w:rsid w:val="00F61FEA"/>
    <w:rsid w:val="00F62BB0"/>
    <w:rsid w:val="00F645EA"/>
    <w:rsid w:val="00F66730"/>
    <w:rsid w:val="00F672CF"/>
    <w:rsid w:val="00F70B61"/>
    <w:rsid w:val="00F73298"/>
    <w:rsid w:val="00F7365B"/>
    <w:rsid w:val="00F74532"/>
    <w:rsid w:val="00F756C4"/>
    <w:rsid w:val="00F76F82"/>
    <w:rsid w:val="00F772C4"/>
    <w:rsid w:val="00F779F9"/>
    <w:rsid w:val="00F80BB7"/>
    <w:rsid w:val="00F824EC"/>
    <w:rsid w:val="00F83759"/>
    <w:rsid w:val="00F84A57"/>
    <w:rsid w:val="00F8617F"/>
    <w:rsid w:val="00F8796F"/>
    <w:rsid w:val="00F90BFC"/>
    <w:rsid w:val="00F92CF8"/>
    <w:rsid w:val="00F93579"/>
    <w:rsid w:val="00F94AFF"/>
    <w:rsid w:val="00F96B5C"/>
    <w:rsid w:val="00F96BB0"/>
    <w:rsid w:val="00FA00DA"/>
    <w:rsid w:val="00FA1576"/>
    <w:rsid w:val="00FA194A"/>
    <w:rsid w:val="00FA1BC8"/>
    <w:rsid w:val="00FA4538"/>
    <w:rsid w:val="00FA4C92"/>
    <w:rsid w:val="00FB1121"/>
    <w:rsid w:val="00FB26CC"/>
    <w:rsid w:val="00FB3E7C"/>
    <w:rsid w:val="00FB4428"/>
    <w:rsid w:val="00FB4AD7"/>
    <w:rsid w:val="00FB4E86"/>
    <w:rsid w:val="00FB5EC5"/>
    <w:rsid w:val="00FB70B6"/>
    <w:rsid w:val="00FB7326"/>
    <w:rsid w:val="00FC00A6"/>
    <w:rsid w:val="00FC0A01"/>
    <w:rsid w:val="00FC1C5F"/>
    <w:rsid w:val="00FC1C7D"/>
    <w:rsid w:val="00FC1C98"/>
    <w:rsid w:val="00FC337A"/>
    <w:rsid w:val="00FC3FE1"/>
    <w:rsid w:val="00FC427D"/>
    <w:rsid w:val="00FC716E"/>
    <w:rsid w:val="00FC7E41"/>
    <w:rsid w:val="00FD0AF3"/>
    <w:rsid w:val="00FD0CFA"/>
    <w:rsid w:val="00FD137F"/>
    <w:rsid w:val="00FD15FD"/>
    <w:rsid w:val="00FD375E"/>
    <w:rsid w:val="00FD3F7D"/>
    <w:rsid w:val="00FD5C61"/>
    <w:rsid w:val="00FD678E"/>
    <w:rsid w:val="00FD68D8"/>
    <w:rsid w:val="00FD7193"/>
    <w:rsid w:val="00FD7415"/>
    <w:rsid w:val="00FD77D2"/>
    <w:rsid w:val="00FE0710"/>
    <w:rsid w:val="00FE0A34"/>
    <w:rsid w:val="00FE0AD7"/>
    <w:rsid w:val="00FE1E85"/>
    <w:rsid w:val="00FE391F"/>
    <w:rsid w:val="00FE3A6B"/>
    <w:rsid w:val="00FE500A"/>
    <w:rsid w:val="00FE625E"/>
    <w:rsid w:val="00FE6968"/>
    <w:rsid w:val="00FF1537"/>
    <w:rsid w:val="00FF1B46"/>
    <w:rsid w:val="00FF2B0B"/>
    <w:rsid w:val="00FF2FC7"/>
    <w:rsid w:val="00FF4CCD"/>
    <w:rsid w:val="00FF5EFA"/>
    <w:rsid w:val="00FF6448"/>
    <w:rsid w:val="00FF685A"/>
    <w:rsid w:val="2A5F480B"/>
    <w:rsid w:val="69275D5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1" w:semiHidden="0" w:name="heading 3"/>
    <w:lsdException w:qFormat="1" w:uiPriority="9" w:semiHidden="0" w:name="heading 4"/>
    <w:lsdException w:qFormat="1" w:uiPriority="9" w:semiHidden="0"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uiPriority="39" w:semiHidden="0" w:name="toc 2"/>
    <w:lsdException w:qFormat="1" w:uiPriority="39" w:semiHidden="0" w:name="toc 3"/>
    <w:lsdException w:uiPriority="39" w:semiHidden="0" w:name="toc 4"/>
    <w:lsdException w:uiPriority="39" w:semiHidden="0" w:name="toc 5"/>
    <w:lsdException w:uiPriority="39" w:semiHidden="0" w:name="toc 6"/>
    <w:lsdException w:uiPriority="39" w:semiHidden="0" w:name="toc 7"/>
    <w:lsdException w:uiPriority="39" w:semiHidden="0" w:name="toc 8"/>
    <w:lsdException w:uiPriority="39" w:semiHidden="0" w:name="toc 9"/>
    <w:lsdException w:qFormat="1" w:unhideWhenUsed="0" w:uiPriority="99" w:semiHidden="0" w:name="Normal Indent"/>
    <w:lsdException w:uiPriority="99" w:name="footnote text"/>
    <w:lsdException w:qFormat="1" w:uiPriority="99" w:semiHidden="0" w:name="annotation text"/>
    <w:lsdException w:qFormat="1" w:uiPriority="99" w:semiHidden="0" w:name="header"/>
    <w:lsdException w:qFormat="1" w:uiPriority="99" w:semiHidden="0" w:name="footer"/>
    <w:lsdException w:uiPriority="99" w:name="index heading"/>
    <w:lsdException w:qFormat="1" w:uiPriority="35" w:semiHidden="0" w:name="caption"/>
    <w:lsdException w:uiPriority="99" w:name="table of figures"/>
    <w:lsdException w:uiPriority="99" w:name="envelope address"/>
    <w:lsdException w:uiPriority="99" w:name="envelope return"/>
    <w:lsdException w:uiPriority="99" w:name="footnote reference"/>
    <w:lsdException w:qFormat="1"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qFormat="1" w:unhideWhenUsed="0" w:uiPriority="0" w:semiHidden="0"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nhideWhenUsed="0" w:uiPriority="0"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qFormat="1" w:uiPriority="99" w:semiHidden="0" w:name="Body Text 2"/>
    <w:lsdException w:uiPriority="99" w:name="Body Text 3"/>
    <w:lsdException w:uiPriority="99" w:name="Body Text Indent 2"/>
    <w:lsdException w:uiPriority="99" w:semiHidden="0" w:name="Body Text Indent 3"/>
    <w:lsdException w:uiPriority="99" w:name="Block Text"/>
    <w:lsdException w:qFormat="1" w:uiPriority="99" w:semiHidden="0" w:name="Hyperlink"/>
    <w:lsdException w:qFormat="1" w:uiPriority="99" w:name="FollowedHyperlink"/>
    <w:lsdException w:qFormat="1" w:unhideWhenUsed="0" w:uiPriority="22" w:semiHidden="0" w:name="Strong"/>
    <w:lsdException w:qFormat="1" w:unhideWhenUsed="0" w:uiPriority="20" w:semiHidden="0" w:name="Emphasis"/>
    <w:lsdException w:uiPriority="99" w:name="Document Map"/>
    <w:lsdException w:qFormat="1" w:uiPriority="0" w:semiHidden="0"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iPriority="99" w:name="annotation subject"/>
    <w:lsdException w:qFormat="1"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0" w:semiHidden="0" w:name="Table Grid"/>
    <w:lsdException w:uiPriority="99" w:name="Table Theme"/>
    <w:lsdException w:qFormat="1" w:unhideWhenUsed="0" w:uiPriority="99" w:name="Placeholder Text"/>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qFormat="1" w:unhideWhenUsed="0" w:uiPriority="29" w:semiHidden="0" w:name="Quote"/>
    <w:lsdException w:qFormat="1" w:unhideWhenUsed="0" w:uiPriority="30" w:semiHidden="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480" w:lineRule="exact"/>
      <w:jc w:val="both"/>
    </w:pPr>
    <w:rPr>
      <w:rFonts w:ascii="Times New Roman" w:hAnsi="Times New Roman" w:eastAsia="宋体" w:cstheme="minorBidi"/>
      <w:color w:val="000000" w:themeColor="text1"/>
      <w:kern w:val="2"/>
      <w:sz w:val="24"/>
      <w:szCs w:val="24"/>
      <w:lang w:val="en-US" w:eastAsia="zh-CN" w:bidi="ar-SA"/>
      <w14:textFill>
        <w14:solidFill>
          <w14:schemeClr w14:val="tx1"/>
        </w14:solidFill>
      </w14:textFill>
      <w14:ligatures w14:val="standardContextual"/>
    </w:rPr>
  </w:style>
  <w:style w:type="paragraph" w:styleId="2">
    <w:name w:val="heading 1"/>
    <w:basedOn w:val="1"/>
    <w:next w:val="1"/>
    <w:link w:val="44"/>
    <w:qFormat/>
    <w:uiPriority w:val="9"/>
    <w:pPr>
      <w:keepNext/>
      <w:keepLines/>
      <w:spacing w:before="50" w:beforeLines="50" w:after="50" w:afterLines="50"/>
      <w:jc w:val="center"/>
      <w:outlineLvl w:val="0"/>
    </w:pPr>
    <w:rPr>
      <w:rFonts w:ascii="黑体" w:hAnsi="黑体" w:eastAsia="黑体" w:cstheme="majorBidi"/>
      <w:sz w:val="36"/>
      <w:szCs w:val="48"/>
    </w:rPr>
  </w:style>
  <w:style w:type="paragraph" w:styleId="3">
    <w:name w:val="heading 2"/>
    <w:basedOn w:val="1"/>
    <w:next w:val="1"/>
    <w:link w:val="45"/>
    <w:unhideWhenUsed/>
    <w:qFormat/>
    <w:uiPriority w:val="9"/>
    <w:pPr>
      <w:keepNext/>
      <w:keepLines/>
      <w:spacing w:before="100" w:beforeLines="100"/>
      <w:outlineLvl w:val="1"/>
    </w:pPr>
    <w:rPr>
      <w:rFonts w:ascii="黑体" w:hAnsi="黑体" w:eastAsia="黑体" w:cstheme="majorBidi"/>
      <w:sz w:val="28"/>
      <w:szCs w:val="40"/>
    </w:rPr>
  </w:style>
  <w:style w:type="paragraph" w:styleId="4">
    <w:name w:val="heading 3"/>
    <w:basedOn w:val="1"/>
    <w:next w:val="1"/>
    <w:link w:val="46"/>
    <w:unhideWhenUsed/>
    <w:qFormat/>
    <w:uiPriority w:val="1"/>
    <w:pPr>
      <w:keepNext/>
      <w:keepLines/>
      <w:outlineLvl w:val="2"/>
    </w:pPr>
    <w:rPr>
      <w:rFonts w:ascii="黑体" w:hAnsi="黑体" w:eastAsia="黑体" w:cstheme="majorBidi"/>
      <w:szCs w:val="32"/>
    </w:rPr>
  </w:style>
  <w:style w:type="paragraph" w:styleId="5">
    <w:name w:val="heading 4"/>
    <w:basedOn w:val="1"/>
    <w:next w:val="1"/>
    <w:link w:val="47"/>
    <w:unhideWhenUsed/>
    <w:qFormat/>
    <w:uiPriority w:val="9"/>
    <w:pPr>
      <w:keepNext/>
      <w:keepLines/>
      <w:spacing w:before="80" w:after="40"/>
      <w:outlineLvl w:val="3"/>
    </w:pPr>
    <w:rPr>
      <w:rFonts w:asciiTheme="minorHAnsi" w:hAnsiTheme="minorHAnsi" w:eastAsiaTheme="minorEastAsia" w:cstheme="majorBidi"/>
      <w:color w:val="104862" w:themeColor="accent1" w:themeShade="BF"/>
      <w:sz w:val="28"/>
      <w:szCs w:val="28"/>
    </w:rPr>
  </w:style>
  <w:style w:type="paragraph" w:styleId="6">
    <w:name w:val="heading 5"/>
    <w:basedOn w:val="1"/>
    <w:next w:val="1"/>
    <w:link w:val="48"/>
    <w:unhideWhenUsed/>
    <w:qFormat/>
    <w:uiPriority w:val="9"/>
    <w:pPr>
      <w:keepNext/>
      <w:keepLines/>
      <w:spacing w:before="80" w:after="40"/>
      <w:outlineLvl w:val="4"/>
    </w:pPr>
    <w:rPr>
      <w:rFonts w:asciiTheme="minorHAnsi" w:hAnsiTheme="minorHAnsi" w:eastAsiaTheme="minorEastAsia" w:cstheme="majorBidi"/>
      <w:color w:val="104862" w:themeColor="accent1" w:themeShade="BF"/>
    </w:rPr>
  </w:style>
  <w:style w:type="paragraph" w:styleId="7">
    <w:name w:val="heading 6"/>
    <w:basedOn w:val="1"/>
    <w:next w:val="1"/>
    <w:link w:val="49"/>
    <w:semiHidden/>
    <w:unhideWhenUsed/>
    <w:qFormat/>
    <w:uiPriority w:val="9"/>
    <w:pPr>
      <w:keepNext/>
      <w:keepLines/>
      <w:spacing w:before="40"/>
      <w:outlineLvl w:val="5"/>
    </w:pPr>
    <w:rPr>
      <w:rFonts w:asciiTheme="minorHAnsi" w:hAnsiTheme="minorHAnsi" w:eastAsiaTheme="minorEastAsia" w:cstheme="majorBidi"/>
      <w:b/>
      <w:bCs/>
      <w:color w:val="104862" w:themeColor="accent1" w:themeShade="BF"/>
    </w:rPr>
  </w:style>
  <w:style w:type="paragraph" w:styleId="8">
    <w:name w:val="heading 7"/>
    <w:basedOn w:val="1"/>
    <w:next w:val="1"/>
    <w:link w:val="50"/>
    <w:semiHidden/>
    <w:unhideWhenUsed/>
    <w:qFormat/>
    <w:uiPriority w:val="9"/>
    <w:pPr>
      <w:keepNext/>
      <w:keepLines/>
      <w:spacing w:before="40"/>
      <w:outlineLvl w:val="6"/>
    </w:pPr>
    <w:rPr>
      <w:rFonts w:asciiTheme="minorHAnsi" w:hAnsiTheme="minorHAnsi" w:eastAsiaTheme="minorEastAsia" w:cstheme="majorBidi"/>
      <w:b/>
      <w:bCs/>
      <w:color w:val="595959" w:themeColor="text1" w:themeTint="A6"/>
      <w14:textFill>
        <w14:solidFill>
          <w14:schemeClr w14:val="tx1">
            <w14:lumMod w14:val="65000"/>
            <w14:lumOff w14:val="35000"/>
          </w14:schemeClr>
        </w14:solidFill>
      </w14:textFill>
    </w:rPr>
  </w:style>
  <w:style w:type="paragraph" w:styleId="9">
    <w:name w:val="heading 8"/>
    <w:basedOn w:val="1"/>
    <w:next w:val="1"/>
    <w:link w:val="51"/>
    <w:semiHidden/>
    <w:unhideWhenUsed/>
    <w:qFormat/>
    <w:uiPriority w:val="9"/>
    <w:pPr>
      <w:keepNext/>
      <w:keepLines/>
      <w:outlineLvl w:val="7"/>
    </w:pPr>
    <w:rPr>
      <w:rFonts w:asciiTheme="minorHAnsi" w:hAnsiTheme="minorHAnsi" w:eastAsiaTheme="minorEastAsia" w:cstheme="majorBidi"/>
      <w:color w:val="595959" w:themeColor="text1" w:themeTint="A6"/>
      <w14:textFill>
        <w14:solidFill>
          <w14:schemeClr w14:val="tx1">
            <w14:lumMod w14:val="65000"/>
            <w14:lumOff w14:val="35000"/>
          </w14:schemeClr>
        </w14:solidFill>
      </w14:textFill>
    </w:rPr>
  </w:style>
  <w:style w:type="paragraph" w:styleId="10">
    <w:name w:val="heading 9"/>
    <w:basedOn w:val="1"/>
    <w:next w:val="1"/>
    <w:link w:val="52"/>
    <w:semiHidden/>
    <w:unhideWhenUsed/>
    <w:qFormat/>
    <w:uiPriority w:val="9"/>
    <w:pPr>
      <w:keepNext/>
      <w:keepLines/>
      <w:outlineLvl w:val="8"/>
    </w:pPr>
    <w:rPr>
      <w:rFonts w:asciiTheme="minorHAnsi" w:hAnsiTheme="minorHAnsi" w:eastAsiaTheme="majorEastAsia" w:cstheme="majorBidi"/>
      <w:color w:val="595959" w:themeColor="text1" w:themeTint="A6"/>
      <w14:textFill>
        <w14:solidFill>
          <w14:schemeClr w14:val="tx1">
            <w14:lumMod w14:val="65000"/>
            <w14:lumOff w14:val="35000"/>
          </w14:schemeClr>
        </w14:solidFill>
      </w14:textFill>
    </w:rPr>
  </w:style>
  <w:style w:type="character" w:default="1" w:styleId="39">
    <w:name w:val="Default Paragraph Font"/>
    <w:semiHidden/>
    <w:unhideWhenUsed/>
    <w:qFormat/>
    <w:uiPriority w:val="1"/>
  </w:style>
  <w:style w:type="table" w:default="1" w:styleId="36">
    <w:name w:val="Normal Table"/>
    <w:semiHidden/>
    <w:unhideWhenUsed/>
    <w:qFormat/>
    <w:uiPriority w:val="99"/>
    <w:tblPr>
      <w:tblCellMar>
        <w:top w:w="0" w:type="dxa"/>
        <w:left w:w="108" w:type="dxa"/>
        <w:bottom w:w="0" w:type="dxa"/>
        <w:right w:w="108" w:type="dxa"/>
      </w:tblCellMar>
    </w:tblPr>
  </w:style>
  <w:style w:type="paragraph" w:styleId="11">
    <w:name w:val="List 3"/>
    <w:basedOn w:val="1"/>
    <w:qFormat/>
    <w:uiPriority w:val="0"/>
    <w:pPr>
      <w:spacing w:line="240" w:lineRule="auto"/>
      <w:ind w:left="100" w:leftChars="400" w:hanging="200" w:hangingChars="200"/>
    </w:pPr>
    <w:rPr>
      <w:rFonts w:cs="Times New Roman"/>
      <w:color w:val="auto"/>
      <w:sz w:val="21"/>
      <w14:ligatures w14:val="none"/>
    </w:rPr>
  </w:style>
  <w:style w:type="paragraph" w:styleId="12">
    <w:name w:val="toc 7"/>
    <w:basedOn w:val="1"/>
    <w:next w:val="1"/>
    <w:autoRedefine/>
    <w:unhideWhenUsed/>
    <w:uiPriority w:val="39"/>
    <w:pPr>
      <w:spacing w:after="160" w:line="278" w:lineRule="auto"/>
      <w:ind w:left="2520" w:leftChars="1200"/>
      <w:jc w:val="left"/>
    </w:pPr>
    <w:rPr>
      <w:rFonts w:asciiTheme="minorHAnsi" w:hAnsiTheme="minorHAnsi" w:eastAsiaTheme="minorEastAsia"/>
      <w:color w:val="auto"/>
      <w:sz w:val="22"/>
    </w:rPr>
  </w:style>
  <w:style w:type="paragraph" w:styleId="13">
    <w:name w:val="Normal Indent"/>
    <w:basedOn w:val="1"/>
    <w:link w:val="180"/>
    <w:qFormat/>
    <w:uiPriority w:val="99"/>
    <w:pPr>
      <w:spacing w:line="240" w:lineRule="auto"/>
      <w:ind w:firstLine="420" w:firstLineChars="200"/>
    </w:pPr>
    <w:rPr>
      <w:rFonts w:cs="Times New Roman"/>
      <w:color w:val="auto"/>
      <w:kern w:val="0"/>
      <w:sz w:val="20"/>
      <w:lang w:val="zh-CN"/>
      <w14:ligatures w14:val="none"/>
    </w:rPr>
  </w:style>
  <w:style w:type="paragraph" w:styleId="14">
    <w:name w:val="caption"/>
    <w:next w:val="1"/>
    <w:unhideWhenUsed/>
    <w:qFormat/>
    <w:uiPriority w:val="35"/>
    <w:pPr>
      <w:spacing w:before="50" w:beforeLines="50"/>
      <w:jc w:val="center"/>
    </w:pPr>
    <w:rPr>
      <w:rFonts w:ascii="Times New Roman" w:hAnsi="Times New Roman" w:eastAsia="黑体" w:cstheme="majorBidi"/>
      <w:kern w:val="2"/>
      <w:sz w:val="24"/>
      <w:lang w:val="en-US" w:eastAsia="zh-CN" w:bidi="ar-SA"/>
    </w:rPr>
  </w:style>
  <w:style w:type="paragraph" w:styleId="15">
    <w:name w:val="annotation text"/>
    <w:basedOn w:val="1"/>
    <w:link w:val="65"/>
    <w:unhideWhenUsed/>
    <w:qFormat/>
    <w:uiPriority w:val="99"/>
    <w:pPr>
      <w:jc w:val="left"/>
    </w:pPr>
  </w:style>
  <w:style w:type="paragraph" w:styleId="16">
    <w:name w:val="Body Text"/>
    <w:basedOn w:val="1"/>
    <w:link w:val="69"/>
    <w:qFormat/>
    <w:uiPriority w:val="0"/>
    <w:pPr>
      <w:ind w:firstLine="200" w:firstLineChars="200"/>
    </w:pPr>
    <w:rPr>
      <w:rFonts w:cs="Times New Roman"/>
      <w14:ligatures w14:val="none"/>
    </w:rPr>
  </w:style>
  <w:style w:type="paragraph" w:styleId="17">
    <w:name w:val="toc 5"/>
    <w:basedOn w:val="1"/>
    <w:next w:val="1"/>
    <w:autoRedefine/>
    <w:unhideWhenUsed/>
    <w:uiPriority w:val="39"/>
    <w:pPr>
      <w:spacing w:after="160" w:line="278" w:lineRule="auto"/>
      <w:ind w:left="1680" w:leftChars="800"/>
      <w:jc w:val="left"/>
    </w:pPr>
    <w:rPr>
      <w:rFonts w:asciiTheme="minorHAnsi" w:hAnsiTheme="minorHAnsi" w:eastAsiaTheme="minorEastAsia"/>
      <w:color w:val="auto"/>
      <w:sz w:val="22"/>
    </w:rPr>
  </w:style>
  <w:style w:type="paragraph" w:styleId="18">
    <w:name w:val="toc 3"/>
    <w:basedOn w:val="1"/>
    <w:next w:val="1"/>
    <w:autoRedefine/>
    <w:unhideWhenUsed/>
    <w:qFormat/>
    <w:uiPriority w:val="39"/>
    <w:pPr>
      <w:ind w:left="840" w:leftChars="400"/>
    </w:pPr>
  </w:style>
  <w:style w:type="paragraph" w:styleId="19">
    <w:name w:val="Plain Text"/>
    <w:basedOn w:val="1"/>
    <w:link w:val="77"/>
    <w:unhideWhenUsed/>
    <w:qFormat/>
    <w:uiPriority w:val="0"/>
    <w:rPr>
      <w:rFonts w:hAnsi="Courier New" w:cs="Courier New" w:asciiTheme="minorEastAsia" w:eastAsiaTheme="minorEastAsia"/>
    </w:rPr>
  </w:style>
  <w:style w:type="paragraph" w:styleId="20">
    <w:name w:val="toc 8"/>
    <w:basedOn w:val="1"/>
    <w:next w:val="1"/>
    <w:autoRedefine/>
    <w:unhideWhenUsed/>
    <w:uiPriority w:val="39"/>
    <w:pPr>
      <w:spacing w:after="160" w:line="278" w:lineRule="auto"/>
      <w:ind w:left="2940" w:leftChars="1400"/>
      <w:jc w:val="left"/>
    </w:pPr>
    <w:rPr>
      <w:rFonts w:asciiTheme="minorHAnsi" w:hAnsiTheme="minorHAnsi" w:eastAsiaTheme="minorEastAsia"/>
      <w:color w:val="auto"/>
      <w:sz w:val="22"/>
    </w:rPr>
  </w:style>
  <w:style w:type="paragraph" w:styleId="21">
    <w:name w:val="Date"/>
    <w:basedOn w:val="1"/>
    <w:next w:val="1"/>
    <w:link w:val="177"/>
    <w:semiHidden/>
    <w:unhideWhenUsed/>
    <w:uiPriority w:val="99"/>
    <w:pPr>
      <w:ind w:left="100" w:leftChars="2500"/>
    </w:pPr>
  </w:style>
  <w:style w:type="paragraph" w:styleId="22">
    <w:name w:val="Body Text Indent 2"/>
    <w:basedOn w:val="1"/>
    <w:link w:val="182"/>
    <w:semiHidden/>
    <w:unhideWhenUsed/>
    <w:uiPriority w:val="99"/>
    <w:pPr>
      <w:spacing w:after="120" w:line="480" w:lineRule="auto"/>
      <w:ind w:left="420" w:leftChars="200"/>
    </w:pPr>
  </w:style>
  <w:style w:type="paragraph" w:styleId="23">
    <w:name w:val="Balloon Text"/>
    <w:basedOn w:val="1"/>
    <w:link w:val="195"/>
    <w:semiHidden/>
    <w:unhideWhenUsed/>
    <w:uiPriority w:val="99"/>
    <w:pPr>
      <w:adjustRightInd w:val="0"/>
      <w:snapToGrid w:val="0"/>
      <w:spacing w:line="240" w:lineRule="auto"/>
    </w:pPr>
    <w:rPr>
      <w:color w:val="auto"/>
      <w:sz w:val="18"/>
      <w:szCs w:val="18"/>
      <w14:ligatures w14:val="none"/>
    </w:rPr>
  </w:style>
  <w:style w:type="paragraph" w:styleId="24">
    <w:name w:val="footer"/>
    <w:basedOn w:val="1"/>
    <w:link w:val="63"/>
    <w:unhideWhenUsed/>
    <w:qFormat/>
    <w:uiPriority w:val="99"/>
    <w:pPr>
      <w:tabs>
        <w:tab w:val="center" w:pos="4153"/>
        <w:tab w:val="right" w:pos="8306"/>
      </w:tabs>
      <w:snapToGrid w:val="0"/>
      <w:spacing w:line="240" w:lineRule="atLeast"/>
      <w:jc w:val="left"/>
    </w:pPr>
    <w:rPr>
      <w:sz w:val="18"/>
      <w:szCs w:val="18"/>
    </w:rPr>
  </w:style>
  <w:style w:type="paragraph" w:styleId="25">
    <w:name w:val="header"/>
    <w:basedOn w:val="1"/>
    <w:link w:val="62"/>
    <w:unhideWhenUsed/>
    <w:qFormat/>
    <w:uiPriority w:val="99"/>
    <w:pPr>
      <w:tabs>
        <w:tab w:val="center" w:pos="4153"/>
        <w:tab w:val="right" w:pos="8306"/>
      </w:tabs>
      <w:snapToGrid w:val="0"/>
      <w:spacing w:line="240" w:lineRule="atLeast"/>
      <w:jc w:val="center"/>
    </w:pPr>
    <w:rPr>
      <w:sz w:val="18"/>
      <w:szCs w:val="18"/>
    </w:rPr>
  </w:style>
  <w:style w:type="paragraph" w:styleId="26">
    <w:name w:val="toc 1"/>
    <w:basedOn w:val="1"/>
    <w:next w:val="1"/>
    <w:autoRedefine/>
    <w:unhideWhenUsed/>
    <w:qFormat/>
    <w:uiPriority w:val="39"/>
  </w:style>
  <w:style w:type="paragraph" w:styleId="27">
    <w:name w:val="toc 4"/>
    <w:basedOn w:val="1"/>
    <w:next w:val="1"/>
    <w:autoRedefine/>
    <w:unhideWhenUsed/>
    <w:uiPriority w:val="39"/>
    <w:pPr>
      <w:spacing w:after="160" w:line="278" w:lineRule="auto"/>
      <w:ind w:left="1260" w:leftChars="600"/>
      <w:jc w:val="left"/>
    </w:pPr>
    <w:rPr>
      <w:rFonts w:asciiTheme="minorHAnsi" w:hAnsiTheme="minorHAnsi" w:eastAsiaTheme="minorEastAsia"/>
      <w:color w:val="auto"/>
      <w:sz w:val="22"/>
    </w:rPr>
  </w:style>
  <w:style w:type="paragraph" w:styleId="28">
    <w:name w:val="Subtitle"/>
    <w:basedOn w:val="1"/>
    <w:next w:val="1"/>
    <w:link w:val="54"/>
    <w:qFormat/>
    <w:uiPriority w:val="11"/>
    <w:pPr>
      <w:wordWrap w:val="0"/>
      <w:jc w:val="center"/>
    </w:pPr>
    <w:rPr>
      <w:rFonts w:ascii="黑体" w:hAnsi="黑体" w:eastAsia="黑体" w:cstheme="majorBidi"/>
      <w:szCs w:val="28"/>
    </w:rPr>
  </w:style>
  <w:style w:type="paragraph" w:styleId="29">
    <w:name w:val="toc 6"/>
    <w:basedOn w:val="1"/>
    <w:next w:val="1"/>
    <w:autoRedefine/>
    <w:unhideWhenUsed/>
    <w:uiPriority w:val="39"/>
    <w:pPr>
      <w:spacing w:after="160" w:line="278" w:lineRule="auto"/>
      <w:ind w:left="2100" w:leftChars="1000"/>
      <w:jc w:val="left"/>
    </w:pPr>
    <w:rPr>
      <w:rFonts w:asciiTheme="minorHAnsi" w:hAnsiTheme="minorHAnsi" w:eastAsiaTheme="minorEastAsia"/>
      <w:color w:val="auto"/>
      <w:sz w:val="22"/>
    </w:rPr>
  </w:style>
  <w:style w:type="paragraph" w:styleId="30">
    <w:name w:val="Body Text Indent 3"/>
    <w:basedOn w:val="1"/>
    <w:link w:val="224"/>
    <w:unhideWhenUsed/>
    <w:uiPriority w:val="99"/>
    <w:pPr>
      <w:spacing w:after="120"/>
      <w:ind w:left="420" w:leftChars="200"/>
    </w:pPr>
    <w:rPr>
      <w:sz w:val="16"/>
      <w:szCs w:val="16"/>
    </w:rPr>
  </w:style>
  <w:style w:type="paragraph" w:styleId="31">
    <w:name w:val="toc 2"/>
    <w:basedOn w:val="1"/>
    <w:next w:val="1"/>
    <w:autoRedefine/>
    <w:unhideWhenUsed/>
    <w:uiPriority w:val="39"/>
    <w:pPr>
      <w:ind w:left="420" w:leftChars="200"/>
    </w:pPr>
  </w:style>
  <w:style w:type="paragraph" w:styleId="32">
    <w:name w:val="toc 9"/>
    <w:basedOn w:val="1"/>
    <w:next w:val="1"/>
    <w:autoRedefine/>
    <w:unhideWhenUsed/>
    <w:uiPriority w:val="39"/>
    <w:pPr>
      <w:spacing w:after="160" w:line="278" w:lineRule="auto"/>
      <w:ind w:left="3360" w:leftChars="1600"/>
      <w:jc w:val="left"/>
    </w:pPr>
    <w:rPr>
      <w:rFonts w:asciiTheme="minorHAnsi" w:hAnsiTheme="minorHAnsi" w:eastAsiaTheme="minorEastAsia"/>
      <w:color w:val="auto"/>
      <w:sz w:val="22"/>
    </w:rPr>
  </w:style>
  <w:style w:type="paragraph" w:styleId="33">
    <w:name w:val="Body Text 2"/>
    <w:basedOn w:val="1"/>
    <w:link w:val="72"/>
    <w:unhideWhenUsed/>
    <w:qFormat/>
    <w:uiPriority w:val="99"/>
    <w:pPr>
      <w:spacing w:after="120" w:line="480" w:lineRule="auto"/>
    </w:pPr>
  </w:style>
  <w:style w:type="paragraph" w:styleId="34">
    <w:name w:val="Title"/>
    <w:basedOn w:val="1"/>
    <w:next w:val="1"/>
    <w:link w:val="53"/>
    <w:qFormat/>
    <w:uiPriority w:val="10"/>
    <w:pPr>
      <w:contextualSpacing/>
    </w:pPr>
    <w:rPr>
      <w:rFonts w:ascii="黑体" w:hAnsi="黑体" w:eastAsia="黑体" w:cstheme="majorBidi"/>
      <w:kern w:val="28"/>
      <w:szCs w:val="56"/>
    </w:rPr>
  </w:style>
  <w:style w:type="paragraph" w:styleId="35">
    <w:name w:val="annotation subject"/>
    <w:basedOn w:val="15"/>
    <w:next w:val="15"/>
    <w:link w:val="66"/>
    <w:semiHidden/>
    <w:unhideWhenUsed/>
    <w:qFormat/>
    <w:uiPriority w:val="99"/>
    <w:rPr>
      <w:b/>
      <w:bCs/>
    </w:rPr>
  </w:style>
  <w:style w:type="table" w:styleId="37">
    <w:name w:val="Table Grid"/>
    <w:basedOn w:val="36"/>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38">
    <w:name w:val="Table Simple 1"/>
    <w:basedOn w:val="36"/>
    <w:semiHidden/>
    <w:unhideWhenUsed/>
    <w:qFormat/>
    <w:uiPriority w:val="99"/>
    <w:pPr>
      <w:widowControl w:val="0"/>
      <w:adjustRightInd w:val="0"/>
      <w:snapToGrid w:val="0"/>
      <w:spacing w:line="360" w:lineRule="auto"/>
      <w:jc w:val="both"/>
    </w:pPr>
    <w:rPr>
      <w:rFonts w:ascii="等线" w:hAnsi="等线" w:eastAsia="等线"/>
      <w:sz w:val="21"/>
      <w:szCs w:val="22"/>
    </w:rPr>
    <w:tblPr>
      <w:tblBorders>
        <w:top w:val="single" w:color="008000" w:sz="12" w:space="0"/>
        <w:bottom w:val="single" w:color="008000" w:sz="12" w:space="0"/>
      </w:tblBorders>
    </w:tblPr>
    <w:tcPr>
      <w:shd w:val="clear" w:color="auto" w:fill="auto"/>
    </w:tcPr>
    <w:tblStylePr w:type="firstRow">
      <w:tblPr/>
      <w:tcPr>
        <w:tcBorders>
          <w:bottom w:val="single" w:color="008000" w:sz="6" w:space="0"/>
          <w:tl2br w:val="nil"/>
          <w:tr2bl w:val="nil"/>
        </w:tcBorders>
      </w:tcPr>
    </w:tblStylePr>
    <w:tblStylePr w:type="lastRow">
      <w:tblPr/>
      <w:tcPr>
        <w:tcBorders>
          <w:top w:val="single" w:color="008000" w:sz="6" w:space="0"/>
          <w:tl2br w:val="nil"/>
          <w:tr2bl w:val="nil"/>
        </w:tcBorders>
      </w:tcPr>
    </w:tblStylePr>
  </w:style>
  <w:style w:type="character" w:styleId="40">
    <w:name w:val="FollowedHyperlink"/>
    <w:basedOn w:val="39"/>
    <w:semiHidden/>
    <w:unhideWhenUsed/>
    <w:qFormat/>
    <w:uiPriority w:val="99"/>
    <w:rPr>
      <w:color w:val="800080"/>
      <w:u w:val="single"/>
    </w:rPr>
  </w:style>
  <w:style w:type="character" w:styleId="41">
    <w:name w:val="Hyperlink"/>
    <w:basedOn w:val="39"/>
    <w:unhideWhenUsed/>
    <w:qFormat/>
    <w:uiPriority w:val="99"/>
    <w:rPr>
      <w:color w:val="467886" w:themeColor="hyperlink"/>
      <w:u w:val="single"/>
      <w14:textFill>
        <w14:solidFill>
          <w14:schemeClr w14:val="hlink"/>
        </w14:solidFill>
      </w14:textFill>
    </w:rPr>
  </w:style>
  <w:style w:type="character" w:styleId="42">
    <w:name w:val="annotation reference"/>
    <w:basedOn w:val="39"/>
    <w:semiHidden/>
    <w:unhideWhenUsed/>
    <w:qFormat/>
    <w:uiPriority w:val="99"/>
    <w:rPr>
      <w:sz w:val="21"/>
      <w:szCs w:val="21"/>
    </w:rPr>
  </w:style>
  <w:style w:type="paragraph" w:customStyle="1" w:styleId="43">
    <w:name w:val="Default"/>
    <w:link w:val="80"/>
    <w:qFormat/>
    <w:uiPriority w:val="0"/>
    <w:pPr>
      <w:widowControl w:val="0"/>
      <w:autoSpaceDE w:val="0"/>
      <w:autoSpaceDN w:val="0"/>
      <w:adjustRightInd w:val="0"/>
    </w:pPr>
    <w:rPr>
      <w:rFonts w:ascii="Sim Sun+ 2" w:hAnsi="Times New Roman" w:eastAsia="Sim Sun+ 2" w:cs="Sim Sun+ 2"/>
      <w:color w:val="000000"/>
      <w:sz w:val="24"/>
      <w:szCs w:val="24"/>
      <w:lang w:val="en-US" w:eastAsia="zh-CN" w:bidi="ar-SA"/>
    </w:rPr>
  </w:style>
  <w:style w:type="character" w:customStyle="1" w:styleId="44">
    <w:name w:val="标题 1 字符"/>
    <w:basedOn w:val="39"/>
    <w:link w:val="2"/>
    <w:qFormat/>
    <w:uiPriority w:val="9"/>
    <w:rPr>
      <w:rFonts w:ascii="黑体" w:hAnsi="黑体" w:eastAsia="黑体" w:cstheme="majorBidi"/>
      <w:color w:val="000000" w:themeColor="text1"/>
      <w:sz w:val="36"/>
      <w:szCs w:val="48"/>
      <w14:textFill>
        <w14:solidFill>
          <w14:schemeClr w14:val="tx1"/>
        </w14:solidFill>
      </w14:textFill>
    </w:rPr>
  </w:style>
  <w:style w:type="character" w:customStyle="1" w:styleId="45">
    <w:name w:val="标题 2 字符"/>
    <w:basedOn w:val="39"/>
    <w:link w:val="3"/>
    <w:qFormat/>
    <w:uiPriority w:val="9"/>
    <w:rPr>
      <w:rFonts w:ascii="黑体" w:hAnsi="黑体" w:eastAsia="黑体" w:cstheme="majorBidi"/>
      <w:color w:val="000000" w:themeColor="text1"/>
      <w:sz w:val="28"/>
      <w:szCs w:val="40"/>
      <w14:textFill>
        <w14:solidFill>
          <w14:schemeClr w14:val="tx1"/>
        </w14:solidFill>
      </w14:textFill>
    </w:rPr>
  </w:style>
  <w:style w:type="character" w:customStyle="1" w:styleId="46">
    <w:name w:val="标题 3 字符"/>
    <w:basedOn w:val="39"/>
    <w:link w:val="4"/>
    <w:qFormat/>
    <w:uiPriority w:val="0"/>
    <w:rPr>
      <w:rFonts w:ascii="黑体" w:hAnsi="黑体" w:eastAsia="黑体" w:cstheme="majorBidi"/>
      <w:color w:val="000000" w:themeColor="text1"/>
      <w:szCs w:val="32"/>
      <w14:textFill>
        <w14:solidFill>
          <w14:schemeClr w14:val="tx1"/>
        </w14:solidFill>
      </w14:textFill>
    </w:rPr>
  </w:style>
  <w:style w:type="character" w:customStyle="1" w:styleId="47">
    <w:name w:val="标题 4 字符"/>
    <w:basedOn w:val="39"/>
    <w:link w:val="5"/>
    <w:qFormat/>
    <w:uiPriority w:val="9"/>
    <w:rPr>
      <w:rFonts w:asciiTheme="minorHAnsi" w:hAnsiTheme="minorHAnsi" w:eastAsiaTheme="minorEastAsia" w:cstheme="majorBidi"/>
      <w:color w:val="104862" w:themeColor="accent1" w:themeShade="BF"/>
      <w:sz w:val="28"/>
      <w:szCs w:val="28"/>
    </w:rPr>
  </w:style>
  <w:style w:type="character" w:customStyle="1" w:styleId="48">
    <w:name w:val="标题 5 字符"/>
    <w:basedOn w:val="39"/>
    <w:link w:val="6"/>
    <w:qFormat/>
    <w:uiPriority w:val="9"/>
    <w:rPr>
      <w:rFonts w:asciiTheme="minorHAnsi" w:hAnsiTheme="minorHAnsi" w:eastAsiaTheme="minorEastAsia" w:cstheme="majorBidi"/>
      <w:color w:val="104862" w:themeColor="accent1" w:themeShade="BF"/>
    </w:rPr>
  </w:style>
  <w:style w:type="character" w:customStyle="1" w:styleId="49">
    <w:name w:val="标题 6 字符"/>
    <w:basedOn w:val="39"/>
    <w:link w:val="7"/>
    <w:semiHidden/>
    <w:qFormat/>
    <w:uiPriority w:val="9"/>
    <w:rPr>
      <w:rFonts w:asciiTheme="minorHAnsi" w:hAnsiTheme="minorHAnsi" w:eastAsiaTheme="minorEastAsia" w:cstheme="majorBidi"/>
      <w:b/>
      <w:bCs/>
      <w:color w:val="104862" w:themeColor="accent1" w:themeShade="BF"/>
    </w:rPr>
  </w:style>
  <w:style w:type="character" w:customStyle="1" w:styleId="50">
    <w:name w:val="标题 7 字符"/>
    <w:basedOn w:val="39"/>
    <w:link w:val="8"/>
    <w:semiHidden/>
    <w:qFormat/>
    <w:uiPriority w:val="9"/>
    <w:rPr>
      <w:rFonts w:asciiTheme="minorHAnsi" w:hAnsiTheme="minorHAnsi" w:eastAsiaTheme="minorEastAsia" w:cstheme="majorBidi"/>
      <w:b/>
      <w:bCs/>
      <w:color w:val="595959" w:themeColor="text1" w:themeTint="A6"/>
      <w14:textFill>
        <w14:solidFill>
          <w14:schemeClr w14:val="tx1">
            <w14:lumMod w14:val="65000"/>
            <w14:lumOff w14:val="35000"/>
          </w14:schemeClr>
        </w14:solidFill>
      </w14:textFill>
    </w:rPr>
  </w:style>
  <w:style w:type="character" w:customStyle="1" w:styleId="51">
    <w:name w:val="标题 8 字符"/>
    <w:basedOn w:val="39"/>
    <w:link w:val="9"/>
    <w:semiHidden/>
    <w:qFormat/>
    <w:uiPriority w:val="9"/>
    <w:rPr>
      <w:rFonts w:asciiTheme="minorHAnsi" w:hAnsiTheme="minorHAnsi" w:eastAsiaTheme="minorEastAsia" w:cstheme="majorBidi"/>
      <w:color w:val="595959" w:themeColor="text1" w:themeTint="A6"/>
      <w14:textFill>
        <w14:solidFill>
          <w14:schemeClr w14:val="tx1">
            <w14:lumMod w14:val="65000"/>
            <w14:lumOff w14:val="35000"/>
          </w14:schemeClr>
        </w14:solidFill>
      </w14:textFill>
    </w:rPr>
  </w:style>
  <w:style w:type="character" w:customStyle="1" w:styleId="52">
    <w:name w:val="标题 9 字符"/>
    <w:basedOn w:val="39"/>
    <w:link w:val="10"/>
    <w:semiHidden/>
    <w:qFormat/>
    <w:uiPriority w:val="9"/>
    <w:rPr>
      <w:rFonts w:asciiTheme="minorHAnsi" w:hAnsiTheme="minorHAnsi" w:eastAsiaTheme="majorEastAsia" w:cstheme="majorBidi"/>
      <w:color w:val="595959" w:themeColor="text1" w:themeTint="A6"/>
      <w14:textFill>
        <w14:solidFill>
          <w14:schemeClr w14:val="tx1">
            <w14:lumMod w14:val="65000"/>
            <w14:lumOff w14:val="35000"/>
          </w14:schemeClr>
        </w14:solidFill>
      </w14:textFill>
    </w:rPr>
  </w:style>
  <w:style w:type="character" w:customStyle="1" w:styleId="53">
    <w:name w:val="标题 字符"/>
    <w:basedOn w:val="39"/>
    <w:link w:val="34"/>
    <w:qFormat/>
    <w:uiPriority w:val="10"/>
    <w:rPr>
      <w:rFonts w:ascii="黑体" w:hAnsi="黑体" w:eastAsia="黑体" w:cstheme="majorBidi"/>
      <w:color w:val="000000" w:themeColor="text1"/>
      <w:kern w:val="28"/>
      <w:szCs w:val="56"/>
      <w14:textFill>
        <w14:solidFill>
          <w14:schemeClr w14:val="tx1"/>
        </w14:solidFill>
      </w14:textFill>
    </w:rPr>
  </w:style>
  <w:style w:type="character" w:customStyle="1" w:styleId="54">
    <w:name w:val="副标题 字符"/>
    <w:basedOn w:val="39"/>
    <w:link w:val="28"/>
    <w:qFormat/>
    <w:uiPriority w:val="11"/>
    <w:rPr>
      <w:rFonts w:ascii="黑体" w:hAnsi="黑体" w:eastAsia="黑体" w:cstheme="majorBidi"/>
      <w:color w:val="000000" w:themeColor="text1"/>
      <w:szCs w:val="28"/>
      <w14:textFill>
        <w14:solidFill>
          <w14:schemeClr w14:val="tx1"/>
        </w14:solidFill>
      </w14:textFill>
    </w:rPr>
  </w:style>
  <w:style w:type="paragraph" w:styleId="55">
    <w:name w:val="Quote"/>
    <w:basedOn w:val="1"/>
    <w:next w:val="1"/>
    <w:link w:val="56"/>
    <w:qFormat/>
    <w:uiPriority w:val="29"/>
    <w:pPr>
      <w:spacing w:before="160"/>
      <w:jc w:val="center"/>
    </w:pPr>
    <w:rPr>
      <w:i/>
      <w:iCs/>
      <w:color w:val="404040" w:themeColor="text1" w:themeTint="BF"/>
      <w14:textFill>
        <w14:solidFill>
          <w14:schemeClr w14:val="tx1">
            <w14:lumMod w14:val="75000"/>
            <w14:lumOff w14:val="25000"/>
          </w14:schemeClr>
        </w14:solidFill>
      </w14:textFill>
    </w:rPr>
  </w:style>
  <w:style w:type="character" w:customStyle="1" w:styleId="56">
    <w:name w:val="引用 字符"/>
    <w:basedOn w:val="39"/>
    <w:link w:val="55"/>
    <w:qFormat/>
    <w:uiPriority w:val="29"/>
    <w:rPr>
      <w:i/>
      <w:iCs/>
      <w:color w:val="404040" w:themeColor="text1" w:themeTint="BF"/>
      <w14:textFill>
        <w14:solidFill>
          <w14:schemeClr w14:val="tx1">
            <w14:lumMod w14:val="75000"/>
            <w14:lumOff w14:val="25000"/>
          </w14:schemeClr>
        </w14:solidFill>
      </w14:textFill>
    </w:rPr>
  </w:style>
  <w:style w:type="paragraph" w:styleId="57">
    <w:name w:val="List Paragraph"/>
    <w:basedOn w:val="1"/>
    <w:qFormat/>
    <w:uiPriority w:val="34"/>
    <w:pPr>
      <w:ind w:left="720"/>
      <w:contextualSpacing/>
    </w:pPr>
  </w:style>
  <w:style w:type="character" w:customStyle="1" w:styleId="58">
    <w:name w:val="明显强调1"/>
    <w:basedOn w:val="39"/>
    <w:qFormat/>
    <w:uiPriority w:val="21"/>
    <w:rPr>
      <w:i/>
      <w:iCs/>
      <w:color w:val="104862" w:themeColor="accent1" w:themeShade="BF"/>
    </w:rPr>
  </w:style>
  <w:style w:type="paragraph" w:styleId="59">
    <w:name w:val="Intense Quote"/>
    <w:basedOn w:val="1"/>
    <w:next w:val="1"/>
    <w:link w:val="60"/>
    <w:qFormat/>
    <w:uiPriority w:val="30"/>
    <w:pPr>
      <w:pBdr>
        <w:top w:val="single" w:color="0F4761" w:themeColor="accent1" w:themeShade="BF" w:sz="4" w:space="10"/>
        <w:bottom w:val="single" w:color="0F4761" w:themeColor="accent1" w:themeShade="BF" w:sz="4" w:space="10"/>
      </w:pBdr>
      <w:spacing w:before="360" w:after="360"/>
      <w:ind w:left="864" w:right="864"/>
      <w:jc w:val="center"/>
    </w:pPr>
    <w:rPr>
      <w:i/>
      <w:iCs/>
      <w:color w:val="104862" w:themeColor="accent1" w:themeShade="BF"/>
    </w:rPr>
  </w:style>
  <w:style w:type="character" w:customStyle="1" w:styleId="60">
    <w:name w:val="明显引用 字符"/>
    <w:basedOn w:val="39"/>
    <w:link w:val="59"/>
    <w:qFormat/>
    <w:uiPriority w:val="30"/>
    <w:rPr>
      <w:i/>
      <w:iCs/>
      <w:color w:val="104862" w:themeColor="accent1" w:themeShade="BF"/>
    </w:rPr>
  </w:style>
  <w:style w:type="character" w:customStyle="1" w:styleId="61">
    <w:name w:val="明显参考1"/>
    <w:basedOn w:val="39"/>
    <w:qFormat/>
    <w:uiPriority w:val="32"/>
    <w:rPr>
      <w:b/>
      <w:bCs/>
      <w:smallCaps/>
      <w:color w:val="104862" w:themeColor="accent1" w:themeShade="BF"/>
      <w:spacing w:val="5"/>
    </w:rPr>
  </w:style>
  <w:style w:type="character" w:customStyle="1" w:styleId="62">
    <w:name w:val="页眉 字符"/>
    <w:basedOn w:val="39"/>
    <w:link w:val="25"/>
    <w:qFormat/>
    <w:uiPriority w:val="99"/>
    <w:rPr>
      <w:color w:val="000000" w:themeColor="text1"/>
      <w:sz w:val="18"/>
      <w:szCs w:val="18"/>
      <w14:textFill>
        <w14:solidFill>
          <w14:schemeClr w14:val="tx1"/>
        </w14:solidFill>
      </w14:textFill>
    </w:rPr>
  </w:style>
  <w:style w:type="character" w:customStyle="1" w:styleId="63">
    <w:name w:val="页脚 字符"/>
    <w:basedOn w:val="39"/>
    <w:link w:val="24"/>
    <w:qFormat/>
    <w:uiPriority w:val="99"/>
    <w:rPr>
      <w:color w:val="000000" w:themeColor="text1"/>
      <w:sz w:val="18"/>
      <w:szCs w:val="18"/>
      <w14:textFill>
        <w14:solidFill>
          <w14:schemeClr w14:val="tx1"/>
        </w14:solidFill>
      </w14:textFill>
    </w:rPr>
  </w:style>
  <w:style w:type="paragraph" w:styleId="64">
    <w:name w:val="No Spacing"/>
    <w:qFormat/>
    <w:uiPriority w:val="1"/>
    <w:pPr>
      <w:widowControl w:val="0"/>
      <w:jc w:val="center"/>
    </w:pPr>
    <w:rPr>
      <w:rFonts w:ascii="Times New Roman" w:hAnsi="Times New Roman" w:eastAsia="宋体" w:cstheme="minorBidi"/>
      <w:color w:val="000000" w:themeColor="text1"/>
      <w:kern w:val="2"/>
      <w:sz w:val="21"/>
      <w:szCs w:val="24"/>
      <w:lang w:val="en-US" w:eastAsia="zh-CN" w:bidi="ar-SA"/>
      <w14:textFill>
        <w14:solidFill>
          <w14:schemeClr w14:val="tx1"/>
        </w14:solidFill>
      </w14:textFill>
      <w14:ligatures w14:val="standardContextual"/>
    </w:rPr>
  </w:style>
  <w:style w:type="character" w:customStyle="1" w:styleId="65">
    <w:name w:val="批注文字 字符"/>
    <w:basedOn w:val="39"/>
    <w:link w:val="15"/>
    <w:qFormat/>
    <w:uiPriority w:val="99"/>
    <w:rPr>
      <w:color w:val="000000" w:themeColor="text1"/>
      <w14:textFill>
        <w14:solidFill>
          <w14:schemeClr w14:val="tx1"/>
        </w14:solidFill>
      </w14:textFill>
    </w:rPr>
  </w:style>
  <w:style w:type="character" w:customStyle="1" w:styleId="66">
    <w:name w:val="批注主题 字符"/>
    <w:basedOn w:val="65"/>
    <w:link w:val="35"/>
    <w:semiHidden/>
    <w:qFormat/>
    <w:uiPriority w:val="99"/>
    <w:rPr>
      <w:b/>
      <w:bCs/>
      <w:color w:val="000000" w:themeColor="text1"/>
      <w14:textFill>
        <w14:solidFill>
          <w14:schemeClr w14:val="tx1"/>
        </w14:solidFill>
      </w14:textFill>
    </w:rPr>
  </w:style>
  <w:style w:type="paragraph" w:customStyle="1" w:styleId="67">
    <w:name w:val="1表格文字"/>
    <w:qFormat/>
    <w:uiPriority w:val="0"/>
    <w:pPr>
      <w:spacing w:line="360" w:lineRule="exact"/>
      <w:jc w:val="center"/>
    </w:pPr>
    <w:rPr>
      <w:rFonts w:ascii="Times New Roman" w:hAnsi="Times New Roman" w:eastAsia="宋体" w:cs="Times New Roman"/>
      <w:sz w:val="21"/>
      <w:szCs w:val="24"/>
      <w:lang w:val="en-US" w:eastAsia="zh-CN" w:bidi="en-US"/>
    </w:rPr>
  </w:style>
  <w:style w:type="paragraph" w:customStyle="1" w:styleId="68">
    <w:name w:val="Table Paragraph"/>
    <w:basedOn w:val="1"/>
    <w:qFormat/>
    <w:uiPriority w:val="1"/>
    <w:pPr>
      <w:spacing w:line="240" w:lineRule="auto"/>
      <w:jc w:val="left"/>
    </w:pPr>
    <w:rPr>
      <w:rFonts w:ascii="Calibri" w:hAnsi="Calibri" w:eastAsiaTheme="minorEastAsia"/>
      <w:color w:val="auto"/>
      <w:sz w:val="22"/>
      <w:szCs w:val="22"/>
      <w:lang w:eastAsia="en-US"/>
      <w14:ligatures w14:val="none"/>
    </w:rPr>
  </w:style>
  <w:style w:type="character" w:customStyle="1" w:styleId="69">
    <w:name w:val="正文文本 字符"/>
    <w:basedOn w:val="39"/>
    <w:link w:val="16"/>
    <w:qFormat/>
    <w:uiPriority w:val="0"/>
    <w:rPr>
      <w:rFonts w:cs="Times New Roman"/>
      <w:color w:val="000000" w:themeColor="text1"/>
      <w14:textFill>
        <w14:solidFill>
          <w14:schemeClr w14:val="tx1"/>
        </w14:solidFill>
      </w14:textFill>
      <w14:ligatures w14:val="none"/>
    </w:rPr>
  </w:style>
  <w:style w:type="table" w:customStyle="1" w:styleId="70">
    <w:name w:val="Table Normal"/>
    <w:semiHidden/>
    <w:unhideWhenUsed/>
    <w:qFormat/>
    <w:uiPriority w:val="0"/>
    <w:tblPr>
      <w:tblCellMar>
        <w:top w:w="0" w:type="dxa"/>
        <w:left w:w="0" w:type="dxa"/>
        <w:bottom w:w="0" w:type="dxa"/>
        <w:right w:w="0" w:type="dxa"/>
      </w:tblCellMar>
    </w:tblPr>
  </w:style>
  <w:style w:type="paragraph" w:customStyle="1" w:styleId="71">
    <w:name w:val="Table Text"/>
    <w:basedOn w:val="1"/>
    <w:semiHidden/>
    <w:qFormat/>
    <w:uiPriority w:val="0"/>
    <w:pPr>
      <w:widowControl/>
      <w:kinsoku w:val="0"/>
      <w:autoSpaceDE w:val="0"/>
      <w:autoSpaceDN w:val="0"/>
      <w:adjustRightInd w:val="0"/>
      <w:snapToGrid w:val="0"/>
      <w:ind w:firstLine="480" w:firstLineChars="200"/>
      <w:jc w:val="left"/>
      <w:textAlignment w:val="baseline"/>
    </w:pPr>
    <w:rPr>
      <w:rFonts w:ascii="宋体" w:hAnsi="宋体" w:eastAsia="Times New Roman" w:cs="宋体"/>
      <w:snapToGrid w:val="0"/>
      <w:color w:val="000000"/>
      <w:spacing w:val="-1"/>
      <w:kern w:val="0"/>
      <w:lang w:eastAsia="en-US"/>
      <w14:ligatures w14:val="none"/>
    </w:rPr>
  </w:style>
  <w:style w:type="character" w:customStyle="1" w:styleId="72">
    <w:name w:val="正文文本 2 字符"/>
    <w:basedOn w:val="39"/>
    <w:link w:val="33"/>
    <w:qFormat/>
    <w:uiPriority w:val="99"/>
    <w:rPr>
      <w:color w:val="000000" w:themeColor="text1"/>
      <w14:textFill>
        <w14:solidFill>
          <w14:schemeClr w14:val="tx1"/>
        </w14:solidFill>
      </w14:textFill>
    </w:rPr>
  </w:style>
  <w:style w:type="paragraph" w:customStyle="1" w:styleId="73">
    <w:name w:val="TOC 标题1"/>
    <w:basedOn w:val="2"/>
    <w:next w:val="1"/>
    <w:unhideWhenUsed/>
    <w:qFormat/>
    <w:uiPriority w:val="39"/>
    <w:pPr>
      <w:widowControl/>
      <w:spacing w:before="240" w:beforeLines="0" w:after="0" w:afterLines="0" w:line="259" w:lineRule="auto"/>
      <w:jc w:val="left"/>
      <w:outlineLvl w:val="9"/>
    </w:pPr>
    <w:rPr>
      <w:rFonts w:asciiTheme="majorHAnsi" w:hAnsiTheme="majorHAnsi" w:eastAsiaTheme="majorEastAsia"/>
      <w:color w:val="104862" w:themeColor="accent1" w:themeShade="BF"/>
      <w:kern w:val="0"/>
      <w:sz w:val="32"/>
      <w:szCs w:val="32"/>
      <w14:ligatures w14:val="none"/>
    </w:rPr>
  </w:style>
  <w:style w:type="paragraph" w:customStyle="1" w:styleId="74">
    <w:name w:val="[正文格式]"/>
    <w:basedOn w:val="1"/>
    <w:qFormat/>
    <w:uiPriority w:val="0"/>
    <w:pPr>
      <w:spacing w:line="440" w:lineRule="exact"/>
      <w:ind w:firstLine="500" w:firstLineChars="200"/>
    </w:pPr>
    <w:rPr>
      <w:rFonts w:cs="宋体"/>
      <w:color w:val="auto"/>
      <w:sz w:val="25"/>
      <w:szCs w:val="20"/>
      <w14:ligatures w14:val="none"/>
    </w:rPr>
  </w:style>
  <w:style w:type="paragraph" w:customStyle="1" w:styleId="75">
    <w:name w:val="表格标题（居中）"/>
    <w:basedOn w:val="19"/>
    <w:link w:val="76"/>
    <w:qFormat/>
    <w:uiPriority w:val="0"/>
    <w:pPr>
      <w:numPr>
        <w:ilvl w:val="0"/>
        <w:numId w:val="1"/>
      </w:numPr>
      <w:adjustRightInd w:val="0"/>
      <w:snapToGrid w:val="0"/>
      <w:spacing w:beforeLines="50" w:afterLines="50" w:line="240" w:lineRule="auto"/>
      <w:jc w:val="center"/>
    </w:pPr>
    <w:rPr>
      <w:rFonts w:ascii="Times New Roman" w:hAnsi="Times New Roman" w:eastAsia="黑体" w:cs="Times New Roman"/>
      <w:color w:val="000000"/>
      <w:kern w:val="0"/>
      <w:sz w:val="20"/>
      <w:szCs w:val="20"/>
      <w:lang w:val="zh-CN"/>
      <w14:ligatures w14:val="none"/>
    </w:rPr>
  </w:style>
  <w:style w:type="character" w:customStyle="1" w:styleId="76">
    <w:name w:val="表格标题（居中） Char"/>
    <w:link w:val="75"/>
    <w:qFormat/>
    <w:locked/>
    <w:uiPriority w:val="0"/>
    <w:rPr>
      <w:rFonts w:eastAsia="黑体" w:cs="Times New Roman"/>
      <w:color w:val="000000"/>
      <w:kern w:val="0"/>
      <w:sz w:val="20"/>
      <w:szCs w:val="20"/>
      <w:lang w:val="zh-CN" w:eastAsia="zh-CN"/>
      <w14:ligatures w14:val="none"/>
    </w:rPr>
  </w:style>
  <w:style w:type="character" w:customStyle="1" w:styleId="77">
    <w:name w:val="纯文本 字符"/>
    <w:basedOn w:val="39"/>
    <w:link w:val="19"/>
    <w:qFormat/>
    <w:uiPriority w:val="0"/>
    <w:rPr>
      <w:rFonts w:hAnsi="Courier New" w:cs="Courier New" w:asciiTheme="minorEastAsia" w:eastAsiaTheme="minorEastAsia"/>
      <w:color w:val="000000" w:themeColor="text1"/>
      <w14:textFill>
        <w14:solidFill>
          <w14:schemeClr w14:val="tx1"/>
        </w14:solidFill>
      </w14:textFill>
    </w:rPr>
  </w:style>
  <w:style w:type="paragraph" w:customStyle="1" w:styleId="78">
    <w:name w:val="【表格文字】"/>
    <w:basedOn w:val="1"/>
    <w:next w:val="1"/>
    <w:qFormat/>
    <w:uiPriority w:val="0"/>
    <w:pPr>
      <w:spacing w:line="320" w:lineRule="atLeast"/>
      <w:jc w:val="center"/>
    </w:pPr>
    <w:rPr>
      <w:rFonts w:cs="Times New Roman"/>
      <w:color w:val="auto"/>
      <w:sz w:val="21"/>
      <w14:ligatures w14:val="none"/>
    </w:rPr>
  </w:style>
  <w:style w:type="character" w:customStyle="1" w:styleId="79">
    <w:name w:val="font01"/>
    <w:qFormat/>
    <w:uiPriority w:val="0"/>
    <w:rPr>
      <w:rFonts w:ascii="宋体" w:hAnsi="宋体" w:eastAsia="宋体" w:cs="宋体"/>
      <w:color w:val="000000"/>
      <w:sz w:val="21"/>
      <w:szCs w:val="21"/>
      <w:u w:val="none"/>
    </w:rPr>
  </w:style>
  <w:style w:type="character" w:customStyle="1" w:styleId="80">
    <w:name w:val="Default Char Char"/>
    <w:link w:val="43"/>
    <w:qFormat/>
    <w:uiPriority w:val="0"/>
    <w:rPr>
      <w:rFonts w:ascii="Sim Sun+ 2" w:eastAsia="Sim Sun+ 2" w:cs="Sim Sun+ 2"/>
      <w:color w:val="000000"/>
      <w:kern w:val="0"/>
      <w14:ligatures w14:val="none"/>
    </w:rPr>
  </w:style>
  <w:style w:type="paragraph" w:customStyle="1" w:styleId="81">
    <w:name w:val="吴用表格"/>
    <w:basedOn w:val="1"/>
    <w:qFormat/>
    <w:uiPriority w:val="0"/>
    <w:pPr>
      <w:spacing w:line="320" w:lineRule="exact"/>
      <w:jc w:val="center"/>
    </w:pPr>
    <w:rPr>
      <w:rFonts w:ascii="Arial" w:hAnsi="Arial" w:cs="Arial"/>
      <w:color w:val="auto"/>
      <w:sz w:val="21"/>
      <w:szCs w:val="21"/>
      <w14:ligatures w14:val="none"/>
    </w:rPr>
  </w:style>
  <w:style w:type="paragraph" w:customStyle="1" w:styleId="82">
    <w:name w:val="正文 首行缩进:  2 字符"/>
    <w:basedOn w:val="1"/>
    <w:qFormat/>
    <w:uiPriority w:val="0"/>
    <w:pPr>
      <w:widowControl/>
      <w:ind w:firstLine="200" w:firstLineChars="200"/>
      <w:jc w:val="left"/>
    </w:pPr>
    <w:rPr>
      <w:rFonts w:ascii="宋体" w:hAnsi="宋体" w:cs="宋体"/>
      <w:color w:val="auto"/>
      <w:kern w:val="0"/>
      <w:szCs w:val="20"/>
    </w:rPr>
  </w:style>
  <w:style w:type="paragraph" w:customStyle="1" w:styleId="83">
    <w:name w:val="msonormal"/>
    <w:basedOn w:val="1"/>
    <w:qFormat/>
    <w:uiPriority w:val="0"/>
    <w:pPr>
      <w:widowControl/>
      <w:spacing w:before="100" w:beforeAutospacing="1" w:after="100" w:afterAutospacing="1" w:line="240" w:lineRule="auto"/>
      <w:jc w:val="left"/>
    </w:pPr>
    <w:rPr>
      <w:rFonts w:ascii="宋体" w:hAnsi="宋体" w:cs="宋体"/>
      <w:color w:val="auto"/>
      <w:kern w:val="0"/>
      <w14:ligatures w14:val="none"/>
    </w:rPr>
  </w:style>
  <w:style w:type="paragraph" w:customStyle="1" w:styleId="84">
    <w:name w:val="font5"/>
    <w:basedOn w:val="1"/>
    <w:qFormat/>
    <w:uiPriority w:val="0"/>
    <w:pPr>
      <w:widowControl/>
      <w:spacing w:before="100" w:beforeAutospacing="1" w:after="100" w:afterAutospacing="1" w:line="240" w:lineRule="auto"/>
      <w:jc w:val="left"/>
    </w:pPr>
    <w:rPr>
      <w:rFonts w:ascii="宋体" w:hAnsi="宋体" w:cs="宋体"/>
      <w:color w:val="405050"/>
      <w:kern w:val="0"/>
      <w14:ligatures w14:val="none"/>
    </w:rPr>
  </w:style>
  <w:style w:type="paragraph" w:customStyle="1" w:styleId="85">
    <w:name w:val="font6"/>
    <w:basedOn w:val="1"/>
    <w:qFormat/>
    <w:uiPriority w:val="0"/>
    <w:pPr>
      <w:widowControl/>
      <w:spacing w:before="100" w:beforeAutospacing="1" w:after="100" w:afterAutospacing="1" w:line="240" w:lineRule="auto"/>
      <w:jc w:val="left"/>
    </w:pPr>
    <w:rPr>
      <w:rFonts w:ascii="宋体" w:hAnsi="宋体" w:cs="宋体"/>
      <w:color w:val="304040"/>
      <w:kern w:val="0"/>
      <w14:ligatures w14:val="none"/>
    </w:rPr>
  </w:style>
  <w:style w:type="paragraph" w:customStyle="1" w:styleId="86">
    <w:name w:val="font7"/>
    <w:basedOn w:val="1"/>
    <w:qFormat/>
    <w:uiPriority w:val="0"/>
    <w:pPr>
      <w:widowControl/>
      <w:spacing w:before="100" w:beforeAutospacing="1" w:after="100" w:afterAutospacing="1" w:line="240" w:lineRule="auto"/>
      <w:jc w:val="left"/>
    </w:pPr>
    <w:rPr>
      <w:rFonts w:ascii="宋体" w:hAnsi="宋体" w:cs="宋体"/>
      <w:color w:val="auto"/>
      <w:kern w:val="0"/>
      <w14:ligatures w14:val="none"/>
    </w:rPr>
  </w:style>
  <w:style w:type="paragraph" w:customStyle="1" w:styleId="87">
    <w:name w:val="font8"/>
    <w:basedOn w:val="1"/>
    <w:qFormat/>
    <w:uiPriority w:val="0"/>
    <w:pPr>
      <w:widowControl/>
      <w:spacing w:before="100" w:beforeAutospacing="1" w:after="100" w:afterAutospacing="1" w:line="240" w:lineRule="auto"/>
      <w:jc w:val="left"/>
    </w:pPr>
    <w:rPr>
      <w:rFonts w:ascii="宋体" w:hAnsi="宋体" w:cs="宋体"/>
      <w:color w:val="102040"/>
      <w:kern w:val="0"/>
      <w14:ligatures w14:val="none"/>
    </w:rPr>
  </w:style>
  <w:style w:type="paragraph" w:customStyle="1" w:styleId="88">
    <w:name w:val="font9"/>
    <w:basedOn w:val="1"/>
    <w:qFormat/>
    <w:uiPriority w:val="0"/>
    <w:pPr>
      <w:widowControl/>
      <w:spacing w:before="100" w:beforeAutospacing="1" w:after="100" w:afterAutospacing="1" w:line="240" w:lineRule="auto"/>
      <w:jc w:val="left"/>
    </w:pPr>
    <w:rPr>
      <w:rFonts w:ascii="Arial" w:hAnsi="Arial" w:cs="Arial"/>
      <w:color w:val="auto"/>
      <w:kern w:val="0"/>
      <w14:ligatures w14:val="none"/>
    </w:rPr>
  </w:style>
  <w:style w:type="paragraph" w:customStyle="1" w:styleId="89">
    <w:name w:val="font10"/>
    <w:basedOn w:val="1"/>
    <w:qFormat/>
    <w:uiPriority w:val="0"/>
    <w:pPr>
      <w:widowControl/>
      <w:spacing w:before="100" w:beforeAutospacing="1" w:after="100" w:afterAutospacing="1" w:line="240" w:lineRule="auto"/>
      <w:jc w:val="left"/>
    </w:pPr>
    <w:rPr>
      <w:rFonts w:ascii="宋体" w:hAnsi="宋体" w:cs="宋体"/>
      <w:b/>
      <w:bCs/>
      <w:color w:val="auto"/>
      <w:kern w:val="0"/>
      <w14:ligatures w14:val="none"/>
    </w:rPr>
  </w:style>
  <w:style w:type="paragraph" w:customStyle="1" w:styleId="90">
    <w:name w:val="font11"/>
    <w:basedOn w:val="1"/>
    <w:qFormat/>
    <w:uiPriority w:val="0"/>
    <w:pPr>
      <w:widowControl/>
      <w:spacing w:before="100" w:beforeAutospacing="1" w:after="100" w:afterAutospacing="1" w:line="240" w:lineRule="auto"/>
      <w:jc w:val="left"/>
    </w:pPr>
    <w:rPr>
      <w:rFonts w:ascii="宋体" w:hAnsi="宋体" w:cs="宋体"/>
      <w:color w:val="auto"/>
      <w:kern w:val="0"/>
      <w:sz w:val="18"/>
      <w:szCs w:val="18"/>
      <w14:ligatures w14:val="none"/>
    </w:rPr>
  </w:style>
  <w:style w:type="paragraph" w:customStyle="1" w:styleId="91">
    <w:name w:val="font12"/>
    <w:basedOn w:val="1"/>
    <w:qFormat/>
    <w:uiPriority w:val="0"/>
    <w:pPr>
      <w:widowControl/>
      <w:spacing w:before="100" w:beforeAutospacing="1" w:after="100" w:afterAutospacing="1" w:line="240" w:lineRule="auto"/>
      <w:jc w:val="left"/>
    </w:pPr>
    <w:rPr>
      <w:rFonts w:ascii="Calibri" w:hAnsi="Calibri" w:cs="Calibri"/>
      <w:color w:val="auto"/>
      <w:kern w:val="0"/>
      <w14:ligatures w14:val="none"/>
    </w:rPr>
  </w:style>
  <w:style w:type="paragraph" w:customStyle="1" w:styleId="92">
    <w:name w:val="font13"/>
    <w:basedOn w:val="1"/>
    <w:qFormat/>
    <w:uiPriority w:val="0"/>
    <w:pPr>
      <w:widowControl/>
      <w:spacing w:before="100" w:beforeAutospacing="1" w:after="100" w:afterAutospacing="1" w:line="240" w:lineRule="auto"/>
      <w:jc w:val="left"/>
    </w:pPr>
    <w:rPr>
      <w:rFonts w:ascii="宋体" w:hAnsi="宋体" w:cs="宋体"/>
      <w:color w:val="304050"/>
      <w:kern w:val="0"/>
      <w14:ligatures w14:val="none"/>
    </w:rPr>
  </w:style>
  <w:style w:type="paragraph" w:customStyle="1" w:styleId="93">
    <w:name w:val="font14"/>
    <w:basedOn w:val="1"/>
    <w:qFormat/>
    <w:uiPriority w:val="0"/>
    <w:pPr>
      <w:widowControl/>
      <w:spacing w:before="100" w:beforeAutospacing="1" w:after="100" w:afterAutospacing="1" w:line="240" w:lineRule="auto"/>
      <w:jc w:val="left"/>
    </w:pPr>
    <w:rPr>
      <w:rFonts w:ascii="宋体" w:hAnsi="宋体" w:cs="宋体"/>
      <w:color w:val="404060"/>
      <w:kern w:val="0"/>
      <w14:ligatures w14:val="none"/>
    </w:rPr>
  </w:style>
  <w:style w:type="paragraph" w:customStyle="1" w:styleId="94">
    <w:name w:val="font15"/>
    <w:basedOn w:val="1"/>
    <w:qFormat/>
    <w:uiPriority w:val="0"/>
    <w:pPr>
      <w:widowControl/>
      <w:spacing w:before="100" w:beforeAutospacing="1" w:after="100" w:afterAutospacing="1" w:line="240" w:lineRule="auto"/>
      <w:jc w:val="left"/>
    </w:pPr>
    <w:rPr>
      <w:rFonts w:ascii="宋体" w:hAnsi="宋体" w:cs="宋体"/>
      <w:color w:val="303050"/>
      <w:kern w:val="0"/>
      <w14:ligatures w14:val="none"/>
    </w:rPr>
  </w:style>
  <w:style w:type="paragraph" w:customStyle="1" w:styleId="95">
    <w:name w:val="xl65"/>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line="240" w:lineRule="auto"/>
      <w:jc w:val="center"/>
      <w:textAlignment w:val="center"/>
    </w:pPr>
    <w:rPr>
      <w:rFonts w:ascii="宋体" w:hAnsi="宋体" w:cs="宋体"/>
      <w:b/>
      <w:bCs/>
      <w:color w:val="auto"/>
      <w:kern w:val="0"/>
      <w14:ligatures w14:val="none"/>
    </w:rPr>
  </w:style>
  <w:style w:type="paragraph" w:customStyle="1" w:styleId="96">
    <w:name w:val="xl66"/>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line="240" w:lineRule="auto"/>
      <w:jc w:val="center"/>
    </w:pPr>
    <w:rPr>
      <w:rFonts w:ascii="宋体" w:hAnsi="宋体" w:cs="宋体"/>
      <w:b/>
      <w:bCs/>
      <w:color w:val="auto"/>
      <w:kern w:val="0"/>
      <w14:ligatures w14:val="none"/>
    </w:rPr>
  </w:style>
  <w:style w:type="paragraph" w:customStyle="1" w:styleId="97">
    <w:name w:val="xl67"/>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line="240" w:lineRule="auto"/>
      <w:jc w:val="center"/>
    </w:pPr>
    <w:rPr>
      <w:rFonts w:ascii="宋体" w:hAnsi="宋体" w:cs="宋体"/>
      <w:color w:val="auto"/>
      <w:kern w:val="0"/>
      <w14:ligatures w14:val="none"/>
    </w:rPr>
  </w:style>
  <w:style w:type="paragraph" w:customStyle="1" w:styleId="98">
    <w:name w:val="xl68"/>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line="240" w:lineRule="auto"/>
      <w:jc w:val="center"/>
    </w:pPr>
    <w:rPr>
      <w:rFonts w:ascii="宋体" w:hAnsi="宋体" w:cs="宋体"/>
      <w:b/>
      <w:bCs/>
      <w:color w:val="auto"/>
      <w:kern w:val="0"/>
      <w14:ligatures w14:val="none"/>
    </w:rPr>
  </w:style>
  <w:style w:type="paragraph" w:customStyle="1" w:styleId="99">
    <w:name w:val="xl69"/>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line="240" w:lineRule="auto"/>
      <w:jc w:val="center"/>
    </w:pPr>
    <w:rPr>
      <w:rFonts w:ascii="宋体" w:hAnsi="宋体" w:cs="宋体"/>
      <w:b/>
      <w:bCs/>
      <w:color w:val="auto"/>
      <w:kern w:val="0"/>
      <w14:ligatures w14:val="none"/>
    </w:rPr>
  </w:style>
  <w:style w:type="paragraph" w:customStyle="1" w:styleId="100">
    <w:name w:val="xl70"/>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line="240" w:lineRule="auto"/>
      <w:jc w:val="center"/>
    </w:pPr>
    <w:rPr>
      <w:rFonts w:ascii="宋体" w:hAnsi="宋体" w:cs="宋体"/>
      <w:b/>
      <w:bCs/>
      <w:color w:val="auto"/>
      <w:kern w:val="0"/>
      <w14:ligatures w14:val="none"/>
    </w:rPr>
  </w:style>
  <w:style w:type="paragraph" w:customStyle="1" w:styleId="101">
    <w:name w:val="xl71"/>
    <w:basedOn w:val="1"/>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line="240" w:lineRule="auto"/>
      <w:jc w:val="center"/>
      <w:textAlignment w:val="center"/>
    </w:pPr>
    <w:rPr>
      <w:rFonts w:ascii="宋体" w:hAnsi="宋体" w:cs="宋体"/>
      <w:color w:val="auto"/>
      <w:kern w:val="0"/>
      <w14:ligatures w14:val="none"/>
    </w:rPr>
  </w:style>
  <w:style w:type="paragraph" w:customStyle="1" w:styleId="102">
    <w:name w:val="xl72"/>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line="240" w:lineRule="auto"/>
      <w:jc w:val="center"/>
    </w:pPr>
    <w:rPr>
      <w:rFonts w:ascii="宋体" w:hAnsi="宋体" w:cs="宋体"/>
      <w:b/>
      <w:bCs/>
      <w:color w:val="204040"/>
      <w:kern w:val="0"/>
      <w14:ligatures w14:val="none"/>
    </w:rPr>
  </w:style>
  <w:style w:type="paragraph" w:customStyle="1" w:styleId="103">
    <w:name w:val="xl73"/>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line="240" w:lineRule="auto"/>
      <w:jc w:val="center"/>
    </w:pPr>
    <w:rPr>
      <w:rFonts w:ascii="宋体" w:hAnsi="宋体" w:cs="宋体"/>
      <w:color w:val="auto"/>
      <w:kern w:val="0"/>
      <w14:ligatures w14:val="none"/>
    </w:rPr>
  </w:style>
  <w:style w:type="paragraph" w:customStyle="1" w:styleId="104">
    <w:name w:val="xl74"/>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line="240" w:lineRule="auto"/>
      <w:jc w:val="center"/>
    </w:pPr>
    <w:rPr>
      <w:rFonts w:ascii="宋体" w:hAnsi="宋体" w:cs="宋体"/>
      <w:color w:val="auto"/>
      <w:kern w:val="0"/>
      <w14:ligatures w14:val="none"/>
    </w:rPr>
  </w:style>
  <w:style w:type="paragraph" w:customStyle="1" w:styleId="105">
    <w:name w:val="xl75"/>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line="240" w:lineRule="auto"/>
      <w:jc w:val="center"/>
    </w:pPr>
    <w:rPr>
      <w:rFonts w:ascii="宋体" w:hAnsi="宋体" w:cs="宋体"/>
      <w:color w:val="auto"/>
      <w:kern w:val="0"/>
      <w14:ligatures w14:val="none"/>
    </w:rPr>
  </w:style>
  <w:style w:type="paragraph" w:customStyle="1" w:styleId="106">
    <w:name w:val="xl76"/>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line="240" w:lineRule="auto"/>
      <w:jc w:val="center"/>
    </w:pPr>
    <w:rPr>
      <w:rFonts w:ascii="宋体" w:hAnsi="宋体" w:cs="宋体"/>
      <w:color w:val="404030"/>
      <w:kern w:val="0"/>
      <w14:ligatures w14:val="none"/>
    </w:rPr>
  </w:style>
  <w:style w:type="paragraph" w:customStyle="1" w:styleId="107">
    <w:name w:val="xl77"/>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line="240" w:lineRule="auto"/>
      <w:jc w:val="center"/>
    </w:pPr>
    <w:rPr>
      <w:rFonts w:ascii="宋体" w:hAnsi="宋体" w:cs="宋体"/>
      <w:color w:val="405060"/>
      <w:kern w:val="0"/>
      <w14:ligatures w14:val="none"/>
    </w:rPr>
  </w:style>
  <w:style w:type="paragraph" w:customStyle="1" w:styleId="108">
    <w:name w:val="xl78"/>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line="240" w:lineRule="auto"/>
      <w:jc w:val="center"/>
    </w:pPr>
    <w:rPr>
      <w:rFonts w:ascii="宋体" w:hAnsi="宋体" w:cs="宋体"/>
      <w:color w:val="auto"/>
      <w:kern w:val="0"/>
      <w14:ligatures w14:val="none"/>
    </w:rPr>
  </w:style>
  <w:style w:type="paragraph" w:customStyle="1" w:styleId="109">
    <w:name w:val="xl79"/>
    <w:basedOn w:val="1"/>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line="240" w:lineRule="auto"/>
      <w:jc w:val="center"/>
    </w:pPr>
    <w:rPr>
      <w:rFonts w:ascii="宋体" w:hAnsi="宋体" w:cs="宋体"/>
      <w:color w:val="405040"/>
      <w:kern w:val="0"/>
      <w14:ligatures w14:val="none"/>
    </w:rPr>
  </w:style>
  <w:style w:type="paragraph" w:customStyle="1" w:styleId="110">
    <w:name w:val="xl80"/>
    <w:basedOn w:val="1"/>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line="240" w:lineRule="auto"/>
      <w:jc w:val="center"/>
    </w:pPr>
    <w:rPr>
      <w:rFonts w:ascii="宋体" w:hAnsi="宋体" w:cs="宋体"/>
      <w:color w:val="404040"/>
      <w:kern w:val="0"/>
      <w14:ligatures w14:val="none"/>
    </w:rPr>
  </w:style>
  <w:style w:type="paragraph" w:customStyle="1" w:styleId="111">
    <w:name w:val="xl81"/>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line="240" w:lineRule="auto"/>
      <w:jc w:val="center"/>
    </w:pPr>
    <w:rPr>
      <w:rFonts w:ascii="宋体" w:hAnsi="宋体" w:cs="宋体"/>
      <w:color w:val="405050"/>
      <w:kern w:val="0"/>
      <w14:ligatures w14:val="none"/>
    </w:rPr>
  </w:style>
  <w:style w:type="paragraph" w:customStyle="1" w:styleId="112">
    <w:name w:val="xl82"/>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line="240" w:lineRule="auto"/>
      <w:jc w:val="center"/>
    </w:pPr>
    <w:rPr>
      <w:rFonts w:ascii="宋体" w:hAnsi="宋体" w:cs="宋体"/>
      <w:color w:val="505040"/>
      <w:kern w:val="0"/>
      <w14:ligatures w14:val="none"/>
    </w:rPr>
  </w:style>
  <w:style w:type="paragraph" w:customStyle="1" w:styleId="113">
    <w:name w:val="xl83"/>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line="240" w:lineRule="auto"/>
      <w:jc w:val="center"/>
    </w:pPr>
    <w:rPr>
      <w:rFonts w:ascii="宋体" w:hAnsi="宋体" w:cs="宋体"/>
      <w:color w:val="506050"/>
      <w:kern w:val="0"/>
      <w14:ligatures w14:val="none"/>
    </w:rPr>
  </w:style>
  <w:style w:type="paragraph" w:customStyle="1" w:styleId="114">
    <w:name w:val="xl84"/>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line="240" w:lineRule="auto"/>
      <w:jc w:val="center"/>
    </w:pPr>
    <w:rPr>
      <w:rFonts w:ascii="宋体" w:hAnsi="宋体" w:cs="宋体"/>
      <w:color w:val="203050"/>
      <w:kern w:val="0"/>
      <w14:ligatures w14:val="none"/>
    </w:rPr>
  </w:style>
  <w:style w:type="paragraph" w:customStyle="1" w:styleId="115">
    <w:name w:val="xl85"/>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line="240" w:lineRule="auto"/>
      <w:jc w:val="center"/>
    </w:pPr>
    <w:rPr>
      <w:rFonts w:ascii="宋体" w:hAnsi="宋体" w:cs="宋体"/>
      <w:color w:val="304040"/>
      <w:kern w:val="0"/>
      <w14:ligatures w14:val="none"/>
    </w:rPr>
  </w:style>
  <w:style w:type="paragraph" w:customStyle="1" w:styleId="116">
    <w:name w:val="xl86"/>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line="240" w:lineRule="auto"/>
      <w:jc w:val="center"/>
    </w:pPr>
    <w:rPr>
      <w:rFonts w:ascii="宋体" w:hAnsi="宋体" w:cs="宋体"/>
      <w:color w:val="404040"/>
      <w:kern w:val="0"/>
      <w14:ligatures w14:val="none"/>
    </w:rPr>
  </w:style>
  <w:style w:type="paragraph" w:customStyle="1" w:styleId="117">
    <w:name w:val="xl87"/>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line="240" w:lineRule="auto"/>
      <w:jc w:val="center"/>
    </w:pPr>
    <w:rPr>
      <w:rFonts w:ascii="宋体" w:hAnsi="宋体" w:cs="宋体"/>
      <w:color w:val="auto"/>
      <w:kern w:val="0"/>
      <w14:ligatures w14:val="none"/>
    </w:rPr>
  </w:style>
  <w:style w:type="paragraph" w:customStyle="1" w:styleId="118">
    <w:name w:val="xl88"/>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line="240" w:lineRule="auto"/>
      <w:jc w:val="center"/>
    </w:pPr>
    <w:rPr>
      <w:rFonts w:ascii="宋体" w:hAnsi="宋体" w:cs="宋体"/>
      <w:color w:val="auto"/>
      <w:kern w:val="0"/>
      <w14:ligatures w14:val="none"/>
    </w:rPr>
  </w:style>
  <w:style w:type="paragraph" w:customStyle="1" w:styleId="119">
    <w:name w:val="xl89"/>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line="240" w:lineRule="auto"/>
      <w:jc w:val="center"/>
    </w:pPr>
    <w:rPr>
      <w:rFonts w:ascii="宋体" w:hAnsi="宋体" w:cs="宋体"/>
      <w:color w:val="auto"/>
      <w:kern w:val="0"/>
      <w14:ligatures w14:val="none"/>
    </w:rPr>
  </w:style>
  <w:style w:type="paragraph" w:customStyle="1" w:styleId="120">
    <w:name w:val="xl90"/>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line="240" w:lineRule="auto"/>
      <w:jc w:val="center"/>
    </w:pPr>
    <w:rPr>
      <w:rFonts w:ascii="宋体" w:hAnsi="宋体" w:cs="宋体"/>
      <w:color w:val="auto"/>
      <w:kern w:val="0"/>
      <w14:ligatures w14:val="none"/>
    </w:rPr>
  </w:style>
  <w:style w:type="paragraph" w:customStyle="1" w:styleId="121">
    <w:name w:val="xl91"/>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line="240" w:lineRule="auto"/>
      <w:jc w:val="center"/>
    </w:pPr>
    <w:rPr>
      <w:rFonts w:ascii="宋体" w:hAnsi="宋体" w:cs="宋体"/>
      <w:color w:val="304040"/>
      <w:kern w:val="0"/>
      <w14:ligatures w14:val="none"/>
    </w:rPr>
  </w:style>
  <w:style w:type="paragraph" w:customStyle="1" w:styleId="122">
    <w:name w:val="xl92"/>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line="240" w:lineRule="auto"/>
      <w:jc w:val="center"/>
    </w:pPr>
    <w:rPr>
      <w:rFonts w:ascii="宋体" w:hAnsi="宋体" w:cs="宋体"/>
      <w:color w:val="auto"/>
      <w:kern w:val="0"/>
      <w14:ligatures w14:val="none"/>
    </w:rPr>
  </w:style>
  <w:style w:type="paragraph" w:customStyle="1" w:styleId="123">
    <w:name w:val="xl93"/>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line="240" w:lineRule="auto"/>
      <w:jc w:val="center"/>
    </w:pPr>
    <w:rPr>
      <w:rFonts w:ascii="宋体" w:hAnsi="宋体" w:cs="宋体"/>
      <w:color w:val="405050"/>
      <w:kern w:val="0"/>
      <w14:ligatures w14:val="none"/>
    </w:rPr>
  </w:style>
  <w:style w:type="paragraph" w:customStyle="1" w:styleId="124">
    <w:name w:val="xl94"/>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line="240" w:lineRule="auto"/>
      <w:jc w:val="center"/>
    </w:pPr>
    <w:rPr>
      <w:rFonts w:ascii="宋体" w:hAnsi="宋体" w:cs="宋体"/>
      <w:color w:val="404040"/>
      <w:kern w:val="0"/>
      <w14:ligatures w14:val="none"/>
    </w:rPr>
  </w:style>
  <w:style w:type="paragraph" w:customStyle="1" w:styleId="125">
    <w:name w:val="xl95"/>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line="240" w:lineRule="auto"/>
      <w:jc w:val="center"/>
    </w:pPr>
    <w:rPr>
      <w:rFonts w:ascii="宋体" w:hAnsi="宋体" w:cs="宋体"/>
      <w:color w:val="404040"/>
      <w:kern w:val="0"/>
      <w14:ligatures w14:val="none"/>
    </w:rPr>
  </w:style>
  <w:style w:type="paragraph" w:customStyle="1" w:styleId="126">
    <w:name w:val="xl96"/>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line="240" w:lineRule="auto"/>
      <w:jc w:val="center"/>
    </w:pPr>
    <w:rPr>
      <w:rFonts w:ascii="宋体" w:hAnsi="宋体" w:cs="宋体"/>
      <w:color w:val="304040"/>
      <w:kern w:val="0"/>
      <w14:ligatures w14:val="none"/>
    </w:rPr>
  </w:style>
  <w:style w:type="paragraph" w:customStyle="1" w:styleId="127">
    <w:name w:val="xl97"/>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line="240" w:lineRule="auto"/>
      <w:jc w:val="center"/>
    </w:pPr>
    <w:rPr>
      <w:rFonts w:ascii="宋体" w:hAnsi="宋体" w:cs="宋体"/>
      <w:color w:val="304040"/>
      <w:kern w:val="0"/>
      <w14:ligatures w14:val="none"/>
    </w:rPr>
  </w:style>
  <w:style w:type="paragraph" w:customStyle="1" w:styleId="128">
    <w:name w:val="xl98"/>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line="240" w:lineRule="auto"/>
      <w:jc w:val="center"/>
    </w:pPr>
    <w:rPr>
      <w:rFonts w:ascii="宋体" w:hAnsi="宋体" w:cs="宋体"/>
      <w:color w:val="506040"/>
      <w:kern w:val="0"/>
      <w14:ligatures w14:val="none"/>
    </w:rPr>
  </w:style>
  <w:style w:type="paragraph" w:customStyle="1" w:styleId="129">
    <w:name w:val="xl99"/>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line="240" w:lineRule="auto"/>
      <w:jc w:val="center"/>
    </w:pPr>
    <w:rPr>
      <w:rFonts w:ascii="宋体" w:hAnsi="宋体" w:cs="宋体"/>
      <w:color w:val="202040"/>
      <w:kern w:val="0"/>
      <w14:ligatures w14:val="none"/>
    </w:rPr>
  </w:style>
  <w:style w:type="paragraph" w:customStyle="1" w:styleId="130">
    <w:name w:val="xl100"/>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line="240" w:lineRule="auto"/>
      <w:jc w:val="center"/>
    </w:pPr>
    <w:rPr>
      <w:rFonts w:ascii="宋体" w:hAnsi="宋体" w:cs="宋体"/>
      <w:color w:val="304050"/>
      <w:kern w:val="0"/>
      <w14:ligatures w14:val="none"/>
    </w:rPr>
  </w:style>
  <w:style w:type="paragraph" w:customStyle="1" w:styleId="131">
    <w:name w:val="xl101"/>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line="240" w:lineRule="auto"/>
      <w:jc w:val="center"/>
    </w:pPr>
    <w:rPr>
      <w:rFonts w:ascii="宋体" w:hAnsi="宋体" w:cs="宋体"/>
      <w:color w:val="404030"/>
      <w:kern w:val="0"/>
      <w14:ligatures w14:val="none"/>
    </w:rPr>
  </w:style>
  <w:style w:type="paragraph" w:customStyle="1" w:styleId="132">
    <w:name w:val="xl102"/>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line="240" w:lineRule="auto"/>
      <w:jc w:val="center"/>
    </w:pPr>
    <w:rPr>
      <w:rFonts w:ascii="宋体" w:hAnsi="宋体" w:cs="宋体"/>
      <w:color w:val="203050"/>
      <w:kern w:val="0"/>
      <w14:ligatures w14:val="none"/>
    </w:rPr>
  </w:style>
  <w:style w:type="paragraph" w:customStyle="1" w:styleId="133">
    <w:name w:val="xl103"/>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line="240" w:lineRule="auto"/>
      <w:jc w:val="center"/>
    </w:pPr>
    <w:rPr>
      <w:rFonts w:ascii="宋体" w:hAnsi="宋体" w:cs="宋体"/>
      <w:color w:val="304040"/>
      <w:kern w:val="0"/>
      <w14:ligatures w14:val="none"/>
    </w:rPr>
  </w:style>
  <w:style w:type="paragraph" w:customStyle="1" w:styleId="134">
    <w:name w:val="xl104"/>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line="240" w:lineRule="auto"/>
      <w:jc w:val="center"/>
    </w:pPr>
    <w:rPr>
      <w:rFonts w:ascii="宋体" w:hAnsi="宋体" w:cs="宋体"/>
      <w:color w:val="404040"/>
      <w:kern w:val="0"/>
      <w14:ligatures w14:val="none"/>
    </w:rPr>
  </w:style>
  <w:style w:type="paragraph" w:customStyle="1" w:styleId="135">
    <w:name w:val="xl105"/>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line="240" w:lineRule="auto"/>
      <w:jc w:val="left"/>
    </w:pPr>
    <w:rPr>
      <w:rFonts w:ascii="宋体" w:hAnsi="宋体" w:cs="宋体"/>
      <w:color w:val="auto"/>
      <w:kern w:val="0"/>
      <w14:ligatures w14:val="none"/>
    </w:rPr>
  </w:style>
  <w:style w:type="paragraph" w:customStyle="1" w:styleId="136">
    <w:name w:val="xl106"/>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line="240" w:lineRule="auto"/>
      <w:jc w:val="center"/>
    </w:pPr>
    <w:rPr>
      <w:rFonts w:ascii="宋体" w:hAnsi="宋体" w:cs="宋体"/>
      <w:color w:val="304050"/>
      <w:kern w:val="0"/>
      <w14:ligatures w14:val="none"/>
    </w:rPr>
  </w:style>
  <w:style w:type="paragraph" w:customStyle="1" w:styleId="137">
    <w:name w:val="xl107"/>
    <w:basedOn w:val="1"/>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line="240" w:lineRule="auto"/>
      <w:jc w:val="center"/>
    </w:pPr>
    <w:rPr>
      <w:rFonts w:ascii="宋体" w:hAnsi="宋体" w:cs="宋体"/>
      <w:color w:val="405050"/>
      <w:kern w:val="0"/>
      <w14:ligatures w14:val="none"/>
    </w:rPr>
  </w:style>
  <w:style w:type="paragraph" w:customStyle="1" w:styleId="138">
    <w:name w:val="xl108"/>
    <w:basedOn w:val="1"/>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line="240" w:lineRule="auto"/>
      <w:jc w:val="center"/>
    </w:pPr>
    <w:rPr>
      <w:rFonts w:ascii="宋体" w:hAnsi="宋体" w:cs="宋体"/>
      <w:color w:val="304030"/>
      <w:kern w:val="0"/>
      <w14:ligatures w14:val="none"/>
    </w:rPr>
  </w:style>
  <w:style w:type="paragraph" w:customStyle="1" w:styleId="139">
    <w:name w:val="xl109"/>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line="240" w:lineRule="auto"/>
      <w:jc w:val="center"/>
      <w:textAlignment w:val="center"/>
    </w:pPr>
    <w:rPr>
      <w:rFonts w:ascii="宋体" w:hAnsi="宋体" w:cs="宋体"/>
      <w:b/>
      <w:bCs/>
      <w:color w:val="auto"/>
      <w:kern w:val="0"/>
      <w14:ligatures w14:val="none"/>
    </w:rPr>
  </w:style>
  <w:style w:type="paragraph" w:customStyle="1" w:styleId="140">
    <w:name w:val="xl110"/>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line="240" w:lineRule="auto"/>
      <w:jc w:val="center"/>
    </w:pPr>
    <w:rPr>
      <w:rFonts w:ascii="宋体" w:hAnsi="宋体" w:cs="宋体"/>
      <w:b/>
      <w:bCs/>
      <w:color w:val="auto"/>
      <w:kern w:val="0"/>
      <w14:ligatures w14:val="none"/>
    </w:rPr>
  </w:style>
  <w:style w:type="paragraph" w:customStyle="1" w:styleId="141">
    <w:name w:val="xl111"/>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line="240" w:lineRule="auto"/>
      <w:jc w:val="center"/>
    </w:pPr>
    <w:rPr>
      <w:rFonts w:ascii="宋体" w:hAnsi="宋体" w:cs="宋体"/>
      <w:b/>
      <w:bCs/>
      <w:color w:val="auto"/>
      <w:kern w:val="0"/>
      <w14:ligatures w14:val="none"/>
    </w:rPr>
  </w:style>
  <w:style w:type="paragraph" w:customStyle="1" w:styleId="142">
    <w:name w:val="xl112"/>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line="240" w:lineRule="auto"/>
      <w:jc w:val="center"/>
    </w:pPr>
    <w:rPr>
      <w:rFonts w:ascii="宋体" w:hAnsi="宋体" w:cs="宋体"/>
      <w:b/>
      <w:bCs/>
      <w:color w:val="auto"/>
      <w:kern w:val="0"/>
      <w14:ligatures w14:val="none"/>
    </w:rPr>
  </w:style>
  <w:style w:type="paragraph" w:customStyle="1" w:styleId="143">
    <w:name w:val="xl113"/>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line="240" w:lineRule="auto"/>
      <w:jc w:val="right"/>
    </w:pPr>
    <w:rPr>
      <w:rFonts w:ascii="宋体" w:hAnsi="宋体" w:cs="宋体"/>
      <w:color w:val="auto"/>
      <w:kern w:val="0"/>
      <w14:ligatures w14:val="none"/>
    </w:rPr>
  </w:style>
  <w:style w:type="paragraph" w:customStyle="1" w:styleId="144">
    <w:name w:val="xl114"/>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line="240" w:lineRule="auto"/>
      <w:jc w:val="center"/>
    </w:pPr>
    <w:rPr>
      <w:rFonts w:ascii="宋体" w:hAnsi="宋体" w:cs="宋体"/>
      <w:color w:val="404030"/>
      <w:kern w:val="0"/>
      <w14:ligatures w14:val="none"/>
    </w:rPr>
  </w:style>
  <w:style w:type="paragraph" w:customStyle="1" w:styleId="145">
    <w:name w:val="xl115"/>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line="240" w:lineRule="auto"/>
      <w:jc w:val="center"/>
    </w:pPr>
    <w:rPr>
      <w:rFonts w:ascii="宋体" w:hAnsi="宋体" w:cs="宋体"/>
      <w:color w:val="304040"/>
      <w:kern w:val="0"/>
      <w14:ligatures w14:val="none"/>
    </w:rPr>
  </w:style>
  <w:style w:type="paragraph" w:customStyle="1" w:styleId="146">
    <w:name w:val="xl116"/>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line="240" w:lineRule="auto"/>
      <w:jc w:val="left"/>
    </w:pPr>
    <w:rPr>
      <w:rFonts w:ascii="宋体" w:hAnsi="宋体" w:cs="宋体"/>
      <w:color w:val="auto"/>
      <w:kern w:val="0"/>
      <w14:ligatures w14:val="none"/>
    </w:rPr>
  </w:style>
  <w:style w:type="paragraph" w:customStyle="1" w:styleId="147">
    <w:name w:val="xl117"/>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line="240" w:lineRule="auto"/>
      <w:jc w:val="center"/>
    </w:pPr>
    <w:rPr>
      <w:rFonts w:ascii="宋体" w:hAnsi="宋体" w:cs="宋体"/>
      <w:color w:val="505040"/>
      <w:kern w:val="0"/>
      <w14:ligatures w14:val="none"/>
    </w:rPr>
  </w:style>
  <w:style w:type="paragraph" w:customStyle="1" w:styleId="148">
    <w:name w:val="xl118"/>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line="240" w:lineRule="auto"/>
      <w:jc w:val="center"/>
    </w:pPr>
    <w:rPr>
      <w:rFonts w:ascii="宋体" w:hAnsi="宋体" w:cs="宋体"/>
      <w:color w:val="304050"/>
      <w:kern w:val="0"/>
      <w14:ligatures w14:val="none"/>
    </w:rPr>
  </w:style>
  <w:style w:type="paragraph" w:customStyle="1" w:styleId="149">
    <w:name w:val="xl119"/>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line="240" w:lineRule="auto"/>
      <w:jc w:val="center"/>
    </w:pPr>
    <w:rPr>
      <w:rFonts w:ascii="宋体" w:hAnsi="宋体" w:cs="宋体"/>
      <w:color w:val="405040"/>
      <w:kern w:val="0"/>
      <w14:ligatures w14:val="none"/>
    </w:rPr>
  </w:style>
  <w:style w:type="paragraph" w:customStyle="1" w:styleId="150">
    <w:name w:val="xl120"/>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line="240" w:lineRule="auto"/>
      <w:jc w:val="center"/>
    </w:pPr>
    <w:rPr>
      <w:rFonts w:ascii="宋体" w:hAnsi="宋体" w:cs="宋体"/>
      <w:color w:val="404060"/>
      <w:kern w:val="0"/>
      <w14:ligatures w14:val="none"/>
    </w:rPr>
  </w:style>
  <w:style w:type="paragraph" w:customStyle="1" w:styleId="151">
    <w:name w:val="xl121"/>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line="240" w:lineRule="auto"/>
      <w:jc w:val="center"/>
    </w:pPr>
    <w:rPr>
      <w:rFonts w:ascii="宋体" w:hAnsi="宋体" w:cs="宋体"/>
      <w:color w:val="405050"/>
      <w:kern w:val="0"/>
      <w14:ligatures w14:val="none"/>
    </w:rPr>
  </w:style>
  <w:style w:type="paragraph" w:customStyle="1" w:styleId="152">
    <w:name w:val="xl122"/>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line="240" w:lineRule="auto"/>
      <w:jc w:val="center"/>
    </w:pPr>
    <w:rPr>
      <w:rFonts w:ascii="宋体" w:hAnsi="宋体" w:cs="宋体"/>
      <w:color w:val="303050"/>
      <w:kern w:val="0"/>
      <w14:ligatures w14:val="none"/>
    </w:rPr>
  </w:style>
  <w:style w:type="paragraph" w:customStyle="1" w:styleId="153">
    <w:name w:val="xl123"/>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line="240" w:lineRule="auto"/>
      <w:jc w:val="center"/>
    </w:pPr>
    <w:rPr>
      <w:rFonts w:ascii="宋体" w:hAnsi="宋体" w:cs="宋体"/>
      <w:color w:val="303040"/>
      <w:kern w:val="0"/>
      <w14:ligatures w14:val="none"/>
    </w:rPr>
  </w:style>
  <w:style w:type="paragraph" w:customStyle="1" w:styleId="154">
    <w:name w:val="xl124"/>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line="240" w:lineRule="auto"/>
      <w:jc w:val="center"/>
    </w:pPr>
    <w:rPr>
      <w:rFonts w:ascii="宋体" w:hAnsi="宋体" w:cs="宋体"/>
      <w:color w:val="405030"/>
      <w:kern w:val="0"/>
      <w14:ligatures w14:val="none"/>
    </w:rPr>
  </w:style>
  <w:style w:type="paragraph" w:customStyle="1" w:styleId="155">
    <w:name w:val="xl125"/>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line="240" w:lineRule="auto"/>
      <w:jc w:val="center"/>
    </w:pPr>
    <w:rPr>
      <w:rFonts w:ascii="宋体" w:hAnsi="宋体" w:cs="宋体"/>
      <w:color w:val="304050"/>
      <w:kern w:val="0"/>
      <w14:ligatures w14:val="none"/>
    </w:rPr>
  </w:style>
  <w:style w:type="paragraph" w:customStyle="1" w:styleId="156">
    <w:name w:val="xl126"/>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line="240" w:lineRule="auto"/>
      <w:jc w:val="center"/>
      <w:textAlignment w:val="center"/>
    </w:pPr>
    <w:rPr>
      <w:rFonts w:ascii="宋体" w:hAnsi="宋体" w:cs="宋体"/>
      <w:color w:val="auto"/>
      <w:kern w:val="0"/>
      <w14:ligatures w14:val="none"/>
    </w:rPr>
  </w:style>
  <w:style w:type="paragraph" w:customStyle="1" w:styleId="157">
    <w:name w:val="xl127"/>
    <w:basedOn w:val="1"/>
    <w:qFormat/>
    <w:uiPriority w:val="0"/>
    <w:pPr>
      <w:widowControl/>
      <w:pBdr>
        <w:top w:val="single" w:color="000000" w:sz="4" w:space="0"/>
        <w:left w:val="single" w:color="000000" w:sz="4" w:space="0"/>
        <w:right w:val="single" w:color="000000" w:sz="4" w:space="0"/>
      </w:pBdr>
      <w:spacing w:before="100" w:beforeAutospacing="1" w:after="100" w:afterAutospacing="1" w:line="240" w:lineRule="auto"/>
      <w:jc w:val="center"/>
      <w:textAlignment w:val="center"/>
    </w:pPr>
    <w:rPr>
      <w:rFonts w:ascii="宋体" w:hAnsi="宋体" w:cs="宋体"/>
      <w:color w:val="auto"/>
      <w:kern w:val="0"/>
      <w14:ligatures w14:val="none"/>
    </w:rPr>
  </w:style>
  <w:style w:type="paragraph" w:customStyle="1" w:styleId="158">
    <w:name w:val="xl128"/>
    <w:basedOn w:val="1"/>
    <w:qFormat/>
    <w:uiPriority w:val="0"/>
    <w:pPr>
      <w:widowControl/>
      <w:pBdr>
        <w:left w:val="single" w:color="000000" w:sz="4" w:space="0"/>
        <w:right w:val="single" w:color="000000" w:sz="4" w:space="0"/>
      </w:pBdr>
      <w:spacing w:before="100" w:beforeAutospacing="1" w:after="100" w:afterAutospacing="1" w:line="240" w:lineRule="auto"/>
      <w:jc w:val="center"/>
      <w:textAlignment w:val="center"/>
    </w:pPr>
    <w:rPr>
      <w:rFonts w:ascii="宋体" w:hAnsi="宋体" w:cs="宋体"/>
      <w:color w:val="auto"/>
      <w:kern w:val="0"/>
      <w14:ligatures w14:val="none"/>
    </w:rPr>
  </w:style>
  <w:style w:type="paragraph" w:customStyle="1" w:styleId="159">
    <w:name w:val="xl129"/>
    <w:basedOn w:val="1"/>
    <w:qFormat/>
    <w:uiPriority w:val="0"/>
    <w:pPr>
      <w:widowControl/>
      <w:pBdr>
        <w:left w:val="single" w:color="000000" w:sz="4" w:space="0"/>
        <w:bottom w:val="single" w:color="000000" w:sz="4" w:space="0"/>
        <w:right w:val="single" w:color="000000" w:sz="4" w:space="0"/>
      </w:pBdr>
      <w:spacing w:before="100" w:beforeAutospacing="1" w:after="100" w:afterAutospacing="1" w:line="240" w:lineRule="auto"/>
      <w:jc w:val="center"/>
      <w:textAlignment w:val="center"/>
    </w:pPr>
    <w:rPr>
      <w:rFonts w:ascii="宋体" w:hAnsi="宋体" w:cs="宋体"/>
      <w:color w:val="auto"/>
      <w:kern w:val="0"/>
      <w14:ligatures w14:val="none"/>
    </w:rPr>
  </w:style>
  <w:style w:type="paragraph" w:customStyle="1" w:styleId="160">
    <w:name w:val="xl130"/>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line="240" w:lineRule="auto"/>
      <w:jc w:val="center"/>
      <w:textAlignment w:val="center"/>
    </w:pPr>
    <w:rPr>
      <w:rFonts w:ascii="宋体" w:hAnsi="宋体" w:cs="宋体"/>
      <w:color w:val="auto"/>
      <w:kern w:val="0"/>
      <w14:ligatures w14:val="none"/>
    </w:rPr>
  </w:style>
  <w:style w:type="paragraph" w:customStyle="1" w:styleId="161">
    <w:name w:val="xl131"/>
    <w:basedOn w:val="1"/>
    <w:qFormat/>
    <w:uiPriority w:val="0"/>
    <w:pPr>
      <w:widowControl/>
      <w:pBdr>
        <w:top w:val="single" w:color="000000" w:sz="4" w:space="0"/>
        <w:left w:val="single" w:color="000000" w:sz="4" w:space="0"/>
        <w:right w:val="single" w:color="000000" w:sz="4" w:space="0"/>
      </w:pBdr>
      <w:spacing w:before="100" w:beforeAutospacing="1" w:after="100" w:afterAutospacing="1" w:line="240" w:lineRule="auto"/>
      <w:jc w:val="center"/>
      <w:textAlignment w:val="center"/>
    </w:pPr>
    <w:rPr>
      <w:rFonts w:ascii="宋体" w:hAnsi="宋体" w:cs="宋体"/>
      <w:color w:val="auto"/>
      <w:kern w:val="0"/>
      <w14:ligatures w14:val="none"/>
    </w:rPr>
  </w:style>
  <w:style w:type="paragraph" w:customStyle="1" w:styleId="162">
    <w:name w:val="xl132"/>
    <w:basedOn w:val="1"/>
    <w:qFormat/>
    <w:uiPriority w:val="0"/>
    <w:pPr>
      <w:widowControl/>
      <w:pBdr>
        <w:left w:val="single" w:color="000000" w:sz="4" w:space="0"/>
        <w:right w:val="single" w:color="000000" w:sz="4" w:space="0"/>
      </w:pBdr>
      <w:spacing w:before="100" w:beforeAutospacing="1" w:after="100" w:afterAutospacing="1" w:line="240" w:lineRule="auto"/>
      <w:jc w:val="center"/>
      <w:textAlignment w:val="center"/>
    </w:pPr>
    <w:rPr>
      <w:rFonts w:ascii="宋体" w:hAnsi="宋体" w:cs="宋体"/>
      <w:color w:val="auto"/>
      <w:kern w:val="0"/>
      <w14:ligatures w14:val="none"/>
    </w:rPr>
  </w:style>
  <w:style w:type="paragraph" w:customStyle="1" w:styleId="163">
    <w:name w:val="xl133"/>
    <w:basedOn w:val="1"/>
    <w:qFormat/>
    <w:uiPriority w:val="0"/>
    <w:pPr>
      <w:widowControl/>
      <w:pBdr>
        <w:left w:val="single" w:color="000000" w:sz="4" w:space="0"/>
        <w:bottom w:val="single" w:color="000000" w:sz="4" w:space="0"/>
        <w:right w:val="single" w:color="000000" w:sz="4" w:space="0"/>
      </w:pBdr>
      <w:spacing w:before="100" w:beforeAutospacing="1" w:after="100" w:afterAutospacing="1" w:line="240" w:lineRule="auto"/>
      <w:jc w:val="center"/>
      <w:textAlignment w:val="center"/>
    </w:pPr>
    <w:rPr>
      <w:rFonts w:ascii="宋体" w:hAnsi="宋体" w:cs="宋体"/>
      <w:color w:val="auto"/>
      <w:kern w:val="0"/>
      <w14:ligatures w14:val="none"/>
    </w:rPr>
  </w:style>
  <w:style w:type="paragraph" w:customStyle="1" w:styleId="164">
    <w:name w:val="xl134"/>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line="240" w:lineRule="auto"/>
      <w:jc w:val="center"/>
      <w:textAlignment w:val="center"/>
    </w:pPr>
    <w:rPr>
      <w:rFonts w:ascii="宋体" w:hAnsi="宋体" w:cs="宋体"/>
      <w:color w:val="auto"/>
      <w:kern w:val="0"/>
      <w:sz w:val="18"/>
      <w:szCs w:val="18"/>
      <w14:ligatures w14:val="none"/>
    </w:rPr>
  </w:style>
  <w:style w:type="paragraph" w:customStyle="1" w:styleId="165">
    <w:name w:val="xl135"/>
    <w:basedOn w:val="1"/>
    <w:qFormat/>
    <w:uiPriority w:val="0"/>
    <w:pPr>
      <w:widowControl/>
      <w:pBdr>
        <w:top w:val="single" w:color="000000" w:sz="4" w:space="0"/>
        <w:left w:val="single" w:color="000000" w:sz="4" w:space="0"/>
        <w:right w:val="single" w:color="000000" w:sz="4" w:space="0"/>
      </w:pBdr>
      <w:spacing w:before="100" w:beforeAutospacing="1" w:after="100" w:afterAutospacing="1" w:line="240" w:lineRule="auto"/>
      <w:jc w:val="center"/>
    </w:pPr>
    <w:rPr>
      <w:rFonts w:ascii="宋体" w:hAnsi="宋体" w:cs="宋体"/>
      <w:color w:val="auto"/>
      <w:kern w:val="0"/>
      <w14:ligatures w14:val="none"/>
    </w:rPr>
  </w:style>
  <w:style w:type="paragraph" w:customStyle="1" w:styleId="166">
    <w:name w:val="xl136"/>
    <w:basedOn w:val="1"/>
    <w:qFormat/>
    <w:uiPriority w:val="0"/>
    <w:pPr>
      <w:widowControl/>
      <w:pBdr>
        <w:left w:val="single" w:color="000000" w:sz="4" w:space="0"/>
        <w:bottom w:val="single" w:color="000000" w:sz="4" w:space="0"/>
        <w:right w:val="single" w:color="000000" w:sz="4" w:space="0"/>
      </w:pBdr>
      <w:spacing w:before="100" w:beforeAutospacing="1" w:after="100" w:afterAutospacing="1" w:line="240" w:lineRule="auto"/>
      <w:jc w:val="center"/>
    </w:pPr>
    <w:rPr>
      <w:rFonts w:ascii="宋体" w:hAnsi="宋体" w:cs="宋体"/>
      <w:color w:val="auto"/>
      <w:kern w:val="0"/>
      <w14:ligatures w14:val="none"/>
    </w:rPr>
  </w:style>
  <w:style w:type="paragraph" w:customStyle="1" w:styleId="167">
    <w:name w:val="xl137"/>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line="240" w:lineRule="auto"/>
      <w:jc w:val="center"/>
      <w:textAlignment w:val="center"/>
    </w:pPr>
    <w:rPr>
      <w:rFonts w:ascii="宋体" w:hAnsi="宋体" w:cs="宋体"/>
      <w:color w:val="auto"/>
      <w:kern w:val="0"/>
      <w14:ligatures w14:val="none"/>
    </w:rPr>
  </w:style>
  <w:style w:type="paragraph" w:customStyle="1" w:styleId="168">
    <w:name w:val="xl138"/>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line="240" w:lineRule="auto"/>
      <w:jc w:val="center"/>
      <w:textAlignment w:val="center"/>
    </w:pPr>
    <w:rPr>
      <w:rFonts w:ascii="宋体" w:hAnsi="宋体" w:cs="宋体"/>
      <w:color w:val="auto"/>
      <w:kern w:val="0"/>
      <w14:ligatures w14:val="none"/>
    </w:rPr>
  </w:style>
  <w:style w:type="table" w:customStyle="1" w:styleId="169">
    <w:name w:val="网格型5"/>
    <w:basedOn w:val="36"/>
    <w:qFormat/>
    <w:uiPriority w:val="99"/>
    <w:rPr>
      <w:rFonts w:eastAsia="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70">
    <w:name w:val="网格型6"/>
    <w:basedOn w:val="36"/>
    <w:qFormat/>
    <w:uiPriority w:val="99"/>
    <w:rPr>
      <w:rFonts w:eastAsia="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171">
    <w:name w:val="报告书 正文"/>
    <w:basedOn w:val="1"/>
    <w:link w:val="174"/>
    <w:qFormat/>
    <w:uiPriority w:val="0"/>
    <w:pPr>
      <w:spacing w:line="360" w:lineRule="auto"/>
      <w:ind w:firstLine="480" w:firstLineChars="200"/>
    </w:pPr>
    <w:rPr>
      <w:rFonts w:cs="Times New Roman"/>
      <w14:ligatures w14:val="none"/>
    </w:rPr>
  </w:style>
  <w:style w:type="paragraph" w:customStyle="1" w:styleId="172">
    <w:name w:val="报告书 表头"/>
    <w:basedOn w:val="1"/>
    <w:link w:val="176"/>
    <w:qFormat/>
    <w:uiPriority w:val="0"/>
    <w:pPr>
      <w:spacing w:line="360" w:lineRule="auto"/>
      <w:jc w:val="center"/>
    </w:pPr>
    <w:rPr>
      <w:rFonts w:cs="Times New Roman"/>
      <w:b/>
      <w:bCs/>
      <w14:ligatures w14:val="none"/>
    </w:rPr>
  </w:style>
  <w:style w:type="paragraph" w:customStyle="1" w:styleId="173">
    <w:name w:val="报告书 表格"/>
    <w:basedOn w:val="1"/>
    <w:link w:val="175"/>
    <w:qFormat/>
    <w:uiPriority w:val="0"/>
    <w:pPr>
      <w:spacing w:line="240" w:lineRule="auto"/>
      <w:jc w:val="center"/>
    </w:pPr>
    <w:rPr>
      <w:rFonts w:cs="Times New Roman"/>
      <w:kern w:val="0"/>
      <w:sz w:val="21"/>
      <w:szCs w:val="21"/>
      <w14:ligatures w14:val="none"/>
    </w:rPr>
  </w:style>
  <w:style w:type="character" w:customStyle="1" w:styleId="174">
    <w:name w:val="环评报告书 正文 Char"/>
    <w:link w:val="171"/>
    <w:qFormat/>
    <w:uiPriority w:val="0"/>
    <w:rPr>
      <w:rFonts w:cs="Times New Roman"/>
      <w:color w:val="000000" w:themeColor="text1"/>
      <w14:textFill>
        <w14:solidFill>
          <w14:schemeClr w14:val="tx1"/>
        </w14:solidFill>
      </w14:textFill>
      <w14:ligatures w14:val="none"/>
    </w:rPr>
  </w:style>
  <w:style w:type="character" w:customStyle="1" w:styleId="175">
    <w:name w:val="报告书 表格 Char"/>
    <w:link w:val="173"/>
    <w:qFormat/>
    <w:uiPriority w:val="0"/>
    <w:rPr>
      <w:rFonts w:cs="Times New Roman"/>
      <w:color w:val="000000" w:themeColor="text1"/>
      <w:kern w:val="0"/>
      <w:sz w:val="21"/>
      <w:szCs w:val="21"/>
      <w14:textFill>
        <w14:solidFill>
          <w14:schemeClr w14:val="tx1"/>
        </w14:solidFill>
      </w14:textFill>
      <w14:ligatures w14:val="none"/>
    </w:rPr>
  </w:style>
  <w:style w:type="character" w:customStyle="1" w:styleId="176">
    <w:name w:val="报告书 表头 Char"/>
    <w:link w:val="172"/>
    <w:qFormat/>
    <w:uiPriority w:val="0"/>
    <w:rPr>
      <w:rFonts w:cs="Times New Roman"/>
      <w:b/>
      <w:bCs/>
      <w:color w:val="000000" w:themeColor="text1"/>
      <w14:textFill>
        <w14:solidFill>
          <w14:schemeClr w14:val="tx1"/>
        </w14:solidFill>
      </w14:textFill>
      <w14:ligatures w14:val="none"/>
    </w:rPr>
  </w:style>
  <w:style w:type="character" w:customStyle="1" w:styleId="177">
    <w:name w:val="日期 字符"/>
    <w:basedOn w:val="39"/>
    <w:link w:val="21"/>
    <w:semiHidden/>
    <w:qFormat/>
    <w:uiPriority w:val="99"/>
    <w:rPr>
      <w:color w:val="000000" w:themeColor="text1"/>
      <w14:textFill>
        <w14:solidFill>
          <w14:schemeClr w14:val="tx1"/>
        </w14:solidFill>
      </w14:textFill>
    </w:rPr>
  </w:style>
  <w:style w:type="character" w:customStyle="1" w:styleId="178">
    <w:name w:val="24磅正文 Char"/>
    <w:link w:val="179"/>
    <w:qFormat/>
    <w:locked/>
    <w:uiPriority w:val="0"/>
  </w:style>
  <w:style w:type="paragraph" w:customStyle="1" w:styleId="179">
    <w:name w:val="24磅正文"/>
    <w:basedOn w:val="1"/>
    <w:link w:val="178"/>
    <w:qFormat/>
    <w:uiPriority w:val="0"/>
    <w:pPr>
      <w:ind w:firstLine="480" w:firstLineChars="200"/>
    </w:pPr>
    <w:rPr>
      <w:color w:val="auto"/>
    </w:rPr>
  </w:style>
  <w:style w:type="character" w:customStyle="1" w:styleId="180">
    <w:name w:val="正文缩进 字符"/>
    <w:link w:val="13"/>
    <w:qFormat/>
    <w:uiPriority w:val="99"/>
    <w:rPr>
      <w:rFonts w:cs="Times New Roman"/>
      <w:kern w:val="0"/>
      <w:sz w:val="20"/>
      <w:lang w:val="zh-CN" w:eastAsia="zh-CN"/>
      <w14:ligatures w14:val="none"/>
    </w:rPr>
  </w:style>
  <w:style w:type="character" w:customStyle="1" w:styleId="181">
    <w:name w:val="title41"/>
    <w:qFormat/>
    <w:uiPriority w:val="0"/>
    <w:rPr>
      <w:rFonts w:hint="eastAsia" w:ascii="宋体" w:hAnsi="宋体" w:eastAsia="宋体"/>
      <w:color w:val="194F95"/>
      <w:sz w:val="23"/>
      <w:szCs w:val="23"/>
    </w:rPr>
  </w:style>
  <w:style w:type="character" w:customStyle="1" w:styleId="182">
    <w:name w:val="正文文本缩进 2 字符"/>
    <w:basedOn w:val="39"/>
    <w:link w:val="22"/>
    <w:semiHidden/>
    <w:qFormat/>
    <w:uiPriority w:val="99"/>
    <w:rPr>
      <w:color w:val="000000" w:themeColor="text1"/>
      <w14:textFill>
        <w14:solidFill>
          <w14:schemeClr w14:val="tx1"/>
        </w14:solidFill>
      </w14:textFill>
    </w:rPr>
  </w:style>
  <w:style w:type="character" w:customStyle="1" w:styleId="183">
    <w:name w:val="未处理的提及1"/>
    <w:basedOn w:val="39"/>
    <w:semiHidden/>
    <w:unhideWhenUsed/>
    <w:qFormat/>
    <w:uiPriority w:val="99"/>
    <w:rPr>
      <w:color w:val="605E5C"/>
      <w:shd w:val="clear" w:color="auto" w:fill="E1DFDD"/>
    </w:rPr>
  </w:style>
  <w:style w:type="character" w:customStyle="1" w:styleId="184">
    <w:name w:val="纯文本 Char"/>
    <w:qFormat/>
    <w:uiPriority w:val="0"/>
    <w:rPr>
      <w:rFonts w:ascii="宋体" w:hAnsi="Courier New" w:eastAsia="宋体" w:cs="Times New Roman"/>
      <w:szCs w:val="20"/>
    </w:rPr>
  </w:style>
  <w:style w:type="paragraph" w:customStyle="1" w:styleId="185">
    <w:name w:val="正式（1）"/>
    <w:basedOn w:val="1"/>
    <w:qFormat/>
    <w:uiPriority w:val="0"/>
    <w:pPr>
      <w:spacing w:line="360" w:lineRule="auto"/>
      <w:ind w:firstLine="200"/>
    </w:pPr>
    <w:rPr>
      <w:rFonts w:cs="Times New Roman"/>
      <w:color w:val="000000"/>
      <w:spacing w:val="10"/>
      <w:kern w:val="1"/>
      <w14:ligatures w14:val="none"/>
    </w:rPr>
  </w:style>
  <w:style w:type="character" w:customStyle="1" w:styleId="186">
    <w:name w:val="环标1 Char1"/>
    <w:link w:val="187"/>
    <w:qFormat/>
    <w:uiPriority w:val="0"/>
    <w:rPr>
      <w:rFonts w:ascii="黑体" w:hAnsi="Courier New" w:eastAsia="黑体"/>
      <w:kern w:val="44"/>
      <w:sz w:val="32"/>
    </w:rPr>
  </w:style>
  <w:style w:type="paragraph" w:customStyle="1" w:styleId="187">
    <w:name w:val="环标1"/>
    <w:basedOn w:val="2"/>
    <w:link w:val="186"/>
    <w:qFormat/>
    <w:uiPriority w:val="0"/>
    <w:pPr>
      <w:keepNext w:val="0"/>
      <w:keepLines w:val="0"/>
      <w:adjustRightInd w:val="0"/>
      <w:spacing w:before="0" w:beforeLines="0" w:after="120" w:afterLines="0" w:line="312" w:lineRule="atLeast"/>
      <w:jc w:val="left"/>
      <w:textAlignment w:val="baseline"/>
    </w:pPr>
    <w:rPr>
      <w:rFonts w:hAnsi="Courier New" w:cstheme="minorBidi"/>
      <w:color w:val="auto"/>
      <w:kern w:val="44"/>
      <w:sz w:val="32"/>
      <w:szCs w:val="24"/>
    </w:rPr>
  </w:style>
  <w:style w:type="character" w:customStyle="1" w:styleId="188">
    <w:name w:val="表头1 Char"/>
    <w:link w:val="189"/>
    <w:qFormat/>
    <w:uiPriority w:val="0"/>
    <w:rPr>
      <w:rFonts w:eastAsia="黑体"/>
      <w:szCs w:val="28"/>
    </w:rPr>
  </w:style>
  <w:style w:type="paragraph" w:customStyle="1" w:styleId="189">
    <w:name w:val="表头1"/>
    <w:basedOn w:val="1"/>
    <w:next w:val="1"/>
    <w:link w:val="188"/>
    <w:qFormat/>
    <w:uiPriority w:val="0"/>
    <w:pPr>
      <w:tabs>
        <w:tab w:val="left" w:pos="605"/>
      </w:tabs>
      <w:adjustRightInd w:val="0"/>
      <w:snapToGrid w:val="0"/>
      <w:spacing w:line="240" w:lineRule="auto"/>
      <w:jc w:val="center"/>
    </w:pPr>
    <w:rPr>
      <w:rFonts w:eastAsia="黑体"/>
      <w:color w:val="auto"/>
      <w:szCs w:val="28"/>
    </w:rPr>
  </w:style>
  <w:style w:type="paragraph" w:customStyle="1" w:styleId="190">
    <w:name w:val="xl63"/>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line="240" w:lineRule="auto"/>
      <w:jc w:val="center"/>
      <w:textAlignment w:val="center"/>
    </w:pPr>
    <w:rPr>
      <w:rFonts w:ascii="宋体" w:hAnsi="宋体" w:cs="宋体"/>
      <w:b/>
      <w:bCs/>
      <w:color w:val="auto"/>
      <w:kern w:val="0"/>
      <w14:ligatures w14:val="none"/>
    </w:rPr>
  </w:style>
  <w:style w:type="paragraph" w:customStyle="1" w:styleId="191">
    <w:name w:val="xl64"/>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line="240" w:lineRule="auto"/>
      <w:jc w:val="left"/>
    </w:pPr>
    <w:rPr>
      <w:rFonts w:ascii="宋体" w:hAnsi="宋体" w:cs="宋体"/>
      <w:color w:val="auto"/>
      <w:kern w:val="0"/>
      <w14:ligatures w14:val="none"/>
    </w:rPr>
  </w:style>
  <w:style w:type="table" w:customStyle="1" w:styleId="192">
    <w:name w:val="报告书表格"/>
    <w:basedOn w:val="36"/>
    <w:qFormat/>
    <w:uiPriority w:val="99"/>
    <w:pPr>
      <w:adjustRightInd w:val="0"/>
      <w:snapToGrid w:val="0"/>
    </w:pPr>
    <w:rPr>
      <w:sz w:val="21"/>
      <w:szCs w:val="22"/>
    </w:rPr>
    <w:tblPr>
      <w:jc w:val="center"/>
      <w:tblBorders>
        <w:top w:val="single" w:color="auto" w:sz="12" w:space="0"/>
        <w:bottom w:val="single" w:color="auto" w:sz="12" w:space="0"/>
        <w:insideH w:val="single" w:color="auto" w:sz="6" w:space="0"/>
        <w:insideV w:val="single" w:color="auto" w:sz="6" w:space="0"/>
      </w:tblBorders>
      <w:tblCellMar>
        <w:left w:w="57" w:type="dxa"/>
        <w:right w:w="57" w:type="dxa"/>
      </w:tblCellMar>
    </w:tblPr>
    <w:trPr>
      <w:jc w:val="center"/>
    </w:trPr>
    <w:tcPr>
      <w:vAlign w:val="center"/>
    </w:tcPr>
  </w:style>
  <w:style w:type="paragraph" w:customStyle="1" w:styleId="193">
    <w:name w:val="表格内文字"/>
    <w:link w:val="194"/>
    <w:qFormat/>
    <w:uiPriority w:val="0"/>
    <w:pPr>
      <w:adjustRightInd w:val="0"/>
      <w:snapToGrid w:val="0"/>
      <w:jc w:val="center"/>
    </w:pPr>
    <w:rPr>
      <w:rFonts w:ascii="黑体" w:hAnsi="黑体" w:eastAsia="黑体" w:cstheme="majorBidi"/>
      <w:bCs/>
      <w:color w:val="000000" w:themeColor="text1"/>
      <w:kern w:val="44"/>
      <w:sz w:val="21"/>
      <w:szCs w:val="44"/>
      <w:lang w:val="en-US" w:eastAsia="zh-CN" w:bidi="ar-SA"/>
      <w14:textFill>
        <w14:solidFill>
          <w14:schemeClr w14:val="tx1"/>
        </w14:solidFill>
      </w14:textFill>
    </w:rPr>
  </w:style>
  <w:style w:type="character" w:customStyle="1" w:styleId="194">
    <w:name w:val="表格内文字 字符"/>
    <w:basedOn w:val="44"/>
    <w:link w:val="193"/>
    <w:qFormat/>
    <w:uiPriority w:val="0"/>
    <w:rPr>
      <w:rFonts w:ascii="黑体" w:hAnsi="黑体" w:eastAsia="黑体" w:cstheme="majorBidi"/>
      <w:bCs/>
      <w:color w:val="000000" w:themeColor="text1"/>
      <w:kern w:val="44"/>
      <w:sz w:val="21"/>
      <w:szCs w:val="44"/>
      <w14:textFill>
        <w14:solidFill>
          <w14:schemeClr w14:val="tx1"/>
        </w14:solidFill>
      </w14:textFill>
      <w14:ligatures w14:val="none"/>
    </w:rPr>
  </w:style>
  <w:style w:type="character" w:customStyle="1" w:styleId="195">
    <w:name w:val="批注框文本 字符"/>
    <w:basedOn w:val="39"/>
    <w:link w:val="23"/>
    <w:semiHidden/>
    <w:qFormat/>
    <w:uiPriority w:val="99"/>
    <w:rPr>
      <w:sz w:val="18"/>
      <w:szCs w:val="18"/>
      <w14:ligatures w14:val="none"/>
    </w:rPr>
  </w:style>
  <w:style w:type="character" w:customStyle="1" w:styleId="196">
    <w:name w:val="未处理的提及11"/>
    <w:basedOn w:val="39"/>
    <w:semiHidden/>
    <w:unhideWhenUsed/>
    <w:qFormat/>
    <w:uiPriority w:val="99"/>
    <w:rPr>
      <w:color w:val="605E5C"/>
      <w:shd w:val="clear" w:color="auto" w:fill="E1DFDD"/>
    </w:rPr>
  </w:style>
  <w:style w:type="character" w:styleId="197">
    <w:name w:val="Placeholder Text"/>
    <w:basedOn w:val="39"/>
    <w:semiHidden/>
    <w:qFormat/>
    <w:uiPriority w:val="99"/>
    <w:rPr>
      <w:color w:val="808080"/>
    </w:rPr>
  </w:style>
  <w:style w:type="table" w:customStyle="1" w:styleId="198">
    <w:name w:val="简明型 11"/>
    <w:basedOn w:val="36"/>
    <w:semiHidden/>
    <w:unhideWhenUsed/>
    <w:qFormat/>
    <w:uiPriority w:val="99"/>
    <w:pPr>
      <w:widowControl w:val="0"/>
      <w:adjustRightInd w:val="0"/>
      <w:snapToGrid w:val="0"/>
      <w:spacing w:line="360" w:lineRule="auto"/>
      <w:jc w:val="both"/>
    </w:pPr>
    <w:rPr>
      <w:rFonts w:ascii="等线" w:hAnsi="等线" w:eastAsia="等线"/>
    </w:rPr>
    <w:tblPr>
      <w:tblBorders>
        <w:top w:val="single" w:color="008000" w:sz="12" w:space="0"/>
        <w:bottom w:val="single" w:color="008000" w:sz="12" w:space="0"/>
      </w:tblBorders>
    </w:tblPr>
    <w:tcPr>
      <w:shd w:val="clear" w:color="auto" w:fill="auto"/>
    </w:tcPr>
    <w:tblStylePr w:type="firstRow">
      <w:tcPr>
        <w:tcBorders>
          <w:bottom w:val="single" w:color="008000" w:sz="6" w:space="0"/>
          <w:tl2br w:val="nil"/>
          <w:tr2bl w:val="nil"/>
        </w:tcBorders>
      </w:tcPr>
    </w:tblStylePr>
    <w:tblStylePr w:type="lastRow">
      <w:tcPr>
        <w:tcBorders>
          <w:top w:val="single" w:color="008000" w:sz="6" w:space="0"/>
          <w:tl2br w:val="nil"/>
          <w:tr2bl w:val="nil"/>
        </w:tcBorders>
      </w:tcPr>
    </w:tblStylePr>
  </w:style>
  <w:style w:type="paragraph" w:customStyle="1" w:styleId="199">
    <w:name w:val="TOC 标题11"/>
    <w:basedOn w:val="2"/>
    <w:next w:val="1"/>
    <w:unhideWhenUsed/>
    <w:qFormat/>
    <w:uiPriority w:val="39"/>
    <w:pPr>
      <w:widowControl/>
      <w:adjustRightInd w:val="0"/>
      <w:snapToGrid w:val="0"/>
      <w:spacing w:before="240" w:beforeLines="0" w:after="0" w:afterLines="0" w:line="259" w:lineRule="auto"/>
      <w:ind w:left="1309" w:hanging="601"/>
      <w:jc w:val="left"/>
      <w:outlineLvl w:val="9"/>
    </w:pPr>
    <w:rPr>
      <w:rFonts w:ascii="等线 Light" w:hAnsi="等线 Light" w:eastAsia="等线 Light" w:cs="Times New Roman"/>
      <w:b/>
      <w:color w:val="2F5496"/>
      <w:kern w:val="0"/>
      <w:sz w:val="32"/>
      <w:szCs w:val="32"/>
      <w14:ligatures w14:val="none"/>
    </w:rPr>
  </w:style>
  <w:style w:type="table" w:customStyle="1" w:styleId="200">
    <w:name w:val="Table Normal1"/>
    <w:semiHidden/>
    <w:unhideWhenUsed/>
    <w:qFormat/>
    <w:uiPriority w:val="2"/>
    <w:pPr>
      <w:widowControl w:val="0"/>
      <w:autoSpaceDE w:val="0"/>
      <w:autoSpaceDN w:val="0"/>
    </w:pPr>
    <w:rPr>
      <w:rFonts w:ascii="等线" w:hAnsi="等线" w:eastAsia="等线"/>
      <w:sz w:val="22"/>
      <w:lang w:eastAsia="en-US"/>
    </w:rPr>
    <w:tblPr>
      <w:tblCellMar>
        <w:top w:w="0" w:type="dxa"/>
        <w:left w:w="0" w:type="dxa"/>
        <w:bottom w:w="0" w:type="dxa"/>
        <w:right w:w="0" w:type="dxa"/>
      </w:tblCellMar>
    </w:tblPr>
  </w:style>
  <w:style w:type="table" w:customStyle="1" w:styleId="201">
    <w:name w:val="网格型1"/>
    <w:basedOn w:val="36"/>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02">
    <w:name w:val="Table Normal2"/>
    <w:autoRedefine/>
    <w:semiHidden/>
    <w:unhideWhenUsed/>
    <w:qFormat/>
    <w:uiPriority w:val="2"/>
    <w:pPr>
      <w:widowControl w:val="0"/>
      <w:autoSpaceDE w:val="0"/>
      <w:autoSpaceDN w:val="0"/>
    </w:pPr>
    <w:rPr>
      <w:rFonts w:ascii="等线" w:hAnsi="等线" w:eastAsia="等线"/>
      <w:sz w:val="22"/>
      <w:lang w:eastAsia="en-US"/>
    </w:rPr>
    <w:tblPr>
      <w:tblCellMar>
        <w:top w:w="0" w:type="dxa"/>
        <w:left w:w="0" w:type="dxa"/>
        <w:bottom w:w="0" w:type="dxa"/>
        <w:right w:w="0" w:type="dxa"/>
      </w:tblCellMar>
    </w:tblPr>
  </w:style>
  <w:style w:type="table" w:customStyle="1" w:styleId="203">
    <w:name w:val="Table Normal3"/>
    <w:autoRedefine/>
    <w:semiHidden/>
    <w:unhideWhenUsed/>
    <w:qFormat/>
    <w:uiPriority w:val="2"/>
    <w:pPr>
      <w:widowControl w:val="0"/>
      <w:autoSpaceDE w:val="0"/>
      <w:autoSpaceDN w:val="0"/>
    </w:pPr>
    <w:rPr>
      <w:rFonts w:ascii="等线" w:hAnsi="等线" w:eastAsia="等线"/>
      <w:sz w:val="22"/>
      <w:lang w:eastAsia="en-US"/>
    </w:rPr>
    <w:tblPr>
      <w:tblCellMar>
        <w:top w:w="0" w:type="dxa"/>
        <w:left w:w="0" w:type="dxa"/>
        <w:bottom w:w="0" w:type="dxa"/>
        <w:right w:w="0" w:type="dxa"/>
      </w:tblCellMar>
    </w:tblPr>
  </w:style>
  <w:style w:type="table" w:customStyle="1" w:styleId="204">
    <w:name w:val="Table Normal4"/>
    <w:autoRedefine/>
    <w:semiHidden/>
    <w:unhideWhenUsed/>
    <w:qFormat/>
    <w:uiPriority w:val="2"/>
    <w:pPr>
      <w:widowControl w:val="0"/>
      <w:autoSpaceDE w:val="0"/>
      <w:autoSpaceDN w:val="0"/>
    </w:pPr>
    <w:rPr>
      <w:rFonts w:ascii="等线" w:hAnsi="等线" w:eastAsia="等线"/>
      <w:sz w:val="22"/>
      <w:lang w:eastAsia="en-US"/>
    </w:rPr>
    <w:tblPr>
      <w:tblCellMar>
        <w:top w:w="0" w:type="dxa"/>
        <w:left w:w="0" w:type="dxa"/>
        <w:bottom w:w="0" w:type="dxa"/>
        <w:right w:w="0" w:type="dxa"/>
      </w:tblCellMar>
    </w:tblPr>
  </w:style>
  <w:style w:type="table" w:customStyle="1" w:styleId="205">
    <w:name w:val="Table Normal5"/>
    <w:autoRedefine/>
    <w:semiHidden/>
    <w:unhideWhenUsed/>
    <w:qFormat/>
    <w:uiPriority w:val="2"/>
    <w:pPr>
      <w:widowControl w:val="0"/>
      <w:autoSpaceDE w:val="0"/>
      <w:autoSpaceDN w:val="0"/>
    </w:pPr>
    <w:rPr>
      <w:rFonts w:ascii="等线" w:hAnsi="等线" w:eastAsia="等线"/>
      <w:sz w:val="22"/>
      <w:lang w:eastAsia="en-US"/>
    </w:rPr>
    <w:tblPr>
      <w:tblCellMar>
        <w:top w:w="0" w:type="dxa"/>
        <w:left w:w="0" w:type="dxa"/>
        <w:bottom w:w="0" w:type="dxa"/>
        <w:right w:w="0" w:type="dxa"/>
      </w:tblCellMar>
    </w:tblPr>
  </w:style>
  <w:style w:type="table" w:customStyle="1" w:styleId="206">
    <w:name w:val="Table Normal6"/>
    <w:autoRedefine/>
    <w:semiHidden/>
    <w:unhideWhenUsed/>
    <w:qFormat/>
    <w:uiPriority w:val="2"/>
    <w:pPr>
      <w:widowControl w:val="0"/>
      <w:autoSpaceDE w:val="0"/>
      <w:autoSpaceDN w:val="0"/>
    </w:pPr>
    <w:rPr>
      <w:rFonts w:ascii="等线" w:hAnsi="等线" w:eastAsia="等线"/>
      <w:sz w:val="22"/>
      <w:lang w:eastAsia="en-US"/>
    </w:rPr>
    <w:tblPr>
      <w:tblCellMar>
        <w:top w:w="0" w:type="dxa"/>
        <w:left w:w="0" w:type="dxa"/>
        <w:bottom w:w="0" w:type="dxa"/>
        <w:right w:w="0" w:type="dxa"/>
      </w:tblCellMar>
    </w:tblPr>
  </w:style>
  <w:style w:type="table" w:customStyle="1" w:styleId="207">
    <w:name w:val="Table Normal7"/>
    <w:autoRedefine/>
    <w:semiHidden/>
    <w:unhideWhenUsed/>
    <w:qFormat/>
    <w:uiPriority w:val="2"/>
    <w:pPr>
      <w:widowControl w:val="0"/>
      <w:autoSpaceDE w:val="0"/>
      <w:autoSpaceDN w:val="0"/>
    </w:pPr>
    <w:rPr>
      <w:rFonts w:ascii="等线" w:hAnsi="等线" w:eastAsia="等线"/>
      <w:sz w:val="22"/>
      <w:lang w:eastAsia="en-US"/>
    </w:rPr>
    <w:tblPr>
      <w:tblCellMar>
        <w:top w:w="0" w:type="dxa"/>
        <w:left w:w="0" w:type="dxa"/>
        <w:bottom w:w="0" w:type="dxa"/>
        <w:right w:w="0" w:type="dxa"/>
      </w:tblCellMar>
    </w:tblPr>
  </w:style>
  <w:style w:type="table" w:customStyle="1" w:styleId="208">
    <w:name w:val="Table Normal8"/>
    <w:autoRedefine/>
    <w:semiHidden/>
    <w:unhideWhenUsed/>
    <w:qFormat/>
    <w:uiPriority w:val="2"/>
    <w:pPr>
      <w:widowControl w:val="0"/>
      <w:autoSpaceDE w:val="0"/>
      <w:autoSpaceDN w:val="0"/>
    </w:pPr>
    <w:rPr>
      <w:rFonts w:ascii="等线" w:hAnsi="等线" w:eastAsia="等线"/>
      <w:sz w:val="22"/>
      <w:lang w:eastAsia="en-US"/>
    </w:rPr>
    <w:tblPr>
      <w:tblCellMar>
        <w:top w:w="0" w:type="dxa"/>
        <w:left w:w="0" w:type="dxa"/>
        <w:bottom w:w="0" w:type="dxa"/>
        <w:right w:w="0" w:type="dxa"/>
      </w:tblCellMar>
    </w:tblPr>
  </w:style>
  <w:style w:type="table" w:customStyle="1" w:styleId="209">
    <w:name w:val="Table Normal9"/>
    <w:autoRedefine/>
    <w:semiHidden/>
    <w:unhideWhenUsed/>
    <w:qFormat/>
    <w:uiPriority w:val="2"/>
    <w:pPr>
      <w:widowControl w:val="0"/>
      <w:autoSpaceDE w:val="0"/>
      <w:autoSpaceDN w:val="0"/>
    </w:pPr>
    <w:rPr>
      <w:rFonts w:ascii="等线" w:hAnsi="等线" w:eastAsia="等线"/>
      <w:sz w:val="22"/>
      <w:lang w:eastAsia="en-US"/>
    </w:rPr>
    <w:tblPr>
      <w:tblCellMar>
        <w:top w:w="0" w:type="dxa"/>
        <w:left w:w="0" w:type="dxa"/>
        <w:bottom w:w="0" w:type="dxa"/>
        <w:right w:w="0" w:type="dxa"/>
      </w:tblCellMar>
    </w:tblPr>
  </w:style>
  <w:style w:type="table" w:customStyle="1" w:styleId="210">
    <w:name w:val="Table Normal10"/>
    <w:autoRedefine/>
    <w:semiHidden/>
    <w:unhideWhenUsed/>
    <w:qFormat/>
    <w:uiPriority w:val="2"/>
    <w:pPr>
      <w:widowControl w:val="0"/>
      <w:autoSpaceDE w:val="0"/>
      <w:autoSpaceDN w:val="0"/>
    </w:pPr>
    <w:rPr>
      <w:rFonts w:ascii="等线" w:hAnsi="等线" w:eastAsia="等线"/>
      <w:sz w:val="22"/>
      <w:lang w:eastAsia="en-US"/>
    </w:rPr>
    <w:tblPr>
      <w:tblCellMar>
        <w:top w:w="0" w:type="dxa"/>
        <w:left w:w="0" w:type="dxa"/>
        <w:bottom w:w="0" w:type="dxa"/>
        <w:right w:w="0" w:type="dxa"/>
      </w:tblCellMar>
    </w:tblPr>
  </w:style>
  <w:style w:type="table" w:customStyle="1" w:styleId="211">
    <w:name w:val="Table Normal11"/>
    <w:autoRedefine/>
    <w:semiHidden/>
    <w:unhideWhenUsed/>
    <w:qFormat/>
    <w:uiPriority w:val="2"/>
    <w:pPr>
      <w:widowControl w:val="0"/>
      <w:autoSpaceDE w:val="0"/>
      <w:autoSpaceDN w:val="0"/>
    </w:pPr>
    <w:rPr>
      <w:rFonts w:ascii="等线" w:hAnsi="等线" w:eastAsia="等线"/>
      <w:sz w:val="22"/>
      <w:lang w:eastAsia="en-US"/>
    </w:rPr>
    <w:tblPr>
      <w:tblCellMar>
        <w:top w:w="0" w:type="dxa"/>
        <w:left w:w="0" w:type="dxa"/>
        <w:bottom w:w="0" w:type="dxa"/>
        <w:right w:w="0" w:type="dxa"/>
      </w:tblCellMar>
    </w:tblPr>
  </w:style>
  <w:style w:type="table" w:customStyle="1" w:styleId="212">
    <w:name w:val="Table Normal12"/>
    <w:autoRedefine/>
    <w:semiHidden/>
    <w:unhideWhenUsed/>
    <w:qFormat/>
    <w:uiPriority w:val="2"/>
    <w:pPr>
      <w:widowControl w:val="0"/>
      <w:autoSpaceDE w:val="0"/>
      <w:autoSpaceDN w:val="0"/>
    </w:pPr>
    <w:rPr>
      <w:rFonts w:ascii="等线" w:hAnsi="等线" w:eastAsia="等线"/>
      <w:sz w:val="22"/>
      <w:lang w:eastAsia="en-US"/>
    </w:rPr>
    <w:tblPr>
      <w:tblCellMar>
        <w:top w:w="0" w:type="dxa"/>
        <w:left w:w="0" w:type="dxa"/>
        <w:bottom w:w="0" w:type="dxa"/>
        <w:right w:w="0" w:type="dxa"/>
      </w:tblCellMar>
    </w:tblPr>
  </w:style>
  <w:style w:type="table" w:customStyle="1" w:styleId="213">
    <w:name w:val="Table Normal13"/>
    <w:autoRedefine/>
    <w:semiHidden/>
    <w:unhideWhenUsed/>
    <w:qFormat/>
    <w:uiPriority w:val="2"/>
    <w:pPr>
      <w:widowControl w:val="0"/>
      <w:autoSpaceDE w:val="0"/>
      <w:autoSpaceDN w:val="0"/>
    </w:pPr>
    <w:rPr>
      <w:rFonts w:ascii="等线" w:hAnsi="等线" w:eastAsia="等线"/>
      <w:sz w:val="22"/>
      <w:lang w:eastAsia="en-US"/>
    </w:rPr>
    <w:tblPr>
      <w:tblCellMar>
        <w:top w:w="0" w:type="dxa"/>
        <w:left w:w="0" w:type="dxa"/>
        <w:bottom w:w="0" w:type="dxa"/>
        <w:right w:w="0" w:type="dxa"/>
      </w:tblCellMar>
    </w:tblPr>
  </w:style>
  <w:style w:type="table" w:customStyle="1" w:styleId="214">
    <w:name w:val="网格型11"/>
    <w:basedOn w:val="36"/>
    <w:qFormat/>
    <w:uiPriority w:val="39"/>
    <w:pPr>
      <w:jc w:val="center"/>
    </w:pPr>
    <w:rPr>
      <w:sz w:val="21"/>
      <w:szCs w:val="22"/>
    </w:rPr>
    <w:tblPr>
      <w:jc w:val="center"/>
      <w:tblBorders>
        <w:top w:val="single" w:color="auto" w:sz="12" w:space="0"/>
        <w:bottom w:val="single" w:color="auto" w:sz="12" w:space="0"/>
        <w:insideH w:val="single" w:color="auto" w:sz="6" w:space="0"/>
        <w:insideV w:val="single" w:color="auto" w:sz="6" w:space="0"/>
      </w:tblBorders>
    </w:tblPr>
    <w:trPr>
      <w:jc w:val="center"/>
    </w:trPr>
    <w:tcPr>
      <w:vAlign w:val="center"/>
    </w:tcPr>
  </w:style>
  <w:style w:type="table" w:customStyle="1" w:styleId="215">
    <w:name w:val="网格型2"/>
    <w:basedOn w:val="36"/>
    <w:qFormat/>
    <w:uiPriority w:val="39"/>
    <w:pPr>
      <w:jc w:val="center"/>
    </w:pPr>
    <w:rPr>
      <w:sz w:val="21"/>
      <w:szCs w:val="22"/>
    </w:rPr>
    <w:tblPr>
      <w:jc w:val="center"/>
      <w:tblBorders>
        <w:top w:val="single" w:color="auto" w:sz="12" w:space="0"/>
        <w:bottom w:val="single" w:color="auto" w:sz="12" w:space="0"/>
        <w:insideH w:val="single" w:color="auto" w:sz="6" w:space="0"/>
        <w:insideV w:val="single" w:color="auto" w:sz="6" w:space="0"/>
      </w:tblBorders>
    </w:tblPr>
    <w:trPr>
      <w:jc w:val="center"/>
    </w:trPr>
    <w:tcPr>
      <w:vAlign w:val="center"/>
    </w:tcPr>
  </w:style>
  <w:style w:type="paragraph" w:customStyle="1" w:styleId="216">
    <w:name w:val="表内文字1"/>
    <w:basedOn w:val="1"/>
    <w:uiPriority w:val="0"/>
    <w:pPr>
      <w:spacing w:line="440" w:lineRule="exact"/>
    </w:pPr>
    <w:rPr>
      <w:rFonts w:cs="Times New Roman"/>
      <w:color w:val="000000"/>
      <w:kern w:val="0"/>
      <w:szCs w:val="20"/>
      <w14:ligatures w14:val="none"/>
    </w:rPr>
  </w:style>
  <w:style w:type="paragraph" w:customStyle="1" w:styleId="217">
    <w:name w:val="表格内容"/>
    <w:basedOn w:val="1"/>
    <w:link w:val="218"/>
    <w:uiPriority w:val="0"/>
    <w:pPr>
      <w:spacing w:line="240" w:lineRule="auto"/>
      <w:jc w:val="center"/>
    </w:pPr>
    <w:rPr>
      <w:rFonts w:cs="Times New Roman"/>
      <w:color w:val="auto"/>
      <w:kern w:val="0"/>
      <w:sz w:val="20"/>
      <w:lang w:val="zh-CN"/>
      <w14:ligatures w14:val="none"/>
    </w:rPr>
  </w:style>
  <w:style w:type="character" w:customStyle="1" w:styleId="218">
    <w:name w:val="表格内容 Char Char"/>
    <w:link w:val="217"/>
    <w:qFormat/>
    <w:uiPriority w:val="0"/>
    <w:rPr>
      <w:rFonts w:cs="Times New Roman"/>
      <w:kern w:val="0"/>
      <w:sz w:val="20"/>
      <w:lang w:val="zh-CN" w:eastAsia="zh-CN"/>
      <w14:ligatures w14:val="none"/>
    </w:rPr>
  </w:style>
  <w:style w:type="table" w:customStyle="1" w:styleId="219">
    <w:name w:val="网格型3"/>
    <w:basedOn w:val="36"/>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20">
    <w:name w:val="网格型4"/>
    <w:basedOn w:val="36"/>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21">
    <w:name w:val="网格1"/>
    <w:basedOn w:val="36"/>
    <w:qFormat/>
    <w:uiPriority w:val="0"/>
    <w:rPr>
      <w:rFonts w:ascii="Calibri" w:hAnsi="Calibri"/>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table" w:customStyle="1" w:styleId="222">
    <w:name w:val="网格2"/>
    <w:basedOn w:val="36"/>
    <w:qFormat/>
    <w:uiPriority w:val="0"/>
    <w:rPr>
      <w:rFonts w:ascii="Calibri" w:hAnsi="Calibri"/>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table" w:customStyle="1" w:styleId="223">
    <w:name w:val="网格3"/>
    <w:basedOn w:val="36"/>
    <w:qFormat/>
    <w:uiPriority w:val="0"/>
    <w:rPr>
      <w:rFonts w:ascii="Calibri" w:hAnsi="Calibri"/>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character" w:customStyle="1" w:styleId="224">
    <w:name w:val="正文文本缩进 3 字符"/>
    <w:basedOn w:val="39"/>
    <w:link w:val="30"/>
    <w:uiPriority w:val="99"/>
    <w:rPr>
      <w:color w:val="000000" w:themeColor="text1"/>
      <w:sz w:val="16"/>
      <w:szCs w:val="16"/>
      <w14:textFill>
        <w14:solidFill>
          <w14:schemeClr w14:val="tx1"/>
        </w14:solidFill>
      </w14:textFill>
    </w:rPr>
  </w:style>
  <w:style w:type="character" w:customStyle="1" w:styleId="225">
    <w:name w:val="正文缩进 Char"/>
    <w:uiPriority w:val="0"/>
    <w:rPr>
      <w:rFonts w:ascii="Times New Roman" w:hAnsi="Times New Roman" w:eastAsia="宋体" w:cs="Times New Roman"/>
      <w:szCs w:val="24"/>
    </w:rPr>
  </w:style>
  <w:style w:type="paragraph" w:customStyle="1" w:styleId="226">
    <w:name w:val="样式 样式 正文文本 + 首行缩进:  2 字符 + 宋体 首行缩进:  2 字符"/>
    <w:basedOn w:val="1"/>
    <w:qFormat/>
    <w:uiPriority w:val="0"/>
    <w:pPr>
      <w:spacing w:before="120" w:line="300" w:lineRule="auto"/>
      <w:ind w:firstLine="480"/>
    </w:pPr>
    <w:rPr>
      <w:rFonts w:cs="宋体"/>
      <w:color w:val="000000"/>
      <w:kern w:val="1"/>
      <w14:ligatures w14:val="none"/>
    </w:rPr>
  </w:style>
  <w:style w:type="paragraph" w:customStyle="1" w:styleId="227">
    <w:name w:val="19"/>
    <w:basedOn w:val="1"/>
    <w:next w:val="13"/>
    <w:uiPriority w:val="0"/>
    <w:pPr>
      <w:spacing w:line="440" w:lineRule="exact"/>
      <w:ind w:firstLine="200" w:firstLineChars="200"/>
    </w:pPr>
    <w:rPr>
      <w:rFonts w:cs="Times New Roman"/>
      <w:color w:val="auto"/>
      <w:sz w:val="25"/>
      <w:szCs w:val="20"/>
      <w14:ligatures w14:val="none"/>
    </w:rPr>
  </w:style>
  <w:style w:type="paragraph" w:customStyle="1" w:styleId="228">
    <w:name w:val="公式注释"/>
    <w:basedOn w:val="13"/>
    <w:qFormat/>
    <w:uiPriority w:val="0"/>
    <w:pPr>
      <w:spacing w:line="440" w:lineRule="exact"/>
      <w:ind w:left="767" w:leftChars="200" w:hanging="567" w:firstLineChars="0"/>
    </w:pPr>
    <w:rPr>
      <w:sz w:val="25"/>
      <w:szCs w:val="20"/>
    </w:rPr>
  </w:style>
  <w:style w:type="paragraph" w:customStyle="1" w:styleId="229">
    <w:name w:val="新正文"/>
    <w:basedOn w:val="1"/>
    <w:link w:val="230"/>
    <w:qFormat/>
    <w:uiPriority w:val="0"/>
    <w:pPr>
      <w:spacing w:before="60" w:line="460" w:lineRule="exact"/>
      <w:ind w:firstLine="200" w:firstLineChars="200"/>
    </w:pPr>
    <w:rPr>
      <w:rFonts w:cs="Times New Roman"/>
      <w:color w:val="auto"/>
      <w:kern w:val="0"/>
      <w:szCs w:val="20"/>
      <w14:ligatures w14:val="none"/>
    </w:rPr>
  </w:style>
  <w:style w:type="character" w:customStyle="1" w:styleId="230">
    <w:name w:val="新正文 Char Char"/>
    <w:link w:val="229"/>
    <w:qFormat/>
    <w:uiPriority w:val="0"/>
    <w:rPr>
      <w:rFonts w:cs="Times New Roman"/>
      <w:kern w:val="0"/>
      <w:szCs w:val="20"/>
      <w14:ligatures w14:val="none"/>
    </w:rPr>
  </w:style>
</w:styles>
</file>

<file path=word/_rels/document.xml.rels><?xml version="1.0" encoding="UTF-8" standalone="yes"?>
<Relationships xmlns="http://schemas.openxmlformats.org/package/2006/relationships"><Relationship Id="rId9" Type="http://schemas.openxmlformats.org/officeDocument/2006/relationships/image" Target="media/image1.png"/><Relationship Id="rId85" Type="http://schemas.openxmlformats.org/officeDocument/2006/relationships/fontTable" Target="fontTable.xml"/><Relationship Id="rId84" Type="http://schemas.openxmlformats.org/officeDocument/2006/relationships/customXml" Target="../customXml/item2.xml"/><Relationship Id="rId83" Type="http://schemas.openxmlformats.org/officeDocument/2006/relationships/numbering" Target="numbering.xml"/><Relationship Id="rId82" Type="http://schemas.openxmlformats.org/officeDocument/2006/relationships/customXml" Target="../customXml/item1.xml"/><Relationship Id="rId81" Type="http://schemas.openxmlformats.org/officeDocument/2006/relationships/image" Target="media/image69.jpeg"/><Relationship Id="rId80" Type="http://schemas.openxmlformats.org/officeDocument/2006/relationships/image" Target="media/image68.png"/><Relationship Id="rId8" Type="http://schemas.openxmlformats.org/officeDocument/2006/relationships/theme" Target="theme/theme1.xml"/><Relationship Id="rId79" Type="http://schemas.openxmlformats.org/officeDocument/2006/relationships/image" Target="media/image67.png"/><Relationship Id="rId78" Type="http://schemas.openxmlformats.org/officeDocument/2006/relationships/image" Target="media/image66.png"/><Relationship Id="rId77" Type="http://schemas.openxmlformats.org/officeDocument/2006/relationships/image" Target="media/image65.png"/><Relationship Id="rId76" Type="http://schemas.openxmlformats.org/officeDocument/2006/relationships/image" Target="media/image64.png"/><Relationship Id="rId75" Type="http://schemas.openxmlformats.org/officeDocument/2006/relationships/image" Target="media/image63.png"/><Relationship Id="rId74" Type="http://schemas.openxmlformats.org/officeDocument/2006/relationships/image" Target="media/image62.png"/><Relationship Id="rId73" Type="http://schemas.openxmlformats.org/officeDocument/2006/relationships/image" Target="media/image61.png"/><Relationship Id="rId72" Type="http://schemas.openxmlformats.org/officeDocument/2006/relationships/image" Target="media/image60.png"/><Relationship Id="rId71" Type="http://schemas.openxmlformats.org/officeDocument/2006/relationships/image" Target="media/image59.png"/><Relationship Id="rId70" Type="http://schemas.openxmlformats.org/officeDocument/2006/relationships/image" Target="media/image58.png"/><Relationship Id="rId7" Type="http://schemas.openxmlformats.org/officeDocument/2006/relationships/footer" Target="footer2.xml"/><Relationship Id="rId69" Type="http://schemas.openxmlformats.org/officeDocument/2006/relationships/image" Target="media/image57.png"/><Relationship Id="rId68" Type="http://schemas.openxmlformats.org/officeDocument/2006/relationships/image" Target="media/image56.emf"/><Relationship Id="rId67" Type="http://schemas.openxmlformats.org/officeDocument/2006/relationships/image" Target="media/image55.emf"/><Relationship Id="rId66" Type="http://schemas.openxmlformats.org/officeDocument/2006/relationships/image" Target="media/image54.emf"/><Relationship Id="rId65" Type="http://schemas.openxmlformats.org/officeDocument/2006/relationships/image" Target="media/image53.emf"/><Relationship Id="rId64" Type="http://schemas.openxmlformats.org/officeDocument/2006/relationships/image" Target="media/image52.png"/><Relationship Id="rId63" Type="http://schemas.openxmlformats.org/officeDocument/2006/relationships/image" Target="media/image51.png"/><Relationship Id="rId62" Type="http://schemas.openxmlformats.org/officeDocument/2006/relationships/image" Target="media/image50.png"/><Relationship Id="rId61" Type="http://schemas.openxmlformats.org/officeDocument/2006/relationships/image" Target="media/image49.png"/><Relationship Id="rId60" Type="http://schemas.openxmlformats.org/officeDocument/2006/relationships/image" Target="media/image48.png"/><Relationship Id="rId6" Type="http://schemas.openxmlformats.org/officeDocument/2006/relationships/header" Target="header1.xml"/><Relationship Id="rId59" Type="http://schemas.openxmlformats.org/officeDocument/2006/relationships/image" Target="media/image47.png"/><Relationship Id="rId58" Type="http://schemas.openxmlformats.org/officeDocument/2006/relationships/image" Target="media/image46.png"/><Relationship Id="rId57" Type="http://schemas.openxmlformats.org/officeDocument/2006/relationships/image" Target="media/image45.png"/><Relationship Id="rId56" Type="http://schemas.openxmlformats.org/officeDocument/2006/relationships/image" Target="media/image44.png"/><Relationship Id="rId55" Type="http://schemas.openxmlformats.org/officeDocument/2006/relationships/image" Target="media/image43.png"/><Relationship Id="rId54" Type="http://schemas.openxmlformats.org/officeDocument/2006/relationships/image" Target="media/image42.png"/><Relationship Id="rId53" Type="http://schemas.openxmlformats.org/officeDocument/2006/relationships/image" Target="media/image41.png"/><Relationship Id="rId52" Type="http://schemas.openxmlformats.org/officeDocument/2006/relationships/image" Target="media/image40.png"/><Relationship Id="rId51" Type="http://schemas.openxmlformats.org/officeDocument/2006/relationships/image" Target="media/image39.jpeg"/><Relationship Id="rId50" Type="http://schemas.openxmlformats.org/officeDocument/2006/relationships/image" Target="media/image38.jpeg"/><Relationship Id="rId5" Type="http://schemas.openxmlformats.org/officeDocument/2006/relationships/footer" Target="footer1.xml"/><Relationship Id="rId49" Type="http://schemas.openxmlformats.org/officeDocument/2006/relationships/image" Target="media/image37.jpeg"/><Relationship Id="rId48" Type="http://schemas.openxmlformats.org/officeDocument/2006/relationships/image" Target="media/image36.jpeg"/><Relationship Id="rId47" Type="http://schemas.openxmlformats.org/officeDocument/2006/relationships/image" Target="media/image35.jpeg"/><Relationship Id="rId46" Type="http://schemas.openxmlformats.org/officeDocument/2006/relationships/image" Target="media/image34.png"/><Relationship Id="rId45" Type="http://schemas.openxmlformats.org/officeDocument/2006/relationships/chart" Target="charts/chart2.xml"/><Relationship Id="rId44" Type="http://schemas.openxmlformats.org/officeDocument/2006/relationships/chart" Target="charts/chart1.xml"/><Relationship Id="rId43" Type="http://schemas.openxmlformats.org/officeDocument/2006/relationships/image" Target="media/image33.jpeg"/><Relationship Id="rId42" Type="http://schemas.openxmlformats.org/officeDocument/2006/relationships/image" Target="media/image32.jpeg"/><Relationship Id="rId41" Type="http://schemas.openxmlformats.org/officeDocument/2006/relationships/image" Target="media/image31.jpeg"/><Relationship Id="rId40" Type="http://schemas.openxmlformats.org/officeDocument/2006/relationships/image" Target="media/image30.jpeg"/><Relationship Id="rId4" Type="http://schemas.openxmlformats.org/officeDocument/2006/relationships/endnotes" Target="endnotes.xml"/><Relationship Id="rId39" Type="http://schemas.openxmlformats.org/officeDocument/2006/relationships/image" Target="media/image29.jpeg"/><Relationship Id="rId38" Type="http://schemas.openxmlformats.org/officeDocument/2006/relationships/image" Target="media/image28.jpeg"/><Relationship Id="rId37" Type="http://schemas.openxmlformats.org/officeDocument/2006/relationships/image" Target="media/image27.jpeg"/><Relationship Id="rId36" Type="http://schemas.openxmlformats.org/officeDocument/2006/relationships/image" Target="media/image26.jpeg"/><Relationship Id="rId35" Type="http://schemas.openxmlformats.org/officeDocument/2006/relationships/image" Target="media/image25.jpeg"/><Relationship Id="rId34" Type="http://schemas.openxmlformats.org/officeDocument/2006/relationships/image" Target="media/image24.png"/><Relationship Id="rId33" Type="http://schemas.openxmlformats.org/officeDocument/2006/relationships/image" Target="media/image23.png"/><Relationship Id="rId32" Type="http://schemas.openxmlformats.org/officeDocument/2006/relationships/image" Target="media/image22.png"/><Relationship Id="rId31" Type="http://schemas.openxmlformats.org/officeDocument/2006/relationships/image" Target="media/image21.png"/><Relationship Id="rId30" Type="http://schemas.openxmlformats.org/officeDocument/2006/relationships/image" Target="media/image20.png"/><Relationship Id="rId3" Type="http://schemas.openxmlformats.org/officeDocument/2006/relationships/footnotes" Target="footnotes.xml"/><Relationship Id="rId29" Type="http://schemas.openxmlformats.org/officeDocument/2006/relationships/image" Target="media/image19.jpeg"/><Relationship Id="rId28" Type="http://schemas.openxmlformats.org/officeDocument/2006/relationships/image" Target="media/image18.jpeg"/><Relationship Id="rId27" Type="http://schemas.openxmlformats.org/officeDocument/2006/relationships/image" Target="media/image17.png"/><Relationship Id="rId26" Type="http://schemas.openxmlformats.org/officeDocument/2006/relationships/image" Target="media/image16.png"/><Relationship Id="rId25" Type="http://schemas.openxmlformats.org/officeDocument/2006/relationships/image" Target="file:///C:\Documents%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0and%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0Settings\Administrator\Application%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0Data\Tencent\Users\112768905\QQ\WinTemp\RichOle\_VHJZS4F%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7dP4CPO9SD)(L$%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7d5.jpg" TargetMode="External"/><Relationship Id="rId24" Type="http://schemas.openxmlformats.org/officeDocument/2006/relationships/image" Target="media/image15.jpeg"/><Relationship Id="rId23" Type="http://schemas.openxmlformats.org/officeDocument/2006/relationships/image" Target="media/image14.jpeg"/><Relationship Id="rId22" Type="http://schemas.openxmlformats.org/officeDocument/2006/relationships/image" Target="media/image13.png"/><Relationship Id="rId21" Type="http://schemas.openxmlformats.org/officeDocument/2006/relationships/image" Target="media/image12.png"/><Relationship Id="rId20" Type="http://schemas.openxmlformats.org/officeDocument/2006/relationships/image" Target="media/image11.png"/><Relationship Id="rId2" Type="http://schemas.openxmlformats.org/officeDocument/2006/relationships/settings" Target="settings.xml"/><Relationship Id="rId19" Type="http://schemas.openxmlformats.org/officeDocument/2006/relationships/image" Target="media/image10.png"/><Relationship Id="rId18" Type="http://schemas.openxmlformats.org/officeDocument/2006/relationships/image" Target="media/image9.emf"/><Relationship Id="rId17" Type="http://schemas.openxmlformats.org/officeDocument/2006/relationships/oleObject" Target="embeddings/Microsoft_Visio_2003-2010___1.vsd"/><Relationship Id="rId16" Type="http://schemas.openxmlformats.org/officeDocument/2006/relationships/image" Target="media/image8.png"/><Relationship Id="rId15" Type="http://schemas.openxmlformats.org/officeDocument/2006/relationships/image" Target="media/image7.png"/><Relationship Id="rId14" Type="http://schemas.openxmlformats.org/officeDocument/2006/relationships/image" Target="media/image6.png"/><Relationship Id="rId13" Type="http://schemas.openxmlformats.org/officeDocument/2006/relationships/image" Target="media/image5.png"/><Relationship Id="rId12" Type="http://schemas.openxmlformats.org/officeDocument/2006/relationships/image" Target="media/image4.png"/><Relationship Id="rId11" Type="http://schemas.openxmlformats.org/officeDocument/2006/relationships/image" Target="media/image3.png"/><Relationship Id="rId10" Type="http://schemas.openxmlformats.org/officeDocument/2006/relationships/image" Target="media/image2.png"/><Relationship Id="rId1" Type="http://schemas.openxmlformats.org/officeDocument/2006/relationships/styles" Target="styles.xml"/></Relationships>
</file>

<file path=word/charts/_rels/chart1.xml.rels><?xml version="1.0" encoding="UTF-8" standalone="yes"?>
<Relationships xmlns="http://schemas.openxmlformats.org/package/2006/relationships"><Relationship Id="rId3" Type="http://schemas.microsoft.com/office/2011/relationships/chartColorStyle" Target="colors1.xml"/><Relationship Id="rId2" Type="http://schemas.microsoft.com/office/2011/relationships/chartStyle" Target="style1.xml"/><Relationship Id="rId1" Type="http://schemas.openxmlformats.org/officeDocument/2006/relationships/oleObject" Target="file:///D:\&#28023;&#21326;\&#36807;&#31243;&#25991;&#20214;\&#22320;&#19979;&#27700;&#39044;&#27979;\&#28023;&#21326;&#22320;&#19979;&#27700;&#39044;&#27979;-&#32791;&#27687;&#37327;.xlsx" TargetMode="External"/></Relationships>
</file>

<file path=word/charts/_rels/chart2.xml.rels><?xml version="1.0" encoding="UTF-8" standalone="yes"?>
<Relationships xmlns="http://schemas.openxmlformats.org/package/2006/relationships"><Relationship Id="rId3" Type="http://schemas.microsoft.com/office/2011/relationships/chartColorStyle" Target="colors2.xml"/><Relationship Id="rId2" Type="http://schemas.microsoft.com/office/2011/relationships/chartStyle" Target="style2.xml"/><Relationship Id="rId1" Type="http://schemas.openxmlformats.org/officeDocument/2006/relationships/oleObject" Target="file:///D:\&#28023;&#21326;\&#36807;&#31243;&#25991;&#20214;\&#22320;&#19979;&#27700;&#39044;&#27979;\&#28023;&#21326;&#22320;&#19979;&#27700;&#39044;&#27979;-&#37210;&#31867;.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zh-CN" sz="1400" b="0" i="0" u="none" strike="noStrike" kern="1200" spc="0" baseline="0">
                <a:solidFill>
                  <a:schemeClr val="tx1">
                    <a:lumMod val="65000"/>
                    <a:lumOff val="35000"/>
                  </a:schemeClr>
                </a:solidFill>
                <a:latin typeface="Times New Roman" panose="02020603050405020304" charset="0"/>
                <a:ea typeface="宋体" panose="02010600030101010101" charset="-122"/>
                <a:cs typeface="Times New Roman" panose="02020603050405020304" charset="0"/>
              </a:defRPr>
            </a:pPr>
            <a:r>
              <a:rPr lang="zh-CN" altLang="en-US"/>
              <a:t>耗氧量</a:t>
            </a:r>
            <a:r>
              <a:rPr lang="zh-CN"/>
              <a:t>预测结果</a:t>
            </a:r>
            <a:endParaRPr lang="zh-CN"/>
          </a:p>
        </c:rich>
      </c:tx>
      <c:layout/>
      <c:overlay val="0"/>
      <c:spPr>
        <a:noFill/>
        <a:ln>
          <a:noFill/>
        </a:ln>
        <a:effectLst/>
      </c:spPr>
    </c:title>
    <c:autoTitleDeleted val="0"/>
    <c:plotArea>
      <c:layout/>
      <c:lineChart>
        <c:grouping val="standard"/>
        <c:varyColors val="0"/>
        <c:ser>
          <c:idx val="0"/>
          <c:order val="0"/>
          <c:tx>
            <c:strRef>
              <c:f>100d</c:f>
              <c:strCache>
                <c:ptCount val="1"/>
                <c:pt idx="0">
                  <c:v>100d</c:v>
                </c:pt>
              </c:strCache>
            </c:strRef>
          </c:tx>
          <c:spPr>
            <a:ln w="28575" cap="rnd">
              <a:solidFill>
                <a:schemeClr val="accent1"/>
              </a:solidFill>
              <a:round/>
            </a:ln>
            <a:effectLst/>
          </c:spPr>
          <c:marker>
            <c:symbol val="none"/>
          </c:marker>
          <c:dLbls>
            <c:delete val="1"/>
          </c:dLbls>
          <c:cat>
            <c:numRef>
              <c:f>'公式D2（一维持续泄漏定浓度）'!$B$8:$B$41</c:f>
              <c:numCache>
                <c:formatCode>General</c:formatCode>
                <c:ptCount val="34"/>
                <c:pt idx="0">
                  <c:v>0.1</c:v>
                </c:pt>
                <c:pt idx="1">
                  <c:v>0.5</c:v>
                </c:pt>
                <c:pt idx="2">
                  <c:v>1</c:v>
                </c:pt>
                <c:pt idx="3">
                  <c:v>1.5</c:v>
                </c:pt>
                <c:pt idx="4">
                  <c:v>2</c:v>
                </c:pt>
                <c:pt idx="5">
                  <c:v>2.5</c:v>
                </c:pt>
                <c:pt idx="6">
                  <c:v>3</c:v>
                </c:pt>
                <c:pt idx="7">
                  <c:v>3.5</c:v>
                </c:pt>
                <c:pt idx="8">
                  <c:v>4</c:v>
                </c:pt>
                <c:pt idx="9">
                  <c:v>4.5</c:v>
                </c:pt>
                <c:pt idx="10">
                  <c:v>5</c:v>
                </c:pt>
                <c:pt idx="11">
                  <c:v>5.5</c:v>
                </c:pt>
                <c:pt idx="12">
                  <c:v>6</c:v>
                </c:pt>
                <c:pt idx="13">
                  <c:v>6.5</c:v>
                </c:pt>
                <c:pt idx="14">
                  <c:v>7</c:v>
                </c:pt>
                <c:pt idx="15">
                  <c:v>7.5</c:v>
                </c:pt>
                <c:pt idx="16">
                  <c:v>8</c:v>
                </c:pt>
                <c:pt idx="17">
                  <c:v>8.5</c:v>
                </c:pt>
                <c:pt idx="18">
                  <c:v>9</c:v>
                </c:pt>
                <c:pt idx="19">
                  <c:v>9.5</c:v>
                </c:pt>
                <c:pt idx="20">
                  <c:v>10</c:v>
                </c:pt>
                <c:pt idx="21">
                  <c:v>15</c:v>
                </c:pt>
                <c:pt idx="22">
                  <c:v>20</c:v>
                </c:pt>
                <c:pt idx="23">
                  <c:v>25</c:v>
                </c:pt>
                <c:pt idx="24">
                  <c:v>30</c:v>
                </c:pt>
                <c:pt idx="25">
                  <c:v>35</c:v>
                </c:pt>
                <c:pt idx="26">
                  <c:v>40</c:v>
                </c:pt>
                <c:pt idx="27">
                  <c:v>45</c:v>
                </c:pt>
                <c:pt idx="28">
                  <c:v>50</c:v>
                </c:pt>
                <c:pt idx="29">
                  <c:v>60</c:v>
                </c:pt>
                <c:pt idx="30">
                  <c:v>70</c:v>
                </c:pt>
                <c:pt idx="31">
                  <c:v>80</c:v>
                </c:pt>
                <c:pt idx="32">
                  <c:v>90</c:v>
                </c:pt>
                <c:pt idx="33">
                  <c:v>100</c:v>
                </c:pt>
              </c:numCache>
            </c:numRef>
          </c:cat>
          <c:val>
            <c:numRef>
              <c:f>'公式D2（一维持续泄漏定浓度）'!$C$8:$C$41</c:f>
              <c:numCache>
                <c:formatCode>0.000_ </c:formatCode>
                <c:ptCount val="34"/>
                <c:pt idx="0">
                  <c:v>23217.1997798462</c:v>
                </c:pt>
                <c:pt idx="1">
                  <c:v>20078.9716502683</c:v>
                </c:pt>
                <c:pt idx="2">
                  <c:v>16258.0464569048</c:v>
                </c:pt>
                <c:pt idx="3">
                  <c:v>12716.2635350052</c:v>
                </c:pt>
                <c:pt idx="4">
                  <c:v>9591.54759199875</c:v>
                </c:pt>
                <c:pt idx="5">
                  <c:v>6966.68640905786</c:v>
                </c:pt>
                <c:pt idx="6">
                  <c:v>4866.63391536644</c:v>
                </c:pt>
                <c:pt idx="7">
                  <c:v>3266.0864740164</c:v>
                </c:pt>
                <c:pt idx="8">
                  <c:v>2103.87620871244</c:v>
                </c:pt>
                <c:pt idx="9">
                  <c:v>1299.74770720896</c:v>
                </c:pt>
                <c:pt idx="10">
                  <c:v>769.564405527802</c:v>
                </c:pt>
                <c:pt idx="11">
                  <c:v>436.434699546953</c:v>
                </c:pt>
                <c:pt idx="12">
                  <c:v>236.950656877724</c:v>
                </c:pt>
                <c:pt idx="13">
                  <c:v>123.102331579157</c:v>
                </c:pt>
                <c:pt idx="14">
                  <c:v>61.1751103786395</c:v>
                </c:pt>
                <c:pt idx="15">
                  <c:v>29.06933520342</c:v>
                </c:pt>
                <c:pt idx="16">
                  <c:v>13.2043564812287</c:v>
                </c:pt>
                <c:pt idx="17">
                  <c:v>5.73200712307004</c:v>
                </c:pt>
                <c:pt idx="18">
                  <c:v>2.37740111228644</c:v>
                </c:pt>
                <c:pt idx="19">
                  <c:v>0.941921910512658</c:v>
                </c:pt>
                <c:pt idx="20">
                  <c:v>0.356421931571304</c:v>
                </c:pt>
                <c:pt idx="21">
                  <c:v>1.66317287123463e-6</c:v>
                </c:pt>
                <c:pt idx="22">
                  <c:v>0</c:v>
                </c:pt>
                <c:pt idx="23">
                  <c:v>0</c:v>
                </c:pt>
                <c:pt idx="24">
                  <c:v>0</c:v>
                </c:pt>
                <c:pt idx="25">
                  <c:v>0</c:v>
                </c:pt>
                <c:pt idx="26">
                  <c:v>0</c:v>
                </c:pt>
                <c:pt idx="27">
                  <c:v>0</c:v>
                </c:pt>
                <c:pt idx="28">
                  <c:v>0</c:v>
                </c:pt>
                <c:pt idx="29">
                  <c:v>0</c:v>
                </c:pt>
                <c:pt idx="30">
                  <c:v>0</c:v>
                </c:pt>
                <c:pt idx="31">
                  <c:v>0</c:v>
                </c:pt>
                <c:pt idx="32">
                  <c:v>0</c:v>
                </c:pt>
                <c:pt idx="33">
                  <c:v>0</c:v>
                </c:pt>
              </c:numCache>
            </c:numRef>
          </c:val>
          <c:smooth val="0"/>
        </c:ser>
        <c:ser>
          <c:idx val="1"/>
          <c:order val="1"/>
          <c:tx>
            <c:strRef>
              <c:f>1000d</c:f>
              <c:strCache>
                <c:ptCount val="1"/>
                <c:pt idx="0">
                  <c:v>1000d</c:v>
                </c:pt>
              </c:strCache>
            </c:strRef>
          </c:tx>
          <c:spPr>
            <a:ln w="28575" cap="rnd">
              <a:solidFill>
                <a:schemeClr val="accent2"/>
              </a:solidFill>
              <a:round/>
            </a:ln>
            <a:effectLst/>
          </c:spPr>
          <c:marker>
            <c:symbol val="none"/>
          </c:marker>
          <c:dLbls>
            <c:delete val="1"/>
          </c:dLbls>
          <c:cat>
            <c:numRef>
              <c:f>'公式D2（一维持续泄漏定浓度）'!$B$8:$B$41</c:f>
              <c:numCache>
                <c:formatCode>General</c:formatCode>
                <c:ptCount val="34"/>
                <c:pt idx="0">
                  <c:v>0.1</c:v>
                </c:pt>
                <c:pt idx="1">
                  <c:v>0.5</c:v>
                </c:pt>
                <c:pt idx="2">
                  <c:v>1</c:v>
                </c:pt>
                <c:pt idx="3">
                  <c:v>1.5</c:v>
                </c:pt>
                <c:pt idx="4">
                  <c:v>2</c:v>
                </c:pt>
                <c:pt idx="5">
                  <c:v>2.5</c:v>
                </c:pt>
                <c:pt idx="6">
                  <c:v>3</c:v>
                </c:pt>
                <c:pt idx="7">
                  <c:v>3.5</c:v>
                </c:pt>
                <c:pt idx="8">
                  <c:v>4</c:v>
                </c:pt>
                <c:pt idx="9">
                  <c:v>4.5</c:v>
                </c:pt>
                <c:pt idx="10">
                  <c:v>5</c:v>
                </c:pt>
                <c:pt idx="11">
                  <c:v>5.5</c:v>
                </c:pt>
                <c:pt idx="12">
                  <c:v>6</c:v>
                </c:pt>
                <c:pt idx="13">
                  <c:v>6.5</c:v>
                </c:pt>
                <c:pt idx="14">
                  <c:v>7</c:v>
                </c:pt>
                <c:pt idx="15">
                  <c:v>7.5</c:v>
                </c:pt>
                <c:pt idx="16">
                  <c:v>8</c:v>
                </c:pt>
                <c:pt idx="17">
                  <c:v>8.5</c:v>
                </c:pt>
                <c:pt idx="18">
                  <c:v>9</c:v>
                </c:pt>
                <c:pt idx="19">
                  <c:v>9.5</c:v>
                </c:pt>
                <c:pt idx="20">
                  <c:v>10</c:v>
                </c:pt>
                <c:pt idx="21">
                  <c:v>15</c:v>
                </c:pt>
                <c:pt idx="22">
                  <c:v>20</c:v>
                </c:pt>
                <c:pt idx="23">
                  <c:v>25</c:v>
                </c:pt>
                <c:pt idx="24">
                  <c:v>30</c:v>
                </c:pt>
                <c:pt idx="25">
                  <c:v>35</c:v>
                </c:pt>
                <c:pt idx="26">
                  <c:v>40</c:v>
                </c:pt>
                <c:pt idx="27">
                  <c:v>45</c:v>
                </c:pt>
                <c:pt idx="28">
                  <c:v>50</c:v>
                </c:pt>
                <c:pt idx="29">
                  <c:v>60</c:v>
                </c:pt>
                <c:pt idx="30">
                  <c:v>70</c:v>
                </c:pt>
                <c:pt idx="31">
                  <c:v>80</c:v>
                </c:pt>
                <c:pt idx="32">
                  <c:v>90</c:v>
                </c:pt>
                <c:pt idx="33">
                  <c:v>100</c:v>
                </c:pt>
              </c:numCache>
            </c:numRef>
          </c:cat>
          <c:val>
            <c:numRef>
              <c:f>'公式D2（一维持续泄漏定浓度）'!$D$8:$D$41</c:f>
              <c:numCache>
                <c:formatCode>0.000_ </c:formatCode>
                <c:ptCount val="34"/>
                <c:pt idx="0">
                  <c:v>23789.6272754832</c:v>
                </c:pt>
                <c:pt idx="1">
                  <c:v>22938.5551867591</c:v>
                </c:pt>
                <c:pt idx="2">
                  <c:v>21856.6562526018</c:v>
                </c:pt>
                <c:pt idx="3">
                  <c:v>20760.2700023838</c:v>
                </c:pt>
                <c:pt idx="4">
                  <c:v>19655.4897231695</c:v>
                </c:pt>
                <c:pt idx="5">
                  <c:v>18548.4455150789</c:v>
                </c:pt>
                <c:pt idx="6">
                  <c:v>17445.214391867</c:v>
                </c:pt>
                <c:pt idx="7">
                  <c:v>16351.7323099011</c:v>
                </c:pt>
                <c:pt idx="8">
                  <c:v>15273.7102095803</c:v>
                </c:pt>
                <c:pt idx="9">
                  <c:v>14216.5560099038</c:v>
                </c:pt>
                <c:pt idx="10">
                  <c:v>13185.3042911942</c:v>
                </c:pt>
                <c:pt idx="11">
                  <c:v>12184.5551418421</c:v>
                </c:pt>
                <c:pt idx="12">
                  <c:v>11218.423343359</c:v>
                </c:pt>
                <c:pt idx="13">
                  <c:v>10290.4987365637</c:v>
                </c:pt>
                <c:pt idx="14">
                  <c:v>9403.81826382171</c:v>
                </c:pt>
                <c:pt idx="15">
                  <c:v>8560.84983159459</c:v>
                </c:pt>
                <c:pt idx="16">
                  <c:v>7763.48779741241</c:v>
                </c:pt>
                <c:pt idx="17">
                  <c:v>7013.05956801383</c:v>
                </c:pt>
                <c:pt idx="18">
                  <c:v>6310.34251152684</c:v>
                </c:pt>
                <c:pt idx="19">
                  <c:v>5655.59014493969</c:v>
                </c:pt>
                <c:pt idx="20">
                  <c:v>5048.56636522833</c:v>
                </c:pt>
                <c:pt idx="21">
                  <c:v>1293.9560457389</c:v>
                </c:pt>
                <c:pt idx="22">
                  <c:v>216.492412072547</c:v>
                </c:pt>
                <c:pt idx="23">
                  <c:v>23.2746728999998</c:v>
                </c:pt>
                <c:pt idx="24">
                  <c:v>1.59150718496667</c:v>
                </c:pt>
                <c:pt idx="25">
                  <c:v>0.0687465181784136</c:v>
                </c:pt>
                <c:pt idx="26">
                  <c:v>0.00186705188503051</c:v>
                </c:pt>
                <c:pt idx="27">
                  <c:v>3.17730987652785e-5</c:v>
                </c:pt>
                <c:pt idx="28">
                  <c:v>3.37968981061333e-7</c:v>
                </c:pt>
                <c:pt idx="29">
                  <c:v>5.32907051820075e-12</c:v>
                </c:pt>
                <c:pt idx="30">
                  <c:v>0</c:v>
                </c:pt>
                <c:pt idx="31">
                  <c:v>0</c:v>
                </c:pt>
                <c:pt idx="32">
                  <c:v>0</c:v>
                </c:pt>
                <c:pt idx="33">
                  <c:v>0</c:v>
                </c:pt>
              </c:numCache>
            </c:numRef>
          </c:val>
          <c:smooth val="0"/>
        </c:ser>
        <c:ser>
          <c:idx val="2"/>
          <c:order val="2"/>
          <c:tx>
            <c:strRef>
              <c:f>3650d</c:f>
              <c:strCache>
                <c:ptCount val="1"/>
                <c:pt idx="0">
                  <c:v>3650d</c:v>
                </c:pt>
              </c:strCache>
            </c:strRef>
          </c:tx>
          <c:spPr>
            <a:ln w="28575" cap="rnd">
              <a:solidFill>
                <a:schemeClr val="accent3"/>
              </a:solidFill>
              <a:round/>
            </a:ln>
            <a:effectLst/>
          </c:spPr>
          <c:marker>
            <c:symbol val="none"/>
          </c:marker>
          <c:dLbls>
            <c:delete val="1"/>
          </c:dLbls>
          <c:cat>
            <c:numRef>
              <c:f>'公式D2（一维持续泄漏定浓度）'!$B$8:$B$41</c:f>
              <c:numCache>
                <c:formatCode>General</c:formatCode>
                <c:ptCount val="34"/>
                <c:pt idx="0">
                  <c:v>0.1</c:v>
                </c:pt>
                <c:pt idx="1">
                  <c:v>0.5</c:v>
                </c:pt>
                <c:pt idx="2">
                  <c:v>1</c:v>
                </c:pt>
                <c:pt idx="3">
                  <c:v>1.5</c:v>
                </c:pt>
                <c:pt idx="4">
                  <c:v>2</c:v>
                </c:pt>
                <c:pt idx="5">
                  <c:v>2.5</c:v>
                </c:pt>
                <c:pt idx="6">
                  <c:v>3</c:v>
                </c:pt>
                <c:pt idx="7">
                  <c:v>3.5</c:v>
                </c:pt>
                <c:pt idx="8">
                  <c:v>4</c:v>
                </c:pt>
                <c:pt idx="9">
                  <c:v>4.5</c:v>
                </c:pt>
                <c:pt idx="10">
                  <c:v>5</c:v>
                </c:pt>
                <c:pt idx="11">
                  <c:v>5.5</c:v>
                </c:pt>
                <c:pt idx="12">
                  <c:v>6</c:v>
                </c:pt>
                <c:pt idx="13">
                  <c:v>6.5</c:v>
                </c:pt>
                <c:pt idx="14">
                  <c:v>7</c:v>
                </c:pt>
                <c:pt idx="15">
                  <c:v>7.5</c:v>
                </c:pt>
                <c:pt idx="16">
                  <c:v>8</c:v>
                </c:pt>
                <c:pt idx="17">
                  <c:v>8.5</c:v>
                </c:pt>
                <c:pt idx="18">
                  <c:v>9</c:v>
                </c:pt>
                <c:pt idx="19">
                  <c:v>9.5</c:v>
                </c:pt>
                <c:pt idx="20">
                  <c:v>10</c:v>
                </c:pt>
                <c:pt idx="21">
                  <c:v>15</c:v>
                </c:pt>
                <c:pt idx="22">
                  <c:v>20</c:v>
                </c:pt>
                <c:pt idx="23">
                  <c:v>25</c:v>
                </c:pt>
                <c:pt idx="24">
                  <c:v>30</c:v>
                </c:pt>
                <c:pt idx="25">
                  <c:v>35</c:v>
                </c:pt>
                <c:pt idx="26">
                  <c:v>40</c:v>
                </c:pt>
                <c:pt idx="27">
                  <c:v>45</c:v>
                </c:pt>
                <c:pt idx="28">
                  <c:v>50</c:v>
                </c:pt>
                <c:pt idx="29">
                  <c:v>60</c:v>
                </c:pt>
                <c:pt idx="30">
                  <c:v>70</c:v>
                </c:pt>
                <c:pt idx="31">
                  <c:v>80</c:v>
                </c:pt>
                <c:pt idx="32">
                  <c:v>90</c:v>
                </c:pt>
                <c:pt idx="33">
                  <c:v>100</c:v>
                </c:pt>
              </c:numCache>
            </c:numRef>
          </c:cat>
          <c:val>
            <c:numRef>
              <c:f>'公式D2（一维持续泄漏定浓度）'!$E$8:$E$41</c:f>
              <c:numCache>
                <c:formatCode>0.000_ </c:formatCode>
                <c:ptCount val="34"/>
                <c:pt idx="0">
                  <c:v>23950.1567326491</c:v>
                </c:pt>
                <c:pt idx="1">
                  <c:v>23748.3192694954</c:v>
                </c:pt>
                <c:pt idx="2">
                  <c:v>23490.5617903466</c:v>
                </c:pt>
                <c:pt idx="3">
                  <c:v>23226.8751300317</c:v>
                </c:pt>
                <c:pt idx="4">
                  <c:v>22957.4169366042</c:v>
                </c:pt>
                <c:pt idx="5">
                  <c:v>22682.3546928927</c:v>
                </c:pt>
                <c:pt idx="6">
                  <c:v>22401.8654416392</c:v>
                </c:pt>
                <c:pt idx="7">
                  <c:v>22116.1354822663</c:v>
                </c:pt>
                <c:pt idx="8">
                  <c:v>21825.3600400831</c:v>
                </c:pt>
                <c:pt idx="9">
                  <c:v>21529.7429088586</c:v>
                </c:pt>
                <c:pt idx="10">
                  <c:v>21229.4960678042</c:v>
                </c:pt>
                <c:pt idx="11">
                  <c:v>20924.8392741151</c:v>
                </c:pt>
                <c:pt idx="12">
                  <c:v>20615.999632329</c:v>
                </c:pt>
                <c:pt idx="13">
                  <c:v>20303.2111418565</c:v>
                </c:pt>
                <c:pt idx="14">
                  <c:v>19986.7142241331</c:v>
                </c:pt>
                <c:pt idx="15">
                  <c:v>19666.755230931</c:v>
                </c:pt>
                <c:pt idx="16">
                  <c:v>19343.5859354457</c:v>
                </c:pt>
                <c:pt idx="17">
                  <c:v>19017.463007851</c:v>
                </c:pt>
                <c:pt idx="18">
                  <c:v>18688.647477076</c:v>
                </c:pt>
                <c:pt idx="19">
                  <c:v>18357.4041806189</c:v>
                </c:pt>
                <c:pt idx="20">
                  <c:v>18024.0012042591</c:v>
                </c:pt>
                <c:pt idx="21">
                  <c:v>14631.3402420393</c:v>
                </c:pt>
                <c:pt idx="22">
                  <c:v>11319.6926406129</c:v>
                </c:pt>
                <c:pt idx="23">
                  <c:v>8323.96165858999</c:v>
                </c:pt>
                <c:pt idx="24">
                  <c:v>5804.92858262384</c:v>
                </c:pt>
                <c:pt idx="25">
                  <c:v>3832.03087858107</c:v>
                </c:pt>
                <c:pt idx="26">
                  <c:v>2390.88657445526</c:v>
                </c:pt>
                <c:pt idx="27">
                  <c:v>1408.09836442628</c:v>
                </c:pt>
                <c:pt idx="28">
                  <c:v>781.969805491279</c:v>
                </c:pt>
                <c:pt idx="29">
                  <c:v>201.498715154029</c:v>
                </c:pt>
                <c:pt idx="30">
                  <c:v>40.6813190206249</c:v>
                </c:pt>
                <c:pt idx="31">
                  <c:v>6.40946077126007</c:v>
                </c:pt>
                <c:pt idx="32">
                  <c:v>0.785729891845828</c:v>
                </c:pt>
                <c:pt idx="33">
                  <c:v>0.0747807068631082</c:v>
                </c:pt>
              </c:numCache>
            </c:numRef>
          </c:val>
          <c:smooth val="0"/>
        </c:ser>
        <c:ser>
          <c:idx val="3"/>
          <c:order val="3"/>
          <c:tx>
            <c:strRef>
              <c:f>标准值</c:f>
              <c:strCache>
                <c:ptCount val="1"/>
                <c:pt idx="0">
                  <c:v>标准值</c:v>
                </c:pt>
              </c:strCache>
            </c:strRef>
          </c:tx>
          <c:spPr>
            <a:ln w="28575" cap="rnd">
              <a:solidFill>
                <a:schemeClr val="accent4"/>
              </a:solidFill>
              <a:round/>
            </a:ln>
            <a:effectLst/>
          </c:spPr>
          <c:marker>
            <c:symbol val="none"/>
          </c:marker>
          <c:dLbls>
            <c:delete val="1"/>
          </c:dLbls>
          <c:cat>
            <c:numRef>
              <c:f>'公式D2（一维持续泄漏定浓度）'!$B$8:$B$41</c:f>
              <c:numCache>
                <c:formatCode>General</c:formatCode>
                <c:ptCount val="34"/>
                <c:pt idx="0">
                  <c:v>0.1</c:v>
                </c:pt>
                <c:pt idx="1">
                  <c:v>0.5</c:v>
                </c:pt>
                <c:pt idx="2">
                  <c:v>1</c:v>
                </c:pt>
                <c:pt idx="3">
                  <c:v>1.5</c:v>
                </c:pt>
                <c:pt idx="4">
                  <c:v>2</c:v>
                </c:pt>
                <c:pt idx="5">
                  <c:v>2.5</c:v>
                </c:pt>
                <c:pt idx="6">
                  <c:v>3</c:v>
                </c:pt>
                <c:pt idx="7">
                  <c:v>3.5</c:v>
                </c:pt>
                <c:pt idx="8">
                  <c:v>4</c:v>
                </c:pt>
                <c:pt idx="9">
                  <c:v>4.5</c:v>
                </c:pt>
                <c:pt idx="10">
                  <c:v>5</c:v>
                </c:pt>
                <c:pt idx="11">
                  <c:v>5.5</c:v>
                </c:pt>
                <c:pt idx="12">
                  <c:v>6</c:v>
                </c:pt>
                <c:pt idx="13">
                  <c:v>6.5</c:v>
                </c:pt>
                <c:pt idx="14">
                  <c:v>7</c:v>
                </c:pt>
                <c:pt idx="15">
                  <c:v>7.5</c:v>
                </c:pt>
                <c:pt idx="16">
                  <c:v>8</c:v>
                </c:pt>
                <c:pt idx="17">
                  <c:v>8.5</c:v>
                </c:pt>
                <c:pt idx="18">
                  <c:v>9</c:v>
                </c:pt>
                <c:pt idx="19">
                  <c:v>9.5</c:v>
                </c:pt>
                <c:pt idx="20">
                  <c:v>10</c:v>
                </c:pt>
                <c:pt idx="21">
                  <c:v>15</c:v>
                </c:pt>
                <c:pt idx="22">
                  <c:v>20</c:v>
                </c:pt>
                <c:pt idx="23">
                  <c:v>25</c:v>
                </c:pt>
                <c:pt idx="24">
                  <c:v>30</c:v>
                </c:pt>
                <c:pt idx="25">
                  <c:v>35</c:v>
                </c:pt>
                <c:pt idx="26">
                  <c:v>40</c:v>
                </c:pt>
                <c:pt idx="27">
                  <c:v>45</c:v>
                </c:pt>
                <c:pt idx="28">
                  <c:v>50</c:v>
                </c:pt>
                <c:pt idx="29">
                  <c:v>60</c:v>
                </c:pt>
                <c:pt idx="30">
                  <c:v>70</c:v>
                </c:pt>
                <c:pt idx="31">
                  <c:v>80</c:v>
                </c:pt>
                <c:pt idx="32">
                  <c:v>90</c:v>
                </c:pt>
                <c:pt idx="33">
                  <c:v>100</c:v>
                </c:pt>
              </c:numCache>
            </c:numRef>
          </c:cat>
          <c:val>
            <c:numRef>
              <c:f>'公式D2（一维持续泄漏定浓度）'!$M$8:$M$41</c:f>
              <c:numCache>
                <c:formatCode>General</c:formatCode>
                <c:ptCount val="34"/>
                <c:pt idx="0">
                  <c:v>3</c:v>
                </c:pt>
                <c:pt idx="1">
                  <c:v>3</c:v>
                </c:pt>
                <c:pt idx="2">
                  <c:v>3</c:v>
                </c:pt>
                <c:pt idx="3">
                  <c:v>3</c:v>
                </c:pt>
                <c:pt idx="4">
                  <c:v>3</c:v>
                </c:pt>
                <c:pt idx="5">
                  <c:v>3</c:v>
                </c:pt>
                <c:pt idx="6">
                  <c:v>3</c:v>
                </c:pt>
                <c:pt idx="7">
                  <c:v>3</c:v>
                </c:pt>
                <c:pt idx="8">
                  <c:v>3</c:v>
                </c:pt>
                <c:pt idx="9">
                  <c:v>3</c:v>
                </c:pt>
                <c:pt idx="10">
                  <c:v>3</c:v>
                </c:pt>
                <c:pt idx="11">
                  <c:v>3</c:v>
                </c:pt>
                <c:pt idx="12">
                  <c:v>3</c:v>
                </c:pt>
                <c:pt idx="13">
                  <c:v>3</c:v>
                </c:pt>
                <c:pt idx="14">
                  <c:v>3</c:v>
                </c:pt>
                <c:pt idx="15">
                  <c:v>3</c:v>
                </c:pt>
                <c:pt idx="16">
                  <c:v>3</c:v>
                </c:pt>
                <c:pt idx="17">
                  <c:v>3</c:v>
                </c:pt>
                <c:pt idx="18">
                  <c:v>3</c:v>
                </c:pt>
                <c:pt idx="19">
                  <c:v>3</c:v>
                </c:pt>
                <c:pt idx="20">
                  <c:v>3</c:v>
                </c:pt>
                <c:pt idx="21">
                  <c:v>3</c:v>
                </c:pt>
                <c:pt idx="22">
                  <c:v>3</c:v>
                </c:pt>
                <c:pt idx="23">
                  <c:v>3</c:v>
                </c:pt>
                <c:pt idx="24">
                  <c:v>3</c:v>
                </c:pt>
                <c:pt idx="25">
                  <c:v>3</c:v>
                </c:pt>
                <c:pt idx="26">
                  <c:v>3</c:v>
                </c:pt>
                <c:pt idx="27">
                  <c:v>3</c:v>
                </c:pt>
                <c:pt idx="28">
                  <c:v>3</c:v>
                </c:pt>
                <c:pt idx="29">
                  <c:v>3</c:v>
                </c:pt>
                <c:pt idx="30">
                  <c:v>3</c:v>
                </c:pt>
                <c:pt idx="31">
                  <c:v>3</c:v>
                </c:pt>
                <c:pt idx="32">
                  <c:v>3</c:v>
                </c:pt>
                <c:pt idx="33">
                  <c:v>3</c:v>
                </c:pt>
              </c:numCache>
            </c:numRef>
          </c:val>
          <c:smooth val="0"/>
        </c:ser>
        <c:dLbls>
          <c:showLegendKey val="0"/>
          <c:showVal val="0"/>
          <c:showCatName val="0"/>
          <c:showSerName val="0"/>
          <c:showPercent val="0"/>
          <c:showBubbleSize val="0"/>
        </c:dLbls>
        <c:marker val="0"/>
        <c:smooth val="0"/>
        <c:axId val="1122713727"/>
        <c:axId val="1122718047"/>
      </c:lineChart>
      <c:catAx>
        <c:axId val="112271372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Times New Roman" panose="02020603050405020304" charset="0"/>
                <a:ea typeface="宋体" panose="02010600030101010101" charset="-122"/>
                <a:cs typeface="Times New Roman" panose="02020603050405020304" charset="0"/>
              </a:defRPr>
            </a:pPr>
          </a:p>
        </c:txPr>
        <c:crossAx val="1122718047"/>
        <c:crosses val="autoZero"/>
        <c:auto val="1"/>
        <c:lblAlgn val="ctr"/>
        <c:lblOffset val="100"/>
        <c:noMultiLvlLbl val="0"/>
      </c:catAx>
      <c:valAx>
        <c:axId val="1122718047"/>
        <c:scaling>
          <c:orientation val="minMax"/>
          <c:max val="25000"/>
          <c:min val="0"/>
        </c:scaling>
        <c:delete val="0"/>
        <c:axPos val="l"/>
        <c:majorGridlines>
          <c:spPr>
            <a:ln w="9525" cap="flat" cmpd="sng" algn="ctr">
              <a:solidFill>
                <a:schemeClr val="tx1">
                  <a:lumMod val="15000"/>
                  <a:lumOff val="85000"/>
                </a:schemeClr>
              </a:solidFill>
              <a:round/>
            </a:ln>
            <a:effectLst/>
          </c:spPr>
        </c:majorGridlines>
        <c:numFmt formatCode="0_ " sourceLinked="0"/>
        <c:majorTickMark val="none"/>
        <c:minorTickMark val="none"/>
        <c:tickLblPos val="nextTo"/>
        <c:spPr>
          <a:noFill/>
          <a:ln>
            <a:noFill/>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Times New Roman" panose="02020603050405020304" charset="0"/>
                <a:ea typeface="宋体" panose="02010600030101010101" charset="-122"/>
                <a:cs typeface="Times New Roman" panose="02020603050405020304" charset="0"/>
              </a:defRPr>
            </a:pPr>
          </a:p>
        </c:txPr>
        <c:crossAx val="1122713727"/>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Times New Roman" panose="02020603050405020304" charset="0"/>
              <a:ea typeface="宋体" panose="02010600030101010101" charset="-122"/>
              <a:cs typeface="Times New Roman" panose="02020603050405020304" charset="0"/>
            </a:defRPr>
          </a:pPr>
        </a:p>
      </c:txPr>
    </c:legend>
    <c:plotVisOnly val="1"/>
    <c:dispBlanksAs val="gap"/>
    <c:showDLblsOverMax val="0"/>
    <c:extLst>
      <c:ext uri="{0b15fc19-7d7d-44ad-8c2d-2c3a37ce22c3}">
        <chartProps xmlns="https://web.wps.cn/et/2018/main" chartId="{22edc54a-c934-4a1e-937e-3458339a9c29}"/>
      </c:ext>
    </c:extLst>
  </c:chart>
  <c:spPr>
    <a:solidFill>
      <a:schemeClr val="bg1"/>
    </a:solidFill>
    <a:ln w="9525" cap="flat" cmpd="sng" algn="ctr">
      <a:solidFill>
        <a:schemeClr val="tx1">
          <a:lumMod val="15000"/>
          <a:lumOff val="85000"/>
        </a:schemeClr>
      </a:solidFill>
      <a:round/>
    </a:ln>
    <a:effectLst/>
  </c:spPr>
  <c:txPr>
    <a:bodyPr/>
    <a:lstStyle/>
    <a:p>
      <a:pPr>
        <a:defRPr lang="zh-CN">
          <a:latin typeface="Times New Roman" panose="02020603050405020304" charset="0"/>
          <a:ea typeface="宋体" panose="02010600030101010101" charset="-122"/>
          <a:cs typeface="Times New Roman" panose="02020603050405020304" charset="0"/>
        </a:defRPr>
      </a:pPr>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zh-CN" sz="1400" b="0" i="0" u="none" strike="noStrike" kern="1200" spc="0" baseline="0">
                <a:solidFill>
                  <a:schemeClr val="tx1">
                    <a:lumMod val="65000"/>
                    <a:lumOff val="35000"/>
                  </a:schemeClr>
                </a:solidFill>
                <a:latin typeface="Times New Roman" panose="02020603050405020304" charset="0"/>
                <a:ea typeface="宋体" panose="02010600030101010101" charset="-122"/>
                <a:cs typeface="Times New Roman" panose="02020603050405020304" charset="0"/>
              </a:defRPr>
            </a:pPr>
            <a:r>
              <a:rPr lang="zh-CN" altLang="en-US"/>
              <a:t>酚类</a:t>
            </a:r>
            <a:r>
              <a:rPr lang="zh-CN"/>
              <a:t>预测结果</a:t>
            </a:r>
            <a:endParaRPr lang="zh-CN"/>
          </a:p>
        </c:rich>
      </c:tx>
      <c:layout/>
      <c:overlay val="0"/>
      <c:spPr>
        <a:noFill/>
        <a:ln>
          <a:noFill/>
        </a:ln>
        <a:effectLst/>
      </c:spPr>
    </c:title>
    <c:autoTitleDeleted val="0"/>
    <c:plotArea>
      <c:layout/>
      <c:lineChart>
        <c:grouping val="standard"/>
        <c:varyColors val="0"/>
        <c:ser>
          <c:idx val="0"/>
          <c:order val="0"/>
          <c:tx>
            <c:strRef>
              <c:f>100d</c:f>
              <c:strCache>
                <c:ptCount val="1"/>
                <c:pt idx="0">
                  <c:v>100d</c:v>
                </c:pt>
              </c:strCache>
            </c:strRef>
          </c:tx>
          <c:spPr>
            <a:ln w="28575" cap="rnd">
              <a:solidFill>
                <a:schemeClr val="accent1"/>
              </a:solidFill>
              <a:round/>
            </a:ln>
            <a:effectLst/>
          </c:spPr>
          <c:marker>
            <c:symbol val="none"/>
          </c:marker>
          <c:dLbls>
            <c:delete val="1"/>
          </c:dLbls>
          <c:cat>
            <c:numRef>
              <c:f>'公式D2（一维持续泄漏定浓度）'!$B$8:$B$43</c:f>
              <c:numCache>
                <c:formatCode>General</c:formatCode>
                <c:ptCount val="36"/>
                <c:pt idx="0">
                  <c:v>0.1</c:v>
                </c:pt>
                <c:pt idx="1">
                  <c:v>0.5</c:v>
                </c:pt>
                <c:pt idx="2">
                  <c:v>1</c:v>
                </c:pt>
                <c:pt idx="3">
                  <c:v>1.5</c:v>
                </c:pt>
                <c:pt idx="4">
                  <c:v>2</c:v>
                </c:pt>
                <c:pt idx="5">
                  <c:v>2.5</c:v>
                </c:pt>
                <c:pt idx="6">
                  <c:v>3</c:v>
                </c:pt>
                <c:pt idx="7">
                  <c:v>3.5</c:v>
                </c:pt>
                <c:pt idx="8">
                  <c:v>4</c:v>
                </c:pt>
                <c:pt idx="9">
                  <c:v>4.5</c:v>
                </c:pt>
                <c:pt idx="10">
                  <c:v>5</c:v>
                </c:pt>
                <c:pt idx="11">
                  <c:v>5.5</c:v>
                </c:pt>
                <c:pt idx="12">
                  <c:v>6</c:v>
                </c:pt>
                <c:pt idx="13">
                  <c:v>6.5</c:v>
                </c:pt>
                <c:pt idx="14">
                  <c:v>7</c:v>
                </c:pt>
                <c:pt idx="15">
                  <c:v>7.5</c:v>
                </c:pt>
                <c:pt idx="16">
                  <c:v>8</c:v>
                </c:pt>
                <c:pt idx="17">
                  <c:v>8.5</c:v>
                </c:pt>
                <c:pt idx="18">
                  <c:v>9</c:v>
                </c:pt>
                <c:pt idx="19">
                  <c:v>9.5</c:v>
                </c:pt>
                <c:pt idx="20">
                  <c:v>10</c:v>
                </c:pt>
                <c:pt idx="21">
                  <c:v>15</c:v>
                </c:pt>
                <c:pt idx="22">
                  <c:v>20</c:v>
                </c:pt>
                <c:pt idx="23">
                  <c:v>25</c:v>
                </c:pt>
                <c:pt idx="24">
                  <c:v>30</c:v>
                </c:pt>
                <c:pt idx="25">
                  <c:v>35</c:v>
                </c:pt>
                <c:pt idx="26">
                  <c:v>40</c:v>
                </c:pt>
                <c:pt idx="27">
                  <c:v>45</c:v>
                </c:pt>
                <c:pt idx="28">
                  <c:v>50</c:v>
                </c:pt>
                <c:pt idx="29">
                  <c:v>60</c:v>
                </c:pt>
                <c:pt idx="30">
                  <c:v>70</c:v>
                </c:pt>
                <c:pt idx="31">
                  <c:v>80</c:v>
                </c:pt>
                <c:pt idx="32">
                  <c:v>90</c:v>
                </c:pt>
                <c:pt idx="33">
                  <c:v>100</c:v>
                </c:pt>
                <c:pt idx="34">
                  <c:v>110</c:v>
                </c:pt>
                <c:pt idx="35">
                  <c:v>120</c:v>
                </c:pt>
              </c:numCache>
            </c:numRef>
          </c:cat>
          <c:val>
            <c:numRef>
              <c:f>'公式D2（一维持续泄漏定浓度）'!$C$8:$C$41</c:f>
              <c:numCache>
                <c:formatCode>0.000_ </c:formatCode>
                <c:ptCount val="34"/>
                <c:pt idx="0">
                  <c:v>474.017828838527</c:v>
                </c:pt>
                <c:pt idx="1">
                  <c:v>409.945671192977</c:v>
                </c:pt>
                <c:pt idx="2">
                  <c:v>331.935115161806</c:v>
                </c:pt>
                <c:pt idx="3">
                  <c:v>259.62371383969</c:v>
                </c:pt>
                <c:pt idx="4">
                  <c:v>195.827430003308</c:v>
                </c:pt>
                <c:pt idx="5">
                  <c:v>142.236514184931</c:v>
                </c:pt>
                <c:pt idx="6">
                  <c:v>99.3604424387316</c:v>
                </c:pt>
                <c:pt idx="7">
                  <c:v>66.6825988445015</c:v>
                </c:pt>
                <c:pt idx="8">
                  <c:v>42.9541392612123</c:v>
                </c:pt>
                <c:pt idx="9">
                  <c:v>26.5365156888496</c:v>
                </c:pt>
                <c:pt idx="10">
                  <c:v>15.7119399461926</c:v>
                </c:pt>
                <c:pt idx="11">
                  <c:v>8.91054178241695</c:v>
                </c:pt>
                <c:pt idx="12">
                  <c:v>4.8377425779202</c:v>
                </c:pt>
                <c:pt idx="13">
                  <c:v>2.51333926974111</c:v>
                </c:pt>
                <c:pt idx="14">
                  <c:v>1.24899183689722</c:v>
                </c:pt>
                <c:pt idx="15">
                  <c:v>0.593498927069826</c:v>
                </c:pt>
                <c:pt idx="16">
                  <c:v>0.269588944825086</c:v>
                </c:pt>
                <c:pt idx="17">
                  <c:v>0.11702847876268</c:v>
                </c:pt>
                <c:pt idx="18">
                  <c:v>0.0485386060425148</c:v>
                </c:pt>
                <c:pt idx="19">
                  <c:v>0.0192309056729668</c:v>
                </c:pt>
                <c:pt idx="20">
                  <c:v>0.00727694776958079</c:v>
                </c:pt>
                <c:pt idx="21">
                  <c:v>3.39564461210403e-8</c:v>
                </c:pt>
                <c:pt idx="22">
                  <c:v>0</c:v>
                </c:pt>
                <c:pt idx="23">
                  <c:v>0</c:v>
                </c:pt>
                <c:pt idx="24">
                  <c:v>0</c:v>
                </c:pt>
                <c:pt idx="25">
                  <c:v>0</c:v>
                </c:pt>
                <c:pt idx="26">
                  <c:v>0</c:v>
                </c:pt>
                <c:pt idx="27">
                  <c:v>0</c:v>
                </c:pt>
                <c:pt idx="28">
                  <c:v>0</c:v>
                </c:pt>
                <c:pt idx="29">
                  <c:v>0</c:v>
                </c:pt>
                <c:pt idx="30">
                  <c:v>0</c:v>
                </c:pt>
                <c:pt idx="31">
                  <c:v>0</c:v>
                </c:pt>
                <c:pt idx="32">
                  <c:v>0</c:v>
                </c:pt>
                <c:pt idx="33">
                  <c:v>0</c:v>
                </c:pt>
              </c:numCache>
            </c:numRef>
          </c:val>
          <c:smooth val="0"/>
        </c:ser>
        <c:ser>
          <c:idx val="1"/>
          <c:order val="1"/>
          <c:tx>
            <c:strRef>
              <c:f>1000d</c:f>
              <c:strCache>
                <c:ptCount val="1"/>
                <c:pt idx="0">
                  <c:v>1000d</c:v>
                </c:pt>
              </c:strCache>
            </c:strRef>
          </c:tx>
          <c:spPr>
            <a:ln w="28575" cap="rnd">
              <a:solidFill>
                <a:schemeClr val="accent2"/>
              </a:solidFill>
              <a:round/>
            </a:ln>
            <a:effectLst/>
          </c:spPr>
          <c:marker>
            <c:symbol val="none"/>
          </c:marker>
          <c:dLbls>
            <c:delete val="1"/>
          </c:dLbls>
          <c:cat>
            <c:numRef>
              <c:f>'公式D2（一维持续泄漏定浓度）'!$B$8:$B$43</c:f>
              <c:numCache>
                <c:formatCode>General</c:formatCode>
                <c:ptCount val="36"/>
                <c:pt idx="0">
                  <c:v>0.1</c:v>
                </c:pt>
                <c:pt idx="1">
                  <c:v>0.5</c:v>
                </c:pt>
                <c:pt idx="2">
                  <c:v>1</c:v>
                </c:pt>
                <c:pt idx="3">
                  <c:v>1.5</c:v>
                </c:pt>
                <c:pt idx="4">
                  <c:v>2</c:v>
                </c:pt>
                <c:pt idx="5">
                  <c:v>2.5</c:v>
                </c:pt>
                <c:pt idx="6">
                  <c:v>3</c:v>
                </c:pt>
                <c:pt idx="7">
                  <c:v>3.5</c:v>
                </c:pt>
                <c:pt idx="8">
                  <c:v>4</c:v>
                </c:pt>
                <c:pt idx="9">
                  <c:v>4.5</c:v>
                </c:pt>
                <c:pt idx="10">
                  <c:v>5</c:v>
                </c:pt>
                <c:pt idx="11">
                  <c:v>5.5</c:v>
                </c:pt>
                <c:pt idx="12">
                  <c:v>6</c:v>
                </c:pt>
                <c:pt idx="13">
                  <c:v>6.5</c:v>
                </c:pt>
                <c:pt idx="14">
                  <c:v>7</c:v>
                </c:pt>
                <c:pt idx="15">
                  <c:v>7.5</c:v>
                </c:pt>
                <c:pt idx="16">
                  <c:v>8</c:v>
                </c:pt>
                <c:pt idx="17">
                  <c:v>8.5</c:v>
                </c:pt>
                <c:pt idx="18">
                  <c:v>9</c:v>
                </c:pt>
                <c:pt idx="19">
                  <c:v>9.5</c:v>
                </c:pt>
                <c:pt idx="20">
                  <c:v>10</c:v>
                </c:pt>
                <c:pt idx="21">
                  <c:v>15</c:v>
                </c:pt>
                <c:pt idx="22">
                  <c:v>20</c:v>
                </c:pt>
                <c:pt idx="23">
                  <c:v>25</c:v>
                </c:pt>
                <c:pt idx="24">
                  <c:v>30</c:v>
                </c:pt>
                <c:pt idx="25">
                  <c:v>35</c:v>
                </c:pt>
                <c:pt idx="26">
                  <c:v>40</c:v>
                </c:pt>
                <c:pt idx="27">
                  <c:v>45</c:v>
                </c:pt>
                <c:pt idx="28">
                  <c:v>50</c:v>
                </c:pt>
                <c:pt idx="29">
                  <c:v>60</c:v>
                </c:pt>
                <c:pt idx="30">
                  <c:v>70</c:v>
                </c:pt>
                <c:pt idx="31">
                  <c:v>80</c:v>
                </c:pt>
                <c:pt idx="32">
                  <c:v>90</c:v>
                </c:pt>
                <c:pt idx="33">
                  <c:v>100</c:v>
                </c:pt>
                <c:pt idx="34">
                  <c:v>110</c:v>
                </c:pt>
                <c:pt idx="35">
                  <c:v>120</c:v>
                </c:pt>
              </c:numCache>
            </c:numRef>
          </c:cat>
          <c:val>
            <c:numRef>
              <c:f>'公式D2（一维持续泄漏定浓度）'!$D$8:$D$41</c:f>
              <c:numCache>
                <c:formatCode>0.000_ </c:formatCode>
                <c:ptCount val="34"/>
                <c:pt idx="0">
                  <c:v>485.704890207782</c:v>
                </c:pt>
                <c:pt idx="1">
                  <c:v>468.328835062998</c:v>
                </c:pt>
                <c:pt idx="2">
                  <c:v>446.240065157287</c:v>
                </c:pt>
                <c:pt idx="3">
                  <c:v>423.85551254867</c:v>
                </c:pt>
                <c:pt idx="4">
                  <c:v>401.299581848043</c:v>
                </c:pt>
                <c:pt idx="5">
                  <c:v>378.697429266194</c:v>
                </c:pt>
                <c:pt idx="6">
                  <c:v>356.173127167285</c:v>
                </c:pt>
                <c:pt idx="7">
                  <c:v>333.847867993813</c:v>
                </c:pt>
                <c:pt idx="8">
                  <c:v>311.838250112264</c:v>
                </c:pt>
                <c:pt idx="9">
                  <c:v>290.254685202203</c:v>
                </c:pt>
                <c:pt idx="10">
                  <c:v>269.199962611882</c:v>
                </c:pt>
                <c:pt idx="11">
                  <c:v>248.76800081261</c:v>
                </c:pt>
                <c:pt idx="12">
                  <c:v>229.042809926914</c:v>
                </c:pt>
                <c:pt idx="13">
                  <c:v>210.097682538176</c:v>
                </c:pt>
                <c:pt idx="14">
                  <c:v>191.99462288636</c:v>
                </c:pt>
                <c:pt idx="15">
                  <c:v>174.784017395056</c:v>
                </c:pt>
                <c:pt idx="16">
                  <c:v>158.504542530503</c:v>
                </c:pt>
                <c:pt idx="17">
                  <c:v>143.183299513616</c:v>
                </c:pt>
                <c:pt idx="18">
                  <c:v>128.83615961034</c:v>
                </c:pt>
                <c:pt idx="19">
                  <c:v>115.468298792519</c:v>
                </c:pt>
                <c:pt idx="20">
                  <c:v>103.074896623412</c:v>
                </c:pt>
                <c:pt idx="21">
                  <c:v>26.4182692671693</c:v>
                </c:pt>
                <c:pt idx="22">
                  <c:v>4.42005341314783</c:v>
                </c:pt>
                <c:pt idx="23">
                  <c:v>0.475191238374996</c:v>
                </c:pt>
                <c:pt idx="24">
                  <c:v>0.0324932716930695</c:v>
                </c:pt>
                <c:pt idx="25">
                  <c:v>0.00140357474614261</c:v>
                </c:pt>
                <c:pt idx="26">
                  <c:v>3.81189759860397e-5</c:v>
                </c:pt>
                <c:pt idx="27">
                  <c:v>6.48700766457768e-7</c:v>
                </c:pt>
                <c:pt idx="28">
                  <c:v>6.90020003000222e-9</c:v>
                </c:pt>
                <c:pt idx="29">
                  <c:v>1.08801856413265e-13</c:v>
                </c:pt>
                <c:pt idx="30">
                  <c:v>0</c:v>
                </c:pt>
                <c:pt idx="31">
                  <c:v>0</c:v>
                </c:pt>
                <c:pt idx="32">
                  <c:v>0</c:v>
                </c:pt>
                <c:pt idx="33">
                  <c:v>0</c:v>
                </c:pt>
              </c:numCache>
            </c:numRef>
          </c:val>
          <c:smooth val="0"/>
        </c:ser>
        <c:ser>
          <c:idx val="2"/>
          <c:order val="2"/>
          <c:tx>
            <c:strRef>
              <c:f>7300d</c:f>
              <c:strCache>
                <c:ptCount val="1"/>
                <c:pt idx="0">
                  <c:v>7300d</c:v>
                </c:pt>
              </c:strCache>
            </c:strRef>
          </c:tx>
          <c:spPr>
            <a:ln w="28575" cap="rnd">
              <a:solidFill>
                <a:schemeClr val="accent3"/>
              </a:solidFill>
              <a:round/>
            </a:ln>
            <a:effectLst/>
          </c:spPr>
          <c:marker>
            <c:symbol val="none"/>
          </c:marker>
          <c:dLbls>
            <c:delete val="1"/>
          </c:dLbls>
          <c:cat>
            <c:numRef>
              <c:f>'公式D2（一维持续泄漏定浓度）'!$B$8:$B$43</c:f>
              <c:numCache>
                <c:formatCode>General</c:formatCode>
                <c:ptCount val="36"/>
                <c:pt idx="0">
                  <c:v>0.1</c:v>
                </c:pt>
                <c:pt idx="1">
                  <c:v>0.5</c:v>
                </c:pt>
                <c:pt idx="2">
                  <c:v>1</c:v>
                </c:pt>
                <c:pt idx="3">
                  <c:v>1.5</c:v>
                </c:pt>
                <c:pt idx="4">
                  <c:v>2</c:v>
                </c:pt>
                <c:pt idx="5">
                  <c:v>2.5</c:v>
                </c:pt>
                <c:pt idx="6">
                  <c:v>3</c:v>
                </c:pt>
                <c:pt idx="7">
                  <c:v>3.5</c:v>
                </c:pt>
                <c:pt idx="8">
                  <c:v>4</c:v>
                </c:pt>
                <c:pt idx="9">
                  <c:v>4.5</c:v>
                </c:pt>
                <c:pt idx="10">
                  <c:v>5</c:v>
                </c:pt>
                <c:pt idx="11">
                  <c:v>5.5</c:v>
                </c:pt>
                <c:pt idx="12">
                  <c:v>6</c:v>
                </c:pt>
                <c:pt idx="13">
                  <c:v>6.5</c:v>
                </c:pt>
                <c:pt idx="14">
                  <c:v>7</c:v>
                </c:pt>
                <c:pt idx="15">
                  <c:v>7.5</c:v>
                </c:pt>
                <c:pt idx="16">
                  <c:v>8</c:v>
                </c:pt>
                <c:pt idx="17">
                  <c:v>8.5</c:v>
                </c:pt>
                <c:pt idx="18">
                  <c:v>9</c:v>
                </c:pt>
                <c:pt idx="19">
                  <c:v>9.5</c:v>
                </c:pt>
                <c:pt idx="20">
                  <c:v>10</c:v>
                </c:pt>
                <c:pt idx="21">
                  <c:v>15</c:v>
                </c:pt>
                <c:pt idx="22">
                  <c:v>20</c:v>
                </c:pt>
                <c:pt idx="23">
                  <c:v>25</c:v>
                </c:pt>
                <c:pt idx="24">
                  <c:v>30</c:v>
                </c:pt>
                <c:pt idx="25">
                  <c:v>35</c:v>
                </c:pt>
                <c:pt idx="26">
                  <c:v>40</c:v>
                </c:pt>
                <c:pt idx="27">
                  <c:v>45</c:v>
                </c:pt>
                <c:pt idx="28">
                  <c:v>50</c:v>
                </c:pt>
                <c:pt idx="29">
                  <c:v>60</c:v>
                </c:pt>
                <c:pt idx="30">
                  <c:v>70</c:v>
                </c:pt>
                <c:pt idx="31">
                  <c:v>80</c:v>
                </c:pt>
                <c:pt idx="32">
                  <c:v>90</c:v>
                </c:pt>
                <c:pt idx="33">
                  <c:v>100</c:v>
                </c:pt>
                <c:pt idx="34">
                  <c:v>110</c:v>
                </c:pt>
                <c:pt idx="35">
                  <c:v>120</c:v>
                </c:pt>
              </c:numCache>
            </c:numRef>
          </c:cat>
          <c:val>
            <c:numRef>
              <c:f>'公式D2（一维持续泄漏定浓度）'!$E$8:$E$41</c:f>
              <c:numCache>
                <c:formatCode>0.000_ </c:formatCode>
                <c:ptCount val="34"/>
                <c:pt idx="0">
                  <c:v>488.98236662492</c:v>
                </c:pt>
                <c:pt idx="1">
                  <c:v>484.861518418865</c:v>
                </c:pt>
                <c:pt idx="2">
                  <c:v>479.598969886243</c:v>
                </c:pt>
                <c:pt idx="3">
                  <c:v>474.215367238147</c:v>
                </c:pt>
                <c:pt idx="4">
                  <c:v>468.713929122336</c:v>
                </c:pt>
                <c:pt idx="5">
                  <c:v>463.098074979892</c:v>
                </c:pt>
                <c:pt idx="6">
                  <c:v>457.371419433467</c:v>
                </c:pt>
                <c:pt idx="7">
                  <c:v>451.53776609627</c:v>
                </c:pt>
                <c:pt idx="8">
                  <c:v>445.601100818362</c:v>
                </c:pt>
                <c:pt idx="9">
                  <c:v>439.565584389197</c:v>
                </c:pt>
                <c:pt idx="10">
                  <c:v>433.43554471767</c:v>
                </c:pt>
                <c:pt idx="11">
                  <c:v>427.215468513184</c:v>
                </c:pt>
                <c:pt idx="12">
                  <c:v>420.909992493384</c:v>
                </c:pt>
                <c:pt idx="13">
                  <c:v>414.523894146236</c:v>
                </c:pt>
                <c:pt idx="14">
                  <c:v>408.062082076052</c:v>
                </c:pt>
                <c:pt idx="15">
                  <c:v>401.529585964841</c:v>
                </c:pt>
                <c:pt idx="16">
                  <c:v>394.931546182017</c:v>
                </c:pt>
                <c:pt idx="17">
                  <c:v>388.273203076957</c:v>
                </c:pt>
                <c:pt idx="18">
                  <c:v>381.559885990301</c:v>
                </c:pt>
                <c:pt idx="19">
                  <c:v>374.79700202097</c:v>
                </c:pt>
                <c:pt idx="20">
                  <c:v>367.990024586957</c:v>
                </c:pt>
                <c:pt idx="21">
                  <c:v>298.723196608302</c:v>
                </c:pt>
                <c:pt idx="22">
                  <c:v>231.110391412514</c:v>
                </c:pt>
                <c:pt idx="23">
                  <c:v>169.947550529546</c:v>
                </c:pt>
                <c:pt idx="24">
                  <c:v>118.517291895237</c:v>
                </c:pt>
                <c:pt idx="25">
                  <c:v>78.2372971043636</c:v>
                </c:pt>
                <c:pt idx="26">
                  <c:v>48.8139342284615</c:v>
                </c:pt>
                <c:pt idx="27">
                  <c:v>28.74867494037</c:v>
                </c:pt>
                <c:pt idx="28">
                  <c:v>15.9652168621136</c:v>
                </c:pt>
                <c:pt idx="29">
                  <c:v>4.11393210106143</c:v>
                </c:pt>
                <c:pt idx="30">
                  <c:v>0.830576930004425</c:v>
                </c:pt>
                <c:pt idx="31">
                  <c:v>0.130859824079893</c:v>
                </c:pt>
                <c:pt idx="32">
                  <c:v>0.0160419852918523</c:v>
                </c:pt>
                <c:pt idx="33">
                  <c:v>0.00152677276512179</c:v>
                </c:pt>
              </c:numCache>
            </c:numRef>
          </c:val>
          <c:smooth val="0"/>
        </c:ser>
        <c:ser>
          <c:idx val="3"/>
          <c:order val="3"/>
          <c:tx>
            <c:strRef>
              <c:f>标准值</c:f>
              <c:strCache>
                <c:ptCount val="1"/>
                <c:pt idx="0">
                  <c:v>标准值</c:v>
                </c:pt>
              </c:strCache>
            </c:strRef>
          </c:tx>
          <c:spPr>
            <a:ln w="28575" cap="rnd">
              <a:solidFill>
                <a:schemeClr val="accent4"/>
              </a:solidFill>
              <a:round/>
            </a:ln>
            <a:effectLst/>
          </c:spPr>
          <c:marker>
            <c:symbol val="none"/>
          </c:marker>
          <c:dLbls>
            <c:delete val="1"/>
          </c:dLbls>
          <c:cat>
            <c:numRef>
              <c:f>'公式D2（一维持续泄漏定浓度）'!$B$8:$B$43</c:f>
              <c:numCache>
                <c:formatCode>General</c:formatCode>
                <c:ptCount val="36"/>
                <c:pt idx="0">
                  <c:v>0.1</c:v>
                </c:pt>
                <c:pt idx="1">
                  <c:v>0.5</c:v>
                </c:pt>
                <c:pt idx="2">
                  <c:v>1</c:v>
                </c:pt>
                <c:pt idx="3">
                  <c:v>1.5</c:v>
                </c:pt>
                <c:pt idx="4">
                  <c:v>2</c:v>
                </c:pt>
                <c:pt idx="5">
                  <c:v>2.5</c:v>
                </c:pt>
                <c:pt idx="6">
                  <c:v>3</c:v>
                </c:pt>
                <c:pt idx="7">
                  <c:v>3.5</c:v>
                </c:pt>
                <c:pt idx="8">
                  <c:v>4</c:v>
                </c:pt>
                <c:pt idx="9">
                  <c:v>4.5</c:v>
                </c:pt>
                <c:pt idx="10">
                  <c:v>5</c:v>
                </c:pt>
                <c:pt idx="11">
                  <c:v>5.5</c:v>
                </c:pt>
                <c:pt idx="12">
                  <c:v>6</c:v>
                </c:pt>
                <c:pt idx="13">
                  <c:v>6.5</c:v>
                </c:pt>
                <c:pt idx="14">
                  <c:v>7</c:v>
                </c:pt>
                <c:pt idx="15">
                  <c:v>7.5</c:v>
                </c:pt>
                <c:pt idx="16">
                  <c:v>8</c:v>
                </c:pt>
                <c:pt idx="17">
                  <c:v>8.5</c:v>
                </c:pt>
                <c:pt idx="18">
                  <c:v>9</c:v>
                </c:pt>
                <c:pt idx="19">
                  <c:v>9.5</c:v>
                </c:pt>
                <c:pt idx="20">
                  <c:v>10</c:v>
                </c:pt>
                <c:pt idx="21">
                  <c:v>15</c:v>
                </c:pt>
                <c:pt idx="22">
                  <c:v>20</c:v>
                </c:pt>
                <c:pt idx="23">
                  <c:v>25</c:v>
                </c:pt>
                <c:pt idx="24">
                  <c:v>30</c:v>
                </c:pt>
                <c:pt idx="25">
                  <c:v>35</c:v>
                </c:pt>
                <c:pt idx="26">
                  <c:v>40</c:v>
                </c:pt>
                <c:pt idx="27">
                  <c:v>45</c:v>
                </c:pt>
                <c:pt idx="28">
                  <c:v>50</c:v>
                </c:pt>
                <c:pt idx="29">
                  <c:v>60</c:v>
                </c:pt>
                <c:pt idx="30">
                  <c:v>70</c:v>
                </c:pt>
                <c:pt idx="31">
                  <c:v>80</c:v>
                </c:pt>
                <c:pt idx="32">
                  <c:v>90</c:v>
                </c:pt>
                <c:pt idx="33">
                  <c:v>100</c:v>
                </c:pt>
                <c:pt idx="34">
                  <c:v>110</c:v>
                </c:pt>
                <c:pt idx="35">
                  <c:v>120</c:v>
                </c:pt>
              </c:numCache>
            </c:numRef>
          </c:cat>
          <c:val>
            <c:numRef>
              <c:f>'公式D2（一维持续泄漏定浓度）'!$M$8:$M$41</c:f>
              <c:numCache>
                <c:formatCode>General</c:formatCode>
                <c:ptCount val="34"/>
                <c:pt idx="0">
                  <c:v>0.002</c:v>
                </c:pt>
                <c:pt idx="1">
                  <c:v>0.002</c:v>
                </c:pt>
                <c:pt idx="2">
                  <c:v>0.002</c:v>
                </c:pt>
                <c:pt idx="3">
                  <c:v>0.002</c:v>
                </c:pt>
                <c:pt idx="4">
                  <c:v>0.002</c:v>
                </c:pt>
                <c:pt idx="5">
                  <c:v>0.002</c:v>
                </c:pt>
                <c:pt idx="6">
                  <c:v>0.002</c:v>
                </c:pt>
                <c:pt idx="7">
                  <c:v>0.002</c:v>
                </c:pt>
                <c:pt idx="8">
                  <c:v>0.002</c:v>
                </c:pt>
                <c:pt idx="9">
                  <c:v>0.002</c:v>
                </c:pt>
                <c:pt idx="10">
                  <c:v>0.002</c:v>
                </c:pt>
                <c:pt idx="11">
                  <c:v>0.002</c:v>
                </c:pt>
                <c:pt idx="12">
                  <c:v>0.002</c:v>
                </c:pt>
                <c:pt idx="13">
                  <c:v>0.002</c:v>
                </c:pt>
                <c:pt idx="14">
                  <c:v>0.002</c:v>
                </c:pt>
                <c:pt idx="15">
                  <c:v>0.002</c:v>
                </c:pt>
                <c:pt idx="16">
                  <c:v>0.002</c:v>
                </c:pt>
                <c:pt idx="17">
                  <c:v>0.002</c:v>
                </c:pt>
                <c:pt idx="18">
                  <c:v>0.002</c:v>
                </c:pt>
                <c:pt idx="19">
                  <c:v>0.002</c:v>
                </c:pt>
                <c:pt idx="20">
                  <c:v>0.002</c:v>
                </c:pt>
                <c:pt idx="21">
                  <c:v>0.002</c:v>
                </c:pt>
                <c:pt idx="22">
                  <c:v>0.002</c:v>
                </c:pt>
                <c:pt idx="23">
                  <c:v>0.002</c:v>
                </c:pt>
                <c:pt idx="24">
                  <c:v>0.002</c:v>
                </c:pt>
                <c:pt idx="25">
                  <c:v>0.002</c:v>
                </c:pt>
                <c:pt idx="26">
                  <c:v>0.002</c:v>
                </c:pt>
                <c:pt idx="27">
                  <c:v>0.002</c:v>
                </c:pt>
                <c:pt idx="28">
                  <c:v>0.002</c:v>
                </c:pt>
                <c:pt idx="29">
                  <c:v>0.002</c:v>
                </c:pt>
                <c:pt idx="30">
                  <c:v>0.002</c:v>
                </c:pt>
                <c:pt idx="31">
                  <c:v>0.002</c:v>
                </c:pt>
                <c:pt idx="32">
                  <c:v>0.002</c:v>
                </c:pt>
                <c:pt idx="33">
                  <c:v>0.002</c:v>
                </c:pt>
              </c:numCache>
            </c:numRef>
          </c:val>
          <c:smooth val="0"/>
        </c:ser>
        <c:dLbls>
          <c:showLegendKey val="0"/>
          <c:showVal val="0"/>
          <c:showCatName val="0"/>
          <c:showSerName val="0"/>
          <c:showPercent val="0"/>
          <c:showBubbleSize val="0"/>
        </c:dLbls>
        <c:marker val="0"/>
        <c:smooth val="0"/>
        <c:axId val="1122713727"/>
        <c:axId val="1122718047"/>
      </c:lineChart>
      <c:catAx>
        <c:axId val="112271372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Times New Roman" panose="02020603050405020304" charset="0"/>
                <a:ea typeface="宋体" panose="02010600030101010101" charset="-122"/>
                <a:cs typeface="Times New Roman" panose="02020603050405020304" charset="0"/>
              </a:defRPr>
            </a:pPr>
          </a:p>
        </c:txPr>
        <c:crossAx val="1122718047"/>
        <c:crosses val="autoZero"/>
        <c:auto val="1"/>
        <c:lblAlgn val="ctr"/>
        <c:lblOffset val="100"/>
        <c:noMultiLvlLbl val="0"/>
      </c:catAx>
      <c:valAx>
        <c:axId val="1122718047"/>
        <c:scaling>
          <c:orientation val="minMax"/>
          <c:max val="500"/>
          <c:min val="0"/>
        </c:scaling>
        <c:delete val="0"/>
        <c:axPos val="l"/>
        <c:majorGridlines>
          <c:spPr>
            <a:ln w="9525" cap="flat" cmpd="sng" algn="ctr">
              <a:solidFill>
                <a:schemeClr val="tx1">
                  <a:lumMod val="15000"/>
                  <a:lumOff val="85000"/>
                </a:schemeClr>
              </a:solidFill>
              <a:round/>
            </a:ln>
            <a:effectLst/>
          </c:spPr>
        </c:majorGridlines>
        <c:numFmt formatCode="0_ " sourceLinked="0"/>
        <c:majorTickMark val="none"/>
        <c:minorTickMark val="none"/>
        <c:tickLblPos val="nextTo"/>
        <c:spPr>
          <a:noFill/>
          <a:ln>
            <a:noFill/>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Times New Roman" panose="02020603050405020304" charset="0"/>
                <a:ea typeface="宋体" panose="02010600030101010101" charset="-122"/>
                <a:cs typeface="Times New Roman" panose="02020603050405020304" charset="0"/>
              </a:defRPr>
            </a:pPr>
          </a:p>
        </c:txPr>
        <c:crossAx val="1122713727"/>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Times New Roman" panose="02020603050405020304" charset="0"/>
              <a:ea typeface="宋体" panose="02010600030101010101" charset="-122"/>
              <a:cs typeface="Times New Roman" panose="02020603050405020304" charset="0"/>
            </a:defRPr>
          </a:pPr>
        </a:p>
      </c:txPr>
    </c:legend>
    <c:plotVisOnly val="1"/>
    <c:dispBlanksAs val="gap"/>
    <c:showDLblsOverMax val="0"/>
    <c:extLst>
      <c:ext uri="{0b15fc19-7d7d-44ad-8c2d-2c3a37ce22c3}">
        <chartProps xmlns="https://web.wps.cn/et/2018/main" chartId="{d2ee6cec-e489-4551-bda1-744174a68192}"/>
      </c:ext>
    </c:extLst>
  </c:chart>
  <c:spPr>
    <a:solidFill>
      <a:schemeClr val="bg1"/>
    </a:solidFill>
    <a:ln w="9525" cap="flat" cmpd="sng" algn="ctr">
      <a:solidFill>
        <a:schemeClr val="tx1">
          <a:lumMod val="15000"/>
          <a:lumOff val="85000"/>
        </a:schemeClr>
      </a:solidFill>
      <a:round/>
    </a:ln>
    <a:effectLst/>
  </c:spPr>
  <c:txPr>
    <a:bodyPr/>
    <a:lstStyle/>
    <a:p>
      <a:pPr>
        <a:defRPr lang="zh-CN">
          <a:latin typeface="Times New Roman" panose="02020603050405020304" charset="0"/>
          <a:ea typeface="宋体" panose="02010600030101010101" charset="-122"/>
          <a:cs typeface="Times New Roman" panose="02020603050405020304" charset="0"/>
        </a:defRPr>
      </a:pPr>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主题​​">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FBE6164B-33B6-437D-9484-FC5441A9BB1F}">
  <ds:schemaRefs/>
</ds:datastoreItem>
</file>

<file path=docProps/app.xml><?xml version="1.0" encoding="utf-8"?>
<Properties xmlns="http://schemas.openxmlformats.org/officeDocument/2006/extended-properties" xmlns:vt="http://schemas.openxmlformats.org/officeDocument/2006/docPropsVTypes">
  <Template>Normal.dotm</Template>
  <Pages>138</Pages>
  <Words>9120</Words>
  <Characters>11234</Characters>
  <Lines>13310</Lines>
  <Paragraphs>16449</Paragraphs>
  <TotalTime>10</TotalTime>
  <ScaleCrop>false</ScaleCrop>
  <LinksUpToDate>false</LinksUpToDate>
  <CharactersWithSpaces>11685</CharactersWithSpaces>
  <Application>WPS Office_12.1.0.24657_F1E327BC-269C-435d-A152-05C5408002CA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2026-02-04T02:49:00Z</dcterms:created>
  <dc:creator>Administrator</dc:creator>
  <cp:lastModifiedBy>小陈不要消沉</cp:lastModifiedBy>
  <cp:lastPrinted>2026-02-03T16:14:00Z</cp:lastPrinted>
  <dcterms:modified xsi:type="dcterms:W3CDTF">2026-02-10T09:05:47Z</dcterms:modified>
  <cp:revision>10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TemplateDocerSaveRecord">
    <vt:lpwstr>eyJoZGlkIjoiNGJmZmVlMDdlZGEyODU1MjkyNjI0YjdhMmI0MGNlMmYiLCJ1c2VySWQiOiIxNjQ0MjExNzE5In0=</vt:lpwstr>
  </property>
  <property fmtid="{D5CDD505-2E9C-101B-9397-08002B2CF9AE}" pid="3" name="KSOProductBuildVer">
    <vt:lpwstr>2052-12.1.0.24657</vt:lpwstr>
  </property>
  <property fmtid="{D5CDD505-2E9C-101B-9397-08002B2CF9AE}" pid="4" name="ICV">
    <vt:lpwstr>DC5527CE2F254D47B8986CA42A61071A_12</vt:lpwstr>
  </property>
</Properties>
</file>